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371323" w14:textId="77777777" w:rsidR="009E7CC3" w:rsidRPr="00A12FA0" w:rsidRDefault="009E7CC3" w:rsidP="00A12FA0">
      <w:pPr>
        <w:pStyle w:val="TITULOREPORTE"/>
        <w:spacing w:line="280" w:lineRule="exact"/>
        <w:rPr>
          <w:rFonts w:ascii="Montserrat" w:hAnsi="Montserrat"/>
          <w:caps/>
          <w:sz w:val="24"/>
          <w:szCs w:val="24"/>
        </w:rPr>
      </w:pPr>
      <w:r w:rsidRPr="00A12FA0">
        <w:rPr>
          <w:rFonts w:ascii="Montserrat" w:hAnsi="Montserrat"/>
          <w:caps/>
          <w:sz w:val="24"/>
          <w:szCs w:val="24"/>
        </w:rPr>
        <w:t>PODER EJECUTIVO FEDERAL</w:t>
      </w:r>
    </w:p>
    <w:p w14:paraId="5EE600FA" w14:textId="77777777" w:rsidR="009C3C24" w:rsidRPr="00A12FA0" w:rsidRDefault="009C3C24" w:rsidP="00A12FA0">
      <w:pPr>
        <w:pStyle w:val="TITULOREPORTE"/>
        <w:spacing w:line="280" w:lineRule="exact"/>
        <w:rPr>
          <w:rFonts w:ascii="Montserrat" w:hAnsi="Montserrat"/>
          <w:caps/>
          <w:sz w:val="24"/>
          <w:szCs w:val="24"/>
        </w:rPr>
      </w:pPr>
      <w:r w:rsidRPr="00A12FA0">
        <w:rPr>
          <w:rFonts w:ascii="Montserrat" w:hAnsi="Montserrat"/>
          <w:caps/>
          <w:sz w:val="24"/>
          <w:szCs w:val="24"/>
        </w:rPr>
        <w:t>NOTAS A LOS ESTADOS FINANCIEROS</w:t>
      </w:r>
    </w:p>
    <w:p w14:paraId="38C059CD" w14:textId="77777777" w:rsidR="009C3C24" w:rsidRPr="00A12FA0" w:rsidRDefault="004A533B" w:rsidP="00A12FA0">
      <w:pPr>
        <w:pStyle w:val="SUBTITULO"/>
        <w:ind w:left="357" w:hanging="357"/>
        <w:rPr>
          <w:rFonts w:ascii="Montserrat" w:hAnsi="Montserrat"/>
          <w:caps/>
          <w:sz w:val="22"/>
          <w:szCs w:val="22"/>
        </w:rPr>
      </w:pPr>
      <w:r w:rsidRPr="00A12FA0">
        <w:rPr>
          <w:rFonts w:ascii="Montserrat" w:hAnsi="Montserrat"/>
          <w:caps/>
          <w:sz w:val="22"/>
          <w:szCs w:val="22"/>
        </w:rPr>
        <w:t>INTRODUCCIÓN</w:t>
      </w:r>
    </w:p>
    <w:p w14:paraId="4641E54A" w14:textId="51D95D9E" w:rsidR="009C3C24" w:rsidRPr="008F25A8" w:rsidRDefault="009C3C24" w:rsidP="00063579">
      <w:pPr>
        <w:spacing w:after="120" w:line="250" w:lineRule="exact"/>
        <w:jc w:val="both"/>
        <w:rPr>
          <w:rFonts w:ascii="Montserrat" w:hAnsi="Montserrat"/>
          <w:sz w:val="18"/>
          <w:szCs w:val="18"/>
        </w:rPr>
      </w:pPr>
      <w:r w:rsidRPr="008F25A8">
        <w:rPr>
          <w:rFonts w:ascii="Montserrat" w:hAnsi="Montserrat"/>
          <w:sz w:val="18"/>
          <w:szCs w:val="18"/>
        </w:rPr>
        <w:t>Atendiendo a lo establecido por el artículo 17 de la Ley General de Contabilidad Gubernamental</w:t>
      </w:r>
      <w:r w:rsidR="00D06797">
        <w:rPr>
          <w:rFonts w:ascii="Montserrat" w:hAnsi="Montserrat"/>
          <w:sz w:val="18"/>
          <w:szCs w:val="18"/>
        </w:rPr>
        <w:t xml:space="preserve"> </w:t>
      </w:r>
      <w:r w:rsidR="00D06797" w:rsidRPr="008F25A8">
        <w:rPr>
          <w:rFonts w:ascii="Montserrat" w:hAnsi="Montserrat" w:cs="Arial"/>
          <w:spacing w:val="-1"/>
          <w:sz w:val="18"/>
          <w:szCs w:val="18"/>
        </w:rPr>
        <w:t>(LGCG)</w:t>
      </w:r>
      <w:r w:rsidRPr="008F25A8">
        <w:rPr>
          <w:rFonts w:ascii="Montserrat" w:hAnsi="Montserrat"/>
          <w:sz w:val="18"/>
          <w:szCs w:val="18"/>
        </w:rPr>
        <w:t xml:space="preserve">, cada ente público es responsable de su contabilidad, de la operación del sistema y en consecuencia de la información que proporciona para la integración de la Cuenta Pública y con fundamento en lo señalado en el artículo 53 de la </w:t>
      </w:r>
      <w:r w:rsidR="001605D5">
        <w:rPr>
          <w:rFonts w:ascii="Montserrat" w:hAnsi="Montserrat"/>
          <w:sz w:val="18"/>
          <w:szCs w:val="18"/>
        </w:rPr>
        <w:t>LGCG</w:t>
      </w:r>
      <w:r w:rsidRPr="008F25A8">
        <w:rPr>
          <w:rFonts w:ascii="Montserrat" w:hAnsi="Montserrat"/>
          <w:sz w:val="18"/>
          <w:szCs w:val="18"/>
        </w:rPr>
        <w:t>, en el Acuerdo por el que se armoniza la estructura de las cuentas públicas y la Norma en materia de consolidación de Estados Financieros y demás información contable, a la Secretaría de Hacienda y Crédito Público</w:t>
      </w:r>
      <w:r w:rsidR="001605D5">
        <w:rPr>
          <w:rFonts w:ascii="Montserrat" w:hAnsi="Montserrat"/>
          <w:sz w:val="18"/>
          <w:szCs w:val="18"/>
        </w:rPr>
        <w:t xml:space="preserve"> (SHCP)</w:t>
      </w:r>
      <w:r w:rsidRPr="008F25A8">
        <w:rPr>
          <w:rFonts w:ascii="Montserrat" w:hAnsi="Montserrat"/>
          <w:sz w:val="18"/>
          <w:szCs w:val="18"/>
        </w:rPr>
        <w:t xml:space="preserve"> le corresponde formular e integrar la información consolidada del Poder Ejecutivo Federal.</w:t>
      </w:r>
    </w:p>
    <w:p w14:paraId="69061D39" w14:textId="77777777" w:rsidR="009C3C24" w:rsidRPr="008F25A8" w:rsidRDefault="009C3C24" w:rsidP="006D1082">
      <w:pPr>
        <w:spacing w:after="0" w:line="240" w:lineRule="auto"/>
        <w:jc w:val="both"/>
        <w:rPr>
          <w:rFonts w:ascii="Montserrat" w:hAnsi="Montserrat" w:cs="Arial"/>
          <w:spacing w:val="-1"/>
          <w:sz w:val="18"/>
          <w:szCs w:val="18"/>
        </w:rPr>
      </w:pPr>
    </w:p>
    <w:p w14:paraId="2A9C0FA4" w14:textId="079C0EAB" w:rsidR="009C3C24" w:rsidRPr="008F25A8" w:rsidRDefault="009C3C24" w:rsidP="009C3C24">
      <w:pPr>
        <w:spacing w:after="120" w:line="250" w:lineRule="exact"/>
        <w:jc w:val="both"/>
        <w:rPr>
          <w:rFonts w:ascii="Montserrat" w:hAnsi="Montserrat" w:cs="Arial"/>
          <w:spacing w:val="-1"/>
          <w:sz w:val="18"/>
          <w:szCs w:val="18"/>
        </w:rPr>
      </w:pPr>
      <w:r w:rsidRPr="00063579">
        <w:rPr>
          <w:rFonts w:ascii="Montserrat" w:hAnsi="Montserrat"/>
          <w:sz w:val="18"/>
          <w:szCs w:val="18"/>
        </w:rPr>
        <w:t>De</w:t>
      </w:r>
      <w:r w:rsidRPr="008F25A8">
        <w:rPr>
          <w:rFonts w:ascii="Montserrat" w:hAnsi="Montserrat" w:cs="Arial"/>
          <w:spacing w:val="-1"/>
          <w:sz w:val="18"/>
          <w:szCs w:val="18"/>
        </w:rPr>
        <w:t xml:space="preserve"> conformidad con los artículos 46, fracción I, inciso g) y 49 de la </w:t>
      </w:r>
      <w:r w:rsidR="001605D5">
        <w:rPr>
          <w:rFonts w:ascii="Montserrat" w:hAnsi="Montserrat" w:cs="Arial"/>
          <w:spacing w:val="-1"/>
          <w:sz w:val="18"/>
          <w:szCs w:val="18"/>
        </w:rPr>
        <w:t>LGCG</w:t>
      </w:r>
      <w:r w:rsidRPr="008F25A8">
        <w:rPr>
          <w:rFonts w:ascii="Montserrat" w:hAnsi="Montserrat" w:cs="Arial"/>
          <w:spacing w:val="-1"/>
          <w:sz w:val="18"/>
          <w:szCs w:val="18"/>
        </w:rPr>
        <w:t>, con el Manual de Contabilidad Gubernamental emitido por el Consejo Nacional de Armonización Contable (CONAC) y en específico con el Manual de Contabilidad Gubernamental para el Poder Ejecutivo Federal</w:t>
      </w:r>
      <w:r w:rsidR="004B170A">
        <w:rPr>
          <w:rFonts w:ascii="Montserrat" w:hAnsi="Montserrat" w:cs="Arial"/>
          <w:spacing w:val="-1"/>
          <w:sz w:val="18"/>
          <w:szCs w:val="18"/>
        </w:rPr>
        <w:t xml:space="preserve"> (MCGPEF)</w:t>
      </w:r>
      <w:r w:rsidRPr="008F25A8">
        <w:rPr>
          <w:rFonts w:ascii="Montserrat" w:hAnsi="Montserrat" w:cs="Arial"/>
          <w:spacing w:val="-1"/>
          <w:sz w:val="18"/>
          <w:szCs w:val="18"/>
        </w:rPr>
        <w:t>, se presentan las notas a los estados financieros del Poder Ejecutivo Federal, integrando reportes compara</w:t>
      </w:r>
      <w:r w:rsidR="00DF3BA6">
        <w:rPr>
          <w:rFonts w:ascii="Montserrat" w:hAnsi="Montserrat" w:cs="Arial"/>
          <w:spacing w:val="-1"/>
          <w:sz w:val="18"/>
          <w:szCs w:val="18"/>
        </w:rPr>
        <w:t>tivos entre el ejercicio de 2019 y 2018</w:t>
      </w:r>
      <w:r w:rsidRPr="008F25A8">
        <w:rPr>
          <w:rFonts w:ascii="Montserrat" w:hAnsi="Montserrat" w:cs="Arial"/>
          <w:spacing w:val="-1"/>
          <w:sz w:val="18"/>
          <w:szCs w:val="18"/>
        </w:rPr>
        <w:t>, con los siguientes apartados:</w:t>
      </w:r>
    </w:p>
    <w:p w14:paraId="4010CAB0" w14:textId="77777777" w:rsidR="009C3C24" w:rsidRPr="008F25A8" w:rsidRDefault="009C3C24" w:rsidP="006D1082">
      <w:pPr>
        <w:spacing w:after="0" w:line="240" w:lineRule="auto"/>
        <w:jc w:val="both"/>
        <w:rPr>
          <w:rFonts w:ascii="Montserrat" w:hAnsi="Montserrat"/>
          <w:sz w:val="18"/>
          <w:szCs w:val="18"/>
          <w:lang w:val="es-MX" w:eastAsia="es-MX"/>
        </w:rPr>
      </w:pPr>
    </w:p>
    <w:p w14:paraId="5F3CA00C" w14:textId="77777777" w:rsidR="009C3C24" w:rsidRPr="008F25A8" w:rsidRDefault="009C3C24" w:rsidP="001F53E4">
      <w:pPr>
        <w:pStyle w:val="VIETAFLECHA"/>
        <w:numPr>
          <w:ilvl w:val="0"/>
          <w:numId w:val="13"/>
        </w:numPr>
        <w:ind w:left="357" w:hanging="357"/>
        <w:rPr>
          <w:rFonts w:cs="Arial"/>
          <w:spacing w:val="-1"/>
        </w:rPr>
      </w:pPr>
      <w:r w:rsidRPr="008F25A8">
        <w:rPr>
          <w:rFonts w:cs="Arial"/>
          <w:spacing w:val="-1"/>
        </w:rPr>
        <w:t>Notas de Desglose</w:t>
      </w:r>
    </w:p>
    <w:p w14:paraId="33D4CB98" w14:textId="77777777" w:rsidR="009C3C24" w:rsidRPr="008F25A8" w:rsidRDefault="009C3C24" w:rsidP="001F53E4">
      <w:pPr>
        <w:pStyle w:val="VIETAFLECHA"/>
        <w:numPr>
          <w:ilvl w:val="0"/>
          <w:numId w:val="13"/>
        </w:numPr>
        <w:ind w:left="357" w:hanging="357"/>
        <w:rPr>
          <w:rFonts w:cs="Arial"/>
          <w:spacing w:val="-1"/>
        </w:rPr>
      </w:pPr>
      <w:r w:rsidRPr="008F25A8">
        <w:rPr>
          <w:rFonts w:cs="Arial"/>
          <w:spacing w:val="-1"/>
        </w:rPr>
        <w:t>Notas de Memoria</w:t>
      </w:r>
    </w:p>
    <w:p w14:paraId="05935AE4" w14:textId="77777777" w:rsidR="009C3C24" w:rsidRPr="008F25A8" w:rsidRDefault="009C3C24" w:rsidP="001F53E4">
      <w:pPr>
        <w:pStyle w:val="VIETAFLECHA"/>
        <w:numPr>
          <w:ilvl w:val="0"/>
          <w:numId w:val="13"/>
        </w:numPr>
        <w:ind w:left="357" w:hanging="357"/>
        <w:rPr>
          <w:rFonts w:cs="Arial"/>
          <w:spacing w:val="-1"/>
        </w:rPr>
      </w:pPr>
      <w:r w:rsidRPr="008F25A8">
        <w:rPr>
          <w:rFonts w:cs="Arial"/>
          <w:spacing w:val="-1"/>
        </w:rPr>
        <w:t>Notas de Gestión Administrativa</w:t>
      </w:r>
    </w:p>
    <w:p w14:paraId="01129A0C" w14:textId="77777777" w:rsidR="009C3C24" w:rsidRPr="008F25A8" w:rsidRDefault="009C3C24" w:rsidP="006D1082">
      <w:pPr>
        <w:spacing w:after="0" w:line="240" w:lineRule="auto"/>
        <w:jc w:val="both"/>
        <w:rPr>
          <w:rFonts w:ascii="Montserrat" w:hAnsi="Montserrat"/>
          <w:sz w:val="18"/>
          <w:szCs w:val="18"/>
          <w:lang w:val="es-MX" w:eastAsia="es-MX"/>
        </w:rPr>
      </w:pPr>
    </w:p>
    <w:p w14:paraId="41AC8132" w14:textId="77777777" w:rsidR="009C3C24" w:rsidRPr="00063579" w:rsidRDefault="009C3C24" w:rsidP="009C3C24">
      <w:pPr>
        <w:spacing w:after="120" w:line="250" w:lineRule="exact"/>
        <w:jc w:val="both"/>
        <w:rPr>
          <w:rFonts w:ascii="Montserrat" w:hAnsi="Montserrat"/>
          <w:sz w:val="18"/>
          <w:szCs w:val="18"/>
        </w:rPr>
      </w:pPr>
      <w:r w:rsidRPr="00063579">
        <w:rPr>
          <w:rFonts w:ascii="Montserrat" w:hAnsi="Montserrat"/>
          <w:sz w:val="18"/>
          <w:szCs w:val="18"/>
        </w:rPr>
        <w:t xml:space="preserve">Las cifras consignadas en la contabilidad del ente público Poder Ejecutivo Federal fueron obtenidas del Sistema de Contabilidad Gubernamental </w:t>
      </w:r>
      <w:r w:rsidR="00D411B6">
        <w:rPr>
          <w:rFonts w:ascii="Montserrat" w:hAnsi="Montserrat"/>
          <w:sz w:val="18"/>
          <w:szCs w:val="18"/>
        </w:rPr>
        <w:t>(</w:t>
      </w:r>
      <w:r w:rsidRPr="00063579">
        <w:rPr>
          <w:rFonts w:ascii="Montserrat" w:hAnsi="Montserrat"/>
          <w:sz w:val="18"/>
          <w:szCs w:val="18"/>
        </w:rPr>
        <w:t>SCG</w:t>
      </w:r>
      <w:r w:rsidR="00D411B6">
        <w:rPr>
          <w:rFonts w:ascii="Montserrat" w:hAnsi="Montserrat"/>
          <w:sz w:val="18"/>
          <w:szCs w:val="18"/>
        </w:rPr>
        <w:t>)</w:t>
      </w:r>
      <w:r w:rsidRPr="00063579">
        <w:rPr>
          <w:rFonts w:ascii="Montserrat" w:hAnsi="Montserrat"/>
          <w:sz w:val="18"/>
          <w:szCs w:val="18"/>
        </w:rPr>
        <w:t>, la responsabilidad y confiabilidad de las mismas corresponde a los ramos administrativos y generales de la Administración Pública Federal, así como a los centros de registro especial: Servicio de Administración Tributaria (SAT), Unidad de Crédito Público (UCP) y Tesorería de la Federación (TESOFE).</w:t>
      </w:r>
    </w:p>
    <w:p w14:paraId="11E535E8" w14:textId="77777777" w:rsidR="009C3C24" w:rsidRPr="006F0DF1" w:rsidRDefault="009C3C24" w:rsidP="009C3C24">
      <w:pPr>
        <w:spacing w:after="120" w:line="250" w:lineRule="exact"/>
        <w:jc w:val="both"/>
        <w:rPr>
          <w:rFonts w:ascii="Montserrat" w:hAnsi="Montserrat" w:cs="Arial"/>
          <w:spacing w:val="-1"/>
          <w:sz w:val="18"/>
          <w:szCs w:val="18"/>
        </w:rPr>
      </w:pPr>
      <w:r w:rsidRPr="006F0DF1">
        <w:rPr>
          <w:rFonts w:ascii="Montserrat" w:hAnsi="Montserrat" w:cs="Arial"/>
          <w:spacing w:val="-1"/>
          <w:sz w:val="18"/>
          <w:szCs w:val="18"/>
        </w:rPr>
        <w:br w:type="page"/>
      </w:r>
    </w:p>
    <w:p w14:paraId="2151C2F3" w14:textId="77777777" w:rsidR="009C3C24" w:rsidRPr="00A12FA0" w:rsidRDefault="007E24EB" w:rsidP="00A12FA0">
      <w:pPr>
        <w:pStyle w:val="SUBTITULO"/>
        <w:ind w:left="357" w:hanging="357"/>
        <w:rPr>
          <w:rFonts w:ascii="Montserrat" w:hAnsi="Montserrat"/>
          <w:caps/>
          <w:sz w:val="22"/>
          <w:szCs w:val="22"/>
        </w:rPr>
      </w:pPr>
      <w:r w:rsidRPr="00A12FA0">
        <w:rPr>
          <w:rFonts w:ascii="Montserrat" w:hAnsi="Montserrat"/>
          <w:caps/>
          <w:sz w:val="22"/>
          <w:szCs w:val="22"/>
        </w:rPr>
        <w:lastRenderedPageBreak/>
        <w:t>NOTAS DE DESGLOSE</w:t>
      </w:r>
    </w:p>
    <w:p w14:paraId="58B0AA8F" w14:textId="77777777" w:rsidR="009C3C24" w:rsidRPr="001F53E4" w:rsidRDefault="007E24EB" w:rsidP="001F53E4">
      <w:pPr>
        <w:spacing w:before="240" w:after="120" w:line="250" w:lineRule="exact"/>
        <w:jc w:val="both"/>
        <w:rPr>
          <w:rFonts w:ascii="Montserrat" w:hAnsi="Montserrat"/>
          <w:b/>
          <w:caps/>
          <w:sz w:val="18"/>
          <w:szCs w:val="18"/>
          <w:lang w:val="es-MX" w:eastAsia="es-MX"/>
        </w:rPr>
      </w:pPr>
      <w:r w:rsidRPr="001F53E4">
        <w:rPr>
          <w:rFonts w:ascii="Montserrat" w:hAnsi="Montserrat"/>
          <w:b/>
          <w:caps/>
          <w:sz w:val="18"/>
          <w:szCs w:val="18"/>
          <w:lang w:val="es-MX" w:eastAsia="es-MX"/>
        </w:rPr>
        <w:t>NOTAS AL ESTADO DE SITUACIÓN FINANCIERA</w:t>
      </w:r>
    </w:p>
    <w:p w14:paraId="0C8C1854" w14:textId="77777777" w:rsidR="009C3C24" w:rsidRPr="001F53E4" w:rsidRDefault="009C3C24" w:rsidP="001F53E4">
      <w:pPr>
        <w:spacing w:before="240" w:after="120" w:line="250" w:lineRule="exact"/>
        <w:jc w:val="both"/>
        <w:rPr>
          <w:rFonts w:ascii="Montserrat" w:hAnsi="Montserrat"/>
          <w:b/>
          <w:sz w:val="18"/>
          <w:szCs w:val="18"/>
          <w:lang w:val="es-MX" w:eastAsia="es-MX"/>
        </w:rPr>
      </w:pPr>
      <w:r w:rsidRPr="001F53E4">
        <w:rPr>
          <w:rFonts w:ascii="Montserrat" w:hAnsi="Montserrat"/>
          <w:b/>
          <w:sz w:val="18"/>
          <w:szCs w:val="18"/>
          <w:lang w:val="es-MX" w:eastAsia="es-MX"/>
        </w:rPr>
        <w:t>Activo</w:t>
      </w:r>
    </w:p>
    <w:p w14:paraId="758E02F6" w14:textId="77777777" w:rsidR="009C3C24" w:rsidRPr="004E44CE" w:rsidRDefault="009C3C24" w:rsidP="006D1082">
      <w:pPr>
        <w:pStyle w:val="VIETAFLECHA"/>
        <w:numPr>
          <w:ilvl w:val="0"/>
          <w:numId w:val="13"/>
        </w:numPr>
        <w:spacing w:before="120"/>
        <w:ind w:left="357" w:hanging="357"/>
        <w:rPr>
          <w:rFonts w:cs="Arial"/>
          <w:spacing w:val="-1"/>
        </w:rPr>
      </w:pPr>
      <w:r w:rsidRPr="004E44CE">
        <w:rPr>
          <w:rFonts w:cs="Arial"/>
          <w:spacing w:val="-1"/>
        </w:rPr>
        <w:t>Efectivo y Equivalentes</w:t>
      </w:r>
    </w:p>
    <w:p w14:paraId="64149D43" w14:textId="558F31BB" w:rsidR="009C3C24" w:rsidRPr="00063579" w:rsidRDefault="009C3C24" w:rsidP="00063579">
      <w:pPr>
        <w:spacing w:after="120" w:line="250" w:lineRule="exact"/>
        <w:jc w:val="both"/>
        <w:rPr>
          <w:rFonts w:ascii="Montserrat" w:hAnsi="Montserrat"/>
          <w:sz w:val="18"/>
          <w:szCs w:val="18"/>
        </w:rPr>
      </w:pPr>
      <w:r w:rsidRPr="00063579">
        <w:rPr>
          <w:rFonts w:ascii="Montserrat" w:hAnsi="Montserrat"/>
          <w:sz w:val="18"/>
          <w:szCs w:val="18"/>
        </w:rPr>
        <w:t xml:space="preserve">En este </w:t>
      </w:r>
      <w:r w:rsidR="006641F9">
        <w:rPr>
          <w:rFonts w:ascii="Montserrat" w:hAnsi="Montserrat"/>
          <w:sz w:val="18"/>
          <w:szCs w:val="18"/>
        </w:rPr>
        <w:t>rubro</w:t>
      </w:r>
      <w:r w:rsidRPr="00063579">
        <w:rPr>
          <w:rFonts w:ascii="Montserrat" w:hAnsi="Montserrat"/>
          <w:sz w:val="18"/>
          <w:szCs w:val="18"/>
        </w:rPr>
        <w:t xml:space="preserve"> se presenta </w:t>
      </w:r>
      <w:r w:rsidR="002B1E5B" w:rsidRPr="00063579">
        <w:rPr>
          <w:rFonts w:ascii="Montserrat" w:hAnsi="Montserrat"/>
          <w:sz w:val="18"/>
          <w:szCs w:val="18"/>
        </w:rPr>
        <w:t xml:space="preserve">un </w:t>
      </w:r>
      <w:r w:rsidR="00C92C3C">
        <w:rPr>
          <w:rFonts w:ascii="Montserrat" w:hAnsi="Montserrat"/>
          <w:sz w:val="18"/>
          <w:szCs w:val="18"/>
        </w:rPr>
        <w:t>decremento</w:t>
      </w:r>
      <w:r w:rsidR="002B1E5B" w:rsidRPr="00063579">
        <w:rPr>
          <w:rFonts w:ascii="Montserrat" w:hAnsi="Montserrat"/>
          <w:sz w:val="18"/>
          <w:szCs w:val="18"/>
        </w:rPr>
        <w:t xml:space="preserve"> de los </w:t>
      </w:r>
      <w:r w:rsidRPr="00063579">
        <w:rPr>
          <w:rFonts w:ascii="Montserrat" w:hAnsi="Montserrat"/>
          <w:sz w:val="18"/>
          <w:szCs w:val="18"/>
        </w:rPr>
        <w:t xml:space="preserve">recursos monetarios del Poder Ejecutivo Federal, </w:t>
      </w:r>
      <w:r w:rsidR="00D0127A" w:rsidRPr="00063579">
        <w:rPr>
          <w:rFonts w:ascii="Montserrat" w:hAnsi="Montserrat"/>
          <w:sz w:val="18"/>
          <w:szCs w:val="18"/>
        </w:rPr>
        <w:t>manejados en la</w:t>
      </w:r>
      <w:r w:rsidR="009F20D0" w:rsidRPr="00063579">
        <w:rPr>
          <w:rFonts w:ascii="Montserrat" w:hAnsi="Montserrat"/>
          <w:sz w:val="18"/>
          <w:szCs w:val="18"/>
        </w:rPr>
        <w:t xml:space="preserve"> </w:t>
      </w:r>
      <w:r w:rsidR="00ED0581">
        <w:rPr>
          <w:rFonts w:ascii="Montserrat" w:hAnsi="Montserrat"/>
          <w:sz w:val="18"/>
          <w:szCs w:val="18"/>
        </w:rPr>
        <w:t>TESOFE</w:t>
      </w:r>
      <w:r w:rsidR="006641F9">
        <w:rPr>
          <w:rFonts w:ascii="Montserrat" w:hAnsi="Montserrat"/>
          <w:sz w:val="18"/>
          <w:szCs w:val="18"/>
        </w:rPr>
        <w:t xml:space="preserve"> </w:t>
      </w:r>
      <w:r w:rsidR="006641F9" w:rsidRPr="00063579">
        <w:rPr>
          <w:rFonts w:ascii="Montserrat" w:hAnsi="Montserrat"/>
          <w:sz w:val="18"/>
          <w:szCs w:val="18"/>
        </w:rPr>
        <w:t>principalmente</w:t>
      </w:r>
      <w:r w:rsidR="007924CF" w:rsidRPr="00063579">
        <w:rPr>
          <w:rFonts w:ascii="Montserrat" w:hAnsi="Montserrat"/>
          <w:sz w:val="18"/>
          <w:szCs w:val="18"/>
        </w:rPr>
        <w:t xml:space="preserve"> </w:t>
      </w:r>
      <w:r w:rsidR="007924CF" w:rsidRPr="00C92C3C">
        <w:rPr>
          <w:rFonts w:ascii="Montserrat" w:hAnsi="Montserrat"/>
          <w:sz w:val="18"/>
          <w:szCs w:val="18"/>
        </w:rPr>
        <w:t xml:space="preserve">por los ingresos </w:t>
      </w:r>
      <w:r w:rsidR="00131BE5" w:rsidRPr="00C92C3C">
        <w:rPr>
          <w:rFonts w:ascii="Montserrat" w:hAnsi="Montserrat"/>
          <w:sz w:val="18"/>
          <w:szCs w:val="18"/>
        </w:rPr>
        <w:t>de financiamiento interno, valores gubernamentales</w:t>
      </w:r>
      <w:r w:rsidR="008C08E3" w:rsidRPr="00C92C3C">
        <w:rPr>
          <w:rFonts w:ascii="Montserrat" w:hAnsi="Montserrat"/>
          <w:sz w:val="18"/>
          <w:szCs w:val="18"/>
        </w:rPr>
        <w:t xml:space="preserve"> y</w:t>
      </w:r>
      <w:r w:rsidR="00131BE5" w:rsidRPr="00C92C3C">
        <w:rPr>
          <w:rFonts w:ascii="Montserrat" w:hAnsi="Montserrat"/>
          <w:sz w:val="18"/>
          <w:szCs w:val="18"/>
        </w:rPr>
        <w:t xml:space="preserve"> </w:t>
      </w:r>
      <w:r w:rsidR="00C92C3C" w:rsidRPr="00C92C3C">
        <w:rPr>
          <w:rFonts w:ascii="Montserrat" w:hAnsi="Montserrat"/>
          <w:sz w:val="18"/>
          <w:szCs w:val="18"/>
        </w:rPr>
        <w:t>las remesas de cuentadantes</w:t>
      </w:r>
      <w:r w:rsidR="002B1E5B" w:rsidRPr="00C92C3C">
        <w:rPr>
          <w:rFonts w:ascii="Montserrat" w:hAnsi="Montserrat"/>
          <w:sz w:val="18"/>
          <w:szCs w:val="18"/>
        </w:rPr>
        <w:t>;</w:t>
      </w:r>
      <w:r w:rsidRPr="00C92C3C">
        <w:rPr>
          <w:rFonts w:ascii="Montserrat" w:hAnsi="Montserrat"/>
          <w:sz w:val="18"/>
          <w:szCs w:val="18"/>
        </w:rPr>
        <w:t xml:space="preserve"> </w:t>
      </w:r>
      <w:r w:rsidR="00C92C3C" w:rsidRPr="00C92C3C">
        <w:rPr>
          <w:rFonts w:ascii="Montserrat" w:hAnsi="Montserrat"/>
          <w:sz w:val="18"/>
          <w:szCs w:val="18"/>
        </w:rPr>
        <w:t>también se refleja</w:t>
      </w:r>
      <w:r w:rsidR="002B1E5B" w:rsidRPr="00C92C3C">
        <w:rPr>
          <w:rFonts w:ascii="Montserrat" w:hAnsi="Montserrat"/>
          <w:sz w:val="18"/>
          <w:szCs w:val="18"/>
        </w:rPr>
        <w:t xml:space="preserve"> una disminución de los </w:t>
      </w:r>
      <w:r w:rsidR="00C92C3C" w:rsidRPr="00C92C3C">
        <w:rPr>
          <w:rFonts w:ascii="Montserrat" w:hAnsi="Montserrat"/>
          <w:sz w:val="18"/>
          <w:szCs w:val="18"/>
        </w:rPr>
        <w:t>recursos</w:t>
      </w:r>
      <w:r w:rsidR="00C92C3C">
        <w:rPr>
          <w:rFonts w:ascii="Montserrat" w:hAnsi="Montserrat"/>
          <w:sz w:val="18"/>
          <w:szCs w:val="18"/>
        </w:rPr>
        <w:t xml:space="preserve"> </w:t>
      </w:r>
      <w:r w:rsidR="002B1E5B" w:rsidRPr="00063579">
        <w:rPr>
          <w:rFonts w:ascii="Montserrat" w:hAnsi="Montserrat"/>
          <w:sz w:val="18"/>
          <w:szCs w:val="18"/>
        </w:rPr>
        <w:t xml:space="preserve">que se administran en </w:t>
      </w:r>
      <w:r w:rsidR="00D0127A" w:rsidRPr="00063579">
        <w:rPr>
          <w:rFonts w:ascii="Montserrat" w:hAnsi="Montserrat"/>
          <w:sz w:val="18"/>
          <w:szCs w:val="18"/>
        </w:rPr>
        <w:t>las dependencias</w:t>
      </w:r>
      <w:r w:rsidRPr="00063579">
        <w:rPr>
          <w:rFonts w:ascii="Montserrat" w:hAnsi="Montserrat"/>
          <w:sz w:val="18"/>
          <w:szCs w:val="18"/>
        </w:rPr>
        <w:t xml:space="preserve"> por medio de cuentas bancarias en moneda nacional y/o en moneda extranjera. A continuación se relacionan las cuentas que integran este rubro:</w:t>
      </w:r>
    </w:p>
    <w:p w14:paraId="05E203F6" w14:textId="77777777" w:rsidR="009C3C24" w:rsidRPr="00936371" w:rsidRDefault="009C3C24" w:rsidP="00E52592">
      <w:pPr>
        <w:spacing w:after="60" w:line="250" w:lineRule="exact"/>
        <w:ind w:left="714"/>
        <w:jc w:val="center"/>
        <w:rPr>
          <w:rFonts w:ascii="Montserrat" w:hAnsi="Montserrat" w:cs="Arial"/>
          <w:spacing w:val="-1"/>
          <w:sz w:val="18"/>
          <w:szCs w:val="18"/>
        </w:rPr>
      </w:pPr>
      <w:r w:rsidRPr="00936371">
        <w:rPr>
          <w:rFonts w:ascii="Montserrat" w:eastAsia="Times New Roman" w:hAnsi="Montserrat" w:cs="Calibri"/>
          <w:bCs/>
          <w:sz w:val="16"/>
          <w:szCs w:val="16"/>
          <w:lang w:val="es-MX" w:eastAsia="es-MX"/>
        </w:rPr>
        <w:t>(Pesos)</w:t>
      </w:r>
    </w:p>
    <w:tbl>
      <w:tblPr>
        <w:tblW w:w="8222" w:type="dxa"/>
        <w:jc w:val="center"/>
        <w:tblCellMar>
          <w:left w:w="70" w:type="dxa"/>
          <w:right w:w="70" w:type="dxa"/>
        </w:tblCellMar>
        <w:tblLook w:val="04A0" w:firstRow="1" w:lastRow="0" w:firstColumn="1" w:lastColumn="0" w:noHBand="0" w:noVBand="1"/>
      </w:tblPr>
      <w:tblGrid>
        <w:gridCol w:w="3949"/>
        <w:gridCol w:w="2098"/>
        <w:gridCol w:w="2175"/>
      </w:tblGrid>
      <w:tr w:rsidR="001377A4" w:rsidRPr="001377A4" w14:paraId="0F427AC2" w14:textId="77777777" w:rsidTr="00CC40D5">
        <w:trPr>
          <w:trHeight w:val="57"/>
          <w:jc w:val="center"/>
        </w:trPr>
        <w:tc>
          <w:tcPr>
            <w:tcW w:w="8222" w:type="dxa"/>
            <w:gridSpan w:val="3"/>
            <w:tcBorders>
              <w:top w:val="single" w:sz="12" w:space="0" w:color="808080" w:themeColor="background1" w:themeShade="80"/>
            </w:tcBorders>
            <w:shd w:val="clear" w:color="auto" w:fill="auto"/>
            <w:vAlign w:val="center"/>
          </w:tcPr>
          <w:p w14:paraId="4ABEA811" w14:textId="77777777" w:rsidR="001377A4" w:rsidRPr="001377A4" w:rsidRDefault="001377A4" w:rsidP="00F8187F">
            <w:pPr>
              <w:spacing w:after="0" w:line="240" w:lineRule="auto"/>
              <w:jc w:val="center"/>
              <w:rPr>
                <w:rFonts w:ascii="Montserrat" w:eastAsia="Times New Roman" w:hAnsi="Montserrat" w:cs="Calibri"/>
                <w:b/>
                <w:bCs/>
                <w:color w:val="FFFFFF" w:themeColor="background1"/>
                <w:sz w:val="4"/>
                <w:szCs w:val="4"/>
                <w:lang w:val="es-MX" w:eastAsia="es-MX"/>
              </w:rPr>
            </w:pPr>
          </w:p>
        </w:tc>
      </w:tr>
      <w:tr w:rsidR="009C3C24" w:rsidRPr="006F0DF1" w14:paraId="5922C0B1" w14:textId="77777777" w:rsidTr="00D411B6">
        <w:trPr>
          <w:trHeight w:val="317"/>
          <w:jc w:val="center"/>
        </w:trPr>
        <w:tc>
          <w:tcPr>
            <w:tcW w:w="3949" w:type="dxa"/>
            <w:tcBorders>
              <w:left w:val="single" w:sz="8" w:space="0" w:color="FFFFFF" w:themeColor="background1"/>
              <w:bottom w:val="double" w:sz="12" w:space="0" w:color="808080" w:themeColor="background1" w:themeShade="80"/>
              <w:right w:val="single" w:sz="8" w:space="0" w:color="FFFFFF" w:themeColor="background1"/>
            </w:tcBorders>
            <w:shd w:val="clear" w:color="auto" w:fill="D4C19C"/>
            <w:vAlign w:val="center"/>
            <w:hideMark/>
          </w:tcPr>
          <w:p w14:paraId="046C0B25" w14:textId="77777777" w:rsidR="009C3C24" w:rsidRPr="008E2679" w:rsidRDefault="009C3C24" w:rsidP="00F8187F">
            <w:pPr>
              <w:spacing w:after="0" w:line="240" w:lineRule="auto"/>
              <w:jc w:val="center"/>
              <w:rPr>
                <w:rFonts w:ascii="Montserrat" w:eastAsia="Times New Roman" w:hAnsi="Montserrat" w:cs="Calibri"/>
                <w:b/>
                <w:bCs/>
                <w:color w:val="FFFFFF" w:themeColor="background1"/>
                <w:sz w:val="16"/>
                <w:szCs w:val="16"/>
                <w:lang w:val="es-MX" w:eastAsia="es-MX"/>
              </w:rPr>
            </w:pPr>
            <w:r w:rsidRPr="008E2679">
              <w:rPr>
                <w:rFonts w:ascii="Montserrat" w:eastAsia="Times New Roman" w:hAnsi="Montserrat" w:cs="Calibri"/>
                <w:b/>
                <w:bCs/>
                <w:color w:val="FFFFFF" w:themeColor="background1"/>
                <w:sz w:val="16"/>
                <w:szCs w:val="16"/>
                <w:lang w:val="es-MX" w:eastAsia="es-MX"/>
              </w:rPr>
              <w:t>Concepto</w:t>
            </w:r>
          </w:p>
        </w:tc>
        <w:tc>
          <w:tcPr>
            <w:tcW w:w="2098" w:type="dxa"/>
            <w:tcBorders>
              <w:left w:val="single" w:sz="8" w:space="0" w:color="FFFFFF" w:themeColor="background1"/>
              <w:bottom w:val="double" w:sz="12" w:space="0" w:color="808080" w:themeColor="background1" w:themeShade="80"/>
              <w:right w:val="single" w:sz="8" w:space="0" w:color="FFFFFF" w:themeColor="background1"/>
            </w:tcBorders>
            <w:shd w:val="clear" w:color="auto" w:fill="D4C19C"/>
            <w:vAlign w:val="center"/>
            <w:hideMark/>
          </w:tcPr>
          <w:p w14:paraId="3FF4336D" w14:textId="77777777" w:rsidR="009C3C24" w:rsidRPr="008E2679" w:rsidRDefault="009C3C24" w:rsidP="00F8187F">
            <w:pPr>
              <w:spacing w:after="0" w:line="240" w:lineRule="auto"/>
              <w:jc w:val="center"/>
              <w:rPr>
                <w:rFonts w:ascii="Montserrat" w:eastAsia="Times New Roman" w:hAnsi="Montserrat" w:cs="Calibri"/>
                <w:b/>
                <w:bCs/>
                <w:color w:val="FFFFFF" w:themeColor="background1"/>
                <w:sz w:val="16"/>
                <w:szCs w:val="16"/>
                <w:lang w:val="es-MX" w:eastAsia="es-MX"/>
              </w:rPr>
            </w:pPr>
            <w:r w:rsidRPr="008E2679">
              <w:rPr>
                <w:rFonts w:ascii="Montserrat" w:eastAsia="Times New Roman" w:hAnsi="Montserrat" w:cs="Calibri"/>
                <w:b/>
                <w:bCs/>
                <w:color w:val="FFFFFF" w:themeColor="background1"/>
                <w:sz w:val="16"/>
                <w:szCs w:val="16"/>
                <w:lang w:val="es-MX" w:eastAsia="es-MX"/>
              </w:rPr>
              <w:t>201</w:t>
            </w:r>
            <w:r w:rsidR="002F4EE1">
              <w:rPr>
                <w:rFonts w:ascii="Montserrat" w:eastAsia="Times New Roman" w:hAnsi="Montserrat" w:cs="Calibri"/>
                <w:b/>
                <w:bCs/>
                <w:color w:val="FFFFFF" w:themeColor="background1"/>
                <w:sz w:val="16"/>
                <w:szCs w:val="16"/>
                <w:lang w:val="es-MX" w:eastAsia="es-MX"/>
              </w:rPr>
              <w:t>9</w:t>
            </w:r>
          </w:p>
        </w:tc>
        <w:tc>
          <w:tcPr>
            <w:tcW w:w="2175" w:type="dxa"/>
            <w:tcBorders>
              <w:left w:val="single" w:sz="8" w:space="0" w:color="FFFFFF" w:themeColor="background1"/>
              <w:bottom w:val="double" w:sz="12" w:space="0" w:color="808080" w:themeColor="background1" w:themeShade="80"/>
              <w:right w:val="single" w:sz="8" w:space="0" w:color="FFFFFF" w:themeColor="background1"/>
            </w:tcBorders>
            <w:shd w:val="clear" w:color="auto" w:fill="D4C19C"/>
            <w:vAlign w:val="center"/>
            <w:hideMark/>
          </w:tcPr>
          <w:p w14:paraId="1665C427" w14:textId="77777777" w:rsidR="009C3C24" w:rsidRPr="008E2679" w:rsidRDefault="009C3C24" w:rsidP="00F8187F">
            <w:pPr>
              <w:spacing w:after="0" w:line="240" w:lineRule="auto"/>
              <w:jc w:val="center"/>
              <w:rPr>
                <w:rFonts w:ascii="Montserrat" w:eastAsia="Times New Roman" w:hAnsi="Montserrat" w:cs="Calibri"/>
                <w:b/>
                <w:bCs/>
                <w:color w:val="FFFFFF" w:themeColor="background1"/>
                <w:sz w:val="16"/>
                <w:szCs w:val="16"/>
                <w:lang w:val="es-MX" w:eastAsia="es-MX"/>
              </w:rPr>
            </w:pPr>
            <w:r w:rsidRPr="008E2679">
              <w:rPr>
                <w:rFonts w:ascii="Montserrat" w:eastAsia="Times New Roman" w:hAnsi="Montserrat" w:cs="Calibri"/>
                <w:b/>
                <w:bCs/>
                <w:color w:val="FFFFFF" w:themeColor="background1"/>
                <w:sz w:val="16"/>
                <w:szCs w:val="16"/>
                <w:lang w:val="es-MX" w:eastAsia="es-MX"/>
              </w:rPr>
              <w:t>201</w:t>
            </w:r>
            <w:r w:rsidR="002F4EE1">
              <w:rPr>
                <w:rFonts w:ascii="Montserrat" w:eastAsia="Times New Roman" w:hAnsi="Montserrat" w:cs="Calibri"/>
                <w:b/>
                <w:bCs/>
                <w:color w:val="FFFFFF" w:themeColor="background1"/>
                <w:sz w:val="16"/>
                <w:szCs w:val="16"/>
                <w:lang w:val="es-MX" w:eastAsia="es-MX"/>
              </w:rPr>
              <w:t>8</w:t>
            </w:r>
          </w:p>
        </w:tc>
      </w:tr>
      <w:tr w:rsidR="00DF3BA6" w:rsidRPr="006F0DF1" w14:paraId="7CB9EE91" w14:textId="77777777" w:rsidTr="000F0321">
        <w:trPr>
          <w:trHeight w:val="215"/>
          <w:jc w:val="center"/>
        </w:trPr>
        <w:tc>
          <w:tcPr>
            <w:tcW w:w="3949" w:type="dxa"/>
            <w:tcBorders>
              <w:top w:val="double" w:sz="12" w:space="0" w:color="808080" w:themeColor="background1" w:themeShade="80"/>
            </w:tcBorders>
            <w:shd w:val="clear" w:color="auto" w:fill="F2F2F2" w:themeFill="background1" w:themeFillShade="F2"/>
            <w:vAlign w:val="center"/>
            <w:hideMark/>
          </w:tcPr>
          <w:p w14:paraId="25472CCE" w14:textId="77777777" w:rsidR="00DF3BA6" w:rsidRPr="00255081" w:rsidRDefault="00DF3BA6" w:rsidP="00DF3BA6">
            <w:pPr>
              <w:spacing w:after="0" w:line="240" w:lineRule="auto"/>
              <w:ind w:left="170"/>
              <w:jc w:val="both"/>
              <w:rPr>
                <w:rFonts w:ascii="Montserrat" w:eastAsia="Times New Roman" w:hAnsi="Montserrat" w:cs="Calibri"/>
                <w:color w:val="000000"/>
                <w:sz w:val="15"/>
                <w:szCs w:val="15"/>
                <w:lang w:val="es-MX" w:eastAsia="es-MX"/>
              </w:rPr>
            </w:pPr>
            <w:r w:rsidRPr="00255081">
              <w:rPr>
                <w:rFonts w:ascii="Montserrat" w:eastAsia="Times New Roman" w:hAnsi="Montserrat" w:cs="Calibri"/>
                <w:color w:val="000000"/>
                <w:sz w:val="15"/>
                <w:szCs w:val="15"/>
                <w:lang w:val="es-MX" w:eastAsia="es-MX"/>
              </w:rPr>
              <w:t>Bancos/Tesorería</w:t>
            </w:r>
          </w:p>
        </w:tc>
        <w:tc>
          <w:tcPr>
            <w:tcW w:w="2098" w:type="dxa"/>
            <w:tcBorders>
              <w:top w:val="double" w:sz="12" w:space="0" w:color="808080" w:themeColor="background1" w:themeShade="80"/>
            </w:tcBorders>
            <w:shd w:val="clear" w:color="000000" w:fill="F2F2F2"/>
            <w:vAlign w:val="center"/>
          </w:tcPr>
          <w:p w14:paraId="368EA0E5" w14:textId="77777777" w:rsidR="00DF3BA6" w:rsidRPr="00255081" w:rsidRDefault="00DF3BA6" w:rsidP="00DF3BA6">
            <w:pPr>
              <w:spacing w:after="0" w:line="240" w:lineRule="auto"/>
              <w:jc w:val="right"/>
              <w:rPr>
                <w:rFonts w:ascii="Montserrat" w:hAnsi="Montserrat" w:cs="Calibri"/>
                <w:sz w:val="15"/>
                <w:szCs w:val="15"/>
              </w:rPr>
            </w:pPr>
            <w:r w:rsidRPr="00255081">
              <w:rPr>
                <w:rFonts w:ascii="Montserrat" w:hAnsi="Montserrat" w:cs="Calibri"/>
                <w:sz w:val="15"/>
                <w:szCs w:val="15"/>
              </w:rPr>
              <w:t xml:space="preserve"> 579,746,009,192 </w:t>
            </w:r>
          </w:p>
        </w:tc>
        <w:tc>
          <w:tcPr>
            <w:tcW w:w="2175" w:type="dxa"/>
            <w:tcBorders>
              <w:top w:val="double" w:sz="12" w:space="0" w:color="808080" w:themeColor="background1" w:themeShade="80"/>
            </w:tcBorders>
            <w:shd w:val="clear" w:color="auto" w:fill="F2F2F2" w:themeFill="background1" w:themeFillShade="F2"/>
            <w:vAlign w:val="center"/>
            <w:hideMark/>
          </w:tcPr>
          <w:p w14:paraId="18BF44AA" w14:textId="77777777" w:rsidR="00DF3BA6" w:rsidRPr="00255081" w:rsidRDefault="00DF3BA6" w:rsidP="00DF3BA6">
            <w:pPr>
              <w:spacing w:after="0" w:line="240" w:lineRule="auto"/>
              <w:jc w:val="right"/>
              <w:rPr>
                <w:rFonts w:ascii="Montserrat" w:hAnsi="Montserrat" w:cs="Calibri"/>
                <w:sz w:val="15"/>
                <w:szCs w:val="15"/>
                <w:lang w:val="es-MX" w:eastAsia="es-MX"/>
              </w:rPr>
            </w:pPr>
            <w:r w:rsidRPr="00255081">
              <w:rPr>
                <w:rFonts w:ascii="Montserrat" w:hAnsi="Montserrat" w:cs="Calibri"/>
                <w:sz w:val="15"/>
                <w:szCs w:val="15"/>
              </w:rPr>
              <w:t>654,490,162,904</w:t>
            </w:r>
          </w:p>
        </w:tc>
      </w:tr>
      <w:tr w:rsidR="00DF3BA6" w:rsidRPr="006F0DF1" w14:paraId="3F0A145D" w14:textId="77777777" w:rsidTr="000F0321">
        <w:trPr>
          <w:trHeight w:val="215"/>
          <w:jc w:val="center"/>
        </w:trPr>
        <w:tc>
          <w:tcPr>
            <w:tcW w:w="3949" w:type="dxa"/>
            <w:tcBorders>
              <w:top w:val="nil"/>
            </w:tcBorders>
            <w:shd w:val="clear" w:color="auto" w:fill="F2F2F2" w:themeFill="background1" w:themeFillShade="F2"/>
            <w:vAlign w:val="center"/>
            <w:hideMark/>
          </w:tcPr>
          <w:p w14:paraId="04023574" w14:textId="77777777" w:rsidR="00DF3BA6" w:rsidRPr="00255081" w:rsidRDefault="00DF3BA6" w:rsidP="00DF3BA6">
            <w:pPr>
              <w:spacing w:after="0" w:line="240" w:lineRule="auto"/>
              <w:ind w:left="170"/>
              <w:jc w:val="both"/>
              <w:rPr>
                <w:rFonts w:ascii="Montserrat" w:eastAsia="Times New Roman" w:hAnsi="Montserrat" w:cs="Calibri"/>
                <w:color w:val="000000"/>
                <w:sz w:val="15"/>
                <w:szCs w:val="15"/>
                <w:lang w:val="es-MX" w:eastAsia="es-MX"/>
              </w:rPr>
            </w:pPr>
            <w:r w:rsidRPr="00255081">
              <w:rPr>
                <w:rFonts w:ascii="Montserrat" w:eastAsia="Times New Roman" w:hAnsi="Montserrat" w:cs="Calibri"/>
                <w:color w:val="000000"/>
                <w:sz w:val="15"/>
                <w:szCs w:val="15"/>
                <w:lang w:val="es-MX" w:eastAsia="es-MX"/>
              </w:rPr>
              <w:t>Bancos/Dependencias y Otros</w:t>
            </w:r>
          </w:p>
        </w:tc>
        <w:tc>
          <w:tcPr>
            <w:tcW w:w="2098" w:type="dxa"/>
            <w:tcBorders>
              <w:top w:val="nil"/>
            </w:tcBorders>
            <w:shd w:val="clear" w:color="000000" w:fill="F2F2F2"/>
            <w:vAlign w:val="center"/>
          </w:tcPr>
          <w:p w14:paraId="63C95185" w14:textId="77777777" w:rsidR="00DF3BA6" w:rsidRPr="00255081" w:rsidRDefault="00DF3BA6" w:rsidP="00DF3BA6">
            <w:pPr>
              <w:spacing w:after="0" w:line="240" w:lineRule="auto"/>
              <w:jc w:val="right"/>
              <w:rPr>
                <w:rFonts w:ascii="Montserrat" w:hAnsi="Montserrat" w:cs="Calibri"/>
                <w:sz w:val="15"/>
                <w:szCs w:val="15"/>
              </w:rPr>
            </w:pPr>
            <w:r w:rsidRPr="00255081">
              <w:rPr>
                <w:rFonts w:ascii="Montserrat" w:hAnsi="Montserrat" w:cs="Calibri"/>
                <w:sz w:val="15"/>
                <w:szCs w:val="15"/>
              </w:rPr>
              <w:t xml:space="preserve"> 2,150,090,944 </w:t>
            </w:r>
          </w:p>
        </w:tc>
        <w:tc>
          <w:tcPr>
            <w:tcW w:w="2175" w:type="dxa"/>
            <w:tcBorders>
              <w:top w:val="nil"/>
            </w:tcBorders>
            <w:shd w:val="clear" w:color="auto" w:fill="F2F2F2" w:themeFill="background1" w:themeFillShade="F2"/>
            <w:vAlign w:val="center"/>
            <w:hideMark/>
          </w:tcPr>
          <w:p w14:paraId="3D4945DD" w14:textId="77777777" w:rsidR="00DF3BA6" w:rsidRPr="00255081" w:rsidRDefault="00DF3BA6" w:rsidP="00DF3BA6">
            <w:pPr>
              <w:spacing w:after="0" w:line="240" w:lineRule="auto"/>
              <w:jc w:val="right"/>
              <w:rPr>
                <w:rFonts w:ascii="Montserrat" w:hAnsi="Montserrat" w:cs="Calibri"/>
                <w:sz w:val="15"/>
                <w:szCs w:val="15"/>
              </w:rPr>
            </w:pPr>
            <w:r w:rsidRPr="00255081">
              <w:rPr>
                <w:rFonts w:ascii="Montserrat" w:hAnsi="Montserrat" w:cs="Calibri"/>
                <w:sz w:val="15"/>
                <w:szCs w:val="15"/>
              </w:rPr>
              <w:t>5,917,471,839</w:t>
            </w:r>
          </w:p>
        </w:tc>
      </w:tr>
      <w:tr w:rsidR="00DF3BA6" w:rsidRPr="006F0DF1" w14:paraId="376FDEA3" w14:textId="77777777" w:rsidTr="000F0321">
        <w:trPr>
          <w:trHeight w:val="215"/>
          <w:jc w:val="center"/>
        </w:trPr>
        <w:tc>
          <w:tcPr>
            <w:tcW w:w="3949" w:type="dxa"/>
            <w:tcBorders>
              <w:top w:val="nil"/>
            </w:tcBorders>
            <w:shd w:val="clear" w:color="auto" w:fill="F2F2F2" w:themeFill="background1" w:themeFillShade="F2"/>
            <w:vAlign w:val="center"/>
            <w:hideMark/>
          </w:tcPr>
          <w:p w14:paraId="00BC0EE7" w14:textId="77777777" w:rsidR="00DF3BA6" w:rsidRPr="00255081" w:rsidRDefault="00DF3BA6" w:rsidP="00DF3BA6">
            <w:pPr>
              <w:spacing w:after="0" w:line="240" w:lineRule="auto"/>
              <w:ind w:left="170"/>
              <w:jc w:val="both"/>
              <w:rPr>
                <w:rFonts w:ascii="Montserrat" w:eastAsia="Times New Roman" w:hAnsi="Montserrat" w:cs="Calibri"/>
                <w:color w:val="000000"/>
                <w:sz w:val="15"/>
                <w:szCs w:val="15"/>
                <w:lang w:val="es-MX" w:eastAsia="es-MX"/>
              </w:rPr>
            </w:pPr>
            <w:r w:rsidRPr="00255081">
              <w:rPr>
                <w:rFonts w:ascii="Montserrat" w:eastAsia="Times New Roman" w:hAnsi="Montserrat" w:cs="Calibri"/>
                <w:color w:val="000000"/>
                <w:sz w:val="15"/>
                <w:szCs w:val="15"/>
                <w:lang w:val="es-MX" w:eastAsia="es-MX"/>
              </w:rPr>
              <w:t>Inversiones en Moneda Nacional</w:t>
            </w:r>
          </w:p>
        </w:tc>
        <w:tc>
          <w:tcPr>
            <w:tcW w:w="2098" w:type="dxa"/>
            <w:tcBorders>
              <w:top w:val="nil"/>
            </w:tcBorders>
            <w:shd w:val="clear" w:color="000000" w:fill="F2F2F2"/>
            <w:vAlign w:val="center"/>
          </w:tcPr>
          <w:p w14:paraId="49946299" w14:textId="77777777" w:rsidR="00DF3BA6" w:rsidRPr="00255081" w:rsidRDefault="00DF3BA6" w:rsidP="00DF3BA6">
            <w:pPr>
              <w:spacing w:after="0" w:line="240" w:lineRule="auto"/>
              <w:jc w:val="right"/>
              <w:rPr>
                <w:rFonts w:ascii="Montserrat" w:hAnsi="Montserrat" w:cs="Calibri"/>
                <w:sz w:val="15"/>
                <w:szCs w:val="15"/>
              </w:rPr>
            </w:pPr>
            <w:r w:rsidRPr="00255081">
              <w:rPr>
                <w:rFonts w:ascii="Montserrat" w:hAnsi="Montserrat" w:cs="Calibri"/>
                <w:sz w:val="15"/>
                <w:szCs w:val="15"/>
              </w:rPr>
              <w:t xml:space="preserve"> 0   </w:t>
            </w:r>
          </w:p>
        </w:tc>
        <w:tc>
          <w:tcPr>
            <w:tcW w:w="2175" w:type="dxa"/>
            <w:tcBorders>
              <w:top w:val="nil"/>
            </w:tcBorders>
            <w:shd w:val="clear" w:color="auto" w:fill="F2F2F2" w:themeFill="background1" w:themeFillShade="F2"/>
            <w:vAlign w:val="center"/>
            <w:hideMark/>
          </w:tcPr>
          <w:p w14:paraId="5C9767A4" w14:textId="77777777" w:rsidR="00DF3BA6" w:rsidRPr="00255081" w:rsidRDefault="00DF3BA6" w:rsidP="00DF3BA6">
            <w:pPr>
              <w:spacing w:after="0" w:line="240" w:lineRule="auto"/>
              <w:jc w:val="right"/>
              <w:rPr>
                <w:rFonts w:ascii="Montserrat" w:hAnsi="Montserrat" w:cs="Calibri"/>
                <w:sz w:val="15"/>
                <w:szCs w:val="15"/>
              </w:rPr>
            </w:pPr>
            <w:r w:rsidRPr="00255081">
              <w:rPr>
                <w:rFonts w:ascii="Montserrat" w:hAnsi="Montserrat" w:cs="Calibri"/>
                <w:sz w:val="15"/>
                <w:szCs w:val="15"/>
              </w:rPr>
              <w:t>0</w:t>
            </w:r>
          </w:p>
        </w:tc>
      </w:tr>
      <w:tr w:rsidR="00DF3BA6" w:rsidRPr="006F0DF1" w14:paraId="53BCDEAE" w14:textId="77777777" w:rsidTr="000F0321">
        <w:trPr>
          <w:trHeight w:val="215"/>
          <w:jc w:val="center"/>
        </w:trPr>
        <w:tc>
          <w:tcPr>
            <w:tcW w:w="3949" w:type="dxa"/>
            <w:tcBorders>
              <w:top w:val="nil"/>
            </w:tcBorders>
            <w:shd w:val="clear" w:color="auto" w:fill="F2F2F2" w:themeFill="background1" w:themeFillShade="F2"/>
            <w:vAlign w:val="center"/>
            <w:hideMark/>
          </w:tcPr>
          <w:p w14:paraId="59BCE7CF" w14:textId="77777777" w:rsidR="00DF3BA6" w:rsidRPr="00255081" w:rsidRDefault="00DF3BA6" w:rsidP="00DF3BA6">
            <w:pPr>
              <w:spacing w:after="0" w:line="240" w:lineRule="auto"/>
              <w:ind w:left="170"/>
              <w:jc w:val="both"/>
              <w:rPr>
                <w:rFonts w:ascii="Montserrat" w:eastAsia="Times New Roman" w:hAnsi="Montserrat" w:cs="Calibri"/>
                <w:color w:val="000000"/>
                <w:sz w:val="15"/>
                <w:szCs w:val="15"/>
                <w:lang w:val="es-MX" w:eastAsia="es-MX"/>
              </w:rPr>
            </w:pPr>
            <w:r w:rsidRPr="00255081">
              <w:rPr>
                <w:rFonts w:ascii="Montserrat" w:eastAsia="Times New Roman" w:hAnsi="Montserrat" w:cs="Calibri"/>
                <w:color w:val="000000"/>
                <w:sz w:val="15"/>
                <w:szCs w:val="15"/>
                <w:lang w:val="es-MX" w:eastAsia="es-MX"/>
              </w:rPr>
              <w:t>Otros Efectivos y Equivalentes</w:t>
            </w:r>
          </w:p>
        </w:tc>
        <w:tc>
          <w:tcPr>
            <w:tcW w:w="2098" w:type="dxa"/>
            <w:tcBorders>
              <w:top w:val="nil"/>
            </w:tcBorders>
            <w:shd w:val="clear" w:color="000000" w:fill="F2F2F2"/>
            <w:vAlign w:val="center"/>
          </w:tcPr>
          <w:p w14:paraId="3F15CCD0" w14:textId="77777777" w:rsidR="00DF3BA6" w:rsidRPr="00255081" w:rsidRDefault="00DF3BA6" w:rsidP="00DF3BA6">
            <w:pPr>
              <w:spacing w:after="0" w:line="240" w:lineRule="auto"/>
              <w:jc w:val="right"/>
              <w:rPr>
                <w:rFonts w:ascii="Montserrat" w:hAnsi="Montserrat" w:cs="Calibri"/>
                <w:sz w:val="15"/>
                <w:szCs w:val="15"/>
              </w:rPr>
            </w:pPr>
            <w:r w:rsidRPr="00255081">
              <w:rPr>
                <w:rFonts w:ascii="Montserrat" w:hAnsi="Montserrat" w:cs="Calibri"/>
                <w:sz w:val="15"/>
                <w:szCs w:val="15"/>
              </w:rPr>
              <w:t xml:space="preserve"> 11,550,687,812 </w:t>
            </w:r>
          </w:p>
        </w:tc>
        <w:tc>
          <w:tcPr>
            <w:tcW w:w="2175" w:type="dxa"/>
            <w:tcBorders>
              <w:top w:val="nil"/>
            </w:tcBorders>
            <w:shd w:val="clear" w:color="auto" w:fill="F2F2F2" w:themeFill="background1" w:themeFillShade="F2"/>
            <w:vAlign w:val="center"/>
            <w:hideMark/>
          </w:tcPr>
          <w:p w14:paraId="425F0E85" w14:textId="77777777" w:rsidR="00DF3BA6" w:rsidRPr="00255081" w:rsidRDefault="00DF3BA6" w:rsidP="00DF3BA6">
            <w:pPr>
              <w:spacing w:after="0" w:line="240" w:lineRule="auto"/>
              <w:jc w:val="right"/>
              <w:rPr>
                <w:rFonts w:ascii="Montserrat" w:eastAsia="Times New Roman" w:hAnsi="Montserrat" w:cs="Calibri"/>
                <w:color w:val="000000"/>
                <w:sz w:val="15"/>
                <w:szCs w:val="15"/>
                <w:lang w:val="es-MX" w:eastAsia="es-MX"/>
              </w:rPr>
            </w:pPr>
            <w:r w:rsidRPr="00255081">
              <w:rPr>
                <w:rFonts w:ascii="Montserrat" w:eastAsia="Times New Roman" w:hAnsi="Montserrat" w:cs="Calibri"/>
                <w:color w:val="000000"/>
                <w:sz w:val="15"/>
                <w:szCs w:val="15"/>
                <w:lang w:val="es-MX" w:eastAsia="es-MX"/>
              </w:rPr>
              <w:t>61,858,349,092</w:t>
            </w:r>
          </w:p>
        </w:tc>
      </w:tr>
      <w:tr w:rsidR="00DF3BA6" w:rsidRPr="006F0DF1" w14:paraId="424DA8F0" w14:textId="77777777" w:rsidTr="000F0321">
        <w:trPr>
          <w:trHeight w:val="215"/>
          <w:jc w:val="center"/>
        </w:trPr>
        <w:tc>
          <w:tcPr>
            <w:tcW w:w="3949" w:type="dxa"/>
            <w:tcBorders>
              <w:bottom w:val="single" w:sz="12" w:space="0" w:color="808080" w:themeColor="background1" w:themeShade="80"/>
            </w:tcBorders>
            <w:shd w:val="clear" w:color="auto" w:fill="F2F2F2" w:themeFill="background1" w:themeFillShade="F2"/>
            <w:vAlign w:val="center"/>
            <w:hideMark/>
          </w:tcPr>
          <w:p w14:paraId="0FB7954D" w14:textId="77777777" w:rsidR="00DF3BA6" w:rsidRPr="00255081" w:rsidRDefault="00DF3BA6" w:rsidP="00DF3BA6">
            <w:pPr>
              <w:spacing w:after="0" w:line="240" w:lineRule="auto"/>
              <w:ind w:left="170"/>
              <w:jc w:val="right"/>
              <w:rPr>
                <w:rFonts w:ascii="Montserrat" w:eastAsia="Times New Roman" w:hAnsi="Montserrat" w:cs="Calibri"/>
                <w:b/>
                <w:color w:val="000000"/>
                <w:sz w:val="15"/>
                <w:szCs w:val="15"/>
                <w:lang w:val="es-MX" w:eastAsia="es-MX"/>
              </w:rPr>
            </w:pPr>
            <w:r w:rsidRPr="00255081">
              <w:rPr>
                <w:rFonts w:ascii="Montserrat" w:eastAsia="Times New Roman" w:hAnsi="Montserrat" w:cs="Calibri"/>
                <w:b/>
                <w:color w:val="000000"/>
                <w:sz w:val="15"/>
                <w:szCs w:val="15"/>
                <w:lang w:val="es-MX" w:eastAsia="es-MX"/>
              </w:rPr>
              <w:t>Total de Efectivo y Equivalentes</w:t>
            </w:r>
          </w:p>
        </w:tc>
        <w:tc>
          <w:tcPr>
            <w:tcW w:w="2098" w:type="dxa"/>
            <w:tcBorders>
              <w:bottom w:val="single" w:sz="12" w:space="0" w:color="808080" w:themeColor="background1" w:themeShade="80"/>
            </w:tcBorders>
            <w:shd w:val="clear" w:color="000000" w:fill="F2F2F2"/>
            <w:vAlign w:val="center"/>
          </w:tcPr>
          <w:p w14:paraId="10E76785" w14:textId="77777777" w:rsidR="00DF3BA6" w:rsidRPr="00255081" w:rsidRDefault="00DF3BA6" w:rsidP="00DF3BA6">
            <w:pPr>
              <w:spacing w:after="0" w:line="240" w:lineRule="auto"/>
              <w:jc w:val="right"/>
              <w:rPr>
                <w:rFonts w:ascii="Montserrat" w:eastAsia="Times New Roman" w:hAnsi="Montserrat" w:cs="Calibri"/>
                <w:b/>
                <w:color w:val="000000"/>
                <w:sz w:val="15"/>
                <w:szCs w:val="15"/>
                <w:lang w:val="es-MX" w:eastAsia="es-MX"/>
              </w:rPr>
            </w:pPr>
            <w:r w:rsidRPr="00255081">
              <w:rPr>
                <w:rFonts w:ascii="Montserrat" w:eastAsia="Times New Roman" w:hAnsi="Montserrat" w:cs="Calibri"/>
                <w:b/>
                <w:color w:val="000000"/>
                <w:sz w:val="15"/>
                <w:szCs w:val="15"/>
                <w:lang w:val="es-MX" w:eastAsia="es-MX"/>
              </w:rPr>
              <w:t xml:space="preserve">     593,446,787,948 </w:t>
            </w:r>
          </w:p>
        </w:tc>
        <w:tc>
          <w:tcPr>
            <w:tcW w:w="2175" w:type="dxa"/>
            <w:tcBorders>
              <w:bottom w:val="single" w:sz="12" w:space="0" w:color="808080" w:themeColor="background1" w:themeShade="80"/>
            </w:tcBorders>
            <w:shd w:val="clear" w:color="auto" w:fill="F2F2F2" w:themeFill="background1" w:themeFillShade="F2"/>
            <w:vAlign w:val="center"/>
            <w:hideMark/>
          </w:tcPr>
          <w:p w14:paraId="187B03CE" w14:textId="77777777" w:rsidR="00DF3BA6" w:rsidRPr="00255081" w:rsidRDefault="00DF3BA6" w:rsidP="00DF3BA6">
            <w:pPr>
              <w:spacing w:after="0" w:line="240" w:lineRule="auto"/>
              <w:jc w:val="right"/>
              <w:rPr>
                <w:rFonts w:ascii="Montserrat" w:eastAsia="Times New Roman" w:hAnsi="Montserrat" w:cs="Calibri"/>
                <w:b/>
                <w:color w:val="000000"/>
                <w:sz w:val="15"/>
                <w:szCs w:val="15"/>
                <w:lang w:val="es-MX" w:eastAsia="es-MX"/>
              </w:rPr>
            </w:pPr>
            <w:r w:rsidRPr="00255081">
              <w:rPr>
                <w:rFonts w:ascii="Montserrat" w:eastAsia="Times New Roman" w:hAnsi="Montserrat" w:cs="Calibri"/>
                <w:b/>
                <w:color w:val="000000"/>
                <w:sz w:val="15"/>
                <w:szCs w:val="15"/>
                <w:lang w:val="es-MX" w:eastAsia="es-MX"/>
              </w:rPr>
              <w:t>722,265,983,835</w:t>
            </w:r>
          </w:p>
        </w:tc>
      </w:tr>
    </w:tbl>
    <w:p w14:paraId="3856D462" w14:textId="77777777" w:rsidR="009C3C24" w:rsidRPr="004E44CE" w:rsidRDefault="009C3C24" w:rsidP="00D411B6">
      <w:pPr>
        <w:pStyle w:val="VIETAFLECHA"/>
        <w:numPr>
          <w:ilvl w:val="0"/>
          <w:numId w:val="13"/>
        </w:numPr>
        <w:spacing w:before="360"/>
        <w:ind w:left="357" w:hanging="357"/>
        <w:rPr>
          <w:rFonts w:cs="Arial"/>
          <w:spacing w:val="-1"/>
        </w:rPr>
      </w:pPr>
      <w:r w:rsidRPr="004E44CE">
        <w:rPr>
          <w:rFonts w:cs="Arial"/>
          <w:spacing w:val="-1"/>
        </w:rPr>
        <w:t>Derechos a Recibir Efectivo y Equivalentes y Bienes o Servicios a Recibir</w:t>
      </w:r>
    </w:p>
    <w:p w14:paraId="761E7B3B" w14:textId="173F0B25" w:rsidR="00DF3BA6" w:rsidRPr="00DF3BA6" w:rsidRDefault="00DF3BA6" w:rsidP="003B0EEA">
      <w:pPr>
        <w:spacing w:after="120" w:line="250" w:lineRule="exact"/>
        <w:jc w:val="both"/>
        <w:rPr>
          <w:rFonts w:ascii="Montserrat" w:hAnsi="Montserrat"/>
          <w:sz w:val="18"/>
          <w:szCs w:val="18"/>
        </w:rPr>
      </w:pPr>
      <w:r w:rsidRPr="00DF3BA6">
        <w:rPr>
          <w:rFonts w:ascii="Montserrat" w:hAnsi="Montserrat"/>
          <w:sz w:val="18"/>
          <w:szCs w:val="18"/>
        </w:rPr>
        <w:t xml:space="preserve">En este rubro se integran los saldos </w:t>
      </w:r>
      <w:r w:rsidR="006641F9">
        <w:rPr>
          <w:rFonts w:ascii="Montserrat" w:hAnsi="Montserrat"/>
          <w:sz w:val="18"/>
          <w:szCs w:val="18"/>
        </w:rPr>
        <w:t>de</w:t>
      </w:r>
      <w:r w:rsidRPr="00DF3BA6">
        <w:rPr>
          <w:rFonts w:ascii="Montserrat" w:hAnsi="Montserrat"/>
          <w:sz w:val="18"/>
          <w:szCs w:val="18"/>
        </w:rPr>
        <w:t>: cuentas y deudores</w:t>
      </w:r>
      <w:r w:rsidR="00ED0581">
        <w:rPr>
          <w:rFonts w:ascii="Montserrat" w:hAnsi="Montserrat"/>
          <w:sz w:val="18"/>
          <w:szCs w:val="18"/>
        </w:rPr>
        <w:t xml:space="preserve"> diversos por cobrar</w:t>
      </w:r>
      <w:r w:rsidRPr="00DF3BA6">
        <w:rPr>
          <w:rFonts w:ascii="Montserrat" w:hAnsi="Montserrat"/>
          <w:sz w:val="18"/>
          <w:szCs w:val="18"/>
        </w:rPr>
        <w:t xml:space="preserve"> a corto plazo, ingresos por recuperar a corto plazo, deudores por anticipos de la Tesorería a corto plazo, préstamos otorgados a corto plazo, así como, otros derechos a recibir efectivo o equivalentes a corto plazo, </w:t>
      </w:r>
      <w:r w:rsidR="006641F9">
        <w:rPr>
          <w:rFonts w:ascii="Montserrat" w:hAnsi="Montserrat"/>
          <w:sz w:val="18"/>
          <w:szCs w:val="18"/>
        </w:rPr>
        <w:t>cuyo importe</w:t>
      </w:r>
      <w:r w:rsidRPr="00DF3BA6">
        <w:rPr>
          <w:rFonts w:ascii="Montserrat" w:hAnsi="Montserrat"/>
          <w:sz w:val="18"/>
          <w:szCs w:val="18"/>
        </w:rPr>
        <w:t xml:space="preserve"> se incrementó principalmente por operaciones derivadas de regulación monetaria a corto plazo; en contraparte, disminuyó </w:t>
      </w:r>
      <w:r w:rsidR="00BB50F7">
        <w:rPr>
          <w:rFonts w:ascii="Montserrat" w:hAnsi="Montserrat"/>
          <w:sz w:val="18"/>
          <w:szCs w:val="18"/>
        </w:rPr>
        <w:t>la cuenta de deudores por anticipos de la Tesorería</w:t>
      </w:r>
      <w:r w:rsidR="006641F9">
        <w:rPr>
          <w:rFonts w:ascii="Montserrat" w:hAnsi="Montserrat"/>
          <w:sz w:val="18"/>
          <w:szCs w:val="18"/>
        </w:rPr>
        <w:t xml:space="preserve"> a Corto Plazo</w:t>
      </w:r>
      <w:r w:rsidR="00BB50F7">
        <w:rPr>
          <w:rFonts w:ascii="Montserrat" w:hAnsi="Montserrat"/>
          <w:sz w:val="18"/>
          <w:szCs w:val="18"/>
        </w:rPr>
        <w:t xml:space="preserve">, </w:t>
      </w:r>
      <w:r w:rsidRPr="00DF3BA6">
        <w:rPr>
          <w:rFonts w:ascii="Montserrat" w:hAnsi="Montserrat"/>
          <w:sz w:val="18"/>
          <w:szCs w:val="18"/>
        </w:rPr>
        <w:t>por la rendición de cuentas de deudores por ministración de fondos, así como por los deudores por acuerdos a regulariz</w:t>
      </w:r>
      <w:r w:rsidR="006641F9">
        <w:rPr>
          <w:rFonts w:ascii="Montserrat" w:hAnsi="Montserrat"/>
          <w:sz w:val="18"/>
          <w:szCs w:val="18"/>
        </w:rPr>
        <w:t>ar por descuentos a corto plazo</w:t>
      </w:r>
      <w:r w:rsidRPr="00DF3BA6">
        <w:rPr>
          <w:rFonts w:ascii="Montserrat" w:hAnsi="Montserrat"/>
          <w:sz w:val="18"/>
          <w:szCs w:val="18"/>
        </w:rPr>
        <w:t>:</w:t>
      </w:r>
    </w:p>
    <w:p w14:paraId="0A6A7927" w14:textId="77777777" w:rsidR="00E52592" w:rsidRPr="00DF3BA6" w:rsidRDefault="00E52592" w:rsidP="00BB50F7">
      <w:pPr>
        <w:pStyle w:val="Prrafodelista"/>
        <w:spacing w:after="60" w:line="250" w:lineRule="exact"/>
        <w:ind w:left="928"/>
        <w:jc w:val="center"/>
        <w:rPr>
          <w:rFonts w:ascii="Montserrat" w:hAnsi="Montserrat" w:cs="Calibri"/>
          <w:bCs/>
          <w:sz w:val="16"/>
          <w:szCs w:val="16"/>
          <w:lang w:val="es-MX" w:eastAsia="es-MX"/>
        </w:rPr>
      </w:pPr>
      <w:r w:rsidRPr="00DF3BA6">
        <w:rPr>
          <w:rFonts w:ascii="Montserrat" w:hAnsi="Montserrat" w:cs="Calibri"/>
          <w:bCs/>
          <w:sz w:val="16"/>
          <w:szCs w:val="16"/>
          <w:lang w:val="es-MX" w:eastAsia="es-MX"/>
        </w:rPr>
        <w:t>(Pesos)</w:t>
      </w:r>
    </w:p>
    <w:tbl>
      <w:tblPr>
        <w:tblW w:w="8222" w:type="dxa"/>
        <w:jc w:val="center"/>
        <w:tblCellMar>
          <w:left w:w="70" w:type="dxa"/>
          <w:right w:w="70" w:type="dxa"/>
        </w:tblCellMar>
        <w:tblLook w:val="04A0" w:firstRow="1" w:lastRow="0" w:firstColumn="1" w:lastColumn="0" w:noHBand="0" w:noVBand="1"/>
      </w:tblPr>
      <w:tblGrid>
        <w:gridCol w:w="4060"/>
        <w:gridCol w:w="2177"/>
        <w:gridCol w:w="1985"/>
      </w:tblGrid>
      <w:tr w:rsidR="004E5899" w:rsidRPr="004E5899" w14:paraId="41FC0568" w14:textId="77777777" w:rsidTr="002F4EE1">
        <w:trPr>
          <w:trHeight w:val="57"/>
          <w:jc w:val="center"/>
        </w:trPr>
        <w:tc>
          <w:tcPr>
            <w:tcW w:w="8222" w:type="dxa"/>
            <w:gridSpan w:val="3"/>
            <w:tcBorders>
              <w:top w:val="single" w:sz="12" w:space="0" w:color="808080" w:themeColor="background1" w:themeShade="80"/>
            </w:tcBorders>
            <w:shd w:val="clear" w:color="auto" w:fill="auto"/>
            <w:vAlign w:val="center"/>
          </w:tcPr>
          <w:p w14:paraId="31B6843E" w14:textId="77777777" w:rsidR="004E5899" w:rsidRPr="004E5899" w:rsidRDefault="004E5899" w:rsidP="002F797B">
            <w:pPr>
              <w:spacing w:after="0" w:line="240" w:lineRule="auto"/>
              <w:jc w:val="center"/>
              <w:rPr>
                <w:rFonts w:ascii="Montserrat" w:eastAsia="Times New Roman" w:hAnsi="Montserrat" w:cs="Calibri"/>
                <w:b/>
                <w:bCs/>
                <w:color w:val="FFFFFF"/>
                <w:sz w:val="4"/>
                <w:szCs w:val="4"/>
                <w:lang w:val="es-MX" w:eastAsia="es-MX"/>
              </w:rPr>
            </w:pPr>
          </w:p>
        </w:tc>
      </w:tr>
      <w:tr w:rsidR="009C3C24" w:rsidRPr="006F0DF1" w14:paraId="521CC544" w14:textId="77777777" w:rsidTr="00A678D0">
        <w:trPr>
          <w:trHeight w:val="365"/>
          <w:jc w:val="center"/>
        </w:trPr>
        <w:tc>
          <w:tcPr>
            <w:tcW w:w="4060" w:type="dxa"/>
            <w:tcBorders>
              <w:left w:val="single" w:sz="8" w:space="0" w:color="FFFFFF" w:themeColor="background1"/>
              <w:bottom w:val="double" w:sz="12" w:space="0" w:color="808080" w:themeColor="background1" w:themeShade="80"/>
              <w:right w:val="single" w:sz="8" w:space="0" w:color="FFFFFF" w:themeColor="background1"/>
            </w:tcBorders>
            <w:shd w:val="clear" w:color="auto" w:fill="D4C19C"/>
            <w:vAlign w:val="center"/>
            <w:hideMark/>
          </w:tcPr>
          <w:p w14:paraId="7C683A2C" w14:textId="77777777" w:rsidR="009C3C24" w:rsidRPr="008E2679" w:rsidRDefault="009C3C24" w:rsidP="002F797B">
            <w:pPr>
              <w:spacing w:after="0" w:line="240" w:lineRule="auto"/>
              <w:jc w:val="center"/>
              <w:rPr>
                <w:rFonts w:ascii="Montserrat" w:eastAsia="Times New Roman" w:hAnsi="Montserrat" w:cs="Calibri"/>
                <w:b/>
                <w:bCs/>
                <w:color w:val="FFFFFF" w:themeColor="background1"/>
                <w:sz w:val="16"/>
                <w:szCs w:val="16"/>
                <w:lang w:val="es-MX" w:eastAsia="es-MX"/>
              </w:rPr>
            </w:pPr>
            <w:r w:rsidRPr="008E2679">
              <w:rPr>
                <w:rFonts w:ascii="Montserrat" w:eastAsia="Times New Roman" w:hAnsi="Montserrat" w:cs="Calibri"/>
                <w:b/>
                <w:bCs/>
                <w:color w:val="FFFFFF" w:themeColor="background1"/>
                <w:sz w:val="16"/>
                <w:szCs w:val="16"/>
                <w:lang w:val="es-MX" w:eastAsia="es-MX"/>
              </w:rPr>
              <w:t>Concepto</w:t>
            </w:r>
          </w:p>
        </w:tc>
        <w:tc>
          <w:tcPr>
            <w:tcW w:w="2177" w:type="dxa"/>
            <w:tcBorders>
              <w:left w:val="single" w:sz="8" w:space="0" w:color="FFFFFF" w:themeColor="background1"/>
              <w:bottom w:val="double" w:sz="12" w:space="0" w:color="808080" w:themeColor="background1" w:themeShade="80"/>
              <w:right w:val="single" w:sz="8" w:space="0" w:color="FFFFFF" w:themeColor="background1"/>
            </w:tcBorders>
            <w:shd w:val="clear" w:color="auto" w:fill="D4C19C"/>
            <w:vAlign w:val="center"/>
            <w:hideMark/>
          </w:tcPr>
          <w:p w14:paraId="458CB08E" w14:textId="77777777" w:rsidR="009C3C24" w:rsidRPr="006F0DF1" w:rsidRDefault="009C3C24" w:rsidP="002F797B">
            <w:pPr>
              <w:spacing w:after="0" w:line="240" w:lineRule="auto"/>
              <w:jc w:val="center"/>
              <w:rPr>
                <w:rFonts w:ascii="Montserrat" w:eastAsia="Times New Roman" w:hAnsi="Montserrat" w:cs="Calibri"/>
                <w:b/>
                <w:bCs/>
                <w:color w:val="FFFFFF"/>
                <w:sz w:val="16"/>
                <w:szCs w:val="16"/>
                <w:lang w:val="es-MX" w:eastAsia="es-MX"/>
              </w:rPr>
            </w:pPr>
            <w:r>
              <w:rPr>
                <w:rFonts w:ascii="Montserrat" w:eastAsia="Times New Roman" w:hAnsi="Montserrat" w:cs="Calibri"/>
                <w:b/>
                <w:bCs/>
                <w:color w:val="FFFFFF"/>
                <w:sz w:val="16"/>
                <w:szCs w:val="16"/>
                <w:lang w:val="es-MX" w:eastAsia="es-MX"/>
              </w:rPr>
              <w:t>201</w:t>
            </w:r>
            <w:r w:rsidR="002F4EE1">
              <w:rPr>
                <w:rFonts w:ascii="Montserrat" w:eastAsia="Times New Roman" w:hAnsi="Montserrat" w:cs="Calibri"/>
                <w:b/>
                <w:bCs/>
                <w:color w:val="FFFFFF"/>
                <w:sz w:val="16"/>
                <w:szCs w:val="16"/>
                <w:lang w:val="es-MX" w:eastAsia="es-MX"/>
              </w:rPr>
              <w:t>9</w:t>
            </w:r>
          </w:p>
        </w:tc>
        <w:tc>
          <w:tcPr>
            <w:tcW w:w="1985" w:type="dxa"/>
            <w:tcBorders>
              <w:left w:val="single" w:sz="8" w:space="0" w:color="FFFFFF" w:themeColor="background1"/>
              <w:bottom w:val="double" w:sz="12" w:space="0" w:color="808080" w:themeColor="background1" w:themeShade="80"/>
              <w:right w:val="single" w:sz="8" w:space="0" w:color="FFFFFF" w:themeColor="background1"/>
            </w:tcBorders>
            <w:shd w:val="clear" w:color="auto" w:fill="D4C19C"/>
            <w:vAlign w:val="center"/>
            <w:hideMark/>
          </w:tcPr>
          <w:p w14:paraId="415E1A1E" w14:textId="77777777" w:rsidR="009C3C24" w:rsidRPr="006F0DF1" w:rsidRDefault="009C3C24" w:rsidP="002F797B">
            <w:pPr>
              <w:spacing w:after="0" w:line="240" w:lineRule="auto"/>
              <w:jc w:val="center"/>
              <w:rPr>
                <w:rFonts w:ascii="Montserrat" w:eastAsia="Times New Roman" w:hAnsi="Montserrat" w:cs="Calibri"/>
                <w:b/>
                <w:bCs/>
                <w:color w:val="FFFFFF"/>
                <w:sz w:val="16"/>
                <w:szCs w:val="16"/>
                <w:lang w:val="es-MX" w:eastAsia="es-MX"/>
              </w:rPr>
            </w:pPr>
            <w:r>
              <w:rPr>
                <w:rFonts w:ascii="Montserrat" w:eastAsia="Times New Roman" w:hAnsi="Montserrat" w:cs="Calibri"/>
                <w:b/>
                <w:bCs/>
                <w:color w:val="FFFFFF"/>
                <w:sz w:val="16"/>
                <w:szCs w:val="16"/>
                <w:lang w:val="es-MX" w:eastAsia="es-MX"/>
              </w:rPr>
              <w:t>201</w:t>
            </w:r>
            <w:r w:rsidR="002F4EE1">
              <w:rPr>
                <w:rFonts w:ascii="Montserrat" w:eastAsia="Times New Roman" w:hAnsi="Montserrat" w:cs="Calibri"/>
                <w:b/>
                <w:bCs/>
                <w:color w:val="FFFFFF"/>
                <w:sz w:val="16"/>
                <w:szCs w:val="16"/>
                <w:lang w:val="es-MX" w:eastAsia="es-MX"/>
              </w:rPr>
              <w:t>8</w:t>
            </w:r>
          </w:p>
        </w:tc>
      </w:tr>
      <w:tr w:rsidR="00BB50F7" w:rsidRPr="006F0DF1" w14:paraId="49AA7410" w14:textId="77777777" w:rsidTr="00BB50F7">
        <w:trPr>
          <w:trHeight w:val="215"/>
          <w:jc w:val="center"/>
        </w:trPr>
        <w:tc>
          <w:tcPr>
            <w:tcW w:w="4060" w:type="dxa"/>
            <w:tcBorders>
              <w:top w:val="double" w:sz="12" w:space="0" w:color="808080" w:themeColor="background1" w:themeShade="80"/>
            </w:tcBorders>
            <w:shd w:val="clear" w:color="auto" w:fill="F2F2F2" w:themeFill="background1" w:themeFillShade="F2"/>
            <w:vAlign w:val="center"/>
          </w:tcPr>
          <w:p w14:paraId="34C8AFC6" w14:textId="77777777" w:rsidR="00BB50F7" w:rsidRPr="00255081" w:rsidRDefault="00BB50F7" w:rsidP="00BB50F7">
            <w:pPr>
              <w:spacing w:after="0" w:line="240" w:lineRule="auto"/>
              <w:ind w:left="170"/>
              <w:jc w:val="both"/>
              <w:rPr>
                <w:rFonts w:ascii="Montserrat" w:eastAsia="Times New Roman" w:hAnsi="Montserrat" w:cs="Calibri"/>
                <w:color w:val="000000"/>
                <w:sz w:val="15"/>
                <w:szCs w:val="15"/>
                <w:lang w:val="es-MX" w:eastAsia="es-MX"/>
              </w:rPr>
            </w:pPr>
            <w:r w:rsidRPr="00255081">
              <w:rPr>
                <w:rFonts w:ascii="Montserrat" w:eastAsia="Times New Roman" w:hAnsi="Montserrat" w:cs="Calibri"/>
                <w:color w:val="000000"/>
                <w:sz w:val="15"/>
                <w:szCs w:val="15"/>
                <w:lang w:val="es-MX" w:eastAsia="es-MX"/>
              </w:rPr>
              <w:t>Cuentas por Cobrar a Corto Plazo</w:t>
            </w:r>
          </w:p>
        </w:tc>
        <w:tc>
          <w:tcPr>
            <w:tcW w:w="2177" w:type="dxa"/>
            <w:tcBorders>
              <w:top w:val="double" w:sz="12" w:space="0" w:color="808080" w:themeColor="background1" w:themeShade="80"/>
            </w:tcBorders>
            <w:shd w:val="clear" w:color="000000" w:fill="F2F2F2"/>
            <w:vAlign w:val="center"/>
          </w:tcPr>
          <w:p w14:paraId="120C1241" w14:textId="77777777" w:rsidR="00BB50F7" w:rsidRPr="00255081" w:rsidRDefault="00BB50F7" w:rsidP="00BB50F7">
            <w:pPr>
              <w:spacing w:after="0" w:line="240" w:lineRule="auto"/>
              <w:jc w:val="right"/>
              <w:rPr>
                <w:rFonts w:ascii="Montserrat" w:hAnsi="Montserrat" w:cs="Calibri"/>
                <w:color w:val="000000"/>
                <w:sz w:val="15"/>
                <w:szCs w:val="15"/>
              </w:rPr>
            </w:pPr>
            <w:r w:rsidRPr="00255081">
              <w:rPr>
                <w:rFonts w:ascii="Montserrat" w:hAnsi="Montserrat" w:cs="Calibri"/>
                <w:color w:val="000000"/>
                <w:sz w:val="15"/>
                <w:szCs w:val="15"/>
              </w:rPr>
              <w:t>110,745,258</w:t>
            </w:r>
          </w:p>
        </w:tc>
        <w:tc>
          <w:tcPr>
            <w:tcW w:w="1985" w:type="dxa"/>
            <w:tcBorders>
              <w:top w:val="double" w:sz="12" w:space="0" w:color="808080" w:themeColor="background1" w:themeShade="80"/>
            </w:tcBorders>
            <w:shd w:val="clear" w:color="auto" w:fill="F2F2F2" w:themeFill="background1" w:themeFillShade="F2"/>
            <w:vAlign w:val="center"/>
          </w:tcPr>
          <w:p w14:paraId="7424FA7D" w14:textId="77777777" w:rsidR="00BB50F7" w:rsidRPr="00255081" w:rsidRDefault="00BB50F7" w:rsidP="00BB50F7">
            <w:pPr>
              <w:spacing w:after="0" w:line="240" w:lineRule="auto"/>
              <w:jc w:val="right"/>
              <w:rPr>
                <w:rFonts w:ascii="Montserrat" w:hAnsi="Montserrat" w:cs="Calibri"/>
                <w:color w:val="000000"/>
                <w:sz w:val="15"/>
                <w:szCs w:val="15"/>
              </w:rPr>
            </w:pPr>
            <w:r w:rsidRPr="00255081">
              <w:rPr>
                <w:rFonts w:ascii="Montserrat" w:hAnsi="Montserrat" w:cs="Calibri"/>
                <w:color w:val="000000"/>
                <w:sz w:val="15"/>
                <w:szCs w:val="15"/>
              </w:rPr>
              <w:t>102,556,291</w:t>
            </w:r>
          </w:p>
        </w:tc>
      </w:tr>
      <w:tr w:rsidR="00BB50F7" w:rsidRPr="006F0DF1" w14:paraId="5005D687" w14:textId="77777777" w:rsidTr="00C92C3C">
        <w:trPr>
          <w:trHeight w:val="215"/>
          <w:jc w:val="center"/>
        </w:trPr>
        <w:tc>
          <w:tcPr>
            <w:tcW w:w="4060" w:type="dxa"/>
            <w:tcBorders>
              <w:top w:val="nil"/>
            </w:tcBorders>
            <w:shd w:val="clear" w:color="auto" w:fill="F2F2F2" w:themeFill="background1" w:themeFillShade="F2"/>
            <w:vAlign w:val="center"/>
          </w:tcPr>
          <w:p w14:paraId="2B335DF5" w14:textId="77777777" w:rsidR="00BB50F7" w:rsidRPr="00255081" w:rsidRDefault="00BB50F7" w:rsidP="00BB50F7">
            <w:pPr>
              <w:spacing w:after="0" w:line="240" w:lineRule="auto"/>
              <w:ind w:left="170"/>
              <w:jc w:val="both"/>
              <w:rPr>
                <w:rFonts w:ascii="Montserrat" w:eastAsia="Times New Roman" w:hAnsi="Montserrat" w:cs="Calibri"/>
                <w:color w:val="000000"/>
                <w:sz w:val="15"/>
                <w:szCs w:val="15"/>
                <w:lang w:val="es-MX" w:eastAsia="es-MX"/>
              </w:rPr>
            </w:pPr>
            <w:r w:rsidRPr="00255081">
              <w:rPr>
                <w:rFonts w:ascii="Montserrat" w:eastAsia="Times New Roman" w:hAnsi="Montserrat" w:cs="Calibri"/>
                <w:color w:val="000000"/>
                <w:sz w:val="15"/>
                <w:szCs w:val="15"/>
                <w:lang w:val="es-MX" w:eastAsia="es-MX"/>
              </w:rPr>
              <w:t>Deudores Diversos por Cobrar a Corto Plazo</w:t>
            </w:r>
          </w:p>
        </w:tc>
        <w:tc>
          <w:tcPr>
            <w:tcW w:w="2177" w:type="dxa"/>
            <w:tcBorders>
              <w:top w:val="nil"/>
            </w:tcBorders>
            <w:shd w:val="clear" w:color="000000" w:fill="F2F2F2"/>
            <w:vAlign w:val="center"/>
          </w:tcPr>
          <w:p w14:paraId="6CA8592B" w14:textId="77777777" w:rsidR="00BB50F7" w:rsidRPr="00255081" w:rsidRDefault="00BB50F7" w:rsidP="00BB50F7">
            <w:pPr>
              <w:spacing w:after="0" w:line="240" w:lineRule="auto"/>
              <w:jc w:val="right"/>
              <w:rPr>
                <w:rFonts w:ascii="Montserrat" w:hAnsi="Montserrat" w:cs="Calibri"/>
                <w:color w:val="000000"/>
                <w:sz w:val="15"/>
                <w:szCs w:val="15"/>
              </w:rPr>
            </w:pPr>
            <w:r w:rsidRPr="00255081">
              <w:rPr>
                <w:rFonts w:ascii="Montserrat" w:hAnsi="Montserrat" w:cs="Calibri"/>
                <w:color w:val="000000"/>
                <w:sz w:val="15"/>
                <w:szCs w:val="15"/>
              </w:rPr>
              <w:t>4,852,276,144</w:t>
            </w:r>
          </w:p>
        </w:tc>
        <w:tc>
          <w:tcPr>
            <w:tcW w:w="1985" w:type="dxa"/>
            <w:tcBorders>
              <w:top w:val="nil"/>
            </w:tcBorders>
            <w:shd w:val="clear" w:color="auto" w:fill="F2F2F2" w:themeFill="background1" w:themeFillShade="F2"/>
            <w:vAlign w:val="center"/>
          </w:tcPr>
          <w:p w14:paraId="1171A64F" w14:textId="77777777" w:rsidR="00BB50F7" w:rsidRPr="00255081" w:rsidRDefault="00BB50F7" w:rsidP="00BB50F7">
            <w:pPr>
              <w:spacing w:after="0" w:line="240" w:lineRule="auto"/>
              <w:jc w:val="right"/>
              <w:rPr>
                <w:rFonts w:ascii="Montserrat" w:hAnsi="Montserrat" w:cs="Calibri"/>
                <w:color w:val="000000"/>
                <w:sz w:val="15"/>
                <w:szCs w:val="15"/>
              </w:rPr>
            </w:pPr>
            <w:r w:rsidRPr="00255081">
              <w:rPr>
                <w:rFonts w:ascii="Montserrat" w:hAnsi="Montserrat" w:cs="Calibri"/>
                <w:color w:val="000000"/>
                <w:sz w:val="15"/>
                <w:szCs w:val="15"/>
              </w:rPr>
              <w:t>3,573,713,937</w:t>
            </w:r>
          </w:p>
        </w:tc>
      </w:tr>
      <w:tr w:rsidR="00BB50F7" w:rsidRPr="006F0DF1" w14:paraId="11616452" w14:textId="77777777" w:rsidTr="00C92C3C">
        <w:trPr>
          <w:trHeight w:val="215"/>
          <w:jc w:val="center"/>
        </w:trPr>
        <w:tc>
          <w:tcPr>
            <w:tcW w:w="4060" w:type="dxa"/>
            <w:tcBorders>
              <w:top w:val="nil"/>
            </w:tcBorders>
            <w:shd w:val="clear" w:color="auto" w:fill="F2F2F2" w:themeFill="background1" w:themeFillShade="F2"/>
            <w:vAlign w:val="center"/>
          </w:tcPr>
          <w:p w14:paraId="0B03CADE" w14:textId="77777777" w:rsidR="00BB50F7" w:rsidRPr="00255081" w:rsidRDefault="00BB50F7" w:rsidP="00BB50F7">
            <w:pPr>
              <w:spacing w:after="0" w:line="240" w:lineRule="auto"/>
              <w:ind w:left="170"/>
              <w:jc w:val="both"/>
              <w:rPr>
                <w:rFonts w:ascii="Montserrat" w:eastAsia="Times New Roman" w:hAnsi="Montserrat" w:cs="Calibri"/>
                <w:color w:val="000000"/>
                <w:sz w:val="15"/>
                <w:szCs w:val="15"/>
                <w:lang w:val="es-MX" w:eastAsia="es-MX"/>
              </w:rPr>
            </w:pPr>
            <w:r w:rsidRPr="00255081">
              <w:rPr>
                <w:rFonts w:ascii="Montserrat" w:eastAsia="Times New Roman" w:hAnsi="Montserrat" w:cs="Calibri"/>
                <w:color w:val="000000"/>
                <w:sz w:val="15"/>
                <w:szCs w:val="15"/>
                <w:lang w:val="es-MX" w:eastAsia="es-MX"/>
              </w:rPr>
              <w:t xml:space="preserve">Ingresos por Recuperar a Corto Plazo </w:t>
            </w:r>
          </w:p>
        </w:tc>
        <w:tc>
          <w:tcPr>
            <w:tcW w:w="2177" w:type="dxa"/>
            <w:tcBorders>
              <w:top w:val="nil"/>
            </w:tcBorders>
            <w:shd w:val="clear" w:color="000000" w:fill="F2F2F2"/>
            <w:vAlign w:val="center"/>
          </w:tcPr>
          <w:p w14:paraId="2B8A679D" w14:textId="77777777" w:rsidR="00BB50F7" w:rsidRPr="00255081" w:rsidRDefault="00BB50F7" w:rsidP="00BB50F7">
            <w:pPr>
              <w:spacing w:after="0" w:line="240" w:lineRule="auto"/>
              <w:jc w:val="right"/>
              <w:rPr>
                <w:rFonts w:ascii="Montserrat" w:hAnsi="Montserrat" w:cs="Calibri"/>
                <w:color w:val="000000"/>
                <w:sz w:val="15"/>
                <w:szCs w:val="15"/>
              </w:rPr>
            </w:pPr>
            <w:r w:rsidRPr="00255081">
              <w:rPr>
                <w:rFonts w:ascii="Montserrat" w:hAnsi="Montserrat" w:cs="Calibri"/>
                <w:color w:val="000000"/>
                <w:sz w:val="15"/>
                <w:szCs w:val="15"/>
              </w:rPr>
              <w:t>12,762,024,144</w:t>
            </w:r>
          </w:p>
        </w:tc>
        <w:tc>
          <w:tcPr>
            <w:tcW w:w="1985" w:type="dxa"/>
            <w:tcBorders>
              <w:top w:val="nil"/>
            </w:tcBorders>
            <w:shd w:val="clear" w:color="auto" w:fill="F2F2F2" w:themeFill="background1" w:themeFillShade="F2"/>
            <w:vAlign w:val="center"/>
          </w:tcPr>
          <w:p w14:paraId="77B5B804" w14:textId="77777777" w:rsidR="00BB50F7" w:rsidRPr="00255081" w:rsidRDefault="00BB50F7" w:rsidP="00BB50F7">
            <w:pPr>
              <w:spacing w:after="0" w:line="240" w:lineRule="auto"/>
              <w:jc w:val="right"/>
              <w:rPr>
                <w:rFonts w:ascii="Montserrat" w:hAnsi="Montserrat" w:cs="Calibri"/>
                <w:color w:val="000000"/>
                <w:sz w:val="15"/>
                <w:szCs w:val="15"/>
              </w:rPr>
            </w:pPr>
            <w:r w:rsidRPr="00255081">
              <w:rPr>
                <w:rFonts w:ascii="Montserrat" w:hAnsi="Montserrat" w:cs="Calibri"/>
                <w:color w:val="000000"/>
                <w:sz w:val="15"/>
                <w:szCs w:val="15"/>
              </w:rPr>
              <w:t>4,232,359,060</w:t>
            </w:r>
          </w:p>
        </w:tc>
      </w:tr>
      <w:tr w:rsidR="00C92C3C" w:rsidRPr="006F0DF1" w14:paraId="36134160" w14:textId="77777777" w:rsidTr="00C92C3C">
        <w:trPr>
          <w:trHeight w:val="215"/>
          <w:jc w:val="center"/>
        </w:trPr>
        <w:tc>
          <w:tcPr>
            <w:tcW w:w="4060" w:type="dxa"/>
            <w:tcBorders>
              <w:top w:val="nil"/>
            </w:tcBorders>
            <w:shd w:val="clear" w:color="auto" w:fill="F2F2F2" w:themeFill="background1" w:themeFillShade="F2"/>
            <w:vAlign w:val="center"/>
            <w:hideMark/>
          </w:tcPr>
          <w:p w14:paraId="605262CC" w14:textId="77777777" w:rsidR="00C92C3C" w:rsidRPr="00255081" w:rsidRDefault="00C92C3C" w:rsidP="00C92C3C">
            <w:pPr>
              <w:spacing w:after="0" w:line="240" w:lineRule="auto"/>
              <w:ind w:left="170"/>
              <w:jc w:val="both"/>
              <w:rPr>
                <w:rFonts w:ascii="Montserrat" w:eastAsia="Times New Roman" w:hAnsi="Montserrat" w:cs="Calibri"/>
                <w:color w:val="000000"/>
                <w:sz w:val="15"/>
                <w:szCs w:val="15"/>
                <w:lang w:val="es-MX" w:eastAsia="es-MX"/>
              </w:rPr>
            </w:pPr>
            <w:r w:rsidRPr="00255081">
              <w:rPr>
                <w:rFonts w:ascii="Montserrat" w:eastAsia="Times New Roman" w:hAnsi="Montserrat" w:cs="Calibri"/>
                <w:color w:val="000000"/>
                <w:sz w:val="15"/>
                <w:szCs w:val="15"/>
                <w:lang w:val="es-MX" w:eastAsia="es-MX"/>
              </w:rPr>
              <w:t>Deudores por Anticipos de la Tesorería a Corto Plazo</w:t>
            </w:r>
          </w:p>
        </w:tc>
        <w:tc>
          <w:tcPr>
            <w:tcW w:w="2177" w:type="dxa"/>
            <w:tcBorders>
              <w:top w:val="nil"/>
            </w:tcBorders>
            <w:shd w:val="clear" w:color="000000" w:fill="F2F2F2"/>
            <w:vAlign w:val="center"/>
          </w:tcPr>
          <w:p w14:paraId="53A5111D" w14:textId="77777777" w:rsidR="00C92C3C" w:rsidRPr="00255081" w:rsidRDefault="00C92C3C" w:rsidP="00C92C3C">
            <w:pPr>
              <w:spacing w:after="0" w:line="240" w:lineRule="auto"/>
              <w:jc w:val="right"/>
              <w:rPr>
                <w:rFonts w:ascii="Montserrat" w:hAnsi="Montserrat" w:cs="Calibri"/>
                <w:color w:val="000000"/>
                <w:sz w:val="15"/>
                <w:szCs w:val="15"/>
              </w:rPr>
            </w:pPr>
            <w:r w:rsidRPr="00255081">
              <w:rPr>
                <w:rFonts w:ascii="Montserrat" w:hAnsi="Montserrat" w:cs="Calibri"/>
                <w:color w:val="000000"/>
                <w:sz w:val="15"/>
                <w:szCs w:val="15"/>
              </w:rPr>
              <w:t>80,700,064,240</w:t>
            </w:r>
          </w:p>
        </w:tc>
        <w:tc>
          <w:tcPr>
            <w:tcW w:w="1985" w:type="dxa"/>
            <w:tcBorders>
              <w:top w:val="nil"/>
            </w:tcBorders>
            <w:shd w:val="clear" w:color="auto" w:fill="F2F2F2" w:themeFill="background1" w:themeFillShade="F2"/>
            <w:vAlign w:val="center"/>
            <w:hideMark/>
          </w:tcPr>
          <w:p w14:paraId="7E8E59AD" w14:textId="77777777" w:rsidR="00C92C3C" w:rsidRPr="00255081" w:rsidRDefault="00C92C3C" w:rsidP="00C92C3C">
            <w:pPr>
              <w:spacing w:after="0" w:line="240" w:lineRule="auto"/>
              <w:jc w:val="right"/>
              <w:rPr>
                <w:rFonts w:ascii="Montserrat" w:hAnsi="Montserrat" w:cs="Calibri"/>
                <w:color w:val="000000"/>
                <w:sz w:val="15"/>
                <w:szCs w:val="15"/>
              </w:rPr>
            </w:pPr>
            <w:r w:rsidRPr="00255081">
              <w:rPr>
                <w:rFonts w:ascii="Montserrat" w:hAnsi="Montserrat" w:cs="Calibri"/>
                <w:color w:val="000000"/>
                <w:sz w:val="15"/>
                <w:szCs w:val="15"/>
              </w:rPr>
              <w:t>81,336,829,860</w:t>
            </w:r>
          </w:p>
        </w:tc>
      </w:tr>
      <w:tr w:rsidR="00C92C3C" w:rsidRPr="006F0DF1" w14:paraId="50B18465" w14:textId="77777777" w:rsidTr="00C92C3C">
        <w:trPr>
          <w:trHeight w:val="215"/>
          <w:jc w:val="center"/>
        </w:trPr>
        <w:tc>
          <w:tcPr>
            <w:tcW w:w="4060" w:type="dxa"/>
            <w:tcBorders>
              <w:top w:val="nil"/>
            </w:tcBorders>
            <w:shd w:val="clear" w:color="auto" w:fill="F2F2F2" w:themeFill="background1" w:themeFillShade="F2"/>
            <w:vAlign w:val="center"/>
            <w:hideMark/>
          </w:tcPr>
          <w:p w14:paraId="1BBFDFB6" w14:textId="77777777" w:rsidR="00C92C3C" w:rsidRPr="00255081" w:rsidRDefault="00C92C3C" w:rsidP="00C92C3C">
            <w:pPr>
              <w:spacing w:after="0" w:line="240" w:lineRule="auto"/>
              <w:ind w:left="170"/>
              <w:jc w:val="both"/>
              <w:rPr>
                <w:rFonts w:ascii="Montserrat" w:eastAsia="Times New Roman" w:hAnsi="Montserrat" w:cs="Calibri"/>
                <w:color w:val="000000"/>
                <w:sz w:val="15"/>
                <w:szCs w:val="15"/>
                <w:lang w:val="es-MX" w:eastAsia="es-MX"/>
              </w:rPr>
            </w:pPr>
            <w:r w:rsidRPr="00255081">
              <w:rPr>
                <w:rFonts w:ascii="Montserrat" w:eastAsia="Times New Roman" w:hAnsi="Montserrat" w:cs="Calibri"/>
                <w:color w:val="000000"/>
                <w:sz w:val="15"/>
                <w:szCs w:val="15"/>
                <w:lang w:val="es-MX" w:eastAsia="es-MX"/>
              </w:rPr>
              <w:t>Préstamos Otorgados a Corto Plazo</w:t>
            </w:r>
          </w:p>
        </w:tc>
        <w:tc>
          <w:tcPr>
            <w:tcW w:w="2177" w:type="dxa"/>
            <w:tcBorders>
              <w:top w:val="nil"/>
            </w:tcBorders>
            <w:shd w:val="clear" w:color="000000" w:fill="F2F2F2"/>
            <w:vAlign w:val="center"/>
          </w:tcPr>
          <w:p w14:paraId="2AF608CF" w14:textId="77777777" w:rsidR="00C92C3C" w:rsidRPr="00255081" w:rsidRDefault="00C92C3C" w:rsidP="00C92C3C">
            <w:pPr>
              <w:spacing w:after="0" w:line="240" w:lineRule="auto"/>
              <w:jc w:val="right"/>
              <w:rPr>
                <w:rFonts w:ascii="Montserrat" w:hAnsi="Montserrat" w:cs="Calibri"/>
                <w:color w:val="000000"/>
                <w:sz w:val="15"/>
                <w:szCs w:val="15"/>
              </w:rPr>
            </w:pPr>
            <w:r w:rsidRPr="00255081">
              <w:rPr>
                <w:rFonts w:ascii="Montserrat" w:hAnsi="Montserrat" w:cs="Calibri"/>
                <w:color w:val="000000"/>
                <w:sz w:val="15"/>
                <w:szCs w:val="15"/>
              </w:rPr>
              <w:t>572,401,98</w:t>
            </w:r>
            <w:r w:rsidR="00BB50F7" w:rsidRPr="00255081">
              <w:rPr>
                <w:rFonts w:ascii="Montserrat" w:hAnsi="Montserrat" w:cs="Calibri"/>
                <w:color w:val="000000"/>
                <w:sz w:val="15"/>
                <w:szCs w:val="15"/>
              </w:rPr>
              <w:t>6</w:t>
            </w:r>
          </w:p>
        </w:tc>
        <w:tc>
          <w:tcPr>
            <w:tcW w:w="1985" w:type="dxa"/>
            <w:tcBorders>
              <w:top w:val="nil"/>
            </w:tcBorders>
            <w:shd w:val="clear" w:color="auto" w:fill="F2F2F2" w:themeFill="background1" w:themeFillShade="F2"/>
            <w:vAlign w:val="center"/>
            <w:hideMark/>
          </w:tcPr>
          <w:p w14:paraId="3BBCAFD0" w14:textId="77777777" w:rsidR="00C92C3C" w:rsidRPr="00255081" w:rsidRDefault="00C92C3C" w:rsidP="00C92C3C">
            <w:pPr>
              <w:spacing w:after="0" w:line="240" w:lineRule="auto"/>
              <w:jc w:val="right"/>
              <w:rPr>
                <w:rFonts w:ascii="Montserrat" w:hAnsi="Montserrat" w:cs="Calibri"/>
                <w:color w:val="000000"/>
                <w:sz w:val="15"/>
                <w:szCs w:val="15"/>
              </w:rPr>
            </w:pPr>
            <w:r w:rsidRPr="00255081">
              <w:rPr>
                <w:rFonts w:ascii="Montserrat" w:hAnsi="Montserrat" w:cs="Calibri"/>
                <w:color w:val="000000"/>
                <w:sz w:val="15"/>
                <w:szCs w:val="15"/>
              </w:rPr>
              <w:t>566,482,746</w:t>
            </w:r>
          </w:p>
        </w:tc>
      </w:tr>
      <w:tr w:rsidR="00C92C3C" w:rsidRPr="006F0DF1" w14:paraId="74428C44" w14:textId="77777777" w:rsidTr="00C92C3C">
        <w:trPr>
          <w:trHeight w:val="215"/>
          <w:jc w:val="center"/>
        </w:trPr>
        <w:tc>
          <w:tcPr>
            <w:tcW w:w="4060" w:type="dxa"/>
            <w:tcBorders>
              <w:top w:val="nil"/>
            </w:tcBorders>
            <w:shd w:val="clear" w:color="auto" w:fill="F2F2F2" w:themeFill="background1" w:themeFillShade="F2"/>
            <w:vAlign w:val="center"/>
            <w:hideMark/>
          </w:tcPr>
          <w:p w14:paraId="4530FB9F" w14:textId="77777777" w:rsidR="00C92C3C" w:rsidRPr="00255081" w:rsidRDefault="00C92C3C" w:rsidP="00C92C3C">
            <w:pPr>
              <w:spacing w:after="0" w:line="240" w:lineRule="auto"/>
              <w:ind w:left="170"/>
              <w:jc w:val="both"/>
              <w:rPr>
                <w:rFonts w:ascii="Montserrat" w:eastAsia="Times New Roman" w:hAnsi="Montserrat" w:cs="Calibri"/>
                <w:color w:val="000000"/>
                <w:sz w:val="15"/>
                <w:szCs w:val="15"/>
                <w:lang w:val="es-MX" w:eastAsia="es-MX"/>
              </w:rPr>
            </w:pPr>
            <w:r w:rsidRPr="00255081">
              <w:rPr>
                <w:rFonts w:ascii="Montserrat" w:eastAsia="Times New Roman" w:hAnsi="Montserrat" w:cs="Calibri"/>
                <w:color w:val="000000"/>
                <w:sz w:val="15"/>
                <w:szCs w:val="15"/>
                <w:lang w:val="es-MX" w:eastAsia="es-MX"/>
              </w:rPr>
              <w:t>Otros Derechos a Recibir Efectivo o Equivalentes a Corto Plazo</w:t>
            </w:r>
          </w:p>
        </w:tc>
        <w:tc>
          <w:tcPr>
            <w:tcW w:w="2177" w:type="dxa"/>
            <w:tcBorders>
              <w:top w:val="nil"/>
            </w:tcBorders>
            <w:shd w:val="clear" w:color="000000" w:fill="F2F2F2"/>
            <w:vAlign w:val="center"/>
          </w:tcPr>
          <w:p w14:paraId="0331CFF1" w14:textId="77777777" w:rsidR="00C92C3C" w:rsidRPr="00255081" w:rsidRDefault="00C92C3C" w:rsidP="00C92C3C">
            <w:pPr>
              <w:spacing w:after="0" w:line="240" w:lineRule="auto"/>
              <w:jc w:val="right"/>
              <w:rPr>
                <w:rFonts w:ascii="Montserrat" w:hAnsi="Montserrat" w:cs="Calibri"/>
                <w:color w:val="000000"/>
                <w:sz w:val="15"/>
                <w:szCs w:val="15"/>
              </w:rPr>
            </w:pPr>
            <w:r w:rsidRPr="00255081">
              <w:rPr>
                <w:rFonts w:ascii="Montserrat" w:hAnsi="Montserrat" w:cs="Calibri"/>
                <w:color w:val="000000"/>
                <w:sz w:val="15"/>
                <w:szCs w:val="15"/>
              </w:rPr>
              <w:t>6,543,370,646,00</w:t>
            </w:r>
            <w:r w:rsidR="00BB50F7" w:rsidRPr="00255081">
              <w:rPr>
                <w:rFonts w:ascii="Montserrat" w:hAnsi="Montserrat" w:cs="Calibri"/>
                <w:color w:val="000000"/>
                <w:sz w:val="15"/>
                <w:szCs w:val="15"/>
              </w:rPr>
              <w:t>8</w:t>
            </w:r>
          </w:p>
        </w:tc>
        <w:tc>
          <w:tcPr>
            <w:tcW w:w="1985" w:type="dxa"/>
            <w:tcBorders>
              <w:top w:val="nil"/>
            </w:tcBorders>
            <w:shd w:val="clear" w:color="auto" w:fill="F2F2F2" w:themeFill="background1" w:themeFillShade="F2"/>
            <w:vAlign w:val="center"/>
            <w:hideMark/>
          </w:tcPr>
          <w:p w14:paraId="2903077A" w14:textId="77777777" w:rsidR="00C92C3C" w:rsidRPr="00255081" w:rsidRDefault="00C92C3C" w:rsidP="00C92C3C">
            <w:pPr>
              <w:spacing w:after="0" w:line="240" w:lineRule="auto"/>
              <w:jc w:val="right"/>
              <w:rPr>
                <w:rFonts w:ascii="Montserrat" w:hAnsi="Montserrat" w:cs="Calibri"/>
                <w:color w:val="000000"/>
                <w:sz w:val="15"/>
                <w:szCs w:val="15"/>
              </w:rPr>
            </w:pPr>
            <w:r w:rsidRPr="00255081">
              <w:rPr>
                <w:rFonts w:ascii="Montserrat" w:hAnsi="Montserrat" w:cs="Calibri"/>
                <w:color w:val="000000"/>
                <w:sz w:val="15"/>
                <w:szCs w:val="15"/>
              </w:rPr>
              <w:t>5,471,797,731,862</w:t>
            </w:r>
          </w:p>
        </w:tc>
      </w:tr>
      <w:tr w:rsidR="00C92C3C" w:rsidRPr="006F0DF1" w14:paraId="634EDB36" w14:textId="77777777" w:rsidTr="00C92C3C">
        <w:trPr>
          <w:trHeight w:val="215"/>
          <w:jc w:val="center"/>
        </w:trPr>
        <w:tc>
          <w:tcPr>
            <w:tcW w:w="4060" w:type="dxa"/>
            <w:tcBorders>
              <w:bottom w:val="single" w:sz="12" w:space="0" w:color="808080" w:themeColor="background1" w:themeShade="80"/>
            </w:tcBorders>
            <w:shd w:val="clear" w:color="auto" w:fill="F2F2F2" w:themeFill="background1" w:themeFillShade="F2"/>
            <w:vAlign w:val="center"/>
            <w:hideMark/>
          </w:tcPr>
          <w:p w14:paraId="380BFF58" w14:textId="77777777" w:rsidR="00C92C3C" w:rsidRPr="00255081" w:rsidRDefault="00C92C3C" w:rsidP="00C92C3C">
            <w:pPr>
              <w:spacing w:after="0" w:line="240" w:lineRule="auto"/>
              <w:ind w:left="170"/>
              <w:jc w:val="right"/>
              <w:rPr>
                <w:rFonts w:ascii="Montserrat" w:eastAsia="Times New Roman" w:hAnsi="Montserrat" w:cs="Calibri"/>
                <w:b/>
                <w:bCs/>
                <w:color w:val="000000"/>
                <w:sz w:val="15"/>
                <w:szCs w:val="15"/>
                <w:lang w:val="es-MX" w:eastAsia="es-MX"/>
              </w:rPr>
            </w:pPr>
            <w:r w:rsidRPr="00255081">
              <w:rPr>
                <w:rFonts w:ascii="Montserrat" w:eastAsia="Times New Roman" w:hAnsi="Montserrat" w:cs="Calibri"/>
                <w:b/>
                <w:bCs/>
                <w:color w:val="000000"/>
                <w:sz w:val="15"/>
                <w:szCs w:val="15"/>
                <w:lang w:val="es-MX" w:eastAsia="es-MX"/>
              </w:rPr>
              <w:t>Total</w:t>
            </w:r>
            <w:r w:rsidRPr="00255081">
              <w:rPr>
                <w:rFonts w:ascii="Montserrat" w:eastAsia="Times New Roman" w:hAnsi="Montserrat" w:cs="Arial"/>
                <w:b/>
                <w:bCs/>
                <w:sz w:val="15"/>
                <w:szCs w:val="15"/>
              </w:rPr>
              <w:t xml:space="preserve"> Derechos a Recibir Efectivo o Equivalentes</w:t>
            </w:r>
          </w:p>
        </w:tc>
        <w:tc>
          <w:tcPr>
            <w:tcW w:w="2177" w:type="dxa"/>
            <w:tcBorders>
              <w:bottom w:val="single" w:sz="12" w:space="0" w:color="808080" w:themeColor="background1" w:themeShade="80"/>
            </w:tcBorders>
            <w:shd w:val="clear" w:color="000000" w:fill="F2F2F2"/>
            <w:vAlign w:val="center"/>
          </w:tcPr>
          <w:p w14:paraId="3F4FA983" w14:textId="77777777" w:rsidR="00C92C3C" w:rsidRPr="00255081" w:rsidRDefault="00C92C3C" w:rsidP="00C92C3C">
            <w:pPr>
              <w:spacing w:after="0" w:line="240" w:lineRule="auto"/>
              <w:jc w:val="right"/>
              <w:rPr>
                <w:rFonts w:ascii="Montserrat" w:hAnsi="Montserrat"/>
                <w:b/>
                <w:bCs/>
                <w:sz w:val="15"/>
                <w:szCs w:val="15"/>
                <w:lang w:eastAsia="es-MX"/>
              </w:rPr>
            </w:pPr>
            <w:r w:rsidRPr="00255081">
              <w:rPr>
                <w:rFonts w:ascii="Montserrat" w:hAnsi="Montserrat"/>
                <w:b/>
                <w:bCs/>
                <w:sz w:val="15"/>
                <w:szCs w:val="15"/>
                <w:lang w:eastAsia="es-MX"/>
              </w:rPr>
              <w:t>6,642,368,157,7</w:t>
            </w:r>
            <w:r w:rsidR="00BB50F7" w:rsidRPr="00255081">
              <w:rPr>
                <w:rFonts w:ascii="Montserrat" w:hAnsi="Montserrat"/>
                <w:b/>
                <w:bCs/>
                <w:sz w:val="15"/>
                <w:szCs w:val="15"/>
                <w:lang w:eastAsia="es-MX"/>
              </w:rPr>
              <w:t>80</w:t>
            </w:r>
          </w:p>
        </w:tc>
        <w:tc>
          <w:tcPr>
            <w:tcW w:w="1985" w:type="dxa"/>
            <w:tcBorders>
              <w:bottom w:val="single" w:sz="12" w:space="0" w:color="808080" w:themeColor="background1" w:themeShade="80"/>
            </w:tcBorders>
            <w:shd w:val="clear" w:color="auto" w:fill="F2F2F2" w:themeFill="background1" w:themeFillShade="F2"/>
            <w:vAlign w:val="center"/>
            <w:hideMark/>
          </w:tcPr>
          <w:p w14:paraId="6E26D88F" w14:textId="77777777" w:rsidR="00C92C3C" w:rsidRPr="00255081" w:rsidRDefault="00C92C3C" w:rsidP="00C92C3C">
            <w:pPr>
              <w:spacing w:after="0" w:line="240" w:lineRule="auto"/>
              <w:jc w:val="right"/>
              <w:rPr>
                <w:rFonts w:ascii="Montserrat" w:hAnsi="Montserrat"/>
                <w:b/>
                <w:bCs/>
                <w:sz w:val="15"/>
                <w:szCs w:val="15"/>
                <w:lang w:eastAsia="es-MX"/>
              </w:rPr>
            </w:pPr>
            <w:r w:rsidRPr="00255081">
              <w:rPr>
                <w:rFonts w:ascii="Montserrat" w:hAnsi="Montserrat"/>
                <w:b/>
                <w:bCs/>
                <w:sz w:val="15"/>
                <w:szCs w:val="15"/>
                <w:lang w:eastAsia="es-MX"/>
              </w:rPr>
              <w:t>5,561,609,673,756</w:t>
            </w:r>
          </w:p>
        </w:tc>
      </w:tr>
    </w:tbl>
    <w:p w14:paraId="24A58855" w14:textId="77777777" w:rsidR="009C3C24" w:rsidRPr="00D85C7C" w:rsidRDefault="009C3C24" w:rsidP="003270CC">
      <w:pPr>
        <w:pStyle w:val="Prrafodelista"/>
        <w:numPr>
          <w:ilvl w:val="0"/>
          <w:numId w:val="14"/>
        </w:numPr>
        <w:spacing w:before="120" w:after="120" w:line="250" w:lineRule="exact"/>
        <w:ind w:left="714" w:hanging="357"/>
        <w:jc w:val="both"/>
        <w:rPr>
          <w:rFonts w:ascii="Montserrat" w:hAnsi="Montserrat" w:cs="Arial"/>
          <w:spacing w:val="-1"/>
          <w:sz w:val="18"/>
          <w:szCs w:val="18"/>
        </w:rPr>
      </w:pPr>
      <w:r w:rsidRPr="00DD0D81">
        <w:rPr>
          <w:rFonts w:ascii="Montserrat" w:hAnsi="Montserrat" w:cs="Arial"/>
          <w:spacing w:val="-1"/>
          <w:sz w:val="18"/>
          <w:szCs w:val="18"/>
        </w:rPr>
        <w:lastRenderedPageBreak/>
        <w:t xml:space="preserve">Cuentas por </w:t>
      </w:r>
      <w:r w:rsidRPr="00D85C7C">
        <w:rPr>
          <w:rFonts w:ascii="Montserrat" w:hAnsi="Montserrat" w:cs="Arial"/>
          <w:spacing w:val="-1"/>
          <w:sz w:val="18"/>
          <w:szCs w:val="18"/>
        </w:rPr>
        <w:t>Cobrar a Corto Plazo</w:t>
      </w:r>
    </w:p>
    <w:p w14:paraId="7D6BDEA5" w14:textId="14956F0B" w:rsidR="00E71D46" w:rsidRDefault="009C3C24" w:rsidP="006D1082">
      <w:pPr>
        <w:spacing w:after="40" w:line="250" w:lineRule="exact"/>
        <w:jc w:val="both"/>
        <w:rPr>
          <w:rFonts w:ascii="Montserrat" w:hAnsi="Montserrat"/>
          <w:sz w:val="18"/>
          <w:szCs w:val="18"/>
        </w:rPr>
      </w:pPr>
      <w:r w:rsidRPr="00D85C7C">
        <w:rPr>
          <w:rFonts w:ascii="Montserrat" w:hAnsi="Montserrat"/>
          <w:sz w:val="18"/>
          <w:szCs w:val="18"/>
        </w:rPr>
        <w:t>C</w:t>
      </w:r>
      <w:r w:rsidR="009F20D0" w:rsidRPr="00D85C7C">
        <w:rPr>
          <w:rFonts w:ascii="Montserrat" w:hAnsi="Montserrat"/>
          <w:sz w:val="18"/>
          <w:szCs w:val="18"/>
        </w:rPr>
        <w:t>onsidera</w:t>
      </w:r>
      <w:r w:rsidRPr="00D85C7C">
        <w:rPr>
          <w:rFonts w:ascii="Montserrat" w:hAnsi="Montserrat"/>
          <w:sz w:val="18"/>
          <w:szCs w:val="18"/>
        </w:rPr>
        <w:t xml:space="preserve"> los derechos de cobro a favor del ente público, cuyo origen </w:t>
      </w:r>
      <w:r w:rsidR="00E71D46" w:rsidRPr="00D85C7C">
        <w:rPr>
          <w:rFonts w:ascii="Montserrat" w:hAnsi="Montserrat"/>
          <w:sz w:val="18"/>
          <w:szCs w:val="18"/>
        </w:rPr>
        <w:t>se deriva de las</w:t>
      </w:r>
      <w:r w:rsidRPr="00D85C7C">
        <w:rPr>
          <w:rFonts w:ascii="Montserrat" w:hAnsi="Montserrat"/>
          <w:sz w:val="18"/>
          <w:szCs w:val="18"/>
        </w:rPr>
        <w:t xml:space="preserve"> </w:t>
      </w:r>
      <w:r w:rsidR="006641F9">
        <w:rPr>
          <w:rFonts w:ascii="Montserrat" w:hAnsi="Montserrat"/>
          <w:sz w:val="18"/>
          <w:szCs w:val="18"/>
        </w:rPr>
        <w:t>cuentas por cobrar de e</w:t>
      </w:r>
      <w:r w:rsidR="00E71D46" w:rsidRPr="00D85C7C">
        <w:rPr>
          <w:rFonts w:ascii="Montserrat" w:hAnsi="Montserrat"/>
          <w:sz w:val="18"/>
          <w:szCs w:val="18"/>
        </w:rPr>
        <w:t>ntidad</w:t>
      </w:r>
      <w:r w:rsidR="006641F9">
        <w:rPr>
          <w:rFonts w:ascii="Montserrat" w:hAnsi="Montserrat"/>
          <w:sz w:val="18"/>
          <w:szCs w:val="18"/>
        </w:rPr>
        <w:t>es p</w:t>
      </w:r>
      <w:r w:rsidR="00E71D46" w:rsidRPr="00D85C7C">
        <w:rPr>
          <w:rFonts w:ascii="Montserrat" w:hAnsi="Montserrat"/>
          <w:sz w:val="18"/>
          <w:szCs w:val="18"/>
        </w:rPr>
        <w:t>araestatales por deuda públi</w:t>
      </w:r>
      <w:r w:rsidR="006641F9">
        <w:rPr>
          <w:rFonts w:ascii="Montserrat" w:hAnsi="Montserrat"/>
          <w:sz w:val="18"/>
          <w:szCs w:val="18"/>
        </w:rPr>
        <w:t>ca reestructurada a corto plazo</w:t>
      </w:r>
      <w:r w:rsidR="00E71D46" w:rsidRPr="00D85C7C">
        <w:rPr>
          <w:rFonts w:ascii="Montserrat" w:hAnsi="Montserrat"/>
          <w:sz w:val="18"/>
          <w:szCs w:val="18"/>
        </w:rPr>
        <w:t xml:space="preserve"> que durante 2019 tuvieron un incremento</w:t>
      </w:r>
      <w:r w:rsidR="006641F9">
        <w:rPr>
          <w:rFonts w:ascii="Montserrat" w:hAnsi="Montserrat"/>
          <w:sz w:val="18"/>
          <w:szCs w:val="18"/>
        </w:rPr>
        <w:t xml:space="preserve"> por</w:t>
      </w:r>
      <w:r w:rsidR="00E71D46" w:rsidRPr="00D85C7C">
        <w:rPr>
          <w:rFonts w:ascii="Montserrat" w:hAnsi="Montserrat"/>
          <w:sz w:val="18"/>
          <w:szCs w:val="18"/>
        </w:rPr>
        <w:t xml:space="preserve"> las revaluaciones</w:t>
      </w:r>
      <w:r w:rsidR="006641F9">
        <w:rPr>
          <w:rFonts w:ascii="Montserrat" w:hAnsi="Montserrat"/>
          <w:sz w:val="18"/>
          <w:szCs w:val="18"/>
        </w:rPr>
        <w:t xml:space="preserve"> en esta </w:t>
      </w:r>
      <w:r w:rsidR="00E71D46">
        <w:rPr>
          <w:rFonts w:ascii="Montserrat" w:hAnsi="Montserrat"/>
          <w:sz w:val="18"/>
          <w:szCs w:val="18"/>
        </w:rPr>
        <w:t>cuenta.</w:t>
      </w:r>
    </w:p>
    <w:p w14:paraId="2E4961DE" w14:textId="77777777" w:rsidR="00E71D46" w:rsidRDefault="00E71D46" w:rsidP="00E71D46">
      <w:pPr>
        <w:pStyle w:val="Prrafodelista"/>
        <w:ind w:left="0"/>
        <w:contextualSpacing w:val="0"/>
        <w:jc w:val="both"/>
        <w:rPr>
          <w:rFonts w:ascii="Montserrat" w:hAnsi="Montserrat" w:cs="Arial"/>
          <w:spacing w:val="-1"/>
          <w:sz w:val="18"/>
          <w:szCs w:val="18"/>
        </w:rPr>
      </w:pPr>
    </w:p>
    <w:p w14:paraId="503C5A4A" w14:textId="77777777" w:rsidR="00E71D46" w:rsidRPr="00DD0D81" w:rsidRDefault="00E71D46" w:rsidP="00E71D46">
      <w:pPr>
        <w:pStyle w:val="Prrafodelista"/>
        <w:numPr>
          <w:ilvl w:val="0"/>
          <w:numId w:val="14"/>
        </w:numPr>
        <w:spacing w:before="120" w:after="120" w:line="250" w:lineRule="exact"/>
        <w:ind w:left="714" w:hanging="357"/>
        <w:jc w:val="both"/>
        <w:rPr>
          <w:rFonts w:ascii="Montserrat" w:hAnsi="Montserrat" w:cs="Arial"/>
          <w:spacing w:val="-1"/>
          <w:sz w:val="18"/>
          <w:szCs w:val="18"/>
        </w:rPr>
      </w:pPr>
      <w:r>
        <w:rPr>
          <w:rFonts w:ascii="Montserrat" w:hAnsi="Montserrat" w:cs="Arial"/>
          <w:spacing w:val="-1"/>
          <w:sz w:val="18"/>
          <w:szCs w:val="18"/>
        </w:rPr>
        <w:t>Deudores Diversos</w:t>
      </w:r>
      <w:r w:rsidRPr="00DD0D81">
        <w:rPr>
          <w:rFonts w:ascii="Montserrat" w:hAnsi="Montserrat" w:cs="Arial"/>
          <w:spacing w:val="-1"/>
          <w:sz w:val="18"/>
          <w:szCs w:val="18"/>
        </w:rPr>
        <w:t xml:space="preserve"> por Cobrar a Corto Plazo</w:t>
      </w:r>
    </w:p>
    <w:p w14:paraId="36609E27" w14:textId="4B73BFE5" w:rsidR="009C3C24" w:rsidRDefault="009C3C24" w:rsidP="006D1082">
      <w:pPr>
        <w:spacing w:after="40" w:line="250" w:lineRule="exact"/>
        <w:jc w:val="both"/>
        <w:rPr>
          <w:rFonts w:ascii="Montserrat" w:hAnsi="Montserrat"/>
          <w:sz w:val="18"/>
          <w:szCs w:val="18"/>
        </w:rPr>
      </w:pPr>
      <w:r w:rsidRPr="00F80441">
        <w:rPr>
          <w:rFonts w:ascii="Montserrat" w:hAnsi="Montserrat"/>
          <w:sz w:val="18"/>
          <w:szCs w:val="18"/>
        </w:rPr>
        <w:t>La variació</w:t>
      </w:r>
      <w:r w:rsidR="00E71D46" w:rsidRPr="00F80441">
        <w:rPr>
          <w:rFonts w:ascii="Montserrat" w:hAnsi="Montserrat"/>
          <w:sz w:val="18"/>
          <w:szCs w:val="18"/>
        </w:rPr>
        <w:t>n respecto del ejercicio de 2018</w:t>
      </w:r>
      <w:r w:rsidRPr="00F80441">
        <w:rPr>
          <w:rFonts w:ascii="Montserrat" w:hAnsi="Montserrat"/>
          <w:sz w:val="18"/>
          <w:szCs w:val="18"/>
        </w:rPr>
        <w:t xml:space="preserve"> obedece </w:t>
      </w:r>
      <w:r w:rsidR="00450725" w:rsidRPr="00F80441">
        <w:rPr>
          <w:rFonts w:ascii="Montserrat" w:hAnsi="Montserrat"/>
          <w:sz w:val="18"/>
          <w:szCs w:val="18"/>
        </w:rPr>
        <w:t xml:space="preserve">a los aumentos en la </w:t>
      </w:r>
      <w:r w:rsidR="00E61240" w:rsidRPr="00F80441">
        <w:rPr>
          <w:rFonts w:ascii="Montserrat" w:hAnsi="Montserrat"/>
          <w:sz w:val="18"/>
          <w:szCs w:val="18"/>
        </w:rPr>
        <w:t xml:space="preserve">subcuenta de </w:t>
      </w:r>
      <w:r w:rsidR="006641F9">
        <w:rPr>
          <w:rFonts w:ascii="Montserrat" w:hAnsi="Montserrat"/>
          <w:sz w:val="18"/>
          <w:szCs w:val="18"/>
        </w:rPr>
        <w:t>Recursos por Comprobar por el Comisionado Habilitado a Corto P</w:t>
      </w:r>
      <w:r w:rsidR="00F80441" w:rsidRPr="00F80441">
        <w:rPr>
          <w:rFonts w:ascii="Montserrat" w:hAnsi="Montserrat"/>
          <w:sz w:val="18"/>
          <w:szCs w:val="18"/>
        </w:rPr>
        <w:t>lazo, derivados</w:t>
      </w:r>
      <w:r w:rsidR="00E61240" w:rsidRPr="00F80441">
        <w:rPr>
          <w:rFonts w:ascii="Montserrat" w:hAnsi="Montserrat"/>
          <w:sz w:val="18"/>
          <w:szCs w:val="18"/>
        </w:rPr>
        <w:t xml:space="preserve"> de operaciones </w:t>
      </w:r>
      <w:r w:rsidR="00F80441" w:rsidRPr="00F80441">
        <w:rPr>
          <w:rFonts w:ascii="Montserrat" w:hAnsi="Montserrat"/>
          <w:sz w:val="18"/>
          <w:szCs w:val="18"/>
        </w:rPr>
        <w:t xml:space="preserve">realizadas </w:t>
      </w:r>
      <w:r w:rsidR="00E61240" w:rsidRPr="00F80441">
        <w:rPr>
          <w:rFonts w:ascii="Montserrat" w:hAnsi="Montserrat"/>
          <w:sz w:val="18"/>
          <w:szCs w:val="18"/>
        </w:rPr>
        <w:t xml:space="preserve">por la </w:t>
      </w:r>
      <w:r w:rsidR="00F80441" w:rsidRPr="00F80441">
        <w:rPr>
          <w:rFonts w:ascii="Montserrat" w:hAnsi="Montserrat"/>
          <w:sz w:val="18"/>
          <w:szCs w:val="18"/>
        </w:rPr>
        <w:t xml:space="preserve">Oficina de la Presidencia de la República, </w:t>
      </w:r>
      <w:r w:rsidR="007259BA" w:rsidRPr="00F80441">
        <w:rPr>
          <w:rFonts w:ascii="Montserrat" w:hAnsi="Montserrat"/>
          <w:sz w:val="18"/>
          <w:szCs w:val="18"/>
        </w:rPr>
        <w:t>Sec</w:t>
      </w:r>
      <w:r w:rsidR="00E61240" w:rsidRPr="00F80441">
        <w:rPr>
          <w:rFonts w:ascii="Montserrat" w:hAnsi="Montserrat"/>
          <w:sz w:val="18"/>
          <w:szCs w:val="18"/>
        </w:rPr>
        <w:t>retaría de la Defensa Nacional</w:t>
      </w:r>
      <w:r w:rsidR="006641F9">
        <w:rPr>
          <w:rFonts w:ascii="Montserrat" w:hAnsi="Montserrat"/>
          <w:sz w:val="18"/>
          <w:szCs w:val="18"/>
        </w:rPr>
        <w:t xml:space="preserve"> (SEDENA)</w:t>
      </w:r>
      <w:r w:rsidR="00E61240" w:rsidRPr="00F80441">
        <w:rPr>
          <w:rFonts w:ascii="Montserrat" w:hAnsi="Montserrat"/>
          <w:sz w:val="18"/>
          <w:szCs w:val="18"/>
        </w:rPr>
        <w:t>, Secretaría de Agricultura y Desarrollo Rural</w:t>
      </w:r>
      <w:r w:rsidR="006641F9">
        <w:rPr>
          <w:rFonts w:ascii="Montserrat" w:hAnsi="Montserrat"/>
          <w:sz w:val="18"/>
          <w:szCs w:val="18"/>
        </w:rPr>
        <w:t xml:space="preserve"> (SADER)</w:t>
      </w:r>
      <w:r w:rsidR="00E61240" w:rsidRPr="00F80441">
        <w:rPr>
          <w:rFonts w:ascii="Montserrat" w:hAnsi="Montserrat"/>
          <w:sz w:val="18"/>
          <w:szCs w:val="18"/>
        </w:rPr>
        <w:t xml:space="preserve"> </w:t>
      </w:r>
      <w:r w:rsidR="00450725" w:rsidRPr="00F80441">
        <w:rPr>
          <w:rFonts w:ascii="Montserrat" w:hAnsi="Montserrat"/>
          <w:sz w:val="18"/>
          <w:szCs w:val="18"/>
        </w:rPr>
        <w:t xml:space="preserve">y en la </w:t>
      </w:r>
      <w:r w:rsidR="007259BA" w:rsidRPr="00F80441">
        <w:rPr>
          <w:rFonts w:ascii="Montserrat" w:hAnsi="Montserrat"/>
          <w:sz w:val="18"/>
          <w:szCs w:val="18"/>
        </w:rPr>
        <w:t xml:space="preserve">Secretaría de </w:t>
      </w:r>
      <w:r w:rsidR="00E61240" w:rsidRPr="00F80441">
        <w:rPr>
          <w:rFonts w:ascii="Montserrat" w:hAnsi="Montserrat"/>
          <w:sz w:val="18"/>
          <w:szCs w:val="18"/>
        </w:rPr>
        <w:t>la Función Pública</w:t>
      </w:r>
      <w:r w:rsidR="006641F9">
        <w:rPr>
          <w:rFonts w:ascii="Montserrat" w:hAnsi="Montserrat"/>
          <w:sz w:val="18"/>
          <w:szCs w:val="18"/>
        </w:rPr>
        <w:t xml:space="preserve"> (SFP)</w:t>
      </w:r>
      <w:r w:rsidR="00450725" w:rsidRPr="00F80441">
        <w:rPr>
          <w:rFonts w:ascii="Montserrat" w:hAnsi="Montserrat"/>
          <w:sz w:val="18"/>
          <w:szCs w:val="18"/>
        </w:rPr>
        <w:t>.</w:t>
      </w:r>
    </w:p>
    <w:p w14:paraId="33A00CC5" w14:textId="77777777" w:rsidR="006D1082" w:rsidRPr="006D1082" w:rsidRDefault="006D1082" w:rsidP="006D1082">
      <w:pPr>
        <w:pStyle w:val="Prrafodelista"/>
        <w:ind w:left="0"/>
        <w:contextualSpacing w:val="0"/>
        <w:jc w:val="both"/>
        <w:rPr>
          <w:rFonts w:ascii="Montserrat" w:hAnsi="Montserrat" w:cs="Arial"/>
          <w:spacing w:val="-1"/>
          <w:sz w:val="18"/>
          <w:szCs w:val="18"/>
        </w:rPr>
      </w:pPr>
    </w:p>
    <w:p w14:paraId="1E16A9CD" w14:textId="77777777" w:rsidR="009C3C24" w:rsidRPr="00DD0D81" w:rsidRDefault="009C3C24" w:rsidP="005A5AC5">
      <w:pPr>
        <w:pStyle w:val="Prrafodelista"/>
        <w:numPr>
          <w:ilvl w:val="0"/>
          <w:numId w:val="14"/>
        </w:numPr>
        <w:spacing w:after="120" w:line="250" w:lineRule="exact"/>
        <w:ind w:left="714" w:hanging="357"/>
        <w:jc w:val="both"/>
        <w:rPr>
          <w:rFonts w:ascii="Montserrat" w:hAnsi="Montserrat" w:cs="Arial"/>
          <w:spacing w:val="-1"/>
          <w:sz w:val="18"/>
          <w:szCs w:val="18"/>
        </w:rPr>
      </w:pPr>
      <w:r w:rsidRPr="00DD0D81">
        <w:rPr>
          <w:rFonts w:ascii="Montserrat" w:hAnsi="Montserrat" w:cs="Arial"/>
          <w:spacing w:val="-1"/>
          <w:sz w:val="18"/>
          <w:szCs w:val="18"/>
        </w:rPr>
        <w:t>Ingresos por Recuperar a Corto Plazo</w:t>
      </w:r>
    </w:p>
    <w:p w14:paraId="667CD4D8" w14:textId="77777777" w:rsidR="009C3C24" w:rsidRDefault="00F80441" w:rsidP="006D1082">
      <w:pPr>
        <w:spacing w:after="40" w:line="250" w:lineRule="exact"/>
        <w:jc w:val="both"/>
        <w:rPr>
          <w:rFonts w:ascii="Montserrat" w:hAnsi="Montserrat"/>
          <w:sz w:val="18"/>
          <w:szCs w:val="18"/>
        </w:rPr>
      </w:pPr>
      <w:r>
        <w:rPr>
          <w:rFonts w:ascii="Montserrat" w:hAnsi="Montserrat"/>
          <w:sz w:val="18"/>
          <w:szCs w:val="18"/>
        </w:rPr>
        <w:t>Su aumento corresponde a las operaciones derivadas de</w:t>
      </w:r>
      <w:r w:rsidR="009F20D0" w:rsidRPr="00063579">
        <w:rPr>
          <w:rFonts w:ascii="Montserrat" w:hAnsi="Montserrat"/>
          <w:sz w:val="18"/>
          <w:szCs w:val="18"/>
        </w:rPr>
        <w:t xml:space="preserve"> los</w:t>
      </w:r>
      <w:r w:rsidR="008F25A8" w:rsidRPr="00063579">
        <w:rPr>
          <w:rFonts w:ascii="Montserrat" w:hAnsi="Montserrat"/>
          <w:sz w:val="18"/>
          <w:szCs w:val="18"/>
        </w:rPr>
        <w:t xml:space="preserve"> ingresos devengados </w:t>
      </w:r>
      <w:r>
        <w:rPr>
          <w:rFonts w:ascii="Montserrat" w:hAnsi="Montserrat"/>
          <w:sz w:val="18"/>
          <w:szCs w:val="18"/>
        </w:rPr>
        <w:t>por</w:t>
      </w:r>
      <w:r w:rsidR="008F25A8" w:rsidRPr="00063579">
        <w:rPr>
          <w:rFonts w:ascii="Montserrat" w:hAnsi="Montserrat"/>
          <w:sz w:val="18"/>
          <w:szCs w:val="18"/>
        </w:rPr>
        <w:t xml:space="preserve"> créditos fiscales.</w:t>
      </w:r>
    </w:p>
    <w:p w14:paraId="5DFE4539" w14:textId="77777777" w:rsidR="006D1082" w:rsidRPr="006D1082" w:rsidRDefault="006D1082" w:rsidP="006D1082">
      <w:pPr>
        <w:pStyle w:val="Prrafodelista"/>
        <w:ind w:left="0"/>
        <w:contextualSpacing w:val="0"/>
        <w:jc w:val="both"/>
        <w:rPr>
          <w:rFonts w:ascii="Montserrat" w:hAnsi="Montserrat" w:cs="Arial"/>
          <w:spacing w:val="-1"/>
          <w:sz w:val="18"/>
          <w:szCs w:val="18"/>
        </w:rPr>
      </w:pPr>
    </w:p>
    <w:p w14:paraId="7EB284FA" w14:textId="4AA8E44A" w:rsidR="009C3C24" w:rsidRPr="00DD0D81" w:rsidRDefault="009C3C24" w:rsidP="005A5AC5">
      <w:pPr>
        <w:pStyle w:val="Prrafodelista"/>
        <w:numPr>
          <w:ilvl w:val="0"/>
          <w:numId w:val="14"/>
        </w:numPr>
        <w:spacing w:after="120" w:line="250" w:lineRule="exact"/>
        <w:ind w:left="714" w:hanging="357"/>
        <w:jc w:val="both"/>
        <w:rPr>
          <w:rFonts w:ascii="Montserrat" w:hAnsi="Montserrat" w:cs="Arial"/>
          <w:spacing w:val="-1"/>
          <w:sz w:val="18"/>
          <w:szCs w:val="18"/>
        </w:rPr>
      </w:pPr>
      <w:r w:rsidRPr="00DD0D81">
        <w:rPr>
          <w:rFonts w:ascii="Montserrat" w:hAnsi="Montserrat" w:cs="Arial"/>
          <w:spacing w:val="-1"/>
          <w:sz w:val="18"/>
          <w:szCs w:val="18"/>
        </w:rPr>
        <w:t>Deudores por Anticipos de la Tesorería</w:t>
      </w:r>
      <w:r w:rsidR="00ED0581">
        <w:rPr>
          <w:rFonts w:ascii="Montserrat" w:hAnsi="Montserrat" w:cs="Arial"/>
          <w:spacing w:val="-1"/>
          <w:sz w:val="18"/>
          <w:szCs w:val="18"/>
        </w:rPr>
        <w:t xml:space="preserve"> a Corto Plazo</w:t>
      </w:r>
    </w:p>
    <w:p w14:paraId="21A472E4" w14:textId="3EEDE2BE" w:rsidR="009C3C24" w:rsidRDefault="009C3C24" w:rsidP="006D1082">
      <w:pPr>
        <w:spacing w:after="40" w:line="250" w:lineRule="exact"/>
        <w:jc w:val="both"/>
        <w:rPr>
          <w:rFonts w:ascii="Montserrat" w:hAnsi="Montserrat"/>
          <w:sz w:val="18"/>
          <w:szCs w:val="18"/>
        </w:rPr>
      </w:pPr>
      <w:r w:rsidRPr="00063579">
        <w:rPr>
          <w:rFonts w:ascii="Montserrat" w:hAnsi="Montserrat"/>
          <w:sz w:val="18"/>
          <w:szCs w:val="18"/>
        </w:rPr>
        <w:t xml:space="preserve">Corresponde a los montos de anticipos de fondos que son otorgados a través de la TESOFE, cuya regularización se realiza con la aplicación del presupuesto y </w:t>
      </w:r>
      <w:r w:rsidR="001F25A0" w:rsidRPr="00063579">
        <w:rPr>
          <w:rFonts w:ascii="Montserrat" w:hAnsi="Montserrat"/>
          <w:sz w:val="18"/>
          <w:szCs w:val="18"/>
        </w:rPr>
        <w:t>deudores por</w:t>
      </w:r>
      <w:r w:rsidR="00080BEB" w:rsidRPr="00063579">
        <w:rPr>
          <w:rFonts w:ascii="Montserrat" w:hAnsi="Montserrat"/>
          <w:sz w:val="18"/>
          <w:szCs w:val="18"/>
        </w:rPr>
        <w:t xml:space="preserve"> fondos rotatorios</w:t>
      </w:r>
      <w:r w:rsidR="008F25A8" w:rsidRPr="00063579">
        <w:rPr>
          <w:rFonts w:ascii="Montserrat" w:hAnsi="Montserrat"/>
          <w:sz w:val="18"/>
          <w:szCs w:val="18"/>
        </w:rPr>
        <w:t>.</w:t>
      </w:r>
    </w:p>
    <w:p w14:paraId="3CD86946" w14:textId="77777777" w:rsidR="006D1082" w:rsidRPr="006D1082" w:rsidRDefault="006D1082" w:rsidP="006D1082">
      <w:pPr>
        <w:pStyle w:val="Prrafodelista"/>
        <w:ind w:left="0"/>
        <w:contextualSpacing w:val="0"/>
        <w:jc w:val="both"/>
        <w:rPr>
          <w:rFonts w:ascii="Montserrat" w:hAnsi="Montserrat" w:cs="Arial"/>
          <w:spacing w:val="-1"/>
          <w:sz w:val="18"/>
          <w:szCs w:val="18"/>
        </w:rPr>
      </w:pPr>
    </w:p>
    <w:p w14:paraId="554B711A" w14:textId="77777777" w:rsidR="009C3C24" w:rsidRPr="00DD0D81" w:rsidRDefault="009C3C24" w:rsidP="005A5AC5">
      <w:pPr>
        <w:pStyle w:val="Prrafodelista"/>
        <w:numPr>
          <w:ilvl w:val="0"/>
          <w:numId w:val="14"/>
        </w:numPr>
        <w:spacing w:after="120" w:line="250" w:lineRule="exact"/>
        <w:ind w:left="714" w:hanging="357"/>
        <w:jc w:val="both"/>
        <w:rPr>
          <w:rFonts w:ascii="Montserrat" w:hAnsi="Montserrat" w:cs="Arial"/>
          <w:spacing w:val="-1"/>
          <w:sz w:val="18"/>
          <w:szCs w:val="18"/>
        </w:rPr>
      </w:pPr>
      <w:r w:rsidRPr="00DD0D81">
        <w:rPr>
          <w:rFonts w:ascii="Montserrat" w:hAnsi="Montserrat" w:cs="Arial"/>
          <w:spacing w:val="-1"/>
          <w:sz w:val="18"/>
          <w:szCs w:val="18"/>
        </w:rPr>
        <w:t>Préstamos Otorgados a Corto Plazo</w:t>
      </w:r>
    </w:p>
    <w:p w14:paraId="4A3EE802" w14:textId="3FD544CA" w:rsidR="009C3C24" w:rsidRDefault="009C3C24" w:rsidP="006D1082">
      <w:pPr>
        <w:spacing w:after="40" w:line="250" w:lineRule="exact"/>
        <w:jc w:val="both"/>
        <w:rPr>
          <w:rFonts w:ascii="Montserrat" w:hAnsi="Montserrat"/>
          <w:sz w:val="18"/>
          <w:szCs w:val="18"/>
        </w:rPr>
      </w:pPr>
      <w:r w:rsidRPr="00063579">
        <w:rPr>
          <w:rFonts w:ascii="Montserrat" w:hAnsi="Montserrat"/>
          <w:sz w:val="18"/>
          <w:szCs w:val="18"/>
        </w:rPr>
        <w:t xml:space="preserve">Representa el monto de saldos a favor de la </w:t>
      </w:r>
      <w:r w:rsidR="00ED0581">
        <w:rPr>
          <w:rFonts w:ascii="Montserrat" w:hAnsi="Montserrat"/>
          <w:sz w:val="18"/>
          <w:szCs w:val="18"/>
        </w:rPr>
        <w:t>TESOFE</w:t>
      </w:r>
      <w:r w:rsidRPr="00063579">
        <w:rPr>
          <w:rFonts w:ascii="Montserrat" w:hAnsi="Montserrat"/>
          <w:sz w:val="18"/>
          <w:szCs w:val="18"/>
        </w:rPr>
        <w:t xml:space="preserve"> por préstamos otorgados al Sector Público.</w:t>
      </w:r>
    </w:p>
    <w:p w14:paraId="6A576E57" w14:textId="77777777" w:rsidR="006D1082" w:rsidRPr="006D1082" w:rsidRDefault="006D1082" w:rsidP="006D1082">
      <w:pPr>
        <w:pStyle w:val="Prrafodelista"/>
        <w:ind w:left="0"/>
        <w:contextualSpacing w:val="0"/>
        <w:jc w:val="both"/>
        <w:rPr>
          <w:rFonts w:ascii="Montserrat" w:hAnsi="Montserrat" w:cs="Arial"/>
          <w:spacing w:val="-1"/>
          <w:sz w:val="18"/>
          <w:szCs w:val="18"/>
        </w:rPr>
      </w:pPr>
    </w:p>
    <w:p w14:paraId="3730E2BD" w14:textId="2D7C85D5" w:rsidR="009C3C24" w:rsidRDefault="009C3C24" w:rsidP="005A5AC5">
      <w:pPr>
        <w:pStyle w:val="Prrafodelista"/>
        <w:numPr>
          <w:ilvl w:val="0"/>
          <w:numId w:val="14"/>
        </w:numPr>
        <w:spacing w:after="120" w:line="250" w:lineRule="exact"/>
        <w:ind w:left="714" w:hanging="357"/>
        <w:jc w:val="both"/>
        <w:rPr>
          <w:rFonts w:ascii="Montserrat" w:hAnsi="Montserrat" w:cs="Arial"/>
          <w:spacing w:val="-1"/>
          <w:sz w:val="18"/>
          <w:szCs w:val="18"/>
        </w:rPr>
      </w:pPr>
      <w:r w:rsidRPr="00DD0D81">
        <w:rPr>
          <w:rFonts w:ascii="Montserrat" w:hAnsi="Montserrat" w:cs="Arial"/>
          <w:spacing w:val="-1"/>
          <w:sz w:val="18"/>
          <w:szCs w:val="18"/>
        </w:rPr>
        <w:t>Otros Derechos a Recibir Efectivo o Equivalentes a Corto Plazo</w:t>
      </w:r>
      <w:r w:rsidR="007259BA">
        <w:rPr>
          <w:rFonts w:ascii="Montserrat" w:hAnsi="Montserrat" w:cs="Arial"/>
          <w:spacing w:val="-1"/>
          <w:sz w:val="18"/>
          <w:szCs w:val="18"/>
        </w:rPr>
        <w:t xml:space="preserve">, </w:t>
      </w:r>
      <w:r w:rsidR="006641F9">
        <w:rPr>
          <w:rFonts w:ascii="Montserrat" w:hAnsi="Montserrat" w:cs="Arial"/>
          <w:spacing w:val="-1"/>
          <w:sz w:val="18"/>
          <w:szCs w:val="18"/>
        </w:rPr>
        <w:t>la</w:t>
      </w:r>
      <w:r w:rsidR="007259BA">
        <w:rPr>
          <w:rFonts w:ascii="Montserrat" w:hAnsi="Montserrat" w:cs="Arial"/>
          <w:spacing w:val="-1"/>
          <w:sz w:val="18"/>
          <w:szCs w:val="18"/>
        </w:rPr>
        <w:t xml:space="preserve"> cual se integra a continuación:</w:t>
      </w:r>
    </w:p>
    <w:p w14:paraId="396C5F2B" w14:textId="77777777" w:rsidR="003B0EEA" w:rsidRPr="00DD0D81" w:rsidRDefault="003B0EEA" w:rsidP="000F0321">
      <w:pPr>
        <w:pStyle w:val="Prrafodelista"/>
        <w:spacing w:after="120" w:line="250" w:lineRule="exact"/>
        <w:ind w:left="714"/>
        <w:jc w:val="both"/>
        <w:rPr>
          <w:rFonts w:ascii="Montserrat" w:hAnsi="Montserrat" w:cs="Arial"/>
          <w:spacing w:val="-1"/>
          <w:sz w:val="18"/>
          <w:szCs w:val="18"/>
        </w:rPr>
      </w:pPr>
    </w:p>
    <w:tbl>
      <w:tblPr>
        <w:tblW w:w="9580" w:type="dxa"/>
        <w:tblInd w:w="1346" w:type="dxa"/>
        <w:tblCellMar>
          <w:left w:w="70" w:type="dxa"/>
          <w:right w:w="70" w:type="dxa"/>
        </w:tblCellMar>
        <w:tblLook w:val="04A0" w:firstRow="1" w:lastRow="0" w:firstColumn="1" w:lastColumn="0" w:noHBand="0" w:noVBand="1"/>
      </w:tblPr>
      <w:tblGrid>
        <w:gridCol w:w="5384"/>
        <w:gridCol w:w="2098"/>
        <w:gridCol w:w="2098"/>
      </w:tblGrid>
      <w:tr w:rsidR="004E5899" w:rsidRPr="006F0DF1" w14:paraId="1BE1BBD4" w14:textId="77777777" w:rsidTr="000F0321">
        <w:trPr>
          <w:trHeight w:val="215"/>
          <w:tblHeader/>
        </w:trPr>
        <w:tc>
          <w:tcPr>
            <w:tcW w:w="9580" w:type="dxa"/>
            <w:gridSpan w:val="3"/>
            <w:tcBorders>
              <w:top w:val="nil"/>
              <w:left w:val="nil"/>
              <w:bottom w:val="single" w:sz="12" w:space="0" w:color="808080" w:themeColor="background1" w:themeShade="80"/>
              <w:right w:val="nil"/>
            </w:tcBorders>
            <w:shd w:val="clear" w:color="auto" w:fill="auto"/>
            <w:vAlign w:val="center"/>
            <w:hideMark/>
          </w:tcPr>
          <w:p w14:paraId="69772C0C" w14:textId="77777777" w:rsidR="004E5899" w:rsidRPr="00936371" w:rsidRDefault="004E5899" w:rsidP="00E52592">
            <w:pPr>
              <w:spacing w:after="60" w:line="240" w:lineRule="auto"/>
              <w:jc w:val="center"/>
              <w:rPr>
                <w:rFonts w:ascii="Montserrat" w:eastAsia="Times New Roman" w:hAnsi="Montserrat" w:cs="Calibri"/>
                <w:bCs/>
                <w:color w:val="FFFFFF"/>
                <w:sz w:val="4"/>
                <w:szCs w:val="4"/>
                <w:lang w:val="es-MX" w:eastAsia="es-MX"/>
              </w:rPr>
            </w:pPr>
            <w:r w:rsidRPr="00936371">
              <w:rPr>
                <w:rFonts w:ascii="Montserrat" w:eastAsia="Times New Roman" w:hAnsi="Montserrat" w:cs="Calibri"/>
                <w:bCs/>
                <w:sz w:val="16"/>
                <w:szCs w:val="16"/>
                <w:shd w:val="clear" w:color="auto" w:fill="FFFFFF"/>
                <w:lang w:val="es-MX" w:eastAsia="es-MX"/>
              </w:rPr>
              <w:t>(Pesos)</w:t>
            </w:r>
          </w:p>
        </w:tc>
      </w:tr>
      <w:tr w:rsidR="004E5899" w:rsidRPr="008C3C1D" w14:paraId="23DB0487" w14:textId="77777777" w:rsidTr="000F0321">
        <w:trPr>
          <w:trHeight w:val="57"/>
          <w:tblHeader/>
        </w:trPr>
        <w:tc>
          <w:tcPr>
            <w:tcW w:w="9580" w:type="dxa"/>
            <w:gridSpan w:val="3"/>
            <w:tcBorders>
              <w:top w:val="single" w:sz="12" w:space="0" w:color="808080" w:themeColor="background1" w:themeShade="80"/>
              <w:left w:val="nil"/>
              <w:right w:val="nil"/>
            </w:tcBorders>
            <w:shd w:val="clear" w:color="auto" w:fill="auto"/>
            <w:vAlign w:val="center"/>
          </w:tcPr>
          <w:p w14:paraId="3DEF63F8" w14:textId="77777777" w:rsidR="004E5899" w:rsidRPr="008C3C1D" w:rsidRDefault="004E5899" w:rsidP="004E5899">
            <w:pPr>
              <w:spacing w:after="0" w:line="240" w:lineRule="auto"/>
              <w:jc w:val="center"/>
              <w:rPr>
                <w:rFonts w:ascii="Montserrat" w:eastAsia="Times New Roman" w:hAnsi="Montserrat" w:cs="Calibri"/>
                <w:b/>
                <w:bCs/>
                <w:sz w:val="4"/>
                <w:szCs w:val="4"/>
                <w:shd w:val="clear" w:color="auto" w:fill="FFFFFF"/>
                <w:lang w:val="es-MX" w:eastAsia="es-MX"/>
              </w:rPr>
            </w:pPr>
          </w:p>
        </w:tc>
      </w:tr>
      <w:tr w:rsidR="004E5899" w:rsidRPr="006F0DF1" w14:paraId="0EDD040E" w14:textId="77777777" w:rsidTr="000F0321">
        <w:trPr>
          <w:trHeight w:val="317"/>
          <w:tblHeader/>
        </w:trPr>
        <w:tc>
          <w:tcPr>
            <w:tcW w:w="5384" w:type="dxa"/>
            <w:tcBorders>
              <w:left w:val="single" w:sz="8" w:space="0" w:color="FFFFFF" w:themeColor="background1"/>
              <w:bottom w:val="double" w:sz="12" w:space="0" w:color="808080" w:themeColor="background1" w:themeShade="80"/>
              <w:right w:val="single" w:sz="8" w:space="0" w:color="FFFFFF" w:themeColor="background1"/>
            </w:tcBorders>
            <w:shd w:val="clear" w:color="auto" w:fill="D4C19C"/>
            <w:vAlign w:val="center"/>
            <w:hideMark/>
          </w:tcPr>
          <w:p w14:paraId="244963F2" w14:textId="77777777" w:rsidR="004E5899" w:rsidRPr="006F0DF1" w:rsidRDefault="004E5899" w:rsidP="004E5899">
            <w:pPr>
              <w:spacing w:after="0" w:line="240" w:lineRule="auto"/>
              <w:jc w:val="center"/>
              <w:rPr>
                <w:rFonts w:ascii="Montserrat" w:eastAsia="Times New Roman" w:hAnsi="Montserrat" w:cs="Calibri"/>
                <w:b/>
                <w:bCs/>
                <w:color w:val="FFFFFF"/>
                <w:sz w:val="16"/>
                <w:szCs w:val="16"/>
                <w:lang w:val="es-MX" w:eastAsia="es-MX"/>
              </w:rPr>
            </w:pPr>
            <w:r w:rsidRPr="006F0DF1">
              <w:rPr>
                <w:rFonts w:ascii="Montserrat" w:eastAsia="Times New Roman" w:hAnsi="Montserrat" w:cs="Calibri"/>
                <w:b/>
                <w:bCs/>
                <w:color w:val="FFFFFF"/>
                <w:sz w:val="16"/>
                <w:szCs w:val="16"/>
                <w:lang w:val="es-MX" w:eastAsia="es-MX"/>
              </w:rPr>
              <w:t>Concepto</w:t>
            </w:r>
          </w:p>
        </w:tc>
        <w:tc>
          <w:tcPr>
            <w:tcW w:w="2098" w:type="dxa"/>
            <w:tcBorders>
              <w:left w:val="single" w:sz="8" w:space="0" w:color="FFFFFF" w:themeColor="background1"/>
              <w:bottom w:val="double" w:sz="12" w:space="0" w:color="808080" w:themeColor="background1" w:themeShade="80"/>
              <w:right w:val="single" w:sz="8" w:space="0" w:color="FFFFFF" w:themeColor="background1"/>
            </w:tcBorders>
            <w:shd w:val="clear" w:color="auto" w:fill="D4C19C"/>
            <w:vAlign w:val="center"/>
            <w:hideMark/>
          </w:tcPr>
          <w:p w14:paraId="2E8BF788" w14:textId="77777777" w:rsidR="004E5899" w:rsidRPr="006F0DF1" w:rsidRDefault="004E5899" w:rsidP="004E5899">
            <w:pPr>
              <w:spacing w:after="0" w:line="240" w:lineRule="auto"/>
              <w:jc w:val="center"/>
              <w:rPr>
                <w:rFonts w:ascii="Montserrat" w:eastAsia="Times New Roman" w:hAnsi="Montserrat" w:cs="Calibri"/>
                <w:b/>
                <w:bCs/>
                <w:color w:val="FFFFFF"/>
                <w:sz w:val="16"/>
                <w:szCs w:val="16"/>
                <w:lang w:val="es-MX" w:eastAsia="es-MX"/>
              </w:rPr>
            </w:pPr>
            <w:r>
              <w:rPr>
                <w:rFonts w:ascii="Montserrat" w:eastAsia="Times New Roman" w:hAnsi="Montserrat" w:cs="Calibri"/>
                <w:b/>
                <w:bCs/>
                <w:color w:val="FFFFFF"/>
                <w:sz w:val="16"/>
                <w:szCs w:val="16"/>
                <w:lang w:val="es-MX" w:eastAsia="es-MX"/>
              </w:rPr>
              <w:t>201</w:t>
            </w:r>
            <w:r w:rsidR="002F4EE1">
              <w:rPr>
                <w:rFonts w:ascii="Montserrat" w:eastAsia="Times New Roman" w:hAnsi="Montserrat" w:cs="Calibri"/>
                <w:b/>
                <w:bCs/>
                <w:color w:val="FFFFFF"/>
                <w:sz w:val="16"/>
                <w:szCs w:val="16"/>
                <w:lang w:val="es-MX" w:eastAsia="es-MX"/>
              </w:rPr>
              <w:t>9</w:t>
            </w:r>
          </w:p>
        </w:tc>
        <w:tc>
          <w:tcPr>
            <w:tcW w:w="2098" w:type="dxa"/>
            <w:tcBorders>
              <w:left w:val="single" w:sz="8" w:space="0" w:color="FFFFFF" w:themeColor="background1"/>
              <w:bottom w:val="double" w:sz="12" w:space="0" w:color="808080" w:themeColor="background1" w:themeShade="80"/>
              <w:right w:val="single" w:sz="8" w:space="0" w:color="FFFFFF" w:themeColor="background1"/>
            </w:tcBorders>
            <w:shd w:val="clear" w:color="auto" w:fill="D4C19C"/>
            <w:vAlign w:val="center"/>
            <w:hideMark/>
          </w:tcPr>
          <w:p w14:paraId="4AA3F439" w14:textId="77777777" w:rsidR="004E5899" w:rsidRPr="006F0DF1" w:rsidRDefault="004E5899" w:rsidP="004E5899">
            <w:pPr>
              <w:spacing w:after="0" w:line="240" w:lineRule="auto"/>
              <w:jc w:val="center"/>
              <w:rPr>
                <w:rFonts w:ascii="Montserrat" w:eastAsia="Times New Roman" w:hAnsi="Montserrat" w:cs="Calibri"/>
                <w:b/>
                <w:bCs/>
                <w:color w:val="FFFFFF"/>
                <w:sz w:val="16"/>
                <w:szCs w:val="16"/>
                <w:lang w:val="es-MX" w:eastAsia="es-MX"/>
              </w:rPr>
            </w:pPr>
            <w:r>
              <w:rPr>
                <w:rFonts w:ascii="Montserrat" w:eastAsia="Times New Roman" w:hAnsi="Montserrat" w:cs="Calibri"/>
                <w:b/>
                <w:bCs/>
                <w:color w:val="FFFFFF"/>
                <w:sz w:val="16"/>
                <w:szCs w:val="16"/>
                <w:lang w:val="es-MX" w:eastAsia="es-MX"/>
              </w:rPr>
              <w:t>201</w:t>
            </w:r>
            <w:r w:rsidR="002F4EE1">
              <w:rPr>
                <w:rFonts w:ascii="Montserrat" w:eastAsia="Times New Roman" w:hAnsi="Montserrat" w:cs="Calibri"/>
                <w:b/>
                <w:bCs/>
                <w:color w:val="FFFFFF"/>
                <w:sz w:val="16"/>
                <w:szCs w:val="16"/>
                <w:lang w:val="es-MX" w:eastAsia="es-MX"/>
              </w:rPr>
              <w:t>8</w:t>
            </w:r>
          </w:p>
        </w:tc>
      </w:tr>
      <w:tr w:rsidR="00437760" w:rsidRPr="006F0DF1" w14:paraId="1B0622DC" w14:textId="77777777" w:rsidTr="00A678D0">
        <w:trPr>
          <w:trHeight w:val="215"/>
        </w:trPr>
        <w:tc>
          <w:tcPr>
            <w:tcW w:w="5384" w:type="dxa"/>
            <w:tcBorders>
              <w:top w:val="double" w:sz="12" w:space="0" w:color="808080" w:themeColor="background1" w:themeShade="80"/>
            </w:tcBorders>
            <w:shd w:val="clear" w:color="auto" w:fill="F2F2F2" w:themeFill="background1" w:themeFillShade="F2"/>
            <w:vAlign w:val="center"/>
            <w:hideMark/>
          </w:tcPr>
          <w:p w14:paraId="4FF13C4A" w14:textId="77777777" w:rsidR="00437760" w:rsidRPr="00255081" w:rsidRDefault="00437760" w:rsidP="00437760">
            <w:pPr>
              <w:spacing w:after="0" w:line="240" w:lineRule="auto"/>
              <w:ind w:left="170"/>
              <w:rPr>
                <w:rFonts w:ascii="Montserrat" w:eastAsia="Times New Roman" w:hAnsi="Montserrat" w:cs="Calibri"/>
                <w:color w:val="000000"/>
                <w:sz w:val="15"/>
                <w:szCs w:val="15"/>
                <w:lang w:val="es-MX" w:eastAsia="es-MX"/>
              </w:rPr>
            </w:pPr>
            <w:r w:rsidRPr="00255081">
              <w:rPr>
                <w:rFonts w:ascii="Montserrat" w:eastAsia="Times New Roman" w:hAnsi="Montserrat" w:cs="Calibri"/>
                <w:color w:val="000000"/>
                <w:sz w:val="15"/>
                <w:szCs w:val="15"/>
                <w:lang w:val="es-MX" w:eastAsia="es-MX"/>
              </w:rPr>
              <w:t>Certificados de la Tesorería</w:t>
            </w:r>
          </w:p>
        </w:tc>
        <w:tc>
          <w:tcPr>
            <w:tcW w:w="2098" w:type="dxa"/>
            <w:tcBorders>
              <w:top w:val="double" w:sz="12" w:space="0" w:color="808080" w:themeColor="background1" w:themeShade="80"/>
            </w:tcBorders>
            <w:shd w:val="clear" w:color="auto" w:fill="F2F2F2" w:themeFill="background1" w:themeFillShade="F2"/>
            <w:vAlign w:val="center"/>
          </w:tcPr>
          <w:p w14:paraId="74A2CD5A" w14:textId="77777777" w:rsidR="00437760" w:rsidRPr="00255081" w:rsidRDefault="00072641" w:rsidP="00437760">
            <w:pPr>
              <w:spacing w:after="0" w:line="240" w:lineRule="auto"/>
              <w:jc w:val="right"/>
              <w:rPr>
                <w:rFonts w:ascii="Montserrat" w:eastAsia="Times New Roman" w:hAnsi="Montserrat" w:cs="Calibri"/>
                <w:sz w:val="15"/>
                <w:szCs w:val="15"/>
                <w:lang w:eastAsia="es-MX"/>
              </w:rPr>
            </w:pPr>
            <w:r w:rsidRPr="00255081">
              <w:rPr>
                <w:rFonts w:ascii="Montserrat" w:eastAsia="Times New Roman" w:hAnsi="Montserrat" w:cs="Calibri"/>
                <w:sz w:val="15"/>
                <w:szCs w:val="15"/>
                <w:lang w:eastAsia="es-MX"/>
              </w:rPr>
              <w:t>2,234,007,336,200</w:t>
            </w:r>
          </w:p>
        </w:tc>
        <w:tc>
          <w:tcPr>
            <w:tcW w:w="2098" w:type="dxa"/>
            <w:tcBorders>
              <w:top w:val="double" w:sz="12" w:space="0" w:color="808080" w:themeColor="background1" w:themeShade="80"/>
            </w:tcBorders>
            <w:shd w:val="clear" w:color="auto" w:fill="F2F2F2" w:themeFill="background1" w:themeFillShade="F2"/>
            <w:vAlign w:val="center"/>
            <w:hideMark/>
          </w:tcPr>
          <w:p w14:paraId="24ACFA2C" w14:textId="77777777" w:rsidR="00437760" w:rsidRPr="00255081" w:rsidRDefault="00437760" w:rsidP="00437760">
            <w:pPr>
              <w:spacing w:after="0" w:line="240" w:lineRule="auto"/>
              <w:jc w:val="right"/>
              <w:rPr>
                <w:rFonts w:ascii="Montserrat" w:eastAsia="Times New Roman" w:hAnsi="Montserrat" w:cs="Calibri"/>
                <w:sz w:val="15"/>
                <w:szCs w:val="15"/>
                <w:lang w:eastAsia="es-MX"/>
              </w:rPr>
            </w:pPr>
            <w:r w:rsidRPr="00255081">
              <w:rPr>
                <w:rFonts w:ascii="Montserrat" w:eastAsia="Times New Roman" w:hAnsi="Montserrat" w:cs="Calibri"/>
                <w:sz w:val="15"/>
                <w:szCs w:val="15"/>
                <w:lang w:eastAsia="es-MX"/>
              </w:rPr>
              <w:t>2,125,795,341,000</w:t>
            </w:r>
          </w:p>
        </w:tc>
      </w:tr>
      <w:tr w:rsidR="00437760" w:rsidRPr="006F0DF1" w14:paraId="7D296899" w14:textId="77777777" w:rsidTr="00A678D0">
        <w:trPr>
          <w:trHeight w:val="215"/>
        </w:trPr>
        <w:tc>
          <w:tcPr>
            <w:tcW w:w="5384" w:type="dxa"/>
            <w:shd w:val="clear" w:color="auto" w:fill="F2F2F2" w:themeFill="background1" w:themeFillShade="F2"/>
            <w:vAlign w:val="center"/>
            <w:hideMark/>
          </w:tcPr>
          <w:p w14:paraId="5574003A" w14:textId="77777777" w:rsidR="00437760" w:rsidRPr="00255081" w:rsidRDefault="00437760" w:rsidP="00437760">
            <w:pPr>
              <w:spacing w:after="0" w:line="240" w:lineRule="auto"/>
              <w:ind w:left="170"/>
              <w:rPr>
                <w:rFonts w:ascii="Montserrat" w:eastAsia="Times New Roman" w:hAnsi="Montserrat" w:cs="Calibri"/>
                <w:color w:val="000000"/>
                <w:sz w:val="15"/>
                <w:szCs w:val="15"/>
                <w:lang w:val="es-MX" w:eastAsia="es-MX"/>
              </w:rPr>
            </w:pPr>
            <w:r w:rsidRPr="00255081">
              <w:rPr>
                <w:rFonts w:ascii="Montserrat" w:eastAsia="Times New Roman" w:hAnsi="Montserrat" w:cs="Calibri"/>
                <w:color w:val="000000"/>
                <w:sz w:val="15"/>
                <w:szCs w:val="15"/>
                <w:lang w:val="es-MX" w:eastAsia="es-MX"/>
              </w:rPr>
              <w:t>Bonos de Desarrollo del Gobierno Federal</w:t>
            </w:r>
          </w:p>
        </w:tc>
        <w:tc>
          <w:tcPr>
            <w:tcW w:w="2098" w:type="dxa"/>
            <w:shd w:val="clear" w:color="auto" w:fill="F2F2F2" w:themeFill="background1" w:themeFillShade="F2"/>
            <w:vAlign w:val="center"/>
          </w:tcPr>
          <w:p w14:paraId="5E3994A6" w14:textId="77777777" w:rsidR="00437760" w:rsidRPr="00255081" w:rsidRDefault="00072641" w:rsidP="00072641">
            <w:pPr>
              <w:spacing w:after="0" w:line="240" w:lineRule="auto"/>
              <w:jc w:val="right"/>
              <w:rPr>
                <w:rFonts w:ascii="Montserrat" w:eastAsia="Times New Roman" w:hAnsi="Montserrat" w:cs="Calibri"/>
                <w:sz w:val="15"/>
                <w:szCs w:val="15"/>
                <w:lang w:eastAsia="es-MX"/>
              </w:rPr>
            </w:pPr>
            <w:r w:rsidRPr="00255081">
              <w:rPr>
                <w:rFonts w:ascii="Montserrat" w:eastAsia="Times New Roman" w:hAnsi="Montserrat" w:cs="Calibri"/>
                <w:sz w:val="15"/>
                <w:szCs w:val="15"/>
                <w:lang w:eastAsia="es-MX"/>
              </w:rPr>
              <w:t>2,793,961,635,000</w:t>
            </w:r>
          </w:p>
        </w:tc>
        <w:tc>
          <w:tcPr>
            <w:tcW w:w="2098" w:type="dxa"/>
            <w:shd w:val="clear" w:color="auto" w:fill="F2F2F2" w:themeFill="background1" w:themeFillShade="F2"/>
            <w:vAlign w:val="center"/>
            <w:hideMark/>
          </w:tcPr>
          <w:p w14:paraId="62088D81" w14:textId="77777777" w:rsidR="00437760" w:rsidRPr="00255081" w:rsidRDefault="00437760" w:rsidP="00437760">
            <w:pPr>
              <w:spacing w:after="0" w:line="240" w:lineRule="auto"/>
              <w:jc w:val="right"/>
              <w:rPr>
                <w:rFonts w:ascii="Montserrat" w:eastAsia="Times New Roman" w:hAnsi="Montserrat" w:cs="Calibri"/>
                <w:sz w:val="15"/>
                <w:szCs w:val="15"/>
                <w:lang w:eastAsia="es-MX"/>
              </w:rPr>
            </w:pPr>
            <w:r w:rsidRPr="00255081">
              <w:rPr>
                <w:rFonts w:ascii="Montserrat" w:eastAsia="Times New Roman" w:hAnsi="Montserrat" w:cs="Calibri"/>
                <w:sz w:val="15"/>
                <w:szCs w:val="15"/>
                <w:lang w:eastAsia="es-MX"/>
              </w:rPr>
              <w:t>2,042,950,700,000</w:t>
            </w:r>
          </w:p>
        </w:tc>
      </w:tr>
      <w:tr w:rsidR="00437760" w:rsidRPr="006F0DF1" w14:paraId="547250DC" w14:textId="77777777" w:rsidTr="00A678D0">
        <w:trPr>
          <w:trHeight w:val="215"/>
        </w:trPr>
        <w:tc>
          <w:tcPr>
            <w:tcW w:w="5384" w:type="dxa"/>
            <w:tcBorders>
              <w:top w:val="nil"/>
            </w:tcBorders>
            <w:shd w:val="clear" w:color="auto" w:fill="F2F2F2" w:themeFill="background1" w:themeFillShade="F2"/>
            <w:vAlign w:val="center"/>
            <w:hideMark/>
          </w:tcPr>
          <w:p w14:paraId="389EB483" w14:textId="77777777" w:rsidR="00437760" w:rsidRPr="00255081" w:rsidRDefault="00437760" w:rsidP="00437760">
            <w:pPr>
              <w:spacing w:after="0" w:line="240" w:lineRule="auto"/>
              <w:ind w:left="170"/>
              <w:rPr>
                <w:rFonts w:ascii="Montserrat" w:eastAsia="Times New Roman" w:hAnsi="Montserrat" w:cs="Calibri"/>
                <w:color w:val="000000"/>
                <w:sz w:val="15"/>
                <w:szCs w:val="15"/>
                <w:lang w:val="es-MX" w:eastAsia="es-MX"/>
              </w:rPr>
            </w:pPr>
            <w:r w:rsidRPr="00255081">
              <w:rPr>
                <w:rFonts w:ascii="Montserrat" w:eastAsia="Times New Roman" w:hAnsi="Montserrat" w:cs="Calibri"/>
                <w:color w:val="000000"/>
                <w:sz w:val="15"/>
                <w:szCs w:val="15"/>
                <w:lang w:val="es-MX" w:eastAsia="es-MX"/>
              </w:rPr>
              <w:t>Bonos Gubernamentales a Tasa Fija</w:t>
            </w:r>
          </w:p>
        </w:tc>
        <w:tc>
          <w:tcPr>
            <w:tcW w:w="2098" w:type="dxa"/>
            <w:tcBorders>
              <w:top w:val="nil"/>
            </w:tcBorders>
            <w:shd w:val="clear" w:color="auto" w:fill="F2F2F2" w:themeFill="background1" w:themeFillShade="F2"/>
            <w:vAlign w:val="center"/>
          </w:tcPr>
          <w:p w14:paraId="3B7FD40A" w14:textId="77777777" w:rsidR="00437760" w:rsidRPr="00255081" w:rsidRDefault="00072641" w:rsidP="00072641">
            <w:pPr>
              <w:spacing w:after="0" w:line="240" w:lineRule="auto"/>
              <w:jc w:val="right"/>
              <w:rPr>
                <w:rFonts w:ascii="Montserrat" w:eastAsia="Times New Roman" w:hAnsi="Montserrat" w:cs="Calibri"/>
                <w:sz w:val="15"/>
                <w:szCs w:val="15"/>
                <w:lang w:eastAsia="es-MX"/>
              </w:rPr>
            </w:pPr>
            <w:r w:rsidRPr="00255081">
              <w:rPr>
                <w:rFonts w:ascii="Montserrat" w:eastAsia="Times New Roman" w:hAnsi="Montserrat" w:cs="Calibri"/>
                <w:sz w:val="15"/>
                <w:szCs w:val="15"/>
                <w:lang w:eastAsia="es-MX"/>
              </w:rPr>
              <w:t>229,848,849,200</w:t>
            </w:r>
          </w:p>
        </w:tc>
        <w:tc>
          <w:tcPr>
            <w:tcW w:w="2098" w:type="dxa"/>
            <w:tcBorders>
              <w:top w:val="nil"/>
            </w:tcBorders>
            <w:shd w:val="clear" w:color="auto" w:fill="F2F2F2" w:themeFill="background1" w:themeFillShade="F2"/>
            <w:vAlign w:val="center"/>
            <w:hideMark/>
          </w:tcPr>
          <w:p w14:paraId="31F6644B" w14:textId="77777777" w:rsidR="00437760" w:rsidRPr="00255081" w:rsidRDefault="00437760" w:rsidP="00437760">
            <w:pPr>
              <w:spacing w:after="0" w:line="240" w:lineRule="auto"/>
              <w:jc w:val="right"/>
              <w:rPr>
                <w:rFonts w:ascii="Montserrat" w:eastAsia="Times New Roman" w:hAnsi="Montserrat" w:cs="Calibri"/>
                <w:sz w:val="15"/>
                <w:szCs w:val="15"/>
                <w:lang w:eastAsia="es-MX"/>
              </w:rPr>
            </w:pPr>
            <w:r w:rsidRPr="00255081">
              <w:rPr>
                <w:rFonts w:ascii="Montserrat" w:eastAsia="Times New Roman" w:hAnsi="Montserrat" w:cs="Calibri"/>
                <w:sz w:val="15"/>
                <w:szCs w:val="15"/>
                <w:lang w:eastAsia="es-MX"/>
              </w:rPr>
              <w:t>209,848,849,200</w:t>
            </w:r>
          </w:p>
        </w:tc>
      </w:tr>
      <w:tr w:rsidR="00437760" w:rsidRPr="006F0DF1" w14:paraId="08AD2284" w14:textId="77777777" w:rsidTr="00A678D0">
        <w:trPr>
          <w:trHeight w:val="215"/>
        </w:trPr>
        <w:tc>
          <w:tcPr>
            <w:tcW w:w="5384" w:type="dxa"/>
            <w:tcBorders>
              <w:top w:val="nil"/>
            </w:tcBorders>
            <w:shd w:val="clear" w:color="auto" w:fill="F2F2F2" w:themeFill="background1" w:themeFillShade="F2"/>
            <w:vAlign w:val="center"/>
            <w:hideMark/>
          </w:tcPr>
          <w:p w14:paraId="4094E9EE" w14:textId="77777777" w:rsidR="00437760" w:rsidRPr="00255081" w:rsidRDefault="00437760" w:rsidP="00437760">
            <w:pPr>
              <w:spacing w:after="0" w:line="240" w:lineRule="auto"/>
              <w:ind w:left="170"/>
              <w:rPr>
                <w:rFonts w:ascii="Montserrat" w:eastAsia="Times New Roman" w:hAnsi="Montserrat" w:cs="Calibri"/>
                <w:color w:val="000000"/>
                <w:sz w:val="15"/>
                <w:szCs w:val="15"/>
                <w:lang w:val="es-MX" w:eastAsia="es-MX"/>
              </w:rPr>
            </w:pPr>
            <w:r w:rsidRPr="00255081">
              <w:rPr>
                <w:rFonts w:ascii="Montserrat" w:eastAsia="Times New Roman" w:hAnsi="Montserrat" w:cs="Calibri"/>
                <w:color w:val="000000"/>
                <w:sz w:val="15"/>
                <w:szCs w:val="15"/>
                <w:lang w:val="es-MX" w:eastAsia="es-MX"/>
              </w:rPr>
              <w:t>UDIBONOS</w:t>
            </w:r>
          </w:p>
        </w:tc>
        <w:tc>
          <w:tcPr>
            <w:tcW w:w="2098" w:type="dxa"/>
            <w:tcBorders>
              <w:top w:val="nil"/>
            </w:tcBorders>
            <w:shd w:val="clear" w:color="auto" w:fill="F2F2F2" w:themeFill="background1" w:themeFillShade="F2"/>
            <w:vAlign w:val="center"/>
          </w:tcPr>
          <w:p w14:paraId="2BDF196B" w14:textId="77777777" w:rsidR="00437760" w:rsidRPr="00255081" w:rsidRDefault="00072641" w:rsidP="00072641">
            <w:pPr>
              <w:spacing w:after="0" w:line="240" w:lineRule="auto"/>
              <w:jc w:val="right"/>
              <w:rPr>
                <w:rFonts w:ascii="Montserrat" w:eastAsia="Times New Roman" w:hAnsi="Montserrat" w:cs="Calibri"/>
                <w:sz w:val="15"/>
                <w:szCs w:val="15"/>
                <w:lang w:eastAsia="es-MX"/>
              </w:rPr>
            </w:pPr>
            <w:r w:rsidRPr="00255081">
              <w:rPr>
                <w:rFonts w:ascii="Montserrat" w:eastAsia="Times New Roman" w:hAnsi="Montserrat" w:cs="Calibri"/>
                <w:sz w:val="15"/>
                <w:szCs w:val="15"/>
                <w:lang w:eastAsia="es-MX"/>
              </w:rPr>
              <w:t>1,162,061,668,800</w:t>
            </w:r>
          </w:p>
        </w:tc>
        <w:tc>
          <w:tcPr>
            <w:tcW w:w="2098" w:type="dxa"/>
            <w:tcBorders>
              <w:top w:val="nil"/>
            </w:tcBorders>
            <w:shd w:val="clear" w:color="auto" w:fill="F2F2F2" w:themeFill="background1" w:themeFillShade="F2"/>
            <w:vAlign w:val="center"/>
            <w:hideMark/>
          </w:tcPr>
          <w:p w14:paraId="28DEDC10" w14:textId="77777777" w:rsidR="00437760" w:rsidRPr="00255081" w:rsidRDefault="00437760" w:rsidP="00437760">
            <w:pPr>
              <w:spacing w:after="0" w:line="240" w:lineRule="auto"/>
              <w:jc w:val="right"/>
              <w:rPr>
                <w:rFonts w:ascii="Montserrat" w:eastAsia="Times New Roman" w:hAnsi="Montserrat" w:cs="Calibri"/>
                <w:sz w:val="15"/>
                <w:szCs w:val="15"/>
                <w:lang w:eastAsia="es-MX"/>
              </w:rPr>
            </w:pPr>
            <w:r w:rsidRPr="00255081">
              <w:rPr>
                <w:rFonts w:ascii="Montserrat" w:eastAsia="Times New Roman" w:hAnsi="Montserrat" w:cs="Calibri"/>
                <w:sz w:val="15"/>
                <w:szCs w:val="15"/>
                <w:lang w:eastAsia="es-MX"/>
              </w:rPr>
              <w:t>965,127,805,000</w:t>
            </w:r>
          </w:p>
        </w:tc>
      </w:tr>
      <w:tr w:rsidR="00437760" w:rsidRPr="006F0DF1" w14:paraId="2A015FE4" w14:textId="77777777" w:rsidTr="00A678D0">
        <w:trPr>
          <w:trHeight w:val="215"/>
        </w:trPr>
        <w:tc>
          <w:tcPr>
            <w:tcW w:w="5384" w:type="dxa"/>
            <w:tcBorders>
              <w:top w:val="nil"/>
            </w:tcBorders>
            <w:shd w:val="clear" w:color="auto" w:fill="F2F2F2" w:themeFill="background1" w:themeFillShade="F2"/>
            <w:vAlign w:val="center"/>
            <w:hideMark/>
          </w:tcPr>
          <w:p w14:paraId="7511C71D" w14:textId="77777777" w:rsidR="00437760" w:rsidRPr="00255081" w:rsidRDefault="00437760" w:rsidP="00437760">
            <w:pPr>
              <w:spacing w:after="0" w:line="240" w:lineRule="auto"/>
              <w:ind w:left="567"/>
              <w:jc w:val="right"/>
              <w:rPr>
                <w:rFonts w:ascii="Montserrat" w:eastAsia="Times New Roman" w:hAnsi="Montserrat" w:cs="Calibri"/>
                <w:b/>
                <w:bCs/>
                <w:color w:val="000000"/>
                <w:sz w:val="15"/>
                <w:szCs w:val="15"/>
                <w:lang w:val="es-MX" w:eastAsia="es-MX"/>
              </w:rPr>
            </w:pPr>
            <w:r w:rsidRPr="00255081">
              <w:rPr>
                <w:rFonts w:ascii="Montserrat" w:eastAsia="Times New Roman" w:hAnsi="Montserrat" w:cs="Calibri"/>
                <w:b/>
                <w:bCs/>
                <w:color w:val="000000"/>
                <w:sz w:val="15"/>
                <w:szCs w:val="15"/>
                <w:lang w:val="es-MX" w:eastAsia="es-MX"/>
              </w:rPr>
              <w:t>Depósitos por Regulación Monetaria</w:t>
            </w:r>
          </w:p>
        </w:tc>
        <w:tc>
          <w:tcPr>
            <w:tcW w:w="2098" w:type="dxa"/>
            <w:tcBorders>
              <w:top w:val="nil"/>
            </w:tcBorders>
            <w:shd w:val="clear" w:color="auto" w:fill="F2F2F2" w:themeFill="background1" w:themeFillShade="F2"/>
            <w:vAlign w:val="center"/>
          </w:tcPr>
          <w:p w14:paraId="4610A755" w14:textId="77777777" w:rsidR="00437760" w:rsidRPr="00255081" w:rsidRDefault="00072641" w:rsidP="00072641">
            <w:pPr>
              <w:spacing w:after="0" w:line="240" w:lineRule="auto"/>
              <w:jc w:val="right"/>
              <w:rPr>
                <w:rFonts w:ascii="Montserrat" w:eastAsia="Times New Roman" w:hAnsi="Montserrat" w:cs="Calibri"/>
                <w:b/>
                <w:bCs/>
                <w:sz w:val="15"/>
                <w:szCs w:val="15"/>
                <w:lang w:eastAsia="es-MX"/>
              </w:rPr>
            </w:pPr>
            <w:r w:rsidRPr="00255081">
              <w:rPr>
                <w:rFonts w:ascii="Montserrat" w:eastAsia="Times New Roman" w:hAnsi="Montserrat" w:cs="Calibri"/>
                <w:b/>
                <w:bCs/>
                <w:sz w:val="15"/>
                <w:szCs w:val="15"/>
                <w:lang w:eastAsia="es-MX"/>
              </w:rPr>
              <w:t>6,419,879,489,200</w:t>
            </w:r>
          </w:p>
        </w:tc>
        <w:tc>
          <w:tcPr>
            <w:tcW w:w="2098" w:type="dxa"/>
            <w:tcBorders>
              <w:top w:val="nil"/>
            </w:tcBorders>
            <w:shd w:val="clear" w:color="auto" w:fill="F2F2F2" w:themeFill="background1" w:themeFillShade="F2"/>
            <w:vAlign w:val="center"/>
            <w:hideMark/>
          </w:tcPr>
          <w:p w14:paraId="07F05534" w14:textId="77777777" w:rsidR="00437760" w:rsidRPr="00255081" w:rsidRDefault="00437760" w:rsidP="00072641">
            <w:pPr>
              <w:spacing w:after="0" w:line="240" w:lineRule="auto"/>
              <w:jc w:val="right"/>
              <w:rPr>
                <w:rFonts w:ascii="Montserrat" w:eastAsia="Times New Roman" w:hAnsi="Montserrat" w:cs="Calibri"/>
                <w:b/>
                <w:bCs/>
                <w:sz w:val="15"/>
                <w:szCs w:val="15"/>
                <w:lang w:eastAsia="es-MX"/>
              </w:rPr>
            </w:pPr>
            <w:r w:rsidRPr="00255081">
              <w:rPr>
                <w:rFonts w:ascii="Montserrat" w:eastAsia="Times New Roman" w:hAnsi="Montserrat" w:cs="Calibri"/>
                <w:b/>
                <w:bCs/>
                <w:sz w:val="15"/>
                <w:szCs w:val="15"/>
                <w:lang w:eastAsia="es-MX"/>
              </w:rPr>
              <w:t>5,343,722,695,200</w:t>
            </w:r>
          </w:p>
        </w:tc>
      </w:tr>
      <w:tr w:rsidR="00437760" w:rsidRPr="006F0DF1" w14:paraId="11F7E007" w14:textId="77777777" w:rsidTr="00A678D0">
        <w:trPr>
          <w:trHeight w:val="215"/>
        </w:trPr>
        <w:tc>
          <w:tcPr>
            <w:tcW w:w="5384" w:type="dxa"/>
            <w:tcBorders>
              <w:top w:val="nil"/>
            </w:tcBorders>
            <w:shd w:val="clear" w:color="auto" w:fill="F2F2F2" w:themeFill="background1" w:themeFillShade="F2"/>
            <w:vAlign w:val="center"/>
            <w:hideMark/>
          </w:tcPr>
          <w:p w14:paraId="11C889EB" w14:textId="77777777" w:rsidR="00437760" w:rsidRPr="00255081" w:rsidRDefault="00437760" w:rsidP="00437760">
            <w:pPr>
              <w:spacing w:after="0" w:line="240" w:lineRule="auto"/>
              <w:ind w:left="170"/>
              <w:rPr>
                <w:rFonts w:ascii="Montserrat" w:eastAsia="Times New Roman" w:hAnsi="Montserrat" w:cs="Calibri"/>
                <w:color w:val="000000"/>
                <w:sz w:val="15"/>
                <w:szCs w:val="15"/>
                <w:lang w:val="es-MX" w:eastAsia="es-MX"/>
              </w:rPr>
            </w:pPr>
            <w:r w:rsidRPr="00255081">
              <w:rPr>
                <w:rFonts w:ascii="Montserrat" w:eastAsia="Times New Roman" w:hAnsi="Montserrat" w:cs="Calibri"/>
                <w:color w:val="000000"/>
                <w:sz w:val="15"/>
                <w:szCs w:val="15"/>
                <w:lang w:val="es-MX" w:eastAsia="es-MX"/>
              </w:rPr>
              <w:t>Certificados de la Tesorería</w:t>
            </w:r>
          </w:p>
        </w:tc>
        <w:tc>
          <w:tcPr>
            <w:tcW w:w="2098" w:type="dxa"/>
            <w:tcBorders>
              <w:top w:val="nil"/>
            </w:tcBorders>
            <w:shd w:val="clear" w:color="auto" w:fill="F2F2F2" w:themeFill="background1" w:themeFillShade="F2"/>
            <w:vAlign w:val="center"/>
          </w:tcPr>
          <w:p w14:paraId="555FB8EA" w14:textId="77777777" w:rsidR="00437760" w:rsidRPr="00255081" w:rsidRDefault="00072641" w:rsidP="00437760">
            <w:pPr>
              <w:spacing w:after="0" w:line="240" w:lineRule="auto"/>
              <w:jc w:val="right"/>
              <w:rPr>
                <w:rFonts w:ascii="Montserrat" w:eastAsia="Times New Roman" w:hAnsi="Montserrat" w:cs="Calibri"/>
                <w:sz w:val="15"/>
                <w:szCs w:val="15"/>
                <w:lang w:eastAsia="es-MX"/>
              </w:rPr>
            </w:pPr>
            <w:r w:rsidRPr="00255081">
              <w:rPr>
                <w:rFonts w:ascii="Montserrat" w:eastAsia="Times New Roman" w:hAnsi="Montserrat" w:cs="Calibri"/>
                <w:sz w:val="15"/>
                <w:szCs w:val="15"/>
                <w:lang w:eastAsia="es-MX"/>
              </w:rPr>
              <w:t>55,992,663,800</w:t>
            </w:r>
          </w:p>
        </w:tc>
        <w:tc>
          <w:tcPr>
            <w:tcW w:w="2098" w:type="dxa"/>
            <w:tcBorders>
              <w:top w:val="nil"/>
            </w:tcBorders>
            <w:shd w:val="clear" w:color="auto" w:fill="F2F2F2" w:themeFill="background1" w:themeFillShade="F2"/>
            <w:vAlign w:val="center"/>
            <w:hideMark/>
          </w:tcPr>
          <w:p w14:paraId="5445B9DB" w14:textId="77777777" w:rsidR="00437760" w:rsidRPr="00255081" w:rsidRDefault="00437760" w:rsidP="00437760">
            <w:pPr>
              <w:spacing w:after="0" w:line="240" w:lineRule="auto"/>
              <w:jc w:val="right"/>
              <w:rPr>
                <w:rFonts w:ascii="Montserrat" w:eastAsia="Times New Roman" w:hAnsi="Montserrat" w:cs="Calibri"/>
                <w:sz w:val="15"/>
                <w:szCs w:val="15"/>
                <w:lang w:eastAsia="es-MX"/>
              </w:rPr>
            </w:pPr>
            <w:r w:rsidRPr="00255081">
              <w:rPr>
                <w:rFonts w:ascii="Montserrat" w:eastAsia="Times New Roman" w:hAnsi="Montserrat" w:cs="Calibri"/>
                <w:sz w:val="15"/>
                <w:szCs w:val="15"/>
                <w:lang w:eastAsia="es-MX"/>
              </w:rPr>
              <w:t>64,204,659,000</w:t>
            </w:r>
          </w:p>
        </w:tc>
      </w:tr>
      <w:tr w:rsidR="00437760" w:rsidRPr="006F0DF1" w14:paraId="35975721" w14:textId="77777777" w:rsidTr="00A678D0">
        <w:trPr>
          <w:trHeight w:val="215"/>
        </w:trPr>
        <w:tc>
          <w:tcPr>
            <w:tcW w:w="5384" w:type="dxa"/>
            <w:tcBorders>
              <w:top w:val="nil"/>
            </w:tcBorders>
            <w:shd w:val="clear" w:color="auto" w:fill="F2F2F2" w:themeFill="background1" w:themeFillShade="F2"/>
            <w:vAlign w:val="center"/>
            <w:hideMark/>
          </w:tcPr>
          <w:p w14:paraId="6D5A1B5F" w14:textId="77777777" w:rsidR="00437760" w:rsidRPr="00255081" w:rsidRDefault="00437760" w:rsidP="00437760">
            <w:pPr>
              <w:spacing w:after="0" w:line="240" w:lineRule="auto"/>
              <w:ind w:left="170"/>
              <w:rPr>
                <w:rFonts w:ascii="Montserrat" w:eastAsia="Times New Roman" w:hAnsi="Montserrat" w:cs="Calibri"/>
                <w:color w:val="000000"/>
                <w:sz w:val="15"/>
                <w:szCs w:val="15"/>
                <w:lang w:val="es-MX" w:eastAsia="es-MX"/>
              </w:rPr>
            </w:pPr>
            <w:r w:rsidRPr="00255081">
              <w:rPr>
                <w:rFonts w:ascii="Montserrat" w:eastAsia="Times New Roman" w:hAnsi="Montserrat" w:cs="Calibri"/>
                <w:color w:val="000000"/>
                <w:sz w:val="15"/>
                <w:szCs w:val="15"/>
                <w:lang w:val="es-MX" w:eastAsia="es-MX"/>
              </w:rPr>
              <w:t>Bonos de Desarrollo del Gobierno Federal</w:t>
            </w:r>
          </w:p>
        </w:tc>
        <w:tc>
          <w:tcPr>
            <w:tcW w:w="2098" w:type="dxa"/>
            <w:tcBorders>
              <w:top w:val="nil"/>
            </w:tcBorders>
            <w:shd w:val="clear" w:color="auto" w:fill="F2F2F2" w:themeFill="background1" w:themeFillShade="F2"/>
            <w:vAlign w:val="center"/>
          </w:tcPr>
          <w:p w14:paraId="34D8F982" w14:textId="77777777" w:rsidR="00437760" w:rsidRPr="00255081" w:rsidRDefault="00072641" w:rsidP="00072641">
            <w:pPr>
              <w:spacing w:after="0" w:line="240" w:lineRule="auto"/>
              <w:jc w:val="right"/>
              <w:rPr>
                <w:rFonts w:ascii="Montserrat" w:eastAsia="Times New Roman" w:hAnsi="Montserrat" w:cs="Calibri"/>
                <w:sz w:val="15"/>
                <w:szCs w:val="15"/>
                <w:lang w:eastAsia="es-MX"/>
              </w:rPr>
            </w:pPr>
            <w:r w:rsidRPr="00255081">
              <w:rPr>
                <w:rFonts w:ascii="Montserrat" w:eastAsia="Times New Roman" w:hAnsi="Montserrat" w:cs="Calibri"/>
                <w:sz w:val="15"/>
                <w:szCs w:val="15"/>
                <w:lang w:eastAsia="es-MX"/>
              </w:rPr>
              <w:t>6,038,365,000</w:t>
            </w:r>
          </w:p>
        </w:tc>
        <w:tc>
          <w:tcPr>
            <w:tcW w:w="2098" w:type="dxa"/>
            <w:tcBorders>
              <w:top w:val="nil"/>
            </w:tcBorders>
            <w:shd w:val="clear" w:color="auto" w:fill="F2F2F2" w:themeFill="background1" w:themeFillShade="F2"/>
            <w:vAlign w:val="center"/>
            <w:hideMark/>
          </w:tcPr>
          <w:p w14:paraId="02E8BC95" w14:textId="77777777" w:rsidR="00437760" w:rsidRPr="00255081" w:rsidRDefault="00437760" w:rsidP="00437760">
            <w:pPr>
              <w:spacing w:after="0" w:line="240" w:lineRule="auto"/>
              <w:jc w:val="right"/>
              <w:rPr>
                <w:rFonts w:ascii="Montserrat" w:eastAsia="Times New Roman" w:hAnsi="Montserrat" w:cs="Calibri"/>
                <w:sz w:val="15"/>
                <w:szCs w:val="15"/>
                <w:lang w:eastAsia="es-MX"/>
              </w:rPr>
            </w:pPr>
            <w:r w:rsidRPr="00255081">
              <w:rPr>
                <w:rFonts w:ascii="Montserrat" w:eastAsia="Times New Roman" w:hAnsi="Montserrat" w:cs="Calibri"/>
                <w:sz w:val="15"/>
                <w:szCs w:val="15"/>
                <w:lang w:eastAsia="es-MX"/>
              </w:rPr>
              <w:t>7,049,300,000</w:t>
            </w:r>
          </w:p>
        </w:tc>
      </w:tr>
      <w:tr w:rsidR="00437760" w:rsidRPr="006F0DF1" w14:paraId="025B7405" w14:textId="77777777" w:rsidTr="00A678D0">
        <w:trPr>
          <w:trHeight w:val="215"/>
        </w:trPr>
        <w:tc>
          <w:tcPr>
            <w:tcW w:w="5384" w:type="dxa"/>
            <w:tcBorders>
              <w:top w:val="nil"/>
            </w:tcBorders>
            <w:shd w:val="clear" w:color="auto" w:fill="F2F2F2" w:themeFill="background1" w:themeFillShade="F2"/>
            <w:vAlign w:val="center"/>
            <w:hideMark/>
          </w:tcPr>
          <w:p w14:paraId="09F64CE8" w14:textId="77777777" w:rsidR="00437760" w:rsidRPr="00255081" w:rsidRDefault="00437760" w:rsidP="00437760">
            <w:pPr>
              <w:spacing w:after="0" w:line="240" w:lineRule="auto"/>
              <w:ind w:left="170"/>
              <w:rPr>
                <w:rFonts w:ascii="Montserrat" w:eastAsia="Times New Roman" w:hAnsi="Montserrat" w:cs="Calibri"/>
                <w:color w:val="000000"/>
                <w:sz w:val="15"/>
                <w:szCs w:val="15"/>
                <w:lang w:val="es-MX" w:eastAsia="es-MX"/>
              </w:rPr>
            </w:pPr>
            <w:r w:rsidRPr="00255081">
              <w:rPr>
                <w:rFonts w:ascii="Montserrat" w:eastAsia="Times New Roman" w:hAnsi="Montserrat" w:cs="Calibri"/>
                <w:color w:val="000000"/>
                <w:sz w:val="15"/>
                <w:szCs w:val="15"/>
                <w:lang w:val="es-MX" w:eastAsia="es-MX"/>
              </w:rPr>
              <w:t>Bonos Gubernamentales a Tasa Fija</w:t>
            </w:r>
          </w:p>
        </w:tc>
        <w:tc>
          <w:tcPr>
            <w:tcW w:w="2098" w:type="dxa"/>
            <w:tcBorders>
              <w:top w:val="nil"/>
            </w:tcBorders>
            <w:shd w:val="clear" w:color="auto" w:fill="F2F2F2" w:themeFill="background1" w:themeFillShade="F2"/>
            <w:vAlign w:val="center"/>
          </w:tcPr>
          <w:p w14:paraId="48F12870" w14:textId="77777777" w:rsidR="00437760" w:rsidRPr="00255081" w:rsidRDefault="00072641" w:rsidP="00072641">
            <w:pPr>
              <w:spacing w:after="0" w:line="240" w:lineRule="auto"/>
              <w:jc w:val="right"/>
              <w:rPr>
                <w:rFonts w:ascii="Montserrat" w:eastAsia="Times New Roman" w:hAnsi="Montserrat" w:cs="Calibri"/>
                <w:sz w:val="15"/>
                <w:szCs w:val="15"/>
                <w:lang w:eastAsia="es-MX"/>
              </w:rPr>
            </w:pPr>
            <w:r w:rsidRPr="00255081">
              <w:rPr>
                <w:rFonts w:ascii="Montserrat" w:eastAsia="Times New Roman" w:hAnsi="Montserrat" w:cs="Calibri"/>
                <w:sz w:val="15"/>
                <w:szCs w:val="15"/>
                <w:lang w:eastAsia="es-MX"/>
              </w:rPr>
              <w:t>151,150,800</w:t>
            </w:r>
          </w:p>
        </w:tc>
        <w:tc>
          <w:tcPr>
            <w:tcW w:w="2098" w:type="dxa"/>
            <w:tcBorders>
              <w:top w:val="nil"/>
            </w:tcBorders>
            <w:shd w:val="clear" w:color="auto" w:fill="F2F2F2" w:themeFill="background1" w:themeFillShade="F2"/>
            <w:vAlign w:val="center"/>
            <w:hideMark/>
          </w:tcPr>
          <w:p w14:paraId="66A92774" w14:textId="77777777" w:rsidR="00437760" w:rsidRPr="00255081" w:rsidRDefault="00437760" w:rsidP="00437760">
            <w:pPr>
              <w:spacing w:after="0" w:line="240" w:lineRule="auto"/>
              <w:jc w:val="right"/>
              <w:rPr>
                <w:rFonts w:ascii="Montserrat" w:eastAsia="Times New Roman" w:hAnsi="Montserrat" w:cs="Calibri"/>
                <w:sz w:val="15"/>
                <w:szCs w:val="15"/>
                <w:lang w:eastAsia="es-MX"/>
              </w:rPr>
            </w:pPr>
            <w:r w:rsidRPr="00255081">
              <w:rPr>
                <w:rFonts w:ascii="Montserrat" w:eastAsia="Times New Roman" w:hAnsi="Montserrat" w:cs="Calibri"/>
                <w:sz w:val="15"/>
                <w:szCs w:val="15"/>
                <w:lang w:eastAsia="es-MX"/>
              </w:rPr>
              <w:t>151,150,800</w:t>
            </w:r>
          </w:p>
        </w:tc>
      </w:tr>
      <w:tr w:rsidR="002F4EE1" w:rsidRPr="006F0DF1" w14:paraId="3D06DD1B" w14:textId="77777777" w:rsidTr="00A678D0">
        <w:trPr>
          <w:trHeight w:val="215"/>
        </w:trPr>
        <w:tc>
          <w:tcPr>
            <w:tcW w:w="5384" w:type="dxa"/>
            <w:tcBorders>
              <w:top w:val="nil"/>
            </w:tcBorders>
            <w:shd w:val="clear" w:color="auto" w:fill="F2F2F2" w:themeFill="background1" w:themeFillShade="F2"/>
            <w:vAlign w:val="center"/>
            <w:hideMark/>
          </w:tcPr>
          <w:p w14:paraId="097EA65B" w14:textId="77777777" w:rsidR="002F4EE1" w:rsidRPr="00255081" w:rsidRDefault="002F4EE1" w:rsidP="002F4EE1">
            <w:pPr>
              <w:spacing w:after="0" w:line="240" w:lineRule="auto"/>
              <w:ind w:left="170"/>
              <w:rPr>
                <w:rFonts w:ascii="Montserrat" w:eastAsia="Times New Roman" w:hAnsi="Montserrat" w:cs="Calibri"/>
                <w:color w:val="000000"/>
                <w:sz w:val="15"/>
                <w:szCs w:val="15"/>
                <w:lang w:val="es-MX" w:eastAsia="es-MX"/>
              </w:rPr>
            </w:pPr>
            <w:r w:rsidRPr="00255081">
              <w:rPr>
                <w:rFonts w:ascii="Montserrat" w:eastAsia="Times New Roman" w:hAnsi="Montserrat" w:cs="Calibri"/>
                <w:color w:val="000000"/>
                <w:sz w:val="15"/>
                <w:szCs w:val="15"/>
                <w:lang w:val="es-MX" w:eastAsia="es-MX"/>
              </w:rPr>
              <w:t>UDIBONOS</w:t>
            </w:r>
          </w:p>
        </w:tc>
        <w:tc>
          <w:tcPr>
            <w:tcW w:w="2098" w:type="dxa"/>
            <w:tcBorders>
              <w:top w:val="nil"/>
            </w:tcBorders>
            <w:shd w:val="clear" w:color="auto" w:fill="F2F2F2" w:themeFill="background1" w:themeFillShade="F2"/>
            <w:vAlign w:val="center"/>
          </w:tcPr>
          <w:p w14:paraId="5AC0AFED" w14:textId="77777777" w:rsidR="002F4EE1" w:rsidRPr="00255081" w:rsidRDefault="00437760" w:rsidP="002F4EE1">
            <w:pPr>
              <w:spacing w:after="0" w:line="240" w:lineRule="auto"/>
              <w:jc w:val="right"/>
              <w:rPr>
                <w:rFonts w:ascii="Montserrat" w:eastAsia="Times New Roman" w:hAnsi="Montserrat" w:cs="Calibri"/>
                <w:sz w:val="15"/>
                <w:szCs w:val="15"/>
                <w:lang w:eastAsia="es-MX"/>
              </w:rPr>
            </w:pPr>
            <w:r w:rsidRPr="00255081">
              <w:rPr>
                <w:rFonts w:ascii="Montserrat" w:eastAsia="Times New Roman" w:hAnsi="Montserrat" w:cs="Calibri"/>
                <w:sz w:val="15"/>
                <w:szCs w:val="15"/>
                <w:lang w:eastAsia="es-MX"/>
              </w:rPr>
              <w:t>0</w:t>
            </w:r>
          </w:p>
        </w:tc>
        <w:tc>
          <w:tcPr>
            <w:tcW w:w="2098" w:type="dxa"/>
            <w:tcBorders>
              <w:top w:val="nil"/>
            </w:tcBorders>
            <w:shd w:val="clear" w:color="auto" w:fill="F2F2F2" w:themeFill="background1" w:themeFillShade="F2"/>
            <w:vAlign w:val="center"/>
            <w:hideMark/>
          </w:tcPr>
          <w:p w14:paraId="2D29F0C7" w14:textId="77777777" w:rsidR="002F4EE1" w:rsidRPr="00255081" w:rsidRDefault="002F4EE1" w:rsidP="002F4EE1">
            <w:pPr>
              <w:spacing w:after="0" w:line="240" w:lineRule="auto"/>
              <w:jc w:val="right"/>
              <w:rPr>
                <w:rFonts w:ascii="Montserrat" w:eastAsia="Times New Roman" w:hAnsi="Montserrat" w:cs="Calibri"/>
                <w:sz w:val="15"/>
                <w:szCs w:val="15"/>
                <w:lang w:eastAsia="es-MX"/>
              </w:rPr>
            </w:pPr>
            <w:r w:rsidRPr="00255081">
              <w:rPr>
                <w:rFonts w:ascii="Montserrat" w:eastAsia="Times New Roman" w:hAnsi="Montserrat" w:cs="Calibri"/>
                <w:sz w:val="15"/>
                <w:szCs w:val="15"/>
                <w:lang w:eastAsia="es-MX"/>
              </w:rPr>
              <w:t>0</w:t>
            </w:r>
          </w:p>
        </w:tc>
      </w:tr>
      <w:tr w:rsidR="002F4EE1" w:rsidRPr="006F0DF1" w14:paraId="50EAA440" w14:textId="77777777" w:rsidTr="00A678D0">
        <w:trPr>
          <w:trHeight w:val="215"/>
        </w:trPr>
        <w:tc>
          <w:tcPr>
            <w:tcW w:w="5384" w:type="dxa"/>
            <w:tcBorders>
              <w:top w:val="nil"/>
            </w:tcBorders>
            <w:shd w:val="clear" w:color="auto" w:fill="F2F2F2" w:themeFill="background1" w:themeFillShade="F2"/>
            <w:vAlign w:val="center"/>
            <w:hideMark/>
          </w:tcPr>
          <w:p w14:paraId="4B5D3458" w14:textId="77777777" w:rsidR="002F4EE1" w:rsidRPr="00255081" w:rsidRDefault="002F4EE1" w:rsidP="002F4EE1">
            <w:pPr>
              <w:spacing w:after="0" w:line="240" w:lineRule="auto"/>
              <w:ind w:left="567"/>
              <w:jc w:val="right"/>
              <w:rPr>
                <w:rFonts w:ascii="Montserrat" w:eastAsia="Times New Roman" w:hAnsi="Montserrat" w:cs="Calibri"/>
                <w:b/>
                <w:bCs/>
                <w:color w:val="000000"/>
                <w:sz w:val="15"/>
                <w:szCs w:val="15"/>
                <w:lang w:val="es-MX" w:eastAsia="es-MX"/>
              </w:rPr>
            </w:pPr>
            <w:r w:rsidRPr="00255081">
              <w:rPr>
                <w:rFonts w:ascii="Montserrat" w:eastAsia="Times New Roman" w:hAnsi="Montserrat" w:cs="Calibri"/>
                <w:b/>
                <w:bCs/>
                <w:color w:val="000000"/>
                <w:sz w:val="15"/>
                <w:szCs w:val="15"/>
                <w:lang w:val="es-MX" w:eastAsia="es-MX"/>
              </w:rPr>
              <w:t>Descuentos por Recuperar por Colocación de Valores Gubernamentales a CP</w:t>
            </w:r>
          </w:p>
        </w:tc>
        <w:tc>
          <w:tcPr>
            <w:tcW w:w="2098" w:type="dxa"/>
            <w:tcBorders>
              <w:top w:val="nil"/>
            </w:tcBorders>
            <w:shd w:val="clear" w:color="auto" w:fill="F2F2F2" w:themeFill="background1" w:themeFillShade="F2"/>
            <w:vAlign w:val="center"/>
          </w:tcPr>
          <w:p w14:paraId="51ADDE26" w14:textId="77777777" w:rsidR="002F4EE1" w:rsidRPr="00255081" w:rsidRDefault="00072641" w:rsidP="00072641">
            <w:pPr>
              <w:spacing w:after="0" w:line="240" w:lineRule="auto"/>
              <w:jc w:val="right"/>
              <w:rPr>
                <w:rFonts w:ascii="Montserrat" w:eastAsia="Times New Roman" w:hAnsi="Montserrat" w:cs="Calibri"/>
                <w:b/>
                <w:bCs/>
                <w:sz w:val="15"/>
                <w:szCs w:val="15"/>
                <w:lang w:eastAsia="es-MX"/>
              </w:rPr>
            </w:pPr>
            <w:r w:rsidRPr="00255081">
              <w:rPr>
                <w:rFonts w:ascii="Montserrat" w:eastAsia="Times New Roman" w:hAnsi="Montserrat" w:cs="Calibri"/>
                <w:b/>
                <w:bCs/>
                <w:sz w:val="15"/>
                <w:szCs w:val="15"/>
                <w:lang w:eastAsia="es-MX"/>
              </w:rPr>
              <w:t>62,182,179,600</w:t>
            </w:r>
          </w:p>
        </w:tc>
        <w:tc>
          <w:tcPr>
            <w:tcW w:w="2098" w:type="dxa"/>
            <w:tcBorders>
              <w:top w:val="nil"/>
            </w:tcBorders>
            <w:shd w:val="clear" w:color="auto" w:fill="F2F2F2" w:themeFill="background1" w:themeFillShade="F2"/>
            <w:vAlign w:val="center"/>
            <w:hideMark/>
          </w:tcPr>
          <w:p w14:paraId="16302AE7" w14:textId="77777777" w:rsidR="002F4EE1" w:rsidRPr="00255081" w:rsidRDefault="002F4EE1" w:rsidP="002F4EE1">
            <w:pPr>
              <w:spacing w:after="0" w:line="240" w:lineRule="auto"/>
              <w:jc w:val="right"/>
              <w:rPr>
                <w:rFonts w:ascii="Montserrat" w:eastAsia="Times New Roman" w:hAnsi="Montserrat" w:cs="Calibri"/>
                <w:b/>
                <w:bCs/>
                <w:sz w:val="15"/>
                <w:szCs w:val="15"/>
                <w:lang w:eastAsia="es-MX"/>
              </w:rPr>
            </w:pPr>
            <w:r w:rsidRPr="00255081">
              <w:rPr>
                <w:rFonts w:ascii="Montserrat" w:eastAsia="Times New Roman" w:hAnsi="Montserrat" w:cs="Calibri"/>
                <w:b/>
                <w:bCs/>
                <w:sz w:val="15"/>
                <w:szCs w:val="15"/>
                <w:lang w:eastAsia="es-MX"/>
              </w:rPr>
              <w:t>71,405,109,800</w:t>
            </w:r>
          </w:p>
        </w:tc>
      </w:tr>
      <w:tr w:rsidR="002F4EE1" w:rsidRPr="006F0DF1" w14:paraId="7BA1912D" w14:textId="77777777" w:rsidTr="00A678D0">
        <w:trPr>
          <w:trHeight w:val="215"/>
        </w:trPr>
        <w:tc>
          <w:tcPr>
            <w:tcW w:w="5384" w:type="dxa"/>
            <w:tcBorders>
              <w:top w:val="nil"/>
            </w:tcBorders>
            <w:shd w:val="clear" w:color="auto" w:fill="F2F2F2" w:themeFill="background1" w:themeFillShade="F2"/>
            <w:vAlign w:val="center"/>
            <w:hideMark/>
          </w:tcPr>
          <w:p w14:paraId="54AC1E44" w14:textId="77777777" w:rsidR="002F4EE1" w:rsidRPr="00255081" w:rsidRDefault="002F4EE1" w:rsidP="002F4EE1">
            <w:pPr>
              <w:spacing w:after="0" w:line="240" w:lineRule="auto"/>
              <w:rPr>
                <w:rFonts w:ascii="Montserrat" w:eastAsia="Times New Roman" w:hAnsi="Montserrat" w:cs="Calibri"/>
                <w:b/>
                <w:bCs/>
                <w:color w:val="000000"/>
                <w:sz w:val="15"/>
                <w:szCs w:val="15"/>
                <w:lang w:val="es-MX" w:eastAsia="es-MX"/>
              </w:rPr>
            </w:pPr>
          </w:p>
        </w:tc>
        <w:tc>
          <w:tcPr>
            <w:tcW w:w="2098" w:type="dxa"/>
            <w:tcBorders>
              <w:top w:val="nil"/>
            </w:tcBorders>
            <w:shd w:val="clear" w:color="auto" w:fill="F2F2F2" w:themeFill="background1" w:themeFillShade="F2"/>
            <w:vAlign w:val="center"/>
          </w:tcPr>
          <w:p w14:paraId="6A11E992" w14:textId="77777777" w:rsidR="002F4EE1" w:rsidRPr="00255081" w:rsidRDefault="002F4EE1" w:rsidP="002F4EE1">
            <w:pPr>
              <w:spacing w:after="0" w:line="240" w:lineRule="auto"/>
              <w:jc w:val="right"/>
              <w:rPr>
                <w:rFonts w:ascii="Montserrat" w:eastAsia="Times New Roman" w:hAnsi="Montserrat" w:cs="Calibri"/>
                <w:b/>
                <w:bCs/>
                <w:sz w:val="15"/>
                <w:szCs w:val="15"/>
                <w:lang w:eastAsia="es-MX"/>
              </w:rPr>
            </w:pPr>
          </w:p>
        </w:tc>
        <w:tc>
          <w:tcPr>
            <w:tcW w:w="2098" w:type="dxa"/>
            <w:tcBorders>
              <w:top w:val="nil"/>
            </w:tcBorders>
            <w:shd w:val="clear" w:color="auto" w:fill="F2F2F2" w:themeFill="background1" w:themeFillShade="F2"/>
            <w:vAlign w:val="center"/>
            <w:hideMark/>
          </w:tcPr>
          <w:p w14:paraId="4C3A8232" w14:textId="77777777" w:rsidR="002F4EE1" w:rsidRPr="00255081" w:rsidRDefault="002F4EE1" w:rsidP="002F4EE1">
            <w:pPr>
              <w:spacing w:after="0" w:line="240" w:lineRule="auto"/>
              <w:jc w:val="right"/>
              <w:rPr>
                <w:rFonts w:ascii="Montserrat" w:eastAsia="Times New Roman" w:hAnsi="Montserrat" w:cs="Calibri"/>
                <w:b/>
                <w:bCs/>
                <w:sz w:val="15"/>
                <w:szCs w:val="15"/>
                <w:lang w:eastAsia="es-MX"/>
              </w:rPr>
            </w:pPr>
          </w:p>
        </w:tc>
      </w:tr>
      <w:tr w:rsidR="002F4EE1" w:rsidRPr="006F0DF1" w14:paraId="0EF81FBC" w14:textId="77777777" w:rsidTr="00A678D0">
        <w:trPr>
          <w:trHeight w:val="215"/>
        </w:trPr>
        <w:tc>
          <w:tcPr>
            <w:tcW w:w="5384" w:type="dxa"/>
            <w:tcBorders>
              <w:top w:val="nil"/>
            </w:tcBorders>
            <w:shd w:val="clear" w:color="auto" w:fill="F2F2F2" w:themeFill="background1" w:themeFillShade="F2"/>
            <w:vAlign w:val="center"/>
            <w:hideMark/>
          </w:tcPr>
          <w:p w14:paraId="004B6376" w14:textId="77777777" w:rsidR="002F4EE1" w:rsidRPr="00255081" w:rsidRDefault="002F4EE1" w:rsidP="002F4EE1">
            <w:pPr>
              <w:spacing w:after="0" w:line="240" w:lineRule="auto"/>
              <w:ind w:left="567"/>
              <w:jc w:val="right"/>
              <w:rPr>
                <w:rFonts w:ascii="Montserrat" w:eastAsia="Times New Roman" w:hAnsi="Montserrat" w:cs="Calibri"/>
                <w:b/>
                <w:bCs/>
                <w:color w:val="000000"/>
                <w:sz w:val="15"/>
                <w:szCs w:val="15"/>
                <w:lang w:val="es-MX" w:eastAsia="es-MX"/>
              </w:rPr>
            </w:pPr>
            <w:r w:rsidRPr="00255081">
              <w:rPr>
                <w:rFonts w:ascii="Montserrat" w:eastAsia="Times New Roman" w:hAnsi="Montserrat" w:cs="Calibri"/>
                <w:b/>
                <w:bCs/>
                <w:color w:val="000000"/>
                <w:sz w:val="15"/>
                <w:szCs w:val="15"/>
                <w:lang w:val="es-MX" w:eastAsia="es-MX"/>
              </w:rPr>
              <w:t>Depósitos para Regulación Monetaria y Descuentos</w:t>
            </w:r>
          </w:p>
        </w:tc>
        <w:tc>
          <w:tcPr>
            <w:tcW w:w="2098" w:type="dxa"/>
            <w:tcBorders>
              <w:top w:val="nil"/>
            </w:tcBorders>
            <w:shd w:val="clear" w:color="auto" w:fill="F2F2F2" w:themeFill="background1" w:themeFillShade="F2"/>
            <w:vAlign w:val="center"/>
          </w:tcPr>
          <w:p w14:paraId="67335FEF" w14:textId="77777777" w:rsidR="002F4EE1" w:rsidRPr="00255081" w:rsidRDefault="00072641" w:rsidP="00072641">
            <w:pPr>
              <w:spacing w:after="0" w:line="240" w:lineRule="auto"/>
              <w:jc w:val="right"/>
              <w:rPr>
                <w:rFonts w:ascii="Montserrat" w:eastAsia="Times New Roman" w:hAnsi="Montserrat" w:cs="Calibri"/>
                <w:b/>
                <w:bCs/>
                <w:sz w:val="15"/>
                <w:szCs w:val="15"/>
                <w:lang w:eastAsia="es-MX"/>
              </w:rPr>
            </w:pPr>
            <w:r w:rsidRPr="00255081">
              <w:rPr>
                <w:rFonts w:ascii="Montserrat" w:eastAsia="Times New Roman" w:hAnsi="Montserrat" w:cs="Calibri"/>
                <w:b/>
                <w:bCs/>
                <w:sz w:val="15"/>
                <w:szCs w:val="15"/>
                <w:lang w:eastAsia="es-MX"/>
              </w:rPr>
              <w:t>6,482,061,668,800</w:t>
            </w:r>
          </w:p>
        </w:tc>
        <w:tc>
          <w:tcPr>
            <w:tcW w:w="2098" w:type="dxa"/>
            <w:tcBorders>
              <w:top w:val="nil"/>
            </w:tcBorders>
            <w:shd w:val="clear" w:color="auto" w:fill="F2F2F2" w:themeFill="background1" w:themeFillShade="F2"/>
            <w:vAlign w:val="center"/>
            <w:hideMark/>
          </w:tcPr>
          <w:p w14:paraId="38F44B43" w14:textId="77777777" w:rsidR="002F4EE1" w:rsidRPr="00255081" w:rsidRDefault="002F4EE1" w:rsidP="002F4EE1">
            <w:pPr>
              <w:spacing w:after="0" w:line="240" w:lineRule="auto"/>
              <w:jc w:val="right"/>
              <w:rPr>
                <w:rFonts w:ascii="Montserrat" w:eastAsia="Times New Roman" w:hAnsi="Montserrat" w:cs="Calibri"/>
                <w:b/>
                <w:bCs/>
                <w:sz w:val="15"/>
                <w:szCs w:val="15"/>
                <w:lang w:eastAsia="es-MX"/>
              </w:rPr>
            </w:pPr>
            <w:r w:rsidRPr="00255081">
              <w:rPr>
                <w:rFonts w:ascii="Montserrat" w:eastAsia="Times New Roman" w:hAnsi="Montserrat" w:cs="Calibri"/>
                <w:b/>
                <w:bCs/>
                <w:sz w:val="15"/>
                <w:szCs w:val="15"/>
                <w:lang w:eastAsia="es-MX"/>
              </w:rPr>
              <w:t>5,415,127,805,000</w:t>
            </w:r>
          </w:p>
        </w:tc>
      </w:tr>
      <w:tr w:rsidR="002F4EE1" w:rsidRPr="006F0DF1" w14:paraId="4AE9D647" w14:textId="77777777" w:rsidTr="00A678D0">
        <w:trPr>
          <w:trHeight w:val="57"/>
        </w:trPr>
        <w:tc>
          <w:tcPr>
            <w:tcW w:w="5384" w:type="dxa"/>
            <w:tcBorders>
              <w:top w:val="nil"/>
            </w:tcBorders>
            <w:shd w:val="clear" w:color="auto" w:fill="F2F2F2" w:themeFill="background1" w:themeFillShade="F2"/>
            <w:vAlign w:val="center"/>
            <w:hideMark/>
          </w:tcPr>
          <w:p w14:paraId="5FE63355" w14:textId="77777777" w:rsidR="002F4EE1" w:rsidRPr="000F0321" w:rsidRDefault="002F4EE1" w:rsidP="002F4EE1">
            <w:pPr>
              <w:spacing w:after="0" w:line="240" w:lineRule="auto"/>
              <w:rPr>
                <w:rFonts w:ascii="Montserrat" w:eastAsia="Times New Roman" w:hAnsi="Montserrat" w:cs="Calibri"/>
                <w:b/>
                <w:bCs/>
                <w:color w:val="000000"/>
                <w:sz w:val="15"/>
                <w:szCs w:val="15"/>
                <w:lang w:val="es-MX" w:eastAsia="es-MX"/>
              </w:rPr>
            </w:pPr>
          </w:p>
        </w:tc>
        <w:tc>
          <w:tcPr>
            <w:tcW w:w="2098" w:type="dxa"/>
            <w:tcBorders>
              <w:top w:val="nil"/>
            </w:tcBorders>
            <w:shd w:val="clear" w:color="auto" w:fill="F2F2F2" w:themeFill="background1" w:themeFillShade="F2"/>
            <w:vAlign w:val="center"/>
          </w:tcPr>
          <w:p w14:paraId="1D4C1B06" w14:textId="77777777" w:rsidR="002F4EE1" w:rsidRPr="000F0321" w:rsidRDefault="002F4EE1" w:rsidP="002F4EE1">
            <w:pPr>
              <w:spacing w:after="0" w:line="240" w:lineRule="auto"/>
              <w:jc w:val="right"/>
              <w:rPr>
                <w:rFonts w:ascii="Montserrat" w:eastAsia="Times New Roman" w:hAnsi="Montserrat" w:cs="Calibri"/>
                <w:b/>
                <w:bCs/>
                <w:sz w:val="15"/>
                <w:szCs w:val="15"/>
                <w:lang w:eastAsia="es-MX"/>
              </w:rPr>
            </w:pPr>
          </w:p>
        </w:tc>
        <w:tc>
          <w:tcPr>
            <w:tcW w:w="2098" w:type="dxa"/>
            <w:tcBorders>
              <w:top w:val="nil"/>
              <w:right w:val="nil"/>
            </w:tcBorders>
            <w:shd w:val="clear" w:color="auto" w:fill="F2F2F2" w:themeFill="background1" w:themeFillShade="F2"/>
            <w:vAlign w:val="center"/>
            <w:hideMark/>
          </w:tcPr>
          <w:p w14:paraId="0BB5722D" w14:textId="77777777" w:rsidR="002F4EE1" w:rsidRPr="000F0321" w:rsidRDefault="002F4EE1" w:rsidP="002F4EE1">
            <w:pPr>
              <w:spacing w:after="0" w:line="240" w:lineRule="auto"/>
              <w:jc w:val="right"/>
              <w:rPr>
                <w:rFonts w:ascii="Montserrat" w:eastAsia="Times New Roman" w:hAnsi="Montserrat" w:cs="Calibri"/>
                <w:b/>
                <w:bCs/>
                <w:sz w:val="15"/>
                <w:szCs w:val="15"/>
                <w:lang w:eastAsia="es-MX"/>
              </w:rPr>
            </w:pPr>
          </w:p>
        </w:tc>
      </w:tr>
      <w:tr w:rsidR="00437760" w:rsidRPr="006F0DF1" w14:paraId="221469A8" w14:textId="77777777" w:rsidTr="00A678D0">
        <w:trPr>
          <w:trHeight w:val="215"/>
        </w:trPr>
        <w:tc>
          <w:tcPr>
            <w:tcW w:w="5384" w:type="dxa"/>
            <w:tcBorders>
              <w:top w:val="nil"/>
            </w:tcBorders>
            <w:shd w:val="clear" w:color="auto" w:fill="F2F2F2" w:themeFill="background1" w:themeFillShade="F2"/>
            <w:vAlign w:val="center"/>
            <w:hideMark/>
          </w:tcPr>
          <w:p w14:paraId="18F46A01" w14:textId="77777777" w:rsidR="005A30B5" w:rsidRDefault="005A30B5" w:rsidP="00437760">
            <w:pPr>
              <w:spacing w:after="0" w:line="240" w:lineRule="auto"/>
              <w:ind w:left="170"/>
              <w:rPr>
                <w:rFonts w:ascii="Montserrat" w:eastAsia="Times New Roman" w:hAnsi="Montserrat" w:cs="Calibri"/>
                <w:color w:val="000000"/>
                <w:sz w:val="15"/>
                <w:szCs w:val="15"/>
                <w:lang w:val="es-MX" w:eastAsia="es-MX"/>
              </w:rPr>
            </w:pPr>
          </w:p>
          <w:p w14:paraId="07CE48E6" w14:textId="77777777" w:rsidR="00437760" w:rsidRPr="00255081" w:rsidRDefault="00437760" w:rsidP="00437760">
            <w:pPr>
              <w:spacing w:after="0" w:line="240" w:lineRule="auto"/>
              <w:ind w:left="170"/>
              <w:rPr>
                <w:rFonts w:ascii="Montserrat" w:eastAsia="Times New Roman" w:hAnsi="Montserrat" w:cs="Calibri"/>
                <w:color w:val="000000"/>
                <w:sz w:val="15"/>
                <w:szCs w:val="15"/>
                <w:lang w:val="es-MX" w:eastAsia="es-MX"/>
              </w:rPr>
            </w:pPr>
            <w:r w:rsidRPr="00255081">
              <w:rPr>
                <w:rFonts w:ascii="Montserrat" w:eastAsia="Times New Roman" w:hAnsi="Montserrat" w:cs="Calibri"/>
                <w:color w:val="000000"/>
                <w:sz w:val="15"/>
                <w:szCs w:val="15"/>
                <w:lang w:val="es-MX" w:eastAsia="es-MX"/>
              </w:rPr>
              <w:t>Ingresos en Tránsito de Cuentadantes a CP</w:t>
            </w:r>
          </w:p>
        </w:tc>
        <w:tc>
          <w:tcPr>
            <w:tcW w:w="2098" w:type="dxa"/>
            <w:tcBorders>
              <w:top w:val="nil"/>
            </w:tcBorders>
            <w:shd w:val="clear" w:color="auto" w:fill="F2F2F2" w:themeFill="background1" w:themeFillShade="F2"/>
            <w:vAlign w:val="center"/>
          </w:tcPr>
          <w:p w14:paraId="7393546B" w14:textId="77777777" w:rsidR="005A30B5" w:rsidRDefault="005A30B5" w:rsidP="00437760">
            <w:pPr>
              <w:spacing w:after="0" w:line="240" w:lineRule="auto"/>
              <w:jc w:val="right"/>
              <w:rPr>
                <w:rFonts w:ascii="Montserrat" w:eastAsia="Times New Roman" w:hAnsi="Montserrat" w:cs="Calibri"/>
                <w:sz w:val="15"/>
                <w:szCs w:val="15"/>
                <w:lang w:eastAsia="es-MX"/>
              </w:rPr>
            </w:pPr>
          </w:p>
          <w:p w14:paraId="0FCF50A3" w14:textId="77777777" w:rsidR="00437760" w:rsidRPr="00255081" w:rsidRDefault="00072641" w:rsidP="00437760">
            <w:pPr>
              <w:spacing w:after="0" w:line="240" w:lineRule="auto"/>
              <w:jc w:val="right"/>
              <w:rPr>
                <w:rFonts w:ascii="Montserrat" w:eastAsia="Times New Roman" w:hAnsi="Montserrat" w:cs="Calibri"/>
                <w:sz w:val="15"/>
                <w:szCs w:val="15"/>
                <w:lang w:eastAsia="es-MX"/>
              </w:rPr>
            </w:pPr>
            <w:r w:rsidRPr="00255081">
              <w:rPr>
                <w:rFonts w:ascii="Montserrat" w:eastAsia="Times New Roman" w:hAnsi="Montserrat" w:cs="Calibri"/>
                <w:sz w:val="15"/>
                <w:szCs w:val="15"/>
                <w:lang w:eastAsia="es-MX"/>
              </w:rPr>
              <w:t>49,524,885,080</w:t>
            </w:r>
          </w:p>
        </w:tc>
        <w:tc>
          <w:tcPr>
            <w:tcW w:w="2098" w:type="dxa"/>
            <w:tcBorders>
              <w:top w:val="nil"/>
            </w:tcBorders>
            <w:shd w:val="clear" w:color="auto" w:fill="F2F2F2" w:themeFill="background1" w:themeFillShade="F2"/>
            <w:vAlign w:val="center"/>
            <w:hideMark/>
          </w:tcPr>
          <w:p w14:paraId="761A8594" w14:textId="77777777" w:rsidR="005A30B5" w:rsidRDefault="005A30B5" w:rsidP="00437760">
            <w:pPr>
              <w:spacing w:after="0" w:line="240" w:lineRule="auto"/>
              <w:jc w:val="right"/>
              <w:rPr>
                <w:rFonts w:ascii="Montserrat" w:eastAsia="Times New Roman" w:hAnsi="Montserrat" w:cs="Calibri"/>
                <w:sz w:val="15"/>
                <w:szCs w:val="15"/>
                <w:lang w:eastAsia="es-MX"/>
              </w:rPr>
            </w:pPr>
          </w:p>
          <w:p w14:paraId="1F552FB8" w14:textId="77777777" w:rsidR="00437760" w:rsidRPr="00255081" w:rsidRDefault="00437760" w:rsidP="00437760">
            <w:pPr>
              <w:spacing w:after="0" w:line="240" w:lineRule="auto"/>
              <w:jc w:val="right"/>
              <w:rPr>
                <w:rFonts w:ascii="Montserrat" w:eastAsia="Times New Roman" w:hAnsi="Montserrat" w:cs="Calibri"/>
                <w:sz w:val="15"/>
                <w:szCs w:val="15"/>
                <w:lang w:eastAsia="es-MX"/>
              </w:rPr>
            </w:pPr>
            <w:r w:rsidRPr="00255081">
              <w:rPr>
                <w:rFonts w:ascii="Montserrat" w:eastAsia="Times New Roman" w:hAnsi="Montserrat" w:cs="Calibri"/>
                <w:sz w:val="15"/>
                <w:szCs w:val="15"/>
                <w:lang w:eastAsia="es-MX"/>
              </w:rPr>
              <w:t xml:space="preserve">49,978,835,000    </w:t>
            </w:r>
          </w:p>
        </w:tc>
      </w:tr>
      <w:tr w:rsidR="00437760" w:rsidRPr="00C70D31" w14:paraId="4B189F15" w14:textId="77777777" w:rsidTr="00A678D0">
        <w:trPr>
          <w:trHeight w:val="215"/>
        </w:trPr>
        <w:tc>
          <w:tcPr>
            <w:tcW w:w="5384" w:type="dxa"/>
            <w:tcBorders>
              <w:top w:val="nil"/>
            </w:tcBorders>
            <w:shd w:val="clear" w:color="auto" w:fill="F2F2F2" w:themeFill="background1" w:themeFillShade="F2"/>
            <w:vAlign w:val="center"/>
            <w:hideMark/>
          </w:tcPr>
          <w:p w14:paraId="04261446" w14:textId="77777777" w:rsidR="00437760" w:rsidRPr="00255081" w:rsidRDefault="00437760" w:rsidP="00437760">
            <w:pPr>
              <w:spacing w:after="0" w:line="240" w:lineRule="auto"/>
              <w:ind w:left="170"/>
              <w:rPr>
                <w:rFonts w:ascii="Montserrat" w:eastAsia="Times New Roman" w:hAnsi="Montserrat" w:cs="Calibri"/>
                <w:color w:val="000000"/>
                <w:sz w:val="15"/>
                <w:szCs w:val="15"/>
                <w:lang w:val="es-MX" w:eastAsia="es-MX"/>
              </w:rPr>
            </w:pPr>
            <w:r w:rsidRPr="00255081">
              <w:rPr>
                <w:rFonts w:ascii="Montserrat" w:eastAsia="Times New Roman" w:hAnsi="Montserrat" w:cs="Calibri"/>
                <w:color w:val="000000"/>
                <w:sz w:val="15"/>
                <w:szCs w:val="15"/>
                <w:lang w:val="es-MX" w:eastAsia="es-MX"/>
              </w:rPr>
              <w:t>Movilización de Fondos</w:t>
            </w:r>
          </w:p>
        </w:tc>
        <w:tc>
          <w:tcPr>
            <w:tcW w:w="2098" w:type="dxa"/>
            <w:tcBorders>
              <w:top w:val="nil"/>
            </w:tcBorders>
            <w:shd w:val="clear" w:color="auto" w:fill="F2F2F2" w:themeFill="background1" w:themeFillShade="F2"/>
            <w:vAlign w:val="center"/>
          </w:tcPr>
          <w:p w14:paraId="43E4646C" w14:textId="77777777" w:rsidR="00437760" w:rsidRPr="00255081" w:rsidRDefault="00072641" w:rsidP="00072641">
            <w:pPr>
              <w:spacing w:after="0" w:line="240" w:lineRule="auto"/>
              <w:jc w:val="right"/>
              <w:rPr>
                <w:rFonts w:ascii="Montserrat" w:eastAsia="Times New Roman" w:hAnsi="Montserrat" w:cs="Calibri"/>
                <w:sz w:val="15"/>
                <w:szCs w:val="15"/>
                <w:lang w:eastAsia="es-MX"/>
              </w:rPr>
            </w:pPr>
            <w:r w:rsidRPr="00255081">
              <w:rPr>
                <w:rFonts w:ascii="Montserrat" w:eastAsia="Times New Roman" w:hAnsi="Montserrat" w:cs="Calibri"/>
                <w:sz w:val="15"/>
                <w:szCs w:val="15"/>
                <w:lang w:eastAsia="es-MX"/>
              </w:rPr>
              <w:t>301,921,905</w:t>
            </w:r>
          </w:p>
        </w:tc>
        <w:tc>
          <w:tcPr>
            <w:tcW w:w="2098" w:type="dxa"/>
            <w:tcBorders>
              <w:top w:val="nil"/>
            </w:tcBorders>
            <w:shd w:val="clear" w:color="auto" w:fill="F2F2F2" w:themeFill="background1" w:themeFillShade="F2"/>
            <w:vAlign w:val="center"/>
            <w:hideMark/>
          </w:tcPr>
          <w:p w14:paraId="2BED5668" w14:textId="77777777" w:rsidR="00437760" w:rsidRPr="00255081" w:rsidRDefault="00437760" w:rsidP="00437760">
            <w:pPr>
              <w:spacing w:after="0" w:line="240" w:lineRule="auto"/>
              <w:jc w:val="right"/>
              <w:rPr>
                <w:rFonts w:ascii="Montserrat" w:eastAsia="Times New Roman" w:hAnsi="Montserrat" w:cs="Calibri"/>
                <w:sz w:val="15"/>
                <w:szCs w:val="15"/>
                <w:lang w:eastAsia="es-MX"/>
              </w:rPr>
            </w:pPr>
            <w:r w:rsidRPr="00255081">
              <w:rPr>
                <w:rFonts w:ascii="Montserrat" w:eastAsia="Times New Roman" w:hAnsi="Montserrat" w:cs="Calibri"/>
                <w:sz w:val="15"/>
                <w:szCs w:val="15"/>
                <w:lang w:eastAsia="es-MX"/>
              </w:rPr>
              <w:t>300,436,235</w:t>
            </w:r>
          </w:p>
        </w:tc>
      </w:tr>
      <w:tr w:rsidR="00437760" w:rsidRPr="006F0DF1" w14:paraId="42D1D0EC" w14:textId="77777777" w:rsidTr="00A678D0">
        <w:trPr>
          <w:trHeight w:val="215"/>
        </w:trPr>
        <w:tc>
          <w:tcPr>
            <w:tcW w:w="5384" w:type="dxa"/>
            <w:tcBorders>
              <w:top w:val="nil"/>
            </w:tcBorders>
            <w:shd w:val="clear" w:color="auto" w:fill="F2F2F2" w:themeFill="background1" w:themeFillShade="F2"/>
            <w:vAlign w:val="center"/>
            <w:hideMark/>
          </w:tcPr>
          <w:p w14:paraId="0A9BD787" w14:textId="77777777" w:rsidR="00437760" w:rsidRPr="00255081" w:rsidRDefault="00437760" w:rsidP="00437760">
            <w:pPr>
              <w:spacing w:after="0" w:line="240" w:lineRule="auto"/>
              <w:ind w:left="170"/>
              <w:rPr>
                <w:rFonts w:ascii="Montserrat" w:eastAsia="Times New Roman" w:hAnsi="Montserrat" w:cs="Calibri"/>
                <w:color w:val="000000"/>
                <w:sz w:val="15"/>
                <w:szCs w:val="15"/>
                <w:lang w:val="es-MX" w:eastAsia="es-MX"/>
              </w:rPr>
            </w:pPr>
            <w:r w:rsidRPr="00255081">
              <w:rPr>
                <w:rFonts w:ascii="Montserrat" w:eastAsia="Times New Roman" w:hAnsi="Montserrat" w:cs="Calibri"/>
                <w:color w:val="000000"/>
                <w:sz w:val="15"/>
                <w:szCs w:val="15"/>
                <w:lang w:val="es-MX" w:eastAsia="es-MX"/>
              </w:rPr>
              <w:t>Otros</w:t>
            </w:r>
          </w:p>
        </w:tc>
        <w:tc>
          <w:tcPr>
            <w:tcW w:w="2098" w:type="dxa"/>
            <w:tcBorders>
              <w:top w:val="nil"/>
            </w:tcBorders>
            <w:shd w:val="clear" w:color="auto" w:fill="F2F2F2" w:themeFill="background1" w:themeFillShade="F2"/>
            <w:vAlign w:val="center"/>
          </w:tcPr>
          <w:p w14:paraId="17A802EE" w14:textId="77777777" w:rsidR="00437760" w:rsidRPr="00255081" w:rsidRDefault="00072641" w:rsidP="00072641">
            <w:pPr>
              <w:spacing w:after="0" w:line="240" w:lineRule="auto"/>
              <w:jc w:val="right"/>
              <w:rPr>
                <w:rFonts w:ascii="Montserrat" w:eastAsia="Times New Roman" w:hAnsi="Montserrat" w:cs="Calibri"/>
                <w:sz w:val="15"/>
                <w:szCs w:val="15"/>
                <w:lang w:eastAsia="es-MX"/>
              </w:rPr>
            </w:pPr>
            <w:r w:rsidRPr="00255081">
              <w:rPr>
                <w:rFonts w:ascii="Montserrat" w:eastAsia="Times New Roman" w:hAnsi="Montserrat" w:cs="Calibri"/>
                <w:sz w:val="15"/>
                <w:szCs w:val="15"/>
                <w:lang w:eastAsia="es-MX"/>
              </w:rPr>
              <w:t>11,482,170,223</w:t>
            </w:r>
          </w:p>
        </w:tc>
        <w:tc>
          <w:tcPr>
            <w:tcW w:w="2098" w:type="dxa"/>
            <w:tcBorders>
              <w:top w:val="nil"/>
            </w:tcBorders>
            <w:shd w:val="clear" w:color="auto" w:fill="F2F2F2" w:themeFill="background1" w:themeFillShade="F2"/>
            <w:vAlign w:val="center"/>
            <w:hideMark/>
          </w:tcPr>
          <w:p w14:paraId="2385105F" w14:textId="77777777" w:rsidR="00437760" w:rsidRPr="00255081" w:rsidRDefault="00437760" w:rsidP="00437760">
            <w:pPr>
              <w:spacing w:after="0" w:line="240" w:lineRule="auto"/>
              <w:jc w:val="right"/>
              <w:rPr>
                <w:rFonts w:ascii="Montserrat" w:eastAsia="Times New Roman" w:hAnsi="Montserrat" w:cs="Calibri"/>
                <w:sz w:val="15"/>
                <w:szCs w:val="15"/>
                <w:lang w:eastAsia="es-MX"/>
              </w:rPr>
            </w:pPr>
            <w:r w:rsidRPr="00255081">
              <w:rPr>
                <w:rFonts w:ascii="Montserrat" w:eastAsia="Times New Roman" w:hAnsi="Montserrat" w:cs="Calibri"/>
                <w:sz w:val="15"/>
                <w:szCs w:val="15"/>
                <w:lang w:eastAsia="es-MX"/>
              </w:rPr>
              <w:t xml:space="preserve">6,390,655,627    </w:t>
            </w:r>
          </w:p>
        </w:tc>
      </w:tr>
      <w:tr w:rsidR="00437760" w:rsidRPr="006F0DF1" w14:paraId="67C58F15" w14:textId="77777777" w:rsidTr="00A678D0">
        <w:trPr>
          <w:trHeight w:val="541"/>
        </w:trPr>
        <w:tc>
          <w:tcPr>
            <w:tcW w:w="5384" w:type="dxa"/>
            <w:tcBorders>
              <w:bottom w:val="single" w:sz="12" w:space="0" w:color="808080" w:themeColor="background1" w:themeShade="80"/>
            </w:tcBorders>
            <w:shd w:val="clear" w:color="auto" w:fill="F2F2F2" w:themeFill="background1" w:themeFillShade="F2"/>
            <w:vAlign w:val="center"/>
            <w:hideMark/>
          </w:tcPr>
          <w:p w14:paraId="0648C15C" w14:textId="77777777" w:rsidR="00437760" w:rsidRPr="00255081" w:rsidRDefault="00437760" w:rsidP="00437760">
            <w:pPr>
              <w:spacing w:after="0" w:line="240" w:lineRule="auto"/>
              <w:ind w:left="170"/>
              <w:jc w:val="right"/>
              <w:rPr>
                <w:rFonts w:ascii="Montserrat" w:eastAsia="Times New Roman" w:hAnsi="Montserrat" w:cs="Calibri"/>
                <w:b/>
                <w:bCs/>
                <w:color w:val="000000"/>
                <w:sz w:val="15"/>
                <w:szCs w:val="15"/>
                <w:lang w:val="es-MX" w:eastAsia="es-MX"/>
              </w:rPr>
            </w:pPr>
            <w:r w:rsidRPr="00255081">
              <w:rPr>
                <w:rFonts w:ascii="Montserrat" w:eastAsia="Times New Roman" w:hAnsi="Montserrat" w:cs="Calibri"/>
                <w:b/>
                <w:bCs/>
                <w:color w:val="000000"/>
                <w:sz w:val="15"/>
                <w:szCs w:val="15"/>
                <w:lang w:val="es-MX" w:eastAsia="es-MX"/>
              </w:rPr>
              <w:t>Total Otros Derechos a Recibir Efectivo o</w:t>
            </w:r>
          </w:p>
          <w:p w14:paraId="302E8ECF" w14:textId="77777777" w:rsidR="00437760" w:rsidRPr="00255081" w:rsidRDefault="00437760" w:rsidP="00437760">
            <w:pPr>
              <w:spacing w:after="0" w:line="240" w:lineRule="auto"/>
              <w:ind w:left="170"/>
              <w:jc w:val="right"/>
              <w:rPr>
                <w:rFonts w:ascii="Montserrat" w:eastAsia="Times New Roman" w:hAnsi="Montserrat" w:cs="Calibri"/>
                <w:b/>
                <w:bCs/>
                <w:color w:val="000000"/>
                <w:sz w:val="15"/>
                <w:szCs w:val="15"/>
                <w:lang w:val="es-MX" w:eastAsia="es-MX"/>
              </w:rPr>
            </w:pPr>
            <w:r w:rsidRPr="00255081">
              <w:rPr>
                <w:rFonts w:ascii="Montserrat" w:eastAsia="Times New Roman" w:hAnsi="Montserrat" w:cs="Calibri"/>
                <w:b/>
                <w:bCs/>
                <w:color w:val="000000"/>
                <w:sz w:val="15"/>
                <w:szCs w:val="15"/>
                <w:lang w:val="es-MX" w:eastAsia="es-MX"/>
              </w:rPr>
              <w:t>Equivalentes a Corto Plazo</w:t>
            </w:r>
          </w:p>
        </w:tc>
        <w:tc>
          <w:tcPr>
            <w:tcW w:w="2098" w:type="dxa"/>
            <w:tcBorders>
              <w:bottom w:val="single" w:sz="12" w:space="0" w:color="808080" w:themeColor="background1" w:themeShade="80"/>
            </w:tcBorders>
            <w:shd w:val="clear" w:color="auto" w:fill="F2F2F2" w:themeFill="background1" w:themeFillShade="F2"/>
            <w:vAlign w:val="center"/>
          </w:tcPr>
          <w:p w14:paraId="0529715F" w14:textId="77777777" w:rsidR="00437760" w:rsidRPr="00255081" w:rsidRDefault="00072641" w:rsidP="00072641">
            <w:pPr>
              <w:spacing w:after="0" w:line="240" w:lineRule="auto"/>
              <w:jc w:val="right"/>
              <w:rPr>
                <w:rFonts w:ascii="Montserrat" w:hAnsi="Montserrat" w:cs="Calibri"/>
                <w:b/>
                <w:bCs/>
                <w:sz w:val="15"/>
                <w:szCs w:val="15"/>
              </w:rPr>
            </w:pPr>
            <w:r w:rsidRPr="00255081">
              <w:rPr>
                <w:rFonts w:ascii="Montserrat" w:hAnsi="Montserrat" w:cs="Calibri"/>
                <w:b/>
                <w:bCs/>
                <w:sz w:val="15"/>
                <w:szCs w:val="15"/>
              </w:rPr>
              <w:t>6,543,370,646,008</w:t>
            </w:r>
          </w:p>
        </w:tc>
        <w:tc>
          <w:tcPr>
            <w:tcW w:w="2098" w:type="dxa"/>
            <w:tcBorders>
              <w:bottom w:val="single" w:sz="12" w:space="0" w:color="808080" w:themeColor="background1" w:themeShade="80"/>
            </w:tcBorders>
            <w:shd w:val="clear" w:color="auto" w:fill="F2F2F2" w:themeFill="background1" w:themeFillShade="F2"/>
            <w:vAlign w:val="center"/>
            <w:hideMark/>
          </w:tcPr>
          <w:p w14:paraId="21EEF8A5" w14:textId="77777777" w:rsidR="00437760" w:rsidRPr="00255081" w:rsidRDefault="00437760" w:rsidP="00072641">
            <w:pPr>
              <w:spacing w:after="0" w:line="240" w:lineRule="auto"/>
              <w:jc w:val="right"/>
              <w:rPr>
                <w:rFonts w:ascii="Montserrat" w:hAnsi="Montserrat" w:cs="Calibri"/>
                <w:b/>
                <w:bCs/>
                <w:sz w:val="15"/>
                <w:szCs w:val="15"/>
              </w:rPr>
            </w:pPr>
            <w:r w:rsidRPr="00255081">
              <w:rPr>
                <w:rFonts w:ascii="Montserrat" w:hAnsi="Montserrat" w:cs="Calibri"/>
                <w:b/>
                <w:bCs/>
                <w:sz w:val="15"/>
                <w:szCs w:val="15"/>
              </w:rPr>
              <w:t>5,471,797,731,862</w:t>
            </w:r>
          </w:p>
        </w:tc>
      </w:tr>
    </w:tbl>
    <w:p w14:paraId="210EFADD" w14:textId="77777777" w:rsidR="00F61032" w:rsidRDefault="00F61032" w:rsidP="006D1082">
      <w:pPr>
        <w:pStyle w:val="Prrafodelista"/>
        <w:ind w:left="0"/>
        <w:contextualSpacing w:val="0"/>
        <w:jc w:val="both"/>
        <w:rPr>
          <w:rFonts w:ascii="Montserrat" w:hAnsi="Montserrat" w:cs="Arial"/>
          <w:spacing w:val="-1"/>
          <w:sz w:val="18"/>
          <w:szCs w:val="18"/>
        </w:rPr>
      </w:pPr>
    </w:p>
    <w:p w14:paraId="56BAA8C8" w14:textId="77777777" w:rsidR="009C3C24" w:rsidRDefault="00FD78D8" w:rsidP="003270CC">
      <w:pPr>
        <w:pStyle w:val="Prrafodelista"/>
        <w:numPr>
          <w:ilvl w:val="0"/>
          <w:numId w:val="14"/>
        </w:numPr>
        <w:spacing w:before="120" w:after="120" w:line="250" w:lineRule="exact"/>
        <w:ind w:left="714" w:hanging="357"/>
        <w:jc w:val="both"/>
        <w:rPr>
          <w:rFonts w:ascii="Montserrat" w:hAnsi="Montserrat" w:cs="Arial"/>
          <w:spacing w:val="-1"/>
          <w:sz w:val="18"/>
          <w:szCs w:val="18"/>
        </w:rPr>
      </w:pPr>
      <w:r w:rsidRPr="00DD0D81">
        <w:rPr>
          <w:rFonts w:ascii="Montserrat" w:hAnsi="Montserrat" w:cs="Arial"/>
          <w:spacing w:val="-1"/>
          <w:sz w:val="18"/>
          <w:szCs w:val="18"/>
        </w:rPr>
        <w:t>Depósitos para Regulación Monetaria y Descuentos</w:t>
      </w:r>
      <w:r w:rsidR="00F61032">
        <w:rPr>
          <w:rFonts w:ascii="Montserrat" w:hAnsi="Montserrat" w:cs="Arial"/>
          <w:spacing w:val="-1"/>
          <w:sz w:val="18"/>
          <w:szCs w:val="18"/>
        </w:rPr>
        <w:t>, se integra de la siguiente manera:</w:t>
      </w:r>
    </w:p>
    <w:tbl>
      <w:tblPr>
        <w:tblW w:w="10190" w:type="dxa"/>
        <w:tblInd w:w="1276" w:type="dxa"/>
        <w:tblCellMar>
          <w:left w:w="70" w:type="dxa"/>
          <w:right w:w="70" w:type="dxa"/>
        </w:tblCellMar>
        <w:tblLook w:val="04A0" w:firstRow="1" w:lastRow="0" w:firstColumn="1" w:lastColumn="0" w:noHBand="0" w:noVBand="1"/>
      </w:tblPr>
      <w:tblGrid>
        <w:gridCol w:w="5994"/>
        <w:gridCol w:w="2098"/>
        <w:gridCol w:w="2098"/>
      </w:tblGrid>
      <w:tr w:rsidR="009C3C24" w:rsidRPr="006F0DF1" w14:paraId="1330CEA8" w14:textId="77777777" w:rsidTr="00F9214E">
        <w:trPr>
          <w:trHeight w:val="305"/>
        </w:trPr>
        <w:tc>
          <w:tcPr>
            <w:tcW w:w="10190" w:type="dxa"/>
            <w:gridSpan w:val="3"/>
            <w:tcBorders>
              <w:top w:val="nil"/>
              <w:left w:val="nil"/>
              <w:bottom w:val="single" w:sz="12" w:space="0" w:color="808080" w:themeColor="background1" w:themeShade="80"/>
              <w:right w:val="nil"/>
            </w:tcBorders>
            <w:shd w:val="clear" w:color="auto" w:fill="auto"/>
            <w:vAlign w:val="center"/>
            <w:hideMark/>
          </w:tcPr>
          <w:p w14:paraId="51E9D8D9" w14:textId="77777777" w:rsidR="004E5899" w:rsidRPr="00936371" w:rsidRDefault="009C3C24" w:rsidP="00E52592">
            <w:pPr>
              <w:spacing w:after="60" w:line="240" w:lineRule="auto"/>
              <w:jc w:val="center"/>
              <w:rPr>
                <w:rFonts w:ascii="Montserrat" w:eastAsia="Times New Roman" w:hAnsi="Montserrat" w:cs="Calibri"/>
                <w:bCs/>
                <w:sz w:val="16"/>
                <w:szCs w:val="16"/>
                <w:lang w:val="es-MX" w:eastAsia="es-MX"/>
              </w:rPr>
            </w:pPr>
            <w:r w:rsidRPr="00936371">
              <w:rPr>
                <w:rFonts w:ascii="Montserrat" w:eastAsia="Times New Roman" w:hAnsi="Montserrat" w:cs="Calibri"/>
                <w:bCs/>
                <w:sz w:val="16"/>
                <w:szCs w:val="16"/>
                <w:lang w:val="es-MX" w:eastAsia="es-MX"/>
              </w:rPr>
              <w:t>(Pesos)</w:t>
            </w:r>
          </w:p>
        </w:tc>
      </w:tr>
      <w:tr w:rsidR="004E5899" w:rsidRPr="006F0DF1" w14:paraId="648FD39E" w14:textId="77777777" w:rsidTr="00F9214E">
        <w:trPr>
          <w:trHeight w:val="57"/>
        </w:trPr>
        <w:tc>
          <w:tcPr>
            <w:tcW w:w="10190" w:type="dxa"/>
            <w:gridSpan w:val="3"/>
            <w:tcBorders>
              <w:top w:val="single" w:sz="12" w:space="0" w:color="808080" w:themeColor="background1" w:themeShade="80"/>
            </w:tcBorders>
            <w:shd w:val="clear" w:color="auto" w:fill="auto"/>
            <w:vAlign w:val="center"/>
          </w:tcPr>
          <w:p w14:paraId="5274C3FE" w14:textId="77777777" w:rsidR="004E5899" w:rsidRPr="00EE1A04" w:rsidRDefault="004E5899" w:rsidP="002F797B">
            <w:pPr>
              <w:spacing w:after="0" w:line="240" w:lineRule="auto"/>
              <w:jc w:val="center"/>
              <w:rPr>
                <w:rFonts w:ascii="Montserrat" w:eastAsia="Times New Roman" w:hAnsi="Montserrat" w:cs="Calibri"/>
                <w:b/>
                <w:bCs/>
                <w:color w:val="FFFFFF"/>
                <w:sz w:val="4"/>
                <w:szCs w:val="4"/>
                <w:lang w:val="es-MX" w:eastAsia="es-MX"/>
              </w:rPr>
            </w:pPr>
          </w:p>
        </w:tc>
      </w:tr>
      <w:tr w:rsidR="009C3C24" w:rsidRPr="006F0DF1" w14:paraId="51630B40" w14:textId="77777777" w:rsidTr="006D1082">
        <w:trPr>
          <w:trHeight w:val="159"/>
        </w:trPr>
        <w:tc>
          <w:tcPr>
            <w:tcW w:w="5994" w:type="dxa"/>
            <w:vMerge w:val="restart"/>
            <w:tcBorders>
              <w:bottom w:val="double" w:sz="12" w:space="0" w:color="808080" w:themeColor="background1" w:themeShade="80"/>
              <w:right w:val="single" w:sz="8" w:space="0" w:color="FFFFFF" w:themeColor="background1"/>
            </w:tcBorders>
            <w:shd w:val="clear" w:color="auto" w:fill="D4C19C"/>
            <w:vAlign w:val="center"/>
            <w:hideMark/>
          </w:tcPr>
          <w:p w14:paraId="7CB64743" w14:textId="77777777" w:rsidR="009C3C24" w:rsidRPr="006F0DF1" w:rsidRDefault="009C3C24" w:rsidP="002F797B">
            <w:pPr>
              <w:spacing w:after="0" w:line="240" w:lineRule="auto"/>
              <w:jc w:val="center"/>
              <w:rPr>
                <w:rFonts w:ascii="Montserrat" w:eastAsia="Times New Roman" w:hAnsi="Montserrat" w:cs="Calibri"/>
                <w:b/>
                <w:bCs/>
                <w:color w:val="FFFFFF"/>
                <w:sz w:val="16"/>
                <w:szCs w:val="16"/>
                <w:lang w:val="es-MX" w:eastAsia="es-MX"/>
              </w:rPr>
            </w:pPr>
            <w:r w:rsidRPr="006F0DF1">
              <w:rPr>
                <w:rFonts w:ascii="Montserrat" w:eastAsia="Times New Roman" w:hAnsi="Montserrat" w:cs="Calibri"/>
                <w:b/>
                <w:bCs/>
                <w:color w:val="FFFFFF"/>
                <w:sz w:val="16"/>
                <w:szCs w:val="16"/>
                <w:lang w:val="es-MX" w:eastAsia="es-MX"/>
              </w:rPr>
              <w:t>Concepto</w:t>
            </w:r>
          </w:p>
        </w:tc>
        <w:tc>
          <w:tcPr>
            <w:tcW w:w="4196" w:type="dxa"/>
            <w:gridSpan w:val="2"/>
            <w:tcBorders>
              <w:left w:val="single" w:sz="8" w:space="0" w:color="FFFFFF" w:themeColor="background1"/>
              <w:bottom w:val="single" w:sz="8" w:space="0" w:color="FFFFFF" w:themeColor="background1"/>
              <w:right w:val="single" w:sz="8" w:space="0" w:color="FFFFFF" w:themeColor="background1"/>
            </w:tcBorders>
            <w:shd w:val="clear" w:color="auto" w:fill="D4C19C"/>
            <w:vAlign w:val="center"/>
            <w:hideMark/>
          </w:tcPr>
          <w:p w14:paraId="77D8C0A2" w14:textId="77777777" w:rsidR="009C3C24" w:rsidRPr="006F0DF1" w:rsidRDefault="009C3C24" w:rsidP="002F797B">
            <w:pPr>
              <w:spacing w:after="0" w:line="240" w:lineRule="auto"/>
              <w:jc w:val="center"/>
              <w:rPr>
                <w:rFonts w:ascii="Montserrat" w:eastAsia="Times New Roman" w:hAnsi="Montserrat" w:cs="Calibri"/>
                <w:b/>
                <w:bCs/>
                <w:color w:val="FFFFFF"/>
                <w:sz w:val="16"/>
                <w:szCs w:val="16"/>
                <w:lang w:val="es-MX" w:eastAsia="es-MX"/>
              </w:rPr>
            </w:pPr>
            <w:r w:rsidRPr="006F0DF1">
              <w:rPr>
                <w:rFonts w:ascii="Montserrat" w:eastAsia="Times New Roman" w:hAnsi="Montserrat" w:cs="Calibri"/>
                <w:b/>
                <w:bCs/>
                <w:color w:val="FFFFFF"/>
                <w:sz w:val="16"/>
                <w:szCs w:val="16"/>
                <w:lang w:val="es-MX" w:eastAsia="es-MX"/>
              </w:rPr>
              <w:t>Saldo</w:t>
            </w:r>
          </w:p>
        </w:tc>
      </w:tr>
      <w:tr w:rsidR="009C3C24" w:rsidRPr="006F0DF1" w14:paraId="193F1FFF" w14:textId="77777777" w:rsidTr="006D1082">
        <w:trPr>
          <w:trHeight w:val="20"/>
        </w:trPr>
        <w:tc>
          <w:tcPr>
            <w:tcW w:w="5994" w:type="dxa"/>
            <w:vMerge/>
            <w:tcBorders>
              <w:top w:val="double" w:sz="12" w:space="0" w:color="808080" w:themeColor="background1" w:themeShade="80"/>
              <w:bottom w:val="double" w:sz="12" w:space="0" w:color="808080" w:themeColor="background1" w:themeShade="80"/>
              <w:right w:val="single" w:sz="8" w:space="0" w:color="FFFFFF" w:themeColor="background1"/>
            </w:tcBorders>
            <w:shd w:val="clear" w:color="auto" w:fill="D4C19C"/>
            <w:vAlign w:val="center"/>
            <w:hideMark/>
          </w:tcPr>
          <w:p w14:paraId="5FB36E97" w14:textId="77777777" w:rsidR="009C3C24" w:rsidRPr="006F0DF1" w:rsidRDefault="009C3C24" w:rsidP="002F797B">
            <w:pPr>
              <w:spacing w:after="0" w:line="240" w:lineRule="auto"/>
              <w:rPr>
                <w:rFonts w:ascii="Montserrat" w:eastAsia="Times New Roman" w:hAnsi="Montserrat" w:cs="Calibri"/>
                <w:b/>
                <w:bCs/>
                <w:color w:val="FFFFFF"/>
                <w:sz w:val="16"/>
                <w:szCs w:val="16"/>
                <w:lang w:val="es-MX" w:eastAsia="es-MX"/>
              </w:rPr>
            </w:pPr>
          </w:p>
        </w:tc>
        <w:tc>
          <w:tcPr>
            <w:tcW w:w="2098" w:type="dxa"/>
            <w:tcBorders>
              <w:left w:val="single" w:sz="8" w:space="0" w:color="FFFFFF" w:themeColor="background1"/>
              <w:bottom w:val="double" w:sz="12" w:space="0" w:color="808080" w:themeColor="background1" w:themeShade="80"/>
              <w:right w:val="single" w:sz="8" w:space="0" w:color="FFFFFF" w:themeColor="background1"/>
            </w:tcBorders>
            <w:shd w:val="clear" w:color="auto" w:fill="D4C19C"/>
            <w:vAlign w:val="center"/>
            <w:hideMark/>
          </w:tcPr>
          <w:p w14:paraId="01A6769E" w14:textId="77777777" w:rsidR="009C3C24" w:rsidRPr="006F0DF1" w:rsidRDefault="009C3C24" w:rsidP="002F797B">
            <w:pPr>
              <w:spacing w:after="0" w:line="240" w:lineRule="auto"/>
              <w:jc w:val="center"/>
              <w:rPr>
                <w:rFonts w:ascii="Montserrat" w:eastAsia="Times New Roman" w:hAnsi="Montserrat" w:cs="Calibri"/>
                <w:b/>
                <w:bCs/>
                <w:color w:val="FFFFFF"/>
                <w:sz w:val="16"/>
                <w:szCs w:val="16"/>
                <w:lang w:val="es-MX" w:eastAsia="es-MX"/>
              </w:rPr>
            </w:pPr>
            <w:r w:rsidRPr="006F0DF1">
              <w:rPr>
                <w:rFonts w:ascii="Montserrat" w:eastAsia="Times New Roman" w:hAnsi="Montserrat" w:cs="Calibri"/>
                <w:b/>
                <w:bCs/>
                <w:color w:val="FFFFFF"/>
                <w:sz w:val="16"/>
                <w:szCs w:val="16"/>
                <w:lang w:val="es-MX" w:eastAsia="es-MX"/>
              </w:rPr>
              <w:t>Deudor</w:t>
            </w:r>
          </w:p>
        </w:tc>
        <w:tc>
          <w:tcPr>
            <w:tcW w:w="2098" w:type="dxa"/>
            <w:tcBorders>
              <w:left w:val="single" w:sz="8" w:space="0" w:color="FFFFFF" w:themeColor="background1"/>
              <w:bottom w:val="double" w:sz="12" w:space="0" w:color="808080" w:themeColor="background1" w:themeShade="80"/>
              <w:right w:val="single" w:sz="8" w:space="0" w:color="FFFFFF" w:themeColor="background1"/>
            </w:tcBorders>
            <w:shd w:val="clear" w:color="auto" w:fill="D4C19C"/>
            <w:vAlign w:val="center"/>
            <w:hideMark/>
          </w:tcPr>
          <w:p w14:paraId="6A21441E" w14:textId="77777777" w:rsidR="009C3C24" w:rsidRPr="006F0DF1" w:rsidRDefault="009C3C24" w:rsidP="002F797B">
            <w:pPr>
              <w:spacing w:after="0" w:line="240" w:lineRule="auto"/>
              <w:jc w:val="center"/>
              <w:rPr>
                <w:rFonts w:ascii="Montserrat" w:eastAsia="Times New Roman" w:hAnsi="Montserrat" w:cs="Calibri"/>
                <w:b/>
                <w:bCs/>
                <w:color w:val="FFFFFF"/>
                <w:sz w:val="16"/>
                <w:szCs w:val="16"/>
                <w:lang w:val="es-MX" w:eastAsia="es-MX"/>
              </w:rPr>
            </w:pPr>
            <w:r w:rsidRPr="006F0DF1">
              <w:rPr>
                <w:rFonts w:ascii="Montserrat" w:eastAsia="Times New Roman" w:hAnsi="Montserrat" w:cs="Calibri"/>
                <w:b/>
                <w:bCs/>
                <w:color w:val="FFFFFF"/>
                <w:sz w:val="16"/>
                <w:szCs w:val="16"/>
                <w:lang w:val="es-MX" w:eastAsia="es-MX"/>
              </w:rPr>
              <w:t>Acreedor</w:t>
            </w:r>
          </w:p>
        </w:tc>
      </w:tr>
      <w:tr w:rsidR="001C5194" w:rsidRPr="006F0DF1" w14:paraId="6921E4DA" w14:textId="77777777" w:rsidTr="00A678D0">
        <w:trPr>
          <w:trHeight w:val="215"/>
        </w:trPr>
        <w:tc>
          <w:tcPr>
            <w:tcW w:w="5994" w:type="dxa"/>
            <w:tcBorders>
              <w:top w:val="double" w:sz="12" w:space="0" w:color="808080" w:themeColor="background1" w:themeShade="80"/>
            </w:tcBorders>
            <w:shd w:val="clear" w:color="auto" w:fill="F2F2F2" w:themeFill="background1" w:themeFillShade="F2"/>
            <w:vAlign w:val="center"/>
            <w:hideMark/>
          </w:tcPr>
          <w:p w14:paraId="25BB4A90" w14:textId="77777777" w:rsidR="001C5194" w:rsidRPr="00255081" w:rsidRDefault="001C5194" w:rsidP="001C5194">
            <w:pPr>
              <w:spacing w:after="0" w:line="240" w:lineRule="auto"/>
              <w:ind w:left="170"/>
              <w:jc w:val="both"/>
              <w:rPr>
                <w:rFonts w:ascii="Montserrat" w:eastAsia="Times New Roman" w:hAnsi="Montserrat" w:cs="Calibri"/>
                <w:color w:val="000000"/>
                <w:sz w:val="15"/>
                <w:szCs w:val="15"/>
                <w:lang w:val="es-MX" w:eastAsia="es-MX"/>
              </w:rPr>
            </w:pPr>
            <w:r w:rsidRPr="00255081">
              <w:rPr>
                <w:rFonts w:ascii="Montserrat" w:eastAsia="Times New Roman" w:hAnsi="Montserrat" w:cs="Calibri"/>
                <w:color w:val="000000"/>
                <w:sz w:val="15"/>
                <w:szCs w:val="15"/>
                <w:lang w:val="es-MX" w:eastAsia="es-MX"/>
              </w:rPr>
              <w:t>11292 “Descuentos por Recuperar por Colocación de Valores Gubernamentales a CP”</w:t>
            </w:r>
          </w:p>
        </w:tc>
        <w:tc>
          <w:tcPr>
            <w:tcW w:w="2098" w:type="dxa"/>
            <w:tcBorders>
              <w:top w:val="double" w:sz="12" w:space="0" w:color="808080" w:themeColor="background1" w:themeShade="80"/>
            </w:tcBorders>
            <w:shd w:val="clear" w:color="auto" w:fill="F2F2F2" w:themeFill="background1" w:themeFillShade="F2"/>
            <w:vAlign w:val="center"/>
          </w:tcPr>
          <w:p w14:paraId="1D283062" w14:textId="77777777" w:rsidR="001C5194" w:rsidRPr="00255081" w:rsidRDefault="00072641" w:rsidP="001C5194">
            <w:pPr>
              <w:spacing w:after="0" w:line="240" w:lineRule="auto"/>
              <w:jc w:val="right"/>
              <w:rPr>
                <w:rFonts w:ascii="Montserrat" w:eastAsia="Times New Roman" w:hAnsi="Montserrat" w:cs="Calibri"/>
                <w:sz w:val="15"/>
                <w:szCs w:val="15"/>
                <w:highlight w:val="yellow"/>
                <w:lang w:eastAsia="es-MX"/>
              </w:rPr>
            </w:pPr>
            <w:r w:rsidRPr="00255081">
              <w:rPr>
                <w:rFonts w:ascii="Montserrat" w:eastAsia="Times New Roman" w:hAnsi="Montserrat" w:cs="Calibri"/>
                <w:sz w:val="15"/>
                <w:szCs w:val="15"/>
                <w:lang w:eastAsia="es-MX"/>
              </w:rPr>
              <w:t>62,182,179,600</w:t>
            </w:r>
          </w:p>
        </w:tc>
        <w:tc>
          <w:tcPr>
            <w:tcW w:w="2098" w:type="dxa"/>
            <w:tcBorders>
              <w:top w:val="double" w:sz="12" w:space="0" w:color="808080" w:themeColor="background1" w:themeShade="80"/>
            </w:tcBorders>
            <w:shd w:val="clear" w:color="auto" w:fill="F2F2F2" w:themeFill="background1" w:themeFillShade="F2"/>
            <w:vAlign w:val="center"/>
          </w:tcPr>
          <w:p w14:paraId="29D4F0AD" w14:textId="77777777" w:rsidR="001C5194" w:rsidRPr="00255081" w:rsidRDefault="001C5194" w:rsidP="001C5194">
            <w:pPr>
              <w:spacing w:after="0" w:line="240" w:lineRule="auto"/>
              <w:jc w:val="right"/>
              <w:rPr>
                <w:rFonts w:ascii="Montserrat" w:eastAsia="Times New Roman" w:hAnsi="Montserrat" w:cs="Calibri"/>
                <w:sz w:val="15"/>
                <w:szCs w:val="15"/>
                <w:lang w:eastAsia="es-MX"/>
              </w:rPr>
            </w:pPr>
            <w:r w:rsidRPr="00255081">
              <w:rPr>
                <w:rFonts w:ascii="Montserrat" w:eastAsia="Times New Roman" w:hAnsi="Montserrat" w:cs="Calibri"/>
                <w:sz w:val="15"/>
                <w:szCs w:val="15"/>
                <w:lang w:eastAsia="es-MX"/>
              </w:rPr>
              <w:t> </w:t>
            </w:r>
          </w:p>
        </w:tc>
      </w:tr>
      <w:tr w:rsidR="001C5194" w:rsidRPr="006F0DF1" w14:paraId="23C74AB7" w14:textId="77777777" w:rsidTr="00A678D0">
        <w:trPr>
          <w:trHeight w:val="215"/>
        </w:trPr>
        <w:tc>
          <w:tcPr>
            <w:tcW w:w="5994" w:type="dxa"/>
            <w:tcBorders>
              <w:top w:val="nil"/>
            </w:tcBorders>
            <w:shd w:val="clear" w:color="auto" w:fill="F2F2F2" w:themeFill="background1" w:themeFillShade="F2"/>
            <w:vAlign w:val="center"/>
            <w:hideMark/>
          </w:tcPr>
          <w:p w14:paraId="54556E63" w14:textId="77777777" w:rsidR="001C5194" w:rsidRPr="00255081" w:rsidRDefault="001C5194" w:rsidP="001C5194">
            <w:pPr>
              <w:spacing w:after="0" w:line="240" w:lineRule="auto"/>
              <w:ind w:left="170"/>
              <w:jc w:val="both"/>
              <w:rPr>
                <w:rFonts w:ascii="Montserrat" w:eastAsia="Times New Roman" w:hAnsi="Montserrat" w:cs="Calibri"/>
                <w:color w:val="000000"/>
                <w:sz w:val="15"/>
                <w:szCs w:val="15"/>
                <w:lang w:val="es-MX" w:eastAsia="es-MX"/>
              </w:rPr>
            </w:pPr>
            <w:r w:rsidRPr="00255081">
              <w:rPr>
                <w:rFonts w:ascii="Montserrat" w:eastAsia="Times New Roman" w:hAnsi="Montserrat" w:cs="Calibri"/>
                <w:color w:val="000000"/>
                <w:sz w:val="15"/>
                <w:szCs w:val="15"/>
                <w:lang w:val="es-MX" w:eastAsia="es-MX"/>
              </w:rPr>
              <w:t>11295 “Depósitos por Regulación Monetaria”</w:t>
            </w:r>
          </w:p>
        </w:tc>
        <w:tc>
          <w:tcPr>
            <w:tcW w:w="2098" w:type="dxa"/>
            <w:tcBorders>
              <w:top w:val="nil"/>
            </w:tcBorders>
            <w:shd w:val="clear" w:color="auto" w:fill="F2F2F2" w:themeFill="background1" w:themeFillShade="F2"/>
            <w:vAlign w:val="center"/>
          </w:tcPr>
          <w:p w14:paraId="6C78BB15" w14:textId="77777777" w:rsidR="001C5194" w:rsidRPr="00255081" w:rsidRDefault="00072641" w:rsidP="001C5194">
            <w:pPr>
              <w:spacing w:after="0" w:line="240" w:lineRule="auto"/>
              <w:jc w:val="right"/>
              <w:rPr>
                <w:rFonts w:ascii="Montserrat" w:eastAsia="Times New Roman" w:hAnsi="Montserrat" w:cs="Calibri"/>
                <w:sz w:val="15"/>
                <w:szCs w:val="15"/>
                <w:highlight w:val="yellow"/>
                <w:lang w:eastAsia="es-MX"/>
              </w:rPr>
            </w:pPr>
            <w:r w:rsidRPr="00255081">
              <w:rPr>
                <w:rFonts w:ascii="Montserrat" w:eastAsia="Times New Roman" w:hAnsi="Montserrat" w:cs="Calibri"/>
                <w:sz w:val="15"/>
                <w:szCs w:val="15"/>
                <w:lang w:eastAsia="es-MX"/>
              </w:rPr>
              <w:t>6,419,879,489,200</w:t>
            </w:r>
          </w:p>
        </w:tc>
        <w:tc>
          <w:tcPr>
            <w:tcW w:w="2098" w:type="dxa"/>
            <w:tcBorders>
              <w:top w:val="nil"/>
            </w:tcBorders>
            <w:shd w:val="clear" w:color="auto" w:fill="F2F2F2" w:themeFill="background1" w:themeFillShade="F2"/>
            <w:vAlign w:val="center"/>
          </w:tcPr>
          <w:p w14:paraId="6EADFCC7" w14:textId="77777777" w:rsidR="001C5194" w:rsidRPr="00255081" w:rsidRDefault="001C5194" w:rsidP="001C5194">
            <w:pPr>
              <w:spacing w:after="0" w:line="240" w:lineRule="auto"/>
              <w:jc w:val="right"/>
              <w:rPr>
                <w:rFonts w:ascii="Montserrat" w:eastAsia="Times New Roman" w:hAnsi="Montserrat" w:cs="Calibri"/>
                <w:sz w:val="15"/>
                <w:szCs w:val="15"/>
                <w:highlight w:val="yellow"/>
                <w:lang w:eastAsia="es-MX"/>
              </w:rPr>
            </w:pPr>
            <w:r w:rsidRPr="00255081">
              <w:rPr>
                <w:rFonts w:ascii="Montserrat" w:eastAsia="Times New Roman" w:hAnsi="Montserrat" w:cs="Calibri"/>
                <w:sz w:val="15"/>
                <w:szCs w:val="15"/>
                <w:lang w:eastAsia="es-MX"/>
              </w:rPr>
              <w:t> </w:t>
            </w:r>
          </w:p>
        </w:tc>
      </w:tr>
      <w:tr w:rsidR="001C5194" w:rsidRPr="006F0DF1" w14:paraId="31EBC42C" w14:textId="77777777" w:rsidTr="000F0321">
        <w:trPr>
          <w:trHeight w:val="215"/>
        </w:trPr>
        <w:tc>
          <w:tcPr>
            <w:tcW w:w="5994" w:type="dxa"/>
            <w:tcBorders>
              <w:top w:val="nil"/>
            </w:tcBorders>
            <w:shd w:val="clear" w:color="auto" w:fill="F2F2F2" w:themeFill="background1" w:themeFillShade="F2"/>
            <w:vAlign w:val="center"/>
            <w:hideMark/>
          </w:tcPr>
          <w:p w14:paraId="2F8A2207" w14:textId="77777777" w:rsidR="001C5194" w:rsidRPr="00255081" w:rsidRDefault="001C5194" w:rsidP="001C5194">
            <w:pPr>
              <w:spacing w:after="0" w:line="240" w:lineRule="auto"/>
              <w:ind w:left="170"/>
              <w:jc w:val="both"/>
              <w:rPr>
                <w:rFonts w:ascii="Montserrat" w:eastAsia="Times New Roman" w:hAnsi="Montserrat" w:cs="Calibri"/>
                <w:color w:val="000000"/>
                <w:sz w:val="15"/>
                <w:szCs w:val="15"/>
                <w:lang w:val="es-MX" w:eastAsia="es-MX"/>
              </w:rPr>
            </w:pPr>
            <w:r w:rsidRPr="00255081">
              <w:rPr>
                <w:rFonts w:ascii="Montserrat" w:eastAsia="Times New Roman" w:hAnsi="Montserrat" w:cs="Calibri"/>
                <w:color w:val="000000"/>
                <w:sz w:val="15"/>
                <w:szCs w:val="15"/>
                <w:lang w:val="es-MX" w:eastAsia="es-MX"/>
              </w:rPr>
              <w:t>22292 “Bonos y Títulos Destinados a Regulación Monetaria a LP”</w:t>
            </w:r>
          </w:p>
        </w:tc>
        <w:tc>
          <w:tcPr>
            <w:tcW w:w="2098" w:type="dxa"/>
            <w:tcBorders>
              <w:top w:val="nil"/>
            </w:tcBorders>
            <w:shd w:val="clear" w:color="auto" w:fill="F2F2F2" w:themeFill="background1" w:themeFillShade="F2"/>
            <w:vAlign w:val="center"/>
          </w:tcPr>
          <w:p w14:paraId="61482E53" w14:textId="77777777" w:rsidR="001C5194" w:rsidRPr="00255081" w:rsidRDefault="001C5194" w:rsidP="001C5194">
            <w:pPr>
              <w:spacing w:after="0" w:line="240" w:lineRule="auto"/>
              <w:jc w:val="right"/>
              <w:rPr>
                <w:rFonts w:ascii="Montserrat" w:eastAsia="Times New Roman" w:hAnsi="Montserrat" w:cs="Calibri"/>
                <w:sz w:val="15"/>
                <w:szCs w:val="15"/>
                <w:highlight w:val="yellow"/>
                <w:lang w:eastAsia="es-MX"/>
              </w:rPr>
            </w:pPr>
            <w:r w:rsidRPr="00255081">
              <w:rPr>
                <w:rFonts w:ascii="Montserrat" w:eastAsia="Times New Roman" w:hAnsi="Montserrat" w:cs="Calibri"/>
                <w:sz w:val="15"/>
                <w:szCs w:val="15"/>
                <w:lang w:eastAsia="es-MX"/>
              </w:rPr>
              <w:t> </w:t>
            </w:r>
          </w:p>
        </w:tc>
        <w:tc>
          <w:tcPr>
            <w:tcW w:w="2098" w:type="dxa"/>
            <w:tcBorders>
              <w:top w:val="nil"/>
            </w:tcBorders>
            <w:shd w:val="clear" w:color="auto" w:fill="F2F2F2" w:themeFill="background1" w:themeFillShade="F2"/>
            <w:vAlign w:val="center"/>
          </w:tcPr>
          <w:p w14:paraId="29260071" w14:textId="77777777" w:rsidR="001C5194" w:rsidRPr="00255081" w:rsidRDefault="00072641" w:rsidP="001C5194">
            <w:pPr>
              <w:spacing w:after="0" w:line="240" w:lineRule="auto"/>
              <w:jc w:val="right"/>
              <w:rPr>
                <w:rFonts w:ascii="Montserrat" w:eastAsia="Times New Roman" w:hAnsi="Montserrat" w:cs="Calibri"/>
                <w:sz w:val="15"/>
                <w:szCs w:val="15"/>
                <w:highlight w:val="yellow"/>
                <w:lang w:eastAsia="es-MX"/>
              </w:rPr>
            </w:pPr>
            <w:r w:rsidRPr="00255081">
              <w:rPr>
                <w:rFonts w:ascii="Montserrat" w:eastAsia="Times New Roman" w:hAnsi="Montserrat" w:cs="Calibri"/>
                <w:sz w:val="15"/>
                <w:szCs w:val="15"/>
                <w:lang w:eastAsia="es-MX"/>
              </w:rPr>
              <w:t>6,482,061,668,800</w:t>
            </w:r>
          </w:p>
        </w:tc>
      </w:tr>
      <w:tr w:rsidR="001C5194" w:rsidRPr="006F0DF1" w14:paraId="0C920C98" w14:textId="77777777" w:rsidTr="000F0321">
        <w:trPr>
          <w:trHeight w:val="215"/>
        </w:trPr>
        <w:tc>
          <w:tcPr>
            <w:tcW w:w="5994" w:type="dxa"/>
            <w:tcBorders>
              <w:bottom w:val="single" w:sz="12" w:space="0" w:color="808080" w:themeColor="background1" w:themeShade="80"/>
            </w:tcBorders>
            <w:shd w:val="clear" w:color="auto" w:fill="F2F2F2" w:themeFill="background1" w:themeFillShade="F2"/>
            <w:vAlign w:val="center"/>
            <w:hideMark/>
          </w:tcPr>
          <w:p w14:paraId="3CD18CA6" w14:textId="77777777" w:rsidR="001C5194" w:rsidRPr="00255081" w:rsidRDefault="001C5194" w:rsidP="001C5194">
            <w:pPr>
              <w:spacing w:after="0" w:line="240" w:lineRule="auto"/>
              <w:ind w:left="170"/>
              <w:jc w:val="right"/>
              <w:rPr>
                <w:rFonts w:ascii="Montserrat" w:eastAsia="Times New Roman" w:hAnsi="Montserrat" w:cs="Calibri"/>
                <w:b/>
                <w:bCs/>
                <w:color w:val="000000"/>
                <w:sz w:val="15"/>
                <w:szCs w:val="15"/>
                <w:lang w:val="es-MX" w:eastAsia="es-MX"/>
              </w:rPr>
            </w:pPr>
            <w:r w:rsidRPr="00255081">
              <w:rPr>
                <w:rFonts w:ascii="Montserrat" w:eastAsia="Times New Roman" w:hAnsi="Montserrat" w:cs="Calibri"/>
                <w:b/>
                <w:bCs/>
                <w:color w:val="000000"/>
                <w:sz w:val="15"/>
                <w:szCs w:val="15"/>
                <w:lang w:val="es-MX" w:eastAsia="es-MX"/>
              </w:rPr>
              <w:t>Depósitos para Regulación Monetaria y Descuentos</w:t>
            </w:r>
          </w:p>
        </w:tc>
        <w:tc>
          <w:tcPr>
            <w:tcW w:w="2098" w:type="dxa"/>
            <w:tcBorders>
              <w:bottom w:val="single" w:sz="12" w:space="0" w:color="808080" w:themeColor="background1" w:themeShade="80"/>
            </w:tcBorders>
            <w:shd w:val="clear" w:color="auto" w:fill="F2F2F2" w:themeFill="background1" w:themeFillShade="F2"/>
            <w:vAlign w:val="center"/>
          </w:tcPr>
          <w:p w14:paraId="4E0D8CC7" w14:textId="77777777" w:rsidR="001C5194" w:rsidRPr="00255081" w:rsidRDefault="00072641" w:rsidP="001C5194">
            <w:pPr>
              <w:spacing w:after="0" w:line="240" w:lineRule="auto"/>
              <w:jc w:val="right"/>
              <w:rPr>
                <w:rFonts w:ascii="Montserrat" w:eastAsia="Times New Roman" w:hAnsi="Montserrat" w:cs="Calibri"/>
                <w:b/>
                <w:bCs/>
                <w:sz w:val="15"/>
                <w:szCs w:val="15"/>
                <w:highlight w:val="yellow"/>
                <w:lang w:eastAsia="es-MX"/>
              </w:rPr>
            </w:pPr>
            <w:r w:rsidRPr="00255081">
              <w:rPr>
                <w:rFonts w:ascii="Montserrat" w:eastAsia="Times New Roman" w:hAnsi="Montserrat" w:cs="Calibri"/>
                <w:b/>
                <w:bCs/>
                <w:sz w:val="15"/>
                <w:szCs w:val="15"/>
                <w:lang w:eastAsia="es-MX"/>
              </w:rPr>
              <w:t>6,482,061,668,800</w:t>
            </w:r>
          </w:p>
        </w:tc>
        <w:tc>
          <w:tcPr>
            <w:tcW w:w="2098" w:type="dxa"/>
            <w:tcBorders>
              <w:bottom w:val="single" w:sz="12" w:space="0" w:color="808080" w:themeColor="background1" w:themeShade="80"/>
            </w:tcBorders>
            <w:shd w:val="clear" w:color="auto" w:fill="F2F2F2" w:themeFill="background1" w:themeFillShade="F2"/>
            <w:vAlign w:val="center"/>
          </w:tcPr>
          <w:p w14:paraId="78DE8B47" w14:textId="77777777" w:rsidR="001C5194" w:rsidRPr="00255081" w:rsidRDefault="00072641" w:rsidP="001C5194">
            <w:pPr>
              <w:spacing w:after="0" w:line="240" w:lineRule="auto"/>
              <w:jc w:val="right"/>
              <w:rPr>
                <w:rFonts w:ascii="Montserrat" w:eastAsia="Times New Roman" w:hAnsi="Montserrat" w:cs="Calibri"/>
                <w:b/>
                <w:bCs/>
                <w:sz w:val="15"/>
                <w:szCs w:val="15"/>
                <w:highlight w:val="yellow"/>
                <w:lang w:eastAsia="es-MX"/>
              </w:rPr>
            </w:pPr>
            <w:r w:rsidRPr="00255081">
              <w:rPr>
                <w:rFonts w:ascii="Montserrat" w:eastAsia="Times New Roman" w:hAnsi="Montserrat" w:cs="Calibri"/>
                <w:b/>
                <w:bCs/>
                <w:sz w:val="15"/>
                <w:szCs w:val="15"/>
                <w:lang w:eastAsia="es-MX"/>
              </w:rPr>
              <w:t>6,482,061,668,800</w:t>
            </w:r>
          </w:p>
        </w:tc>
      </w:tr>
    </w:tbl>
    <w:p w14:paraId="59F9E8FA" w14:textId="77777777" w:rsidR="00196194" w:rsidRDefault="00196194" w:rsidP="006D1082">
      <w:pPr>
        <w:pStyle w:val="Prrafodelista"/>
        <w:ind w:left="0"/>
        <w:contextualSpacing w:val="0"/>
        <w:jc w:val="both"/>
        <w:rPr>
          <w:rFonts w:ascii="Montserrat" w:hAnsi="Montserrat" w:cs="Arial"/>
          <w:spacing w:val="-1"/>
          <w:sz w:val="18"/>
          <w:szCs w:val="18"/>
        </w:rPr>
      </w:pPr>
    </w:p>
    <w:p w14:paraId="636B9CC7" w14:textId="77777777" w:rsidR="009C3C24" w:rsidRPr="00063579" w:rsidRDefault="00FD6524" w:rsidP="00063579">
      <w:pPr>
        <w:spacing w:after="120" w:line="250" w:lineRule="exact"/>
        <w:jc w:val="both"/>
        <w:rPr>
          <w:rFonts w:ascii="Montserrat" w:hAnsi="Montserrat"/>
          <w:sz w:val="18"/>
          <w:szCs w:val="18"/>
        </w:rPr>
      </w:pPr>
      <w:r>
        <w:rPr>
          <w:rFonts w:ascii="Montserrat" w:hAnsi="Montserrat"/>
          <w:sz w:val="18"/>
          <w:szCs w:val="18"/>
        </w:rPr>
        <w:t>A continuación se desglosa</w:t>
      </w:r>
      <w:r w:rsidR="00444424" w:rsidRPr="00063579">
        <w:rPr>
          <w:rFonts w:ascii="Montserrat" w:hAnsi="Montserrat"/>
          <w:sz w:val="18"/>
          <w:szCs w:val="18"/>
        </w:rPr>
        <w:t xml:space="preserve"> la información correspondiente a los instrumentos destinados al tramo de</w:t>
      </w:r>
      <w:r w:rsidR="009C3C24" w:rsidRPr="00063579">
        <w:rPr>
          <w:rFonts w:ascii="Montserrat" w:hAnsi="Montserrat"/>
          <w:sz w:val="18"/>
          <w:szCs w:val="18"/>
        </w:rPr>
        <w:t xml:space="preserve"> regulación monetaria, los depósitos para regulación monetaria y </w:t>
      </w:r>
      <w:r w:rsidR="000C2CE8" w:rsidRPr="00063579">
        <w:rPr>
          <w:rFonts w:ascii="Montserrat" w:hAnsi="Montserrat"/>
          <w:sz w:val="18"/>
          <w:szCs w:val="18"/>
        </w:rPr>
        <w:t xml:space="preserve">los </w:t>
      </w:r>
      <w:r w:rsidR="009C3C24" w:rsidRPr="00063579">
        <w:rPr>
          <w:rFonts w:ascii="Montserrat" w:hAnsi="Montserrat"/>
          <w:sz w:val="18"/>
          <w:szCs w:val="18"/>
        </w:rPr>
        <w:t>descuentos</w:t>
      </w:r>
      <w:r w:rsidR="000C2CE8" w:rsidRPr="00063579">
        <w:rPr>
          <w:rFonts w:ascii="Montserrat" w:hAnsi="Montserrat"/>
          <w:sz w:val="18"/>
          <w:szCs w:val="18"/>
        </w:rPr>
        <w:t xml:space="preserve"> para el mismo tramo</w:t>
      </w:r>
      <w:r w:rsidR="00B832D2">
        <w:rPr>
          <w:rFonts w:ascii="Montserrat" w:hAnsi="Montserrat"/>
          <w:sz w:val="18"/>
          <w:szCs w:val="18"/>
        </w:rPr>
        <w:t>.</w:t>
      </w:r>
    </w:p>
    <w:tbl>
      <w:tblPr>
        <w:tblW w:w="11199" w:type="dxa"/>
        <w:jc w:val="center"/>
        <w:tblCellMar>
          <w:left w:w="70" w:type="dxa"/>
          <w:right w:w="70" w:type="dxa"/>
        </w:tblCellMar>
        <w:tblLook w:val="04A0" w:firstRow="1" w:lastRow="0" w:firstColumn="1" w:lastColumn="0" w:noHBand="0" w:noVBand="1"/>
      </w:tblPr>
      <w:tblGrid>
        <w:gridCol w:w="3418"/>
        <w:gridCol w:w="1417"/>
        <w:gridCol w:w="2098"/>
        <w:gridCol w:w="2098"/>
        <w:gridCol w:w="2098"/>
        <w:gridCol w:w="70"/>
      </w:tblGrid>
      <w:tr w:rsidR="009C3C24" w:rsidRPr="006F0DF1" w14:paraId="393BEE8D" w14:textId="77777777" w:rsidTr="00B37277">
        <w:trPr>
          <w:trHeight w:val="215"/>
          <w:jc w:val="center"/>
        </w:trPr>
        <w:tc>
          <w:tcPr>
            <w:tcW w:w="11199" w:type="dxa"/>
            <w:gridSpan w:val="6"/>
            <w:shd w:val="clear" w:color="auto" w:fill="auto"/>
            <w:vAlign w:val="center"/>
            <w:hideMark/>
          </w:tcPr>
          <w:p w14:paraId="326A75F4" w14:textId="77777777" w:rsidR="009C3C24" w:rsidRPr="00936371" w:rsidRDefault="009C3C24" w:rsidP="00E52592">
            <w:pPr>
              <w:spacing w:after="60" w:line="240" w:lineRule="auto"/>
              <w:jc w:val="center"/>
              <w:rPr>
                <w:rFonts w:ascii="Montserrat" w:eastAsia="Times New Roman" w:hAnsi="Montserrat" w:cs="Calibri"/>
                <w:bCs/>
                <w:sz w:val="16"/>
                <w:szCs w:val="16"/>
                <w:lang w:val="es-MX" w:eastAsia="es-MX"/>
              </w:rPr>
            </w:pPr>
            <w:r w:rsidRPr="00936371">
              <w:rPr>
                <w:rFonts w:ascii="Montserrat" w:eastAsia="Times New Roman" w:hAnsi="Montserrat" w:cs="Calibri"/>
                <w:bCs/>
                <w:sz w:val="16"/>
                <w:szCs w:val="16"/>
                <w:lang w:eastAsia="es-MX"/>
              </w:rPr>
              <w:t>(Pesos)</w:t>
            </w:r>
          </w:p>
        </w:tc>
      </w:tr>
      <w:tr w:rsidR="00BA395E" w:rsidRPr="00BA395E" w14:paraId="43C634F7" w14:textId="77777777" w:rsidTr="00B37277">
        <w:trPr>
          <w:gridAfter w:val="1"/>
          <w:wAfter w:w="70" w:type="dxa"/>
          <w:trHeight w:val="57"/>
          <w:jc w:val="center"/>
        </w:trPr>
        <w:tc>
          <w:tcPr>
            <w:tcW w:w="11129" w:type="dxa"/>
            <w:gridSpan w:val="5"/>
            <w:tcBorders>
              <w:top w:val="single" w:sz="12" w:space="0" w:color="808080" w:themeColor="background1" w:themeShade="80"/>
            </w:tcBorders>
            <w:shd w:val="clear" w:color="auto" w:fill="auto"/>
            <w:vAlign w:val="center"/>
          </w:tcPr>
          <w:p w14:paraId="4B3B7A0D" w14:textId="77777777" w:rsidR="00BA395E" w:rsidRPr="00BA395E" w:rsidRDefault="00BA395E" w:rsidP="002F797B">
            <w:pPr>
              <w:spacing w:after="0" w:line="240" w:lineRule="auto"/>
              <w:jc w:val="center"/>
              <w:rPr>
                <w:rFonts w:ascii="Montserrat" w:eastAsia="Times New Roman" w:hAnsi="Montserrat" w:cs="Calibri"/>
                <w:b/>
                <w:bCs/>
                <w:color w:val="FFFFFF"/>
                <w:sz w:val="4"/>
                <w:szCs w:val="4"/>
                <w:lang w:eastAsia="es-MX"/>
              </w:rPr>
            </w:pPr>
          </w:p>
        </w:tc>
      </w:tr>
      <w:tr w:rsidR="009C3C24" w:rsidRPr="006F0DF1" w14:paraId="250D727F" w14:textId="77777777" w:rsidTr="00D411B6">
        <w:trPr>
          <w:gridAfter w:val="1"/>
          <w:wAfter w:w="70" w:type="dxa"/>
          <w:trHeight w:val="215"/>
          <w:jc w:val="center"/>
        </w:trPr>
        <w:tc>
          <w:tcPr>
            <w:tcW w:w="3418" w:type="dxa"/>
            <w:vMerge w:val="restart"/>
            <w:tcBorders>
              <w:bottom w:val="double" w:sz="12" w:space="0" w:color="808080" w:themeColor="background1" w:themeShade="80"/>
              <w:right w:val="single" w:sz="8" w:space="0" w:color="FFFFFF" w:themeColor="background1"/>
            </w:tcBorders>
            <w:shd w:val="clear" w:color="auto" w:fill="D4C19C"/>
            <w:vAlign w:val="center"/>
            <w:hideMark/>
          </w:tcPr>
          <w:p w14:paraId="25EAC551" w14:textId="77777777" w:rsidR="009C3C24" w:rsidRPr="006F0DF1" w:rsidRDefault="009C3C24" w:rsidP="002F797B">
            <w:pPr>
              <w:spacing w:after="0" w:line="240" w:lineRule="auto"/>
              <w:jc w:val="center"/>
              <w:rPr>
                <w:rFonts w:ascii="Montserrat" w:eastAsia="Times New Roman" w:hAnsi="Montserrat" w:cs="Calibri"/>
                <w:b/>
                <w:bCs/>
                <w:color w:val="FFFFFF"/>
                <w:sz w:val="16"/>
                <w:szCs w:val="16"/>
                <w:lang w:val="es-MX" w:eastAsia="es-MX"/>
              </w:rPr>
            </w:pPr>
            <w:r w:rsidRPr="006F0DF1">
              <w:rPr>
                <w:rFonts w:ascii="Montserrat" w:eastAsia="Times New Roman" w:hAnsi="Montserrat" w:cs="Calibri"/>
                <w:b/>
                <w:bCs/>
                <w:color w:val="FFFFFF"/>
                <w:sz w:val="16"/>
                <w:szCs w:val="16"/>
                <w:lang w:eastAsia="es-MX"/>
              </w:rPr>
              <w:t>Tipo de Instrumento</w:t>
            </w:r>
          </w:p>
        </w:tc>
        <w:tc>
          <w:tcPr>
            <w:tcW w:w="1417" w:type="dxa"/>
            <w:vMerge w:val="restart"/>
            <w:tcBorders>
              <w:left w:val="single" w:sz="8" w:space="0" w:color="FFFFFF" w:themeColor="background1"/>
              <w:bottom w:val="double" w:sz="12" w:space="0" w:color="808080" w:themeColor="background1" w:themeShade="80"/>
              <w:right w:val="single" w:sz="8" w:space="0" w:color="FFFFFF" w:themeColor="background1"/>
            </w:tcBorders>
            <w:shd w:val="clear" w:color="auto" w:fill="D4C19C"/>
            <w:vAlign w:val="center"/>
            <w:hideMark/>
          </w:tcPr>
          <w:p w14:paraId="3AA0893F" w14:textId="77777777" w:rsidR="009C3C24" w:rsidRPr="006F0DF1" w:rsidRDefault="009C3C24" w:rsidP="002F797B">
            <w:pPr>
              <w:spacing w:after="0" w:line="240" w:lineRule="auto"/>
              <w:jc w:val="center"/>
              <w:rPr>
                <w:rFonts w:ascii="Montserrat" w:eastAsia="Times New Roman" w:hAnsi="Montserrat" w:cs="Calibri"/>
                <w:b/>
                <w:bCs/>
                <w:color w:val="FFFFFF"/>
                <w:sz w:val="16"/>
                <w:szCs w:val="16"/>
                <w:lang w:val="es-MX" w:eastAsia="es-MX"/>
              </w:rPr>
            </w:pPr>
            <w:r w:rsidRPr="006F0DF1">
              <w:rPr>
                <w:rFonts w:ascii="Montserrat" w:eastAsia="Times New Roman" w:hAnsi="Montserrat" w:cs="Calibri"/>
                <w:b/>
                <w:bCs/>
                <w:color w:val="FFFFFF"/>
                <w:sz w:val="16"/>
                <w:szCs w:val="16"/>
                <w:lang w:eastAsia="es-MX"/>
              </w:rPr>
              <w:t>Siglas</w:t>
            </w:r>
          </w:p>
        </w:tc>
        <w:tc>
          <w:tcPr>
            <w:tcW w:w="2098" w:type="dxa"/>
            <w:tcBorders>
              <w:left w:val="single" w:sz="8" w:space="0" w:color="FFFFFF" w:themeColor="background1"/>
              <w:right w:val="single" w:sz="8" w:space="0" w:color="FFFFFF" w:themeColor="background1"/>
            </w:tcBorders>
            <w:shd w:val="clear" w:color="auto" w:fill="D4C19C"/>
            <w:vAlign w:val="center"/>
            <w:hideMark/>
          </w:tcPr>
          <w:p w14:paraId="3BBE010A" w14:textId="77777777" w:rsidR="009C3C24" w:rsidRPr="006F0DF1" w:rsidRDefault="009C3C24" w:rsidP="002F797B">
            <w:pPr>
              <w:spacing w:after="0" w:line="240" w:lineRule="auto"/>
              <w:jc w:val="center"/>
              <w:rPr>
                <w:rFonts w:ascii="Montserrat" w:eastAsia="Times New Roman" w:hAnsi="Montserrat" w:cs="Calibri"/>
                <w:b/>
                <w:bCs/>
                <w:color w:val="FFFFFF"/>
                <w:sz w:val="16"/>
                <w:szCs w:val="16"/>
                <w:lang w:val="es-MX" w:eastAsia="es-MX"/>
              </w:rPr>
            </w:pPr>
            <w:r w:rsidRPr="006F0DF1">
              <w:rPr>
                <w:rFonts w:ascii="Montserrat" w:eastAsia="Times New Roman" w:hAnsi="Montserrat" w:cs="Calibri"/>
                <w:b/>
                <w:bCs/>
                <w:color w:val="FFFFFF"/>
                <w:sz w:val="16"/>
                <w:szCs w:val="16"/>
                <w:lang w:eastAsia="es-MX"/>
              </w:rPr>
              <w:t>Total</w:t>
            </w:r>
          </w:p>
        </w:tc>
        <w:tc>
          <w:tcPr>
            <w:tcW w:w="2098" w:type="dxa"/>
            <w:tcBorders>
              <w:left w:val="single" w:sz="8" w:space="0" w:color="FFFFFF" w:themeColor="background1"/>
              <w:right w:val="single" w:sz="8" w:space="0" w:color="FFFFFF" w:themeColor="background1"/>
            </w:tcBorders>
            <w:shd w:val="clear" w:color="auto" w:fill="D4C19C"/>
            <w:vAlign w:val="center"/>
            <w:hideMark/>
          </w:tcPr>
          <w:p w14:paraId="033ABD98" w14:textId="77777777" w:rsidR="009C3C24" w:rsidRPr="006F0DF1" w:rsidRDefault="009C3C24" w:rsidP="002F797B">
            <w:pPr>
              <w:spacing w:after="0" w:line="240" w:lineRule="auto"/>
              <w:jc w:val="center"/>
              <w:rPr>
                <w:rFonts w:ascii="Montserrat" w:eastAsia="Times New Roman" w:hAnsi="Montserrat" w:cs="Calibri"/>
                <w:b/>
                <w:bCs/>
                <w:color w:val="FFFFFF"/>
                <w:sz w:val="16"/>
                <w:szCs w:val="16"/>
                <w:lang w:val="es-MX" w:eastAsia="es-MX"/>
              </w:rPr>
            </w:pPr>
            <w:r w:rsidRPr="006F0DF1">
              <w:rPr>
                <w:rFonts w:ascii="Montserrat" w:eastAsia="Times New Roman" w:hAnsi="Montserrat" w:cs="Calibri"/>
                <w:b/>
                <w:bCs/>
                <w:color w:val="FFFFFF"/>
                <w:sz w:val="16"/>
                <w:szCs w:val="16"/>
                <w:lang w:eastAsia="es-MX"/>
              </w:rPr>
              <w:t>Depósitos para regulación monetaria</w:t>
            </w:r>
          </w:p>
        </w:tc>
        <w:tc>
          <w:tcPr>
            <w:tcW w:w="2098" w:type="dxa"/>
            <w:vMerge w:val="restart"/>
            <w:tcBorders>
              <w:left w:val="single" w:sz="8" w:space="0" w:color="FFFFFF" w:themeColor="background1"/>
              <w:bottom w:val="double" w:sz="12" w:space="0" w:color="808080" w:themeColor="background1" w:themeShade="80"/>
            </w:tcBorders>
            <w:shd w:val="clear" w:color="auto" w:fill="D4C19C"/>
            <w:vAlign w:val="center"/>
            <w:hideMark/>
          </w:tcPr>
          <w:p w14:paraId="7F882557" w14:textId="77777777" w:rsidR="009C3C24" w:rsidRPr="006F0DF1" w:rsidRDefault="009C3C24" w:rsidP="002F797B">
            <w:pPr>
              <w:spacing w:after="0" w:line="240" w:lineRule="auto"/>
              <w:jc w:val="center"/>
              <w:rPr>
                <w:rFonts w:ascii="Montserrat" w:eastAsia="Times New Roman" w:hAnsi="Montserrat" w:cs="Calibri"/>
                <w:b/>
                <w:bCs/>
                <w:color w:val="FFFFFF"/>
                <w:sz w:val="16"/>
                <w:szCs w:val="16"/>
                <w:lang w:val="es-MX" w:eastAsia="es-MX"/>
              </w:rPr>
            </w:pPr>
            <w:r w:rsidRPr="006F0DF1">
              <w:rPr>
                <w:rFonts w:ascii="Montserrat" w:eastAsia="Times New Roman" w:hAnsi="Montserrat" w:cs="Calibri"/>
                <w:b/>
                <w:bCs/>
                <w:color w:val="FFFFFF"/>
                <w:sz w:val="16"/>
                <w:szCs w:val="16"/>
                <w:lang w:eastAsia="es-MX"/>
              </w:rPr>
              <w:t>Descuentos por recuperar</w:t>
            </w:r>
          </w:p>
        </w:tc>
      </w:tr>
      <w:tr w:rsidR="009C3C24" w:rsidRPr="006F0DF1" w14:paraId="3C806480" w14:textId="77777777" w:rsidTr="00A678D0">
        <w:trPr>
          <w:gridAfter w:val="1"/>
          <w:wAfter w:w="70" w:type="dxa"/>
          <w:trHeight w:val="215"/>
          <w:jc w:val="center"/>
        </w:trPr>
        <w:tc>
          <w:tcPr>
            <w:tcW w:w="3418" w:type="dxa"/>
            <w:vMerge/>
            <w:tcBorders>
              <w:top w:val="double" w:sz="12" w:space="0" w:color="808080" w:themeColor="background1" w:themeShade="80"/>
              <w:bottom w:val="double" w:sz="12" w:space="0" w:color="808080" w:themeColor="background1" w:themeShade="80"/>
            </w:tcBorders>
            <w:vAlign w:val="center"/>
            <w:hideMark/>
          </w:tcPr>
          <w:p w14:paraId="0FEE2E4F" w14:textId="77777777" w:rsidR="009C3C24" w:rsidRPr="006F0DF1" w:rsidRDefault="009C3C24" w:rsidP="002F797B">
            <w:pPr>
              <w:spacing w:after="0" w:line="240" w:lineRule="auto"/>
              <w:rPr>
                <w:rFonts w:ascii="Montserrat" w:eastAsia="Times New Roman" w:hAnsi="Montserrat" w:cs="Calibri"/>
                <w:b/>
                <w:bCs/>
                <w:color w:val="FFFFFF"/>
                <w:sz w:val="16"/>
                <w:szCs w:val="16"/>
                <w:lang w:val="es-MX" w:eastAsia="es-MX"/>
              </w:rPr>
            </w:pPr>
          </w:p>
        </w:tc>
        <w:tc>
          <w:tcPr>
            <w:tcW w:w="1417" w:type="dxa"/>
            <w:vMerge/>
            <w:tcBorders>
              <w:top w:val="double" w:sz="12" w:space="0" w:color="808080" w:themeColor="background1" w:themeShade="80"/>
              <w:bottom w:val="double" w:sz="12" w:space="0" w:color="808080" w:themeColor="background1" w:themeShade="80"/>
              <w:right w:val="single" w:sz="8" w:space="0" w:color="FFFFFF" w:themeColor="background1"/>
            </w:tcBorders>
            <w:vAlign w:val="center"/>
            <w:hideMark/>
          </w:tcPr>
          <w:p w14:paraId="3F733AB5" w14:textId="77777777" w:rsidR="009C3C24" w:rsidRPr="006F0DF1" w:rsidRDefault="009C3C24" w:rsidP="002F797B">
            <w:pPr>
              <w:spacing w:after="0" w:line="240" w:lineRule="auto"/>
              <w:rPr>
                <w:rFonts w:ascii="Montserrat" w:eastAsia="Times New Roman" w:hAnsi="Montserrat" w:cs="Calibri"/>
                <w:b/>
                <w:bCs/>
                <w:color w:val="FFFFFF"/>
                <w:sz w:val="16"/>
                <w:szCs w:val="16"/>
                <w:lang w:val="es-MX" w:eastAsia="es-MX"/>
              </w:rPr>
            </w:pPr>
          </w:p>
        </w:tc>
        <w:tc>
          <w:tcPr>
            <w:tcW w:w="2098" w:type="dxa"/>
            <w:tcBorders>
              <w:left w:val="single" w:sz="8" w:space="0" w:color="FFFFFF" w:themeColor="background1"/>
              <w:bottom w:val="double" w:sz="12" w:space="0" w:color="808080" w:themeColor="background1" w:themeShade="80"/>
              <w:right w:val="single" w:sz="8" w:space="0" w:color="FFFFFF" w:themeColor="background1"/>
            </w:tcBorders>
            <w:shd w:val="clear" w:color="auto" w:fill="D4C19C"/>
            <w:vAlign w:val="center"/>
            <w:hideMark/>
          </w:tcPr>
          <w:p w14:paraId="429FF976" w14:textId="77777777" w:rsidR="009C3C24" w:rsidRPr="006F0DF1" w:rsidRDefault="009C3C24" w:rsidP="002F797B">
            <w:pPr>
              <w:spacing w:after="0" w:line="240" w:lineRule="auto"/>
              <w:jc w:val="center"/>
              <w:rPr>
                <w:rFonts w:ascii="Montserrat" w:eastAsia="Times New Roman" w:hAnsi="Montserrat" w:cs="Calibri"/>
                <w:b/>
                <w:bCs/>
                <w:color w:val="FFFFFF"/>
                <w:sz w:val="16"/>
                <w:szCs w:val="16"/>
                <w:lang w:val="es-MX" w:eastAsia="es-MX"/>
              </w:rPr>
            </w:pPr>
            <w:r w:rsidRPr="006F0DF1">
              <w:rPr>
                <w:rFonts w:ascii="Montserrat" w:eastAsia="Times New Roman" w:hAnsi="Montserrat" w:cs="Calibri"/>
                <w:b/>
                <w:bCs/>
                <w:color w:val="FFFFFF"/>
                <w:sz w:val="16"/>
                <w:szCs w:val="16"/>
                <w:lang w:eastAsia="es-MX"/>
              </w:rPr>
              <w:t>Valor Nominal</w:t>
            </w:r>
          </w:p>
        </w:tc>
        <w:tc>
          <w:tcPr>
            <w:tcW w:w="2098" w:type="dxa"/>
            <w:tcBorders>
              <w:left w:val="single" w:sz="8" w:space="0" w:color="FFFFFF" w:themeColor="background1"/>
              <w:bottom w:val="double" w:sz="12" w:space="0" w:color="808080" w:themeColor="background1" w:themeShade="80"/>
              <w:right w:val="single" w:sz="8" w:space="0" w:color="FFFFFF" w:themeColor="background1"/>
            </w:tcBorders>
            <w:shd w:val="clear" w:color="auto" w:fill="D4C19C"/>
            <w:vAlign w:val="center"/>
            <w:hideMark/>
          </w:tcPr>
          <w:p w14:paraId="0E31F731" w14:textId="77777777" w:rsidR="009C3C24" w:rsidRPr="006F0DF1" w:rsidRDefault="009C3C24" w:rsidP="002F797B">
            <w:pPr>
              <w:spacing w:after="0" w:line="240" w:lineRule="auto"/>
              <w:jc w:val="center"/>
              <w:rPr>
                <w:rFonts w:ascii="Montserrat" w:eastAsia="Times New Roman" w:hAnsi="Montserrat" w:cs="Calibri"/>
                <w:b/>
                <w:bCs/>
                <w:color w:val="FFFFFF"/>
                <w:sz w:val="16"/>
                <w:szCs w:val="16"/>
                <w:lang w:val="es-MX" w:eastAsia="es-MX"/>
              </w:rPr>
            </w:pPr>
            <w:r w:rsidRPr="006F0DF1">
              <w:rPr>
                <w:rFonts w:ascii="Montserrat" w:eastAsia="Times New Roman" w:hAnsi="Montserrat" w:cs="Calibri"/>
                <w:b/>
                <w:bCs/>
                <w:color w:val="FFFFFF"/>
                <w:sz w:val="16"/>
                <w:szCs w:val="16"/>
                <w:lang w:eastAsia="es-MX"/>
              </w:rPr>
              <w:t>Valor Neto</w:t>
            </w:r>
          </w:p>
        </w:tc>
        <w:tc>
          <w:tcPr>
            <w:tcW w:w="2098" w:type="dxa"/>
            <w:vMerge/>
            <w:tcBorders>
              <w:top w:val="double" w:sz="12" w:space="0" w:color="808080" w:themeColor="background1" w:themeShade="80"/>
              <w:left w:val="single" w:sz="8" w:space="0" w:color="FFFFFF" w:themeColor="background1"/>
              <w:bottom w:val="double" w:sz="12" w:space="0" w:color="808080" w:themeColor="background1" w:themeShade="80"/>
            </w:tcBorders>
            <w:vAlign w:val="center"/>
            <w:hideMark/>
          </w:tcPr>
          <w:p w14:paraId="2DE4C5AE" w14:textId="77777777" w:rsidR="009C3C24" w:rsidRPr="006F0DF1" w:rsidRDefault="009C3C24" w:rsidP="002F797B">
            <w:pPr>
              <w:spacing w:after="0" w:line="240" w:lineRule="auto"/>
              <w:rPr>
                <w:rFonts w:ascii="Montserrat" w:eastAsia="Times New Roman" w:hAnsi="Montserrat" w:cs="Calibri"/>
                <w:b/>
                <w:bCs/>
                <w:color w:val="FFFFFF"/>
                <w:sz w:val="16"/>
                <w:szCs w:val="16"/>
                <w:lang w:val="es-MX" w:eastAsia="es-MX"/>
              </w:rPr>
            </w:pPr>
          </w:p>
        </w:tc>
      </w:tr>
      <w:tr w:rsidR="00B37277" w:rsidRPr="006F0DF1" w14:paraId="60E709D9" w14:textId="77777777" w:rsidTr="00A678D0">
        <w:trPr>
          <w:gridAfter w:val="1"/>
          <w:wAfter w:w="70" w:type="dxa"/>
          <w:trHeight w:val="215"/>
          <w:jc w:val="center"/>
        </w:trPr>
        <w:tc>
          <w:tcPr>
            <w:tcW w:w="3418" w:type="dxa"/>
            <w:tcBorders>
              <w:top w:val="double" w:sz="12" w:space="0" w:color="808080" w:themeColor="background1" w:themeShade="80"/>
            </w:tcBorders>
            <w:shd w:val="clear" w:color="auto" w:fill="F2F2F2" w:themeFill="background1" w:themeFillShade="F2"/>
            <w:vAlign w:val="center"/>
            <w:hideMark/>
          </w:tcPr>
          <w:p w14:paraId="249C567F" w14:textId="77777777" w:rsidR="00B37277" w:rsidRPr="00255081" w:rsidRDefault="00B37277" w:rsidP="00B37277">
            <w:pPr>
              <w:spacing w:after="0" w:line="240" w:lineRule="auto"/>
              <w:ind w:left="170"/>
              <w:jc w:val="both"/>
              <w:rPr>
                <w:rFonts w:ascii="Montserrat" w:eastAsia="Times New Roman" w:hAnsi="Montserrat" w:cs="Calibri"/>
                <w:color w:val="000000"/>
                <w:sz w:val="15"/>
                <w:szCs w:val="15"/>
                <w:lang w:val="es-MX" w:eastAsia="es-MX"/>
              </w:rPr>
            </w:pPr>
            <w:r w:rsidRPr="00255081">
              <w:rPr>
                <w:rFonts w:ascii="Montserrat" w:eastAsia="Times New Roman" w:hAnsi="Montserrat" w:cs="Arial"/>
                <w:color w:val="000000"/>
                <w:sz w:val="15"/>
                <w:szCs w:val="15"/>
                <w:lang w:eastAsia="es-MX"/>
              </w:rPr>
              <w:t xml:space="preserve">Certificados de la Tesorería </w:t>
            </w:r>
          </w:p>
        </w:tc>
        <w:tc>
          <w:tcPr>
            <w:tcW w:w="1417" w:type="dxa"/>
            <w:tcBorders>
              <w:top w:val="double" w:sz="12" w:space="0" w:color="808080" w:themeColor="background1" w:themeShade="80"/>
            </w:tcBorders>
            <w:shd w:val="clear" w:color="auto" w:fill="F2F2F2" w:themeFill="background1" w:themeFillShade="F2"/>
            <w:vAlign w:val="center"/>
            <w:hideMark/>
          </w:tcPr>
          <w:p w14:paraId="1CAF115E" w14:textId="77777777" w:rsidR="00B37277" w:rsidRPr="00255081" w:rsidRDefault="00B37277" w:rsidP="00B37277">
            <w:pPr>
              <w:spacing w:after="0" w:line="240" w:lineRule="auto"/>
              <w:jc w:val="center"/>
              <w:rPr>
                <w:rFonts w:ascii="Montserrat" w:eastAsia="Times New Roman" w:hAnsi="Montserrat" w:cs="Calibri"/>
                <w:color w:val="000000"/>
                <w:sz w:val="15"/>
                <w:szCs w:val="15"/>
                <w:lang w:val="es-MX" w:eastAsia="es-MX"/>
              </w:rPr>
            </w:pPr>
            <w:r w:rsidRPr="00255081">
              <w:rPr>
                <w:rFonts w:ascii="Montserrat" w:eastAsia="Times New Roman" w:hAnsi="Montserrat" w:cs="Arial"/>
                <w:color w:val="000000"/>
                <w:sz w:val="15"/>
                <w:szCs w:val="15"/>
                <w:lang w:eastAsia="es-MX"/>
              </w:rPr>
              <w:t>CETES</w:t>
            </w:r>
          </w:p>
        </w:tc>
        <w:tc>
          <w:tcPr>
            <w:tcW w:w="2098" w:type="dxa"/>
            <w:tcBorders>
              <w:top w:val="double" w:sz="12" w:space="0" w:color="808080" w:themeColor="background1" w:themeShade="80"/>
            </w:tcBorders>
            <w:shd w:val="clear" w:color="auto" w:fill="F2F2F2" w:themeFill="background1" w:themeFillShade="F2"/>
            <w:vAlign w:val="center"/>
          </w:tcPr>
          <w:p w14:paraId="033A04B7" w14:textId="6ECECBE7" w:rsidR="00B37277" w:rsidRPr="00255081" w:rsidRDefault="00B37277" w:rsidP="00B37277">
            <w:pPr>
              <w:spacing w:after="0" w:line="240" w:lineRule="auto"/>
              <w:jc w:val="right"/>
              <w:rPr>
                <w:rFonts w:ascii="Montserrat" w:eastAsia="Times New Roman" w:hAnsi="Montserrat" w:cs="Calibri"/>
                <w:sz w:val="15"/>
                <w:szCs w:val="15"/>
                <w:lang w:eastAsia="es-MX"/>
              </w:rPr>
            </w:pPr>
            <w:r w:rsidRPr="000F0321">
              <w:rPr>
                <w:rFonts w:ascii="Montserrat" w:hAnsi="Montserrat" w:cs="Arial"/>
                <w:color w:val="000000"/>
                <w:sz w:val="15"/>
                <w:szCs w:val="15"/>
              </w:rPr>
              <w:t>2,290,000,000,000</w:t>
            </w:r>
          </w:p>
        </w:tc>
        <w:tc>
          <w:tcPr>
            <w:tcW w:w="2098" w:type="dxa"/>
            <w:tcBorders>
              <w:top w:val="double" w:sz="12" w:space="0" w:color="808080" w:themeColor="background1" w:themeShade="80"/>
            </w:tcBorders>
            <w:shd w:val="clear" w:color="auto" w:fill="F2F2F2" w:themeFill="background1" w:themeFillShade="F2"/>
            <w:vAlign w:val="center"/>
          </w:tcPr>
          <w:p w14:paraId="63D3917B" w14:textId="0E7144C6" w:rsidR="00B37277" w:rsidRPr="00255081" w:rsidRDefault="00B37277" w:rsidP="00B37277">
            <w:pPr>
              <w:spacing w:after="0" w:line="240" w:lineRule="auto"/>
              <w:jc w:val="right"/>
              <w:rPr>
                <w:rFonts w:ascii="Montserrat" w:eastAsia="Times New Roman" w:hAnsi="Montserrat" w:cs="Calibri"/>
                <w:sz w:val="15"/>
                <w:szCs w:val="15"/>
                <w:lang w:eastAsia="es-MX"/>
              </w:rPr>
            </w:pPr>
            <w:r w:rsidRPr="000F0321">
              <w:rPr>
                <w:rFonts w:ascii="Montserrat" w:hAnsi="Montserrat" w:cs="Arial"/>
                <w:color w:val="000000"/>
                <w:sz w:val="15"/>
                <w:szCs w:val="15"/>
              </w:rPr>
              <w:t>2,234,007,336,200</w:t>
            </w:r>
          </w:p>
        </w:tc>
        <w:tc>
          <w:tcPr>
            <w:tcW w:w="2098" w:type="dxa"/>
            <w:tcBorders>
              <w:top w:val="double" w:sz="12" w:space="0" w:color="808080" w:themeColor="background1" w:themeShade="80"/>
            </w:tcBorders>
            <w:shd w:val="clear" w:color="auto" w:fill="F2F2F2" w:themeFill="background1" w:themeFillShade="F2"/>
            <w:vAlign w:val="center"/>
          </w:tcPr>
          <w:p w14:paraId="468113F2" w14:textId="2A680A1E" w:rsidR="00B37277" w:rsidRPr="00255081" w:rsidRDefault="00B37277" w:rsidP="00B37277">
            <w:pPr>
              <w:spacing w:after="0" w:line="240" w:lineRule="auto"/>
              <w:jc w:val="right"/>
              <w:rPr>
                <w:rFonts w:ascii="Montserrat" w:eastAsia="Times New Roman" w:hAnsi="Montserrat" w:cs="Calibri"/>
                <w:sz w:val="15"/>
                <w:szCs w:val="15"/>
                <w:lang w:eastAsia="es-MX"/>
              </w:rPr>
            </w:pPr>
            <w:r w:rsidRPr="000F0321">
              <w:rPr>
                <w:rFonts w:ascii="Montserrat" w:hAnsi="Montserrat" w:cs="Arial"/>
                <w:color w:val="000000"/>
                <w:sz w:val="15"/>
                <w:szCs w:val="15"/>
              </w:rPr>
              <w:t>55,992,663,800</w:t>
            </w:r>
          </w:p>
        </w:tc>
      </w:tr>
      <w:tr w:rsidR="00B37277" w:rsidRPr="006F0DF1" w14:paraId="4C075999" w14:textId="77777777" w:rsidTr="00A678D0">
        <w:trPr>
          <w:gridAfter w:val="1"/>
          <w:wAfter w:w="70" w:type="dxa"/>
          <w:trHeight w:val="215"/>
          <w:jc w:val="center"/>
        </w:trPr>
        <w:tc>
          <w:tcPr>
            <w:tcW w:w="3418" w:type="dxa"/>
            <w:shd w:val="clear" w:color="auto" w:fill="F2F2F2" w:themeFill="background1" w:themeFillShade="F2"/>
            <w:vAlign w:val="center"/>
            <w:hideMark/>
          </w:tcPr>
          <w:p w14:paraId="1A71A8FE" w14:textId="77777777" w:rsidR="00B37277" w:rsidRPr="00255081" w:rsidRDefault="00B37277" w:rsidP="00B37277">
            <w:pPr>
              <w:spacing w:after="0" w:line="240" w:lineRule="auto"/>
              <w:ind w:left="170"/>
              <w:jc w:val="both"/>
              <w:rPr>
                <w:rFonts w:ascii="Montserrat" w:eastAsia="Times New Roman" w:hAnsi="Montserrat" w:cs="Calibri"/>
                <w:color w:val="000000"/>
                <w:sz w:val="15"/>
                <w:szCs w:val="15"/>
                <w:lang w:val="es-MX" w:eastAsia="es-MX"/>
              </w:rPr>
            </w:pPr>
            <w:r w:rsidRPr="00255081">
              <w:rPr>
                <w:rFonts w:ascii="Montserrat" w:eastAsia="Times New Roman" w:hAnsi="Montserrat" w:cs="Arial"/>
                <w:color w:val="000000"/>
                <w:sz w:val="15"/>
                <w:szCs w:val="15"/>
                <w:lang w:eastAsia="es-MX"/>
              </w:rPr>
              <w:t>Bonos de Desarrollo del Gobierno Federal</w:t>
            </w:r>
          </w:p>
        </w:tc>
        <w:tc>
          <w:tcPr>
            <w:tcW w:w="1417" w:type="dxa"/>
            <w:shd w:val="clear" w:color="auto" w:fill="F2F2F2" w:themeFill="background1" w:themeFillShade="F2"/>
            <w:vAlign w:val="center"/>
            <w:hideMark/>
          </w:tcPr>
          <w:p w14:paraId="156CE5FA" w14:textId="77777777" w:rsidR="00B37277" w:rsidRPr="00255081" w:rsidRDefault="00B37277" w:rsidP="00B37277">
            <w:pPr>
              <w:spacing w:after="0" w:line="240" w:lineRule="auto"/>
              <w:jc w:val="center"/>
              <w:rPr>
                <w:rFonts w:ascii="Montserrat" w:eastAsia="Times New Roman" w:hAnsi="Montserrat" w:cs="Calibri"/>
                <w:color w:val="000000"/>
                <w:sz w:val="15"/>
                <w:szCs w:val="15"/>
                <w:lang w:val="es-MX" w:eastAsia="es-MX"/>
              </w:rPr>
            </w:pPr>
            <w:r w:rsidRPr="00255081">
              <w:rPr>
                <w:rFonts w:ascii="Montserrat" w:eastAsia="Times New Roman" w:hAnsi="Montserrat" w:cs="Arial"/>
                <w:color w:val="000000"/>
                <w:sz w:val="15"/>
                <w:szCs w:val="15"/>
                <w:lang w:eastAsia="es-MX"/>
              </w:rPr>
              <w:t>BONDES</w:t>
            </w:r>
          </w:p>
        </w:tc>
        <w:tc>
          <w:tcPr>
            <w:tcW w:w="2098" w:type="dxa"/>
            <w:shd w:val="clear" w:color="auto" w:fill="F2F2F2" w:themeFill="background1" w:themeFillShade="F2"/>
            <w:vAlign w:val="center"/>
          </w:tcPr>
          <w:p w14:paraId="0DBF6929" w14:textId="7458DE7D" w:rsidR="00B37277" w:rsidRPr="00255081" w:rsidRDefault="00B37277" w:rsidP="00B37277">
            <w:pPr>
              <w:spacing w:after="0" w:line="240" w:lineRule="auto"/>
              <w:jc w:val="right"/>
              <w:rPr>
                <w:rFonts w:ascii="Montserrat" w:eastAsia="Times New Roman" w:hAnsi="Montserrat" w:cs="Calibri"/>
                <w:sz w:val="15"/>
                <w:szCs w:val="15"/>
                <w:lang w:eastAsia="es-MX"/>
              </w:rPr>
            </w:pPr>
            <w:r w:rsidRPr="000F0321">
              <w:rPr>
                <w:rFonts w:ascii="Montserrat" w:hAnsi="Montserrat" w:cs="Arial"/>
                <w:color w:val="000000"/>
                <w:sz w:val="15"/>
                <w:szCs w:val="15"/>
              </w:rPr>
              <w:t>2,800,000,000,000</w:t>
            </w:r>
          </w:p>
        </w:tc>
        <w:tc>
          <w:tcPr>
            <w:tcW w:w="2098" w:type="dxa"/>
            <w:shd w:val="clear" w:color="auto" w:fill="F2F2F2" w:themeFill="background1" w:themeFillShade="F2"/>
            <w:vAlign w:val="center"/>
          </w:tcPr>
          <w:p w14:paraId="03320C5C" w14:textId="105C4717" w:rsidR="00B37277" w:rsidRPr="00255081" w:rsidRDefault="00B37277" w:rsidP="00B37277">
            <w:pPr>
              <w:spacing w:after="0" w:line="240" w:lineRule="auto"/>
              <w:jc w:val="right"/>
              <w:rPr>
                <w:rFonts w:ascii="Montserrat" w:eastAsia="Times New Roman" w:hAnsi="Montserrat" w:cs="Calibri"/>
                <w:sz w:val="15"/>
                <w:szCs w:val="15"/>
                <w:lang w:eastAsia="es-MX"/>
              </w:rPr>
            </w:pPr>
            <w:r w:rsidRPr="000F0321">
              <w:rPr>
                <w:rFonts w:ascii="Montserrat" w:hAnsi="Montserrat" w:cs="Arial"/>
                <w:color w:val="000000"/>
                <w:sz w:val="15"/>
                <w:szCs w:val="15"/>
              </w:rPr>
              <w:t>2,793,961,635,000</w:t>
            </w:r>
          </w:p>
        </w:tc>
        <w:tc>
          <w:tcPr>
            <w:tcW w:w="2098" w:type="dxa"/>
            <w:shd w:val="clear" w:color="auto" w:fill="F2F2F2" w:themeFill="background1" w:themeFillShade="F2"/>
            <w:vAlign w:val="center"/>
          </w:tcPr>
          <w:p w14:paraId="3210DD52" w14:textId="3F200390" w:rsidR="00B37277" w:rsidRPr="00255081" w:rsidRDefault="00B37277" w:rsidP="00B37277">
            <w:pPr>
              <w:spacing w:after="0" w:line="240" w:lineRule="auto"/>
              <w:jc w:val="right"/>
              <w:rPr>
                <w:rFonts w:ascii="Montserrat" w:eastAsia="Times New Roman" w:hAnsi="Montserrat" w:cs="Calibri"/>
                <w:sz w:val="15"/>
                <w:szCs w:val="15"/>
                <w:lang w:eastAsia="es-MX"/>
              </w:rPr>
            </w:pPr>
            <w:r w:rsidRPr="000F0321">
              <w:rPr>
                <w:rFonts w:ascii="Montserrat" w:hAnsi="Montserrat" w:cs="Arial"/>
                <w:color w:val="000000"/>
                <w:sz w:val="15"/>
                <w:szCs w:val="15"/>
              </w:rPr>
              <w:t>6,038,365,000</w:t>
            </w:r>
          </w:p>
        </w:tc>
      </w:tr>
      <w:tr w:rsidR="00B37277" w:rsidRPr="006F0DF1" w14:paraId="10800904" w14:textId="77777777" w:rsidTr="00A678D0">
        <w:trPr>
          <w:gridAfter w:val="1"/>
          <w:wAfter w:w="70" w:type="dxa"/>
          <w:trHeight w:val="215"/>
          <w:jc w:val="center"/>
        </w:trPr>
        <w:tc>
          <w:tcPr>
            <w:tcW w:w="3418" w:type="dxa"/>
            <w:shd w:val="clear" w:color="auto" w:fill="F2F2F2" w:themeFill="background1" w:themeFillShade="F2"/>
            <w:vAlign w:val="center"/>
            <w:hideMark/>
          </w:tcPr>
          <w:p w14:paraId="51052603" w14:textId="77777777" w:rsidR="00B37277" w:rsidRPr="00255081" w:rsidRDefault="00B37277" w:rsidP="00B37277">
            <w:pPr>
              <w:spacing w:after="0" w:line="240" w:lineRule="auto"/>
              <w:ind w:left="170"/>
              <w:jc w:val="both"/>
              <w:rPr>
                <w:rFonts w:ascii="Montserrat" w:eastAsia="Times New Roman" w:hAnsi="Montserrat" w:cs="Calibri"/>
                <w:color w:val="000000"/>
                <w:sz w:val="15"/>
                <w:szCs w:val="15"/>
                <w:lang w:val="es-MX" w:eastAsia="es-MX"/>
              </w:rPr>
            </w:pPr>
            <w:r w:rsidRPr="00255081">
              <w:rPr>
                <w:rFonts w:ascii="Montserrat" w:eastAsia="Times New Roman" w:hAnsi="Montserrat" w:cs="Arial"/>
                <w:color w:val="000000"/>
                <w:sz w:val="15"/>
                <w:szCs w:val="15"/>
                <w:lang w:eastAsia="es-MX"/>
              </w:rPr>
              <w:t>Bonos Gubernamentales a Tasa Fija</w:t>
            </w:r>
          </w:p>
        </w:tc>
        <w:tc>
          <w:tcPr>
            <w:tcW w:w="1417" w:type="dxa"/>
            <w:shd w:val="clear" w:color="auto" w:fill="F2F2F2" w:themeFill="background1" w:themeFillShade="F2"/>
            <w:vAlign w:val="center"/>
            <w:hideMark/>
          </w:tcPr>
          <w:p w14:paraId="4D901C5A" w14:textId="77777777" w:rsidR="00B37277" w:rsidRPr="00255081" w:rsidRDefault="00B37277" w:rsidP="00B37277">
            <w:pPr>
              <w:spacing w:after="0" w:line="240" w:lineRule="auto"/>
              <w:jc w:val="center"/>
              <w:rPr>
                <w:rFonts w:ascii="Montserrat" w:eastAsia="Times New Roman" w:hAnsi="Montserrat" w:cs="Calibri"/>
                <w:color w:val="000000"/>
                <w:sz w:val="15"/>
                <w:szCs w:val="15"/>
                <w:lang w:val="es-MX" w:eastAsia="es-MX"/>
              </w:rPr>
            </w:pPr>
            <w:r w:rsidRPr="00255081">
              <w:rPr>
                <w:rFonts w:ascii="Montserrat" w:eastAsia="Times New Roman" w:hAnsi="Montserrat" w:cs="Arial"/>
                <w:color w:val="000000"/>
                <w:sz w:val="15"/>
                <w:szCs w:val="15"/>
                <w:lang w:eastAsia="es-MX"/>
              </w:rPr>
              <w:t>BONOS M</w:t>
            </w:r>
          </w:p>
        </w:tc>
        <w:tc>
          <w:tcPr>
            <w:tcW w:w="2098" w:type="dxa"/>
            <w:shd w:val="clear" w:color="auto" w:fill="F2F2F2" w:themeFill="background1" w:themeFillShade="F2"/>
            <w:vAlign w:val="center"/>
          </w:tcPr>
          <w:p w14:paraId="2C9C8BAD" w14:textId="4A358CB8" w:rsidR="00B37277" w:rsidRPr="00255081" w:rsidRDefault="00B37277" w:rsidP="00B37277">
            <w:pPr>
              <w:spacing w:after="0" w:line="240" w:lineRule="auto"/>
              <w:jc w:val="right"/>
              <w:rPr>
                <w:rFonts w:ascii="Montserrat" w:eastAsia="Times New Roman" w:hAnsi="Montserrat" w:cs="Calibri"/>
                <w:sz w:val="15"/>
                <w:szCs w:val="15"/>
                <w:lang w:eastAsia="es-MX"/>
              </w:rPr>
            </w:pPr>
            <w:r w:rsidRPr="000F0321">
              <w:rPr>
                <w:rFonts w:ascii="Montserrat" w:hAnsi="Montserrat" w:cs="Arial"/>
                <w:color w:val="000000"/>
                <w:sz w:val="15"/>
                <w:szCs w:val="15"/>
              </w:rPr>
              <w:t>230,000,000,000</w:t>
            </w:r>
          </w:p>
        </w:tc>
        <w:tc>
          <w:tcPr>
            <w:tcW w:w="2098" w:type="dxa"/>
            <w:shd w:val="clear" w:color="auto" w:fill="F2F2F2" w:themeFill="background1" w:themeFillShade="F2"/>
            <w:vAlign w:val="center"/>
          </w:tcPr>
          <w:p w14:paraId="0CA743AB" w14:textId="03644DC8" w:rsidR="00B37277" w:rsidRPr="00255081" w:rsidRDefault="00B37277" w:rsidP="00B37277">
            <w:pPr>
              <w:spacing w:after="0" w:line="240" w:lineRule="auto"/>
              <w:jc w:val="right"/>
              <w:rPr>
                <w:rFonts w:ascii="Montserrat" w:eastAsia="Times New Roman" w:hAnsi="Montserrat" w:cs="Calibri"/>
                <w:sz w:val="15"/>
                <w:szCs w:val="15"/>
                <w:lang w:eastAsia="es-MX"/>
              </w:rPr>
            </w:pPr>
            <w:r w:rsidRPr="000F0321">
              <w:rPr>
                <w:rFonts w:ascii="Montserrat" w:hAnsi="Montserrat" w:cs="Arial"/>
                <w:color w:val="000000"/>
                <w:sz w:val="15"/>
                <w:szCs w:val="15"/>
              </w:rPr>
              <w:t>229,848,849,200</w:t>
            </w:r>
          </w:p>
        </w:tc>
        <w:tc>
          <w:tcPr>
            <w:tcW w:w="2098" w:type="dxa"/>
            <w:shd w:val="clear" w:color="auto" w:fill="F2F2F2" w:themeFill="background1" w:themeFillShade="F2"/>
            <w:vAlign w:val="center"/>
          </w:tcPr>
          <w:p w14:paraId="07DBA61B" w14:textId="3A08AA74" w:rsidR="00B37277" w:rsidRPr="00255081" w:rsidRDefault="00B37277" w:rsidP="00B37277">
            <w:pPr>
              <w:spacing w:after="0" w:line="240" w:lineRule="auto"/>
              <w:jc w:val="right"/>
              <w:rPr>
                <w:rFonts w:ascii="Montserrat" w:eastAsia="Times New Roman" w:hAnsi="Montserrat" w:cs="Calibri"/>
                <w:sz w:val="15"/>
                <w:szCs w:val="15"/>
                <w:lang w:eastAsia="es-MX"/>
              </w:rPr>
            </w:pPr>
            <w:r w:rsidRPr="000F0321">
              <w:rPr>
                <w:rFonts w:ascii="Montserrat" w:hAnsi="Montserrat" w:cs="Arial"/>
                <w:color w:val="000000"/>
                <w:sz w:val="15"/>
                <w:szCs w:val="15"/>
              </w:rPr>
              <w:t>151,150,800</w:t>
            </w:r>
          </w:p>
        </w:tc>
      </w:tr>
      <w:tr w:rsidR="00B37277" w:rsidRPr="006F0DF1" w14:paraId="7E6DDB91" w14:textId="77777777" w:rsidTr="00A678D0">
        <w:trPr>
          <w:gridAfter w:val="1"/>
          <w:wAfter w:w="70" w:type="dxa"/>
          <w:trHeight w:val="215"/>
          <w:jc w:val="center"/>
        </w:trPr>
        <w:tc>
          <w:tcPr>
            <w:tcW w:w="3418" w:type="dxa"/>
            <w:shd w:val="clear" w:color="auto" w:fill="F2F2F2" w:themeFill="background1" w:themeFillShade="F2"/>
            <w:vAlign w:val="center"/>
            <w:hideMark/>
          </w:tcPr>
          <w:p w14:paraId="1AE6A291" w14:textId="77777777" w:rsidR="00B37277" w:rsidRPr="00255081" w:rsidRDefault="00B37277" w:rsidP="00B37277">
            <w:pPr>
              <w:spacing w:after="0" w:line="240" w:lineRule="auto"/>
              <w:ind w:left="170"/>
              <w:jc w:val="both"/>
              <w:rPr>
                <w:rFonts w:ascii="Montserrat" w:eastAsia="Times New Roman" w:hAnsi="Montserrat" w:cs="Calibri"/>
                <w:color w:val="000000"/>
                <w:sz w:val="15"/>
                <w:szCs w:val="15"/>
                <w:lang w:val="es-MX" w:eastAsia="es-MX"/>
              </w:rPr>
            </w:pPr>
            <w:r w:rsidRPr="00255081">
              <w:rPr>
                <w:rFonts w:ascii="Montserrat" w:eastAsia="Times New Roman" w:hAnsi="Montserrat" w:cs="Arial"/>
                <w:color w:val="000000"/>
                <w:sz w:val="15"/>
                <w:szCs w:val="15"/>
                <w:lang w:eastAsia="es-MX"/>
              </w:rPr>
              <w:t>UDIBONOS</w:t>
            </w:r>
          </w:p>
        </w:tc>
        <w:tc>
          <w:tcPr>
            <w:tcW w:w="1417" w:type="dxa"/>
            <w:shd w:val="clear" w:color="auto" w:fill="F2F2F2" w:themeFill="background1" w:themeFillShade="F2"/>
            <w:vAlign w:val="center"/>
            <w:hideMark/>
          </w:tcPr>
          <w:p w14:paraId="1CF74C6D" w14:textId="77777777" w:rsidR="00B37277" w:rsidRPr="00255081" w:rsidRDefault="00B37277" w:rsidP="00B37277">
            <w:pPr>
              <w:spacing w:after="0" w:line="240" w:lineRule="auto"/>
              <w:jc w:val="center"/>
              <w:rPr>
                <w:rFonts w:ascii="Montserrat" w:eastAsia="Times New Roman" w:hAnsi="Montserrat" w:cs="Calibri"/>
                <w:color w:val="000000"/>
                <w:sz w:val="15"/>
                <w:szCs w:val="15"/>
                <w:lang w:val="es-MX" w:eastAsia="es-MX"/>
              </w:rPr>
            </w:pPr>
            <w:r w:rsidRPr="00255081">
              <w:rPr>
                <w:rFonts w:ascii="Montserrat" w:eastAsia="Times New Roman" w:hAnsi="Montserrat" w:cs="Arial"/>
                <w:color w:val="000000"/>
                <w:sz w:val="15"/>
                <w:szCs w:val="15"/>
                <w:lang w:eastAsia="es-MX"/>
              </w:rPr>
              <w:t>UDIBONOS</w:t>
            </w:r>
          </w:p>
        </w:tc>
        <w:tc>
          <w:tcPr>
            <w:tcW w:w="2098" w:type="dxa"/>
            <w:shd w:val="clear" w:color="auto" w:fill="F2F2F2" w:themeFill="background1" w:themeFillShade="F2"/>
            <w:vAlign w:val="center"/>
          </w:tcPr>
          <w:p w14:paraId="563BAA78" w14:textId="797FF1D7" w:rsidR="00B37277" w:rsidRPr="00255081" w:rsidRDefault="00B37277" w:rsidP="00B37277">
            <w:pPr>
              <w:spacing w:after="0" w:line="240" w:lineRule="auto"/>
              <w:jc w:val="right"/>
              <w:rPr>
                <w:rFonts w:ascii="Montserrat" w:eastAsia="Times New Roman" w:hAnsi="Montserrat" w:cs="Calibri"/>
                <w:sz w:val="15"/>
                <w:szCs w:val="15"/>
                <w:lang w:eastAsia="es-MX"/>
              </w:rPr>
            </w:pPr>
            <w:r w:rsidRPr="000F0321">
              <w:rPr>
                <w:rFonts w:ascii="Montserrat" w:hAnsi="Montserrat" w:cs="Arial"/>
                <w:color w:val="000000"/>
                <w:sz w:val="15"/>
                <w:szCs w:val="15"/>
              </w:rPr>
              <w:t>1,162,061,668,800</w:t>
            </w:r>
          </w:p>
        </w:tc>
        <w:tc>
          <w:tcPr>
            <w:tcW w:w="2098" w:type="dxa"/>
            <w:shd w:val="clear" w:color="auto" w:fill="F2F2F2" w:themeFill="background1" w:themeFillShade="F2"/>
            <w:vAlign w:val="center"/>
          </w:tcPr>
          <w:p w14:paraId="4A079243" w14:textId="3C6DACCF" w:rsidR="00B37277" w:rsidRPr="00255081" w:rsidRDefault="00B37277" w:rsidP="00B37277">
            <w:pPr>
              <w:spacing w:after="0" w:line="240" w:lineRule="auto"/>
              <w:jc w:val="right"/>
              <w:rPr>
                <w:rFonts w:ascii="Montserrat" w:eastAsia="Times New Roman" w:hAnsi="Montserrat" w:cs="Calibri"/>
                <w:sz w:val="15"/>
                <w:szCs w:val="15"/>
                <w:lang w:eastAsia="es-MX"/>
              </w:rPr>
            </w:pPr>
            <w:r w:rsidRPr="000F0321">
              <w:rPr>
                <w:rFonts w:ascii="Montserrat" w:hAnsi="Montserrat" w:cs="Arial"/>
                <w:color w:val="000000"/>
                <w:sz w:val="15"/>
                <w:szCs w:val="15"/>
              </w:rPr>
              <w:t>1,162,061,668,800</w:t>
            </w:r>
          </w:p>
        </w:tc>
        <w:tc>
          <w:tcPr>
            <w:tcW w:w="2098" w:type="dxa"/>
            <w:shd w:val="clear" w:color="auto" w:fill="F2F2F2" w:themeFill="background1" w:themeFillShade="F2"/>
            <w:vAlign w:val="center"/>
          </w:tcPr>
          <w:p w14:paraId="1F82F7EC" w14:textId="568B43A9" w:rsidR="00B37277" w:rsidRPr="00255081" w:rsidRDefault="00B37277" w:rsidP="00B37277">
            <w:pPr>
              <w:spacing w:after="0" w:line="240" w:lineRule="auto"/>
              <w:jc w:val="right"/>
              <w:rPr>
                <w:rFonts w:ascii="Montserrat" w:eastAsia="Times New Roman" w:hAnsi="Montserrat" w:cs="Calibri"/>
                <w:b/>
                <w:sz w:val="15"/>
                <w:szCs w:val="15"/>
                <w:lang w:eastAsia="es-MX"/>
              </w:rPr>
            </w:pPr>
            <w:r w:rsidRPr="000F0321">
              <w:rPr>
                <w:rFonts w:ascii="Montserrat" w:hAnsi="Montserrat" w:cs="Arial"/>
                <w:color w:val="000000"/>
                <w:sz w:val="15"/>
                <w:szCs w:val="15"/>
              </w:rPr>
              <w:t>0</w:t>
            </w:r>
          </w:p>
        </w:tc>
      </w:tr>
      <w:tr w:rsidR="00B37277" w:rsidRPr="006F0DF1" w14:paraId="70C4908D" w14:textId="77777777" w:rsidTr="00A678D0">
        <w:trPr>
          <w:gridAfter w:val="1"/>
          <w:wAfter w:w="70" w:type="dxa"/>
          <w:trHeight w:val="215"/>
          <w:jc w:val="center"/>
        </w:trPr>
        <w:tc>
          <w:tcPr>
            <w:tcW w:w="3418" w:type="dxa"/>
            <w:tcBorders>
              <w:bottom w:val="single" w:sz="12" w:space="0" w:color="808080" w:themeColor="background1" w:themeShade="80"/>
            </w:tcBorders>
            <w:shd w:val="clear" w:color="auto" w:fill="F2F2F2" w:themeFill="background1" w:themeFillShade="F2"/>
            <w:vAlign w:val="center"/>
            <w:hideMark/>
          </w:tcPr>
          <w:p w14:paraId="578D4AC7" w14:textId="77777777" w:rsidR="00B37277" w:rsidRPr="00255081" w:rsidRDefault="00B37277" w:rsidP="00B37277">
            <w:pPr>
              <w:spacing w:after="0" w:line="240" w:lineRule="auto"/>
              <w:ind w:left="170"/>
              <w:jc w:val="right"/>
              <w:rPr>
                <w:rFonts w:ascii="Montserrat" w:eastAsia="Times New Roman" w:hAnsi="Montserrat" w:cs="Calibri"/>
                <w:b/>
                <w:bCs/>
                <w:color w:val="000000"/>
                <w:sz w:val="15"/>
                <w:szCs w:val="15"/>
                <w:lang w:val="es-MX" w:eastAsia="es-MX"/>
              </w:rPr>
            </w:pPr>
            <w:r w:rsidRPr="00255081">
              <w:rPr>
                <w:rFonts w:ascii="Montserrat" w:eastAsia="Times New Roman" w:hAnsi="Montserrat" w:cs="Arial"/>
                <w:b/>
                <w:bCs/>
                <w:color w:val="000000"/>
                <w:sz w:val="15"/>
                <w:szCs w:val="15"/>
                <w:lang w:eastAsia="es-MX"/>
              </w:rPr>
              <w:t>Suma</w:t>
            </w:r>
          </w:p>
        </w:tc>
        <w:tc>
          <w:tcPr>
            <w:tcW w:w="1417" w:type="dxa"/>
            <w:tcBorders>
              <w:bottom w:val="single" w:sz="12" w:space="0" w:color="808080" w:themeColor="background1" w:themeShade="80"/>
            </w:tcBorders>
            <w:shd w:val="clear" w:color="auto" w:fill="F2F2F2" w:themeFill="background1" w:themeFillShade="F2"/>
            <w:vAlign w:val="center"/>
            <w:hideMark/>
          </w:tcPr>
          <w:p w14:paraId="627A8CEE" w14:textId="77777777" w:rsidR="00B37277" w:rsidRPr="00255081" w:rsidRDefault="00B37277" w:rsidP="00B37277">
            <w:pPr>
              <w:spacing w:after="0" w:line="240" w:lineRule="auto"/>
              <w:jc w:val="right"/>
              <w:rPr>
                <w:rFonts w:ascii="Montserrat" w:eastAsia="Times New Roman" w:hAnsi="Montserrat" w:cs="Calibri"/>
                <w:b/>
                <w:bCs/>
                <w:color w:val="000000"/>
                <w:sz w:val="15"/>
                <w:szCs w:val="15"/>
                <w:lang w:val="es-MX" w:eastAsia="es-MX"/>
              </w:rPr>
            </w:pPr>
            <w:r w:rsidRPr="00255081">
              <w:rPr>
                <w:rFonts w:ascii="Montserrat" w:eastAsia="Times New Roman" w:hAnsi="Montserrat" w:cs="Arial"/>
                <w:b/>
                <w:bCs/>
                <w:color w:val="000000"/>
                <w:sz w:val="15"/>
                <w:szCs w:val="15"/>
                <w:lang w:eastAsia="es-MX"/>
              </w:rPr>
              <w:t> </w:t>
            </w:r>
          </w:p>
        </w:tc>
        <w:tc>
          <w:tcPr>
            <w:tcW w:w="2098" w:type="dxa"/>
            <w:tcBorders>
              <w:bottom w:val="single" w:sz="12" w:space="0" w:color="808080" w:themeColor="background1" w:themeShade="80"/>
            </w:tcBorders>
            <w:shd w:val="clear" w:color="auto" w:fill="F2F2F2" w:themeFill="background1" w:themeFillShade="F2"/>
            <w:vAlign w:val="center"/>
          </w:tcPr>
          <w:p w14:paraId="127D8219" w14:textId="37AF88A8" w:rsidR="00B37277" w:rsidRPr="00255081" w:rsidRDefault="00B37277" w:rsidP="00B37277">
            <w:pPr>
              <w:spacing w:after="0" w:line="240" w:lineRule="auto"/>
              <w:jc w:val="right"/>
              <w:rPr>
                <w:rFonts w:ascii="Montserrat" w:eastAsia="Times New Roman" w:hAnsi="Montserrat" w:cs="Calibri"/>
                <w:b/>
                <w:bCs/>
                <w:sz w:val="15"/>
                <w:szCs w:val="15"/>
                <w:lang w:eastAsia="es-MX"/>
              </w:rPr>
            </w:pPr>
            <w:r w:rsidRPr="000F0321">
              <w:rPr>
                <w:rFonts w:ascii="Montserrat" w:hAnsi="Montserrat" w:cs="Arial"/>
                <w:b/>
                <w:bCs/>
                <w:color w:val="000000"/>
                <w:sz w:val="15"/>
                <w:szCs w:val="15"/>
              </w:rPr>
              <w:t>6,482,061,668,800</w:t>
            </w:r>
          </w:p>
        </w:tc>
        <w:tc>
          <w:tcPr>
            <w:tcW w:w="2098" w:type="dxa"/>
            <w:tcBorders>
              <w:bottom w:val="single" w:sz="12" w:space="0" w:color="808080" w:themeColor="background1" w:themeShade="80"/>
            </w:tcBorders>
            <w:shd w:val="clear" w:color="auto" w:fill="F2F2F2" w:themeFill="background1" w:themeFillShade="F2"/>
            <w:vAlign w:val="center"/>
          </w:tcPr>
          <w:p w14:paraId="73F4A151" w14:textId="641A5BD6" w:rsidR="00B37277" w:rsidRPr="00255081" w:rsidRDefault="00B37277" w:rsidP="00B37277">
            <w:pPr>
              <w:spacing w:after="0" w:line="240" w:lineRule="auto"/>
              <w:jc w:val="right"/>
              <w:rPr>
                <w:rFonts w:ascii="Montserrat" w:eastAsia="Times New Roman" w:hAnsi="Montserrat" w:cs="Calibri"/>
                <w:b/>
                <w:bCs/>
                <w:sz w:val="15"/>
                <w:szCs w:val="15"/>
                <w:highlight w:val="yellow"/>
                <w:lang w:eastAsia="es-MX"/>
              </w:rPr>
            </w:pPr>
            <w:r w:rsidRPr="000F0321">
              <w:rPr>
                <w:rFonts w:ascii="Montserrat" w:hAnsi="Montserrat" w:cs="Arial"/>
                <w:b/>
                <w:bCs/>
                <w:color w:val="000000"/>
                <w:sz w:val="15"/>
                <w:szCs w:val="15"/>
              </w:rPr>
              <w:t>6,419,879,489,200</w:t>
            </w:r>
          </w:p>
        </w:tc>
        <w:tc>
          <w:tcPr>
            <w:tcW w:w="2098" w:type="dxa"/>
            <w:tcBorders>
              <w:bottom w:val="single" w:sz="12" w:space="0" w:color="808080" w:themeColor="background1" w:themeShade="80"/>
            </w:tcBorders>
            <w:shd w:val="clear" w:color="auto" w:fill="F2F2F2" w:themeFill="background1" w:themeFillShade="F2"/>
            <w:vAlign w:val="center"/>
          </w:tcPr>
          <w:p w14:paraId="0ADD8F06" w14:textId="62421388" w:rsidR="00B37277" w:rsidRPr="00255081" w:rsidRDefault="00B37277" w:rsidP="00B37277">
            <w:pPr>
              <w:spacing w:after="0" w:line="240" w:lineRule="auto"/>
              <w:jc w:val="right"/>
              <w:rPr>
                <w:rFonts w:ascii="Montserrat" w:eastAsia="Times New Roman" w:hAnsi="Montserrat" w:cs="Calibri"/>
                <w:b/>
                <w:bCs/>
                <w:sz w:val="15"/>
                <w:szCs w:val="15"/>
                <w:highlight w:val="yellow"/>
                <w:lang w:eastAsia="es-MX"/>
              </w:rPr>
            </w:pPr>
            <w:r w:rsidRPr="000F0321">
              <w:rPr>
                <w:rFonts w:ascii="Montserrat" w:hAnsi="Montserrat" w:cs="Arial"/>
                <w:b/>
                <w:bCs/>
                <w:color w:val="000000"/>
                <w:sz w:val="15"/>
                <w:szCs w:val="15"/>
              </w:rPr>
              <w:t>62,182,179,600</w:t>
            </w:r>
          </w:p>
        </w:tc>
      </w:tr>
    </w:tbl>
    <w:p w14:paraId="3FEA53FA" w14:textId="77777777" w:rsidR="00D411B6" w:rsidRPr="006D1082" w:rsidRDefault="00D411B6" w:rsidP="006D1082">
      <w:pPr>
        <w:pStyle w:val="Prrafodelista"/>
        <w:ind w:left="0"/>
        <w:contextualSpacing w:val="0"/>
        <w:jc w:val="both"/>
        <w:rPr>
          <w:rFonts w:ascii="Montserrat" w:hAnsi="Montserrat" w:cs="Arial"/>
          <w:spacing w:val="-1"/>
          <w:sz w:val="18"/>
          <w:szCs w:val="18"/>
        </w:rPr>
      </w:pPr>
    </w:p>
    <w:p w14:paraId="1BA4873F" w14:textId="77777777" w:rsidR="00B832D2" w:rsidRPr="00E81BAB" w:rsidRDefault="005A3AB7" w:rsidP="00E81BAB">
      <w:pPr>
        <w:spacing w:before="120" w:after="120" w:line="250" w:lineRule="exact"/>
        <w:jc w:val="both"/>
        <w:rPr>
          <w:rFonts w:ascii="Montserrat" w:hAnsi="Montserrat"/>
          <w:sz w:val="18"/>
          <w:szCs w:val="18"/>
        </w:rPr>
      </w:pPr>
      <w:r w:rsidRPr="000F0321">
        <w:rPr>
          <w:rFonts w:ascii="Montserrat" w:hAnsi="Montserrat"/>
          <w:sz w:val="18"/>
          <w:szCs w:val="18"/>
        </w:rPr>
        <w:t xml:space="preserve">Dichos montos son coincidentes con la información proporcionada por el </w:t>
      </w:r>
      <w:r w:rsidR="00B832D2" w:rsidRPr="000F0321">
        <w:rPr>
          <w:rFonts w:ascii="Montserrat" w:hAnsi="Montserrat"/>
          <w:sz w:val="18"/>
          <w:szCs w:val="18"/>
        </w:rPr>
        <w:t>Banco de México (</w:t>
      </w:r>
      <w:r w:rsidRPr="000F0321">
        <w:rPr>
          <w:rFonts w:ascii="Montserrat" w:hAnsi="Montserrat"/>
          <w:sz w:val="18"/>
          <w:szCs w:val="18"/>
        </w:rPr>
        <w:t>BANXICO</w:t>
      </w:r>
      <w:r w:rsidR="00B832D2" w:rsidRPr="000F0321">
        <w:rPr>
          <w:rFonts w:ascii="Montserrat" w:hAnsi="Montserrat"/>
          <w:sz w:val="18"/>
          <w:szCs w:val="18"/>
        </w:rPr>
        <w:t>)</w:t>
      </w:r>
      <w:r w:rsidR="001622D5" w:rsidRPr="000F0321">
        <w:rPr>
          <w:rFonts w:ascii="Montserrat" w:hAnsi="Montserrat"/>
          <w:sz w:val="18"/>
          <w:szCs w:val="18"/>
        </w:rPr>
        <w:t>.</w:t>
      </w:r>
    </w:p>
    <w:p w14:paraId="11E5452B" w14:textId="77777777" w:rsidR="00BC077B" w:rsidRPr="00DD0D81" w:rsidRDefault="00BC077B" w:rsidP="005A5AC5">
      <w:pPr>
        <w:pStyle w:val="Prrafodelista"/>
        <w:numPr>
          <w:ilvl w:val="0"/>
          <w:numId w:val="14"/>
        </w:numPr>
        <w:spacing w:after="120" w:line="250" w:lineRule="exact"/>
        <w:ind w:left="714" w:hanging="357"/>
        <w:jc w:val="both"/>
        <w:rPr>
          <w:rFonts w:ascii="Montserrat" w:hAnsi="Montserrat" w:cs="Arial"/>
          <w:spacing w:val="-1"/>
          <w:sz w:val="18"/>
          <w:szCs w:val="18"/>
        </w:rPr>
      </w:pPr>
      <w:r w:rsidRPr="00DD0D81">
        <w:rPr>
          <w:rFonts w:ascii="Montserrat" w:hAnsi="Montserrat" w:cs="Arial"/>
          <w:spacing w:val="-1"/>
          <w:sz w:val="18"/>
          <w:szCs w:val="18"/>
        </w:rPr>
        <w:t>Anticipo a Proveedores y Contratistas</w:t>
      </w:r>
    </w:p>
    <w:p w14:paraId="239B4ED3" w14:textId="154CBEE0" w:rsidR="009C3C24" w:rsidRDefault="00B832D2" w:rsidP="00063579">
      <w:pPr>
        <w:spacing w:after="120" w:line="250" w:lineRule="exact"/>
        <w:jc w:val="both"/>
        <w:rPr>
          <w:rFonts w:ascii="Montserrat" w:hAnsi="Montserrat"/>
          <w:sz w:val="18"/>
          <w:szCs w:val="18"/>
        </w:rPr>
      </w:pPr>
      <w:r>
        <w:rPr>
          <w:rFonts w:ascii="Montserrat" w:hAnsi="Montserrat"/>
          <w:sz w:val="18"/>
          <w:szCs w:val="18"/>
        </w:rPr>
        <w:t xml:space="preserve">Se integra principalmente de </w:t>
      </w:r>
      <w:r w:rsidR="009C3C24" w:rsidRPr="00063579">
        <w:rPr>
          <w:rFonts w:ascii="Montserrat" w:hAnsi="Montserrat"/>
          <w:sz w:val="18"/>
          <w:szCs w:val="18"/>
        </w:rPr>
        <w:t>los anticipos por adquisición de bienes, servicios y contratación de obras públicas</w:t>
      </w:r>
      <w:r w:rsidR="00D30333">
        <w:rPr>
          <w:rFonts w:ascii="Montserrat" w:hAnsi="Montserrat"/>
          <w:sz w:val="18"/>
          <w:szCs w:val="18"/>
        </w:rPr>
        <w:t>:</w:t>
      </w:r>
    </w:p>
    <w:p w14:paraId="72837094" w14:textId="77777777" w:rsidR="005A30B5" w:rsidRPr="00063579" w:rsidRDefault="005A30B5" w:rsidP="00063579">
      <w:pPr>
        <w:spacing w:after="120" w:line="250" w:lineRule="exact"/>
        <w:jc w:val="both"/>
        <w:rPr>
          <w:rFonts w:ascii="Montserrat" w:hAnsi="Montserrat"/>
          <w:sz w:val="18"/>
          <w:szCs w:val="18"/>
        </w:rPr>
      </w:pPr>
    </w:p>
    <w:tbl>
      <w:tblPr>
        <w:tblW w:w="8031" w:type="dxa"/>
        <w:jc w:val="center"/>
        <w:tblCellMar>
          <w:left w:w="70" w:type="dxa"/>
          <w:right w:w="70" w:type="dxa"/>
        </w:tblCellMar>
        <w:tblLook w:val="04A0" w:firstRow="1" w:lastRow="0" w:firstColumn="1" w:lastColumn="0" w:noHBand="0" w:noVBand="1"/>
      </w:tblPr>
      <w:tblGrid>
        <w:gridCol w:w="10"/>
        <w:gridCol w:w="19"/>
        <w:gridCol w:w="3787"/>
        <w:gridCol w:w="2098"/>
        <w:gridCol w:w="2045"/>
        <w:gridCol w:w="53"/>
        <w:gridCol w:w="19"/>
      </w:tblGrid>
      <w:tr w:rsidR="009C3C24" w:rsidRPr="006F0DF1" w14:paraId="620DFB6B" w14:textId="77777777" w:rsidTr="000411EB">
        <w:trPr>
          <w:gridAfter w:val="2"/>
          <w:wAfter w:w="72" w:type="dxa"/>
          <w:trHeight w:val="215"/>
          <w:jc w:val="center"/>
        </w:trPr>
        <w:tc>
          <w:tcPr>
            <w:tcW w:w="7959" w:type="dxa"/>
            <w:gridSpan w:val="5"/>
            <w:tcBorders>
              <w:top w:val="nil"/>
              <w:left w:val="nil"/>
              <w:right w:val="nil"/>
            </w:tcBorders>
            <w:shd w:val="clear" w:color="auto" w:fill="auto"/>
            <w:vAlign w:val="center"/>
            <w:hideMark/>
          </w:tcPr>
          <w:p w14:paraId="182BC414" w14:textId="77777777" w:rsidR="009C3C24" w:rsidRPr="00936371" w:rsidRDefault="009C3C24" w:rsidP="00E52592">
            <w:pPr>
              <w:spacing w:after="60" w:line="240" w:lineRule="auto"/>
              <w:jc w:val="center"/>
              <w:rPr>
                <w:rFonts w:ascii="Montserrat" w:eastAsia="Times New Roman" w:hAnsi="Montserrat" w:cs="Calibri"/>
                <w:bCs/>
                <w:sz w:val="16"/>
                <w:szCs w:val="16"/>
                <w:lang w:val="es-MX" w:eastAsia="es-MX"/>
              </w:rPr>
            </w:pPr>
            <w:r w:rsidRPr="00936371">
              <w:rPr>
                <w:rFonts w:ascii="Montserrat" w:eastAsia="Times New Roman" w:hAnsi="Montserrat" w:cs="Calibri"/>
                <w:bCs/>
                <w:sz w:val="16"/>
                <w:szCs w:val="16"/>
                <w:lang w:val="es-MX" w:eastAsia="es-MX"/>
              </w:rPr>
              <w:lastRenderedPageBreak/>
              <w:t>(Pesos)</w:t>
            </w:r>
          </w:p>
        </w:tc>
      </w:tr>
      <w:tr w:rsidR="008C3C1D" w:rsidRPr="008C3C1D" w14:paraId="57C527E0" w14:textId="77777777" w:rsidTr="000308CA">
        <w:trPr>
          <w:gridBefore w:val="2"/>
          <w:wBefore w:w="29" w:type="dxa"/>
          <w:trHeight w:val="57"/>
          <w:jc w:val="center"/>
        </w:trPr>
        <w:tc>
          <w:tcPr>
            <w:tcW w:w="8002" w:type="dxa"/>
            <w:gridSpan w:val="5"/>
            <w:tcBorders>
              <w:top w:val="single" w:sz="12" w:space="0" w:color="808080" w:themeColor="background1" w:themeShade="80"/>
            </w:tcBorders>
            <w:shd w:val="clear" w:color="auto" w:fill="auto"/>
            <w:vAlign w:val="center"/>
          </w:tcPr>
          <w:p w14:paraId="4D733500" w14:textId="77777777" w:rsidR="008C3C1D" w:rsidRPr="008C3C1D" w:rsidRDefault="008C3C1D" w:rsidP="002F797B">
            <w:pPr>
              <w:spacing w:after="0" w:line="240" w:lineRule="auto"/>
              <w:jc w:val="center"/>
              <w:rPr>
                <w:rFonts w:ascii="Montserrat" w:eastAsia="Times New Roman" w:hAnsi="Montserrat" w:cs="Calibri"/>
                <w:b/>
                <w:bCs/>
                <w:color w:val="FFFFFF"/>
                <w:sz w:val="4"/>
                <w:szCs w:val="4"/>
                <w:lang w:val="es-MX" w:eastAsia="es-MX"/>
              </w:rPr>
            </w:pPr>
          </w:p>
        </w:tc>
      </w:tr>
      <w:tr w:rsidR="009C3C24" w:rsidRPr="006F0DF1" w14:paraId="05BE1B96" w14:textId="77777777" w:rsidTr="00D411B6">
        <w:trPr>
          <w:gridBefore w:val="1"/>
          <w:gridAfter w:val="1"/>
          <w:wBefore w:w="10" w:type="dxa"/>
          <w:wAfter w:w="19" w:type="dxa"/>
          <w:trHeight w:val="215"/>
          <w:jc w:val="center"/>
        </w:trPr>
        <w:tc>
          <w:tcPr>
            <w:tcW w:w="3806" w:type="dxa"/>
            <w:gridSpan w:val="2"/>
            <w:tcBorders>
              <w:top w:val="nil"/>
              <w:left w:val="single" w:sz="8" w:space="0" w:color="FFFFFF" w:themeColor="background1"/>
              <w:bottom w:val="double" w:sz="12" w:space="0" w:color="808080" w:themeColor="background1" w:themeShade="80"/>
              <w:right w:val="single" w:sz="8" w:space="0" w:color="FFFFFF" w:themeColor="background1"/>
            </w:tcBorders>
            <w:shd w:val="clear" w:color="auto" w:fill="D4C19C"/>
            <w:vAlign w:val="center"/>
            <w:hideMark/>
          </w:tcPr>
          <w:p w14:paraId="4197A546" w14:textId="77777777" w:rsidR="009C3C24" w:rsidRPr="006F0DF1" w:rsidRDefault="009C3C24" w:rsidP="002F797B">
            <w:pPr>
              <w:spacing w:after="0" w:line="240" w:lineRule="auto"/>
              <w:jc w:val="center"/>
              <w:rPr>
                <w:rFonts w:ascii="Montserrat" w:eastAsia="Times New Roman" w:hAnsi="Montserrat" w:cs="Calibri"/>
                <w:b/>
                <w:bCs/>
                <w:color w:val="FFFFFF"/>
                <w:sz w:val="16"/>
                <w:szCs w:val="16"/>
                <w:lang w:val="es-MX" w:eastAsia="es-MX"/>
              </w:rPr>
            </w:pPr>
            <w:r w:rsidRPr="006F0DF1">
              <w:rPr>
                <w:rFonts w:ascii="Montserrat" w:eastAsia="Times New Roman" w:hAnsi="Montserrat" w:cs="Calibri"/>
                <w:b/>
                <w:bCs/>
                <w:color w:val="FFFFFF"/>
                <w:sz w:val="16"/>
                <w:szCs w:val="16"/>
                <w:lang w:val="es-MX" w:eastAsia="es-MX"/>
              </w:rPr>
              <w:t>Concepto</w:t>
            </w:r>
          </w:p>
        </w:tc>
        <w:tc>
          <w:tcPr>
            <w:tcW w:w="2098" w:type="dxa"/>
            <w:tcBorders>
              <w:top w:val="nil"/>
              <w:left w:val="single" w:sz="8" w:space="0" w:color="FFFFFF" w:themeColor="background1"/>
              <w:bottom w:val="double" w:sz="12" w:space="0" w:color="808080" w:themeColor="background1" w:themeShade="80"/>
              <w:right w:val="single" w:sz="8" w:space="0" w:color="FFFFFF" w:themeColor="background1"/>
            </w:tcBorders>
            <w:shd w:val="clear" w:color="auto" w:fill="D4C19C"/>
            <w:vAlign w:val="center"/>
            <w:hideMark/>
          </w:tcPr>
          <w:p w14:paraId="71AC53A8" w14:textId="77777777" w:rsidR="009C3C24" w:rsidRPr="006F0DF1" w:rsidRDefault="009C3C24" w:rsidP="002F4EE1">
            <w:pPr>
              <w:spacing w:after="0" w:line="240" w:lineRule="auto"/>
              <w:jc w:val="center"/>
              <w:rPr>
                <w:rFonts w:ascii="Montserrat" w:eastAsia="Times New Roman" w:hAnsi="Montserrat" w:cs="Calibri"/>
                <w:b/>
                <w:bCs/>
                <w:color w:val="FFFFFF"/>
                <w:sz w:val="16"/>
                <w:szCs w:val="16"/>
                <w:lang w:val="es-MX" w:eastAsia="es-MX"/>
              </w:rPr>
            </w:pPr>
            <w:r>
              <w:rPr>
                <w:rFonts w:ascii="Montserrat" w:eastAsia="Times New Roman" w:hAnsi="Montserrat" w:cs="Calibri"/>
                <w:b/>
                <w:bCs/>
                <w:color w:val="FFFFFF"/>
                <w:sz w:val="16"/>
                <w:szCs w:val="16"/>
                <w:lang w:val="es-MX" w:eastAsia="es-MX"/>
              </w:rPr>
              <w:t>201</w:t>
            </w:r>
            <w:r w:rsidR="002F4EE1">
              <w:rPr>
                <w:rFonts w:ascii="Montserrat" w:eastAsia="Times New Roman" w:hAnsi="Montserrat" w:cs="Calibri"/>
                <w:b/>
                <w:bCs/>
                <w:color w:val="FFFFFF"/>
                <w:sz w:val="16"/>
                <w:szCs w:val="16"/>
                <w:lang w:val="es-MX" w:eastAsia="es-MX"/>
              </w:rPr>
              <w:t>9</w:t>
            </w:r>
          </w:p>
        </w:tc>
        <w:tc>
          <w:tcPr>
            <w:tcW w:w="2098" w:type="dxa"/>
            <w:gridSpan w:val="2"/>
            <w:tcBorders>
              <w:top w:val="nil"/>
              <w:left w:val="single" w:sz="8" w:space="0" w:color="FFFFFF" w:themeColor="background1"/>
              <w:bottom w:val="double" w:sz="12" w:space="0" w:color="808080" w:themeColor="background1" w:themeShade="80"/>
              <w:right w:val="single" w:sz="8" w:space="0" w:color="FFFFFF" w:themeColor="background1"/>
            </w:tcBorders>
            <w:shd w:val="clear" w:color="auto" w:fill="D4C19C"/>
            <w:vAlign w:val="center"/>
            <w:hideMark/>
          </w:tcPr>
          <w:p w14:paraId="7B123D14" w14:textId="77777777" w:rsidR="009C3C24" w:rsidRPr="006F0DF1" w:rsidRDefault="009C3C24" w:rsidP="002F797B">
            <w:pPr>
              <w:spacing w:after="0" w:line="240" w:lineRule="auto"/>
              <w:jc w:val="center"/>
              <w:rPr>
                <w:rFonts w:ascii="Montserrat" w:eastAsia="Times New Roman" w:hAnsi="Montserrat" w:cs="Calibri"/>
                <w:b/>
                <w:bCs/>
                <w:color w:val="FFFFFF"/>
                <w:sz w:val="16"/>
                <w:szCs w:val="16"/>
                <w:lang w:val="es-MX" w:eastAsia="es-MX"/>
              </w:rPr>
            </w:pPr>
            <w:r>
              <w:rPr>
                <w:rFonts w:ascii="Montserrat" w:eastAsia="Times New Roman" w:hAnsi="Montserrat" w:cs="Calibri"/>
                <w:b/>
                <w:bCs/>
                <w:color w:val="FFFFFF"/>
                <w:sz w:val="16"/>
                <w:szCs w:val="16"/>
                <w:lang w:val="es-MX" w:eastAsia="es-MX"/>
              </w:rPr>
              <w:t>201</w:t>
            </w:r>
            <w:r w:rsidR="002F4EE1">
              <w:rPr>
                <w:rFonts w:ascii="Montserrat" w:eastAsia="Times New Roman" w:hAnsi="Montserrat" w:cs="Calibri"/>
                <w:b/>
                <w:bCs/>
                <w:color w:val="FFFFFF"/>
                <w:sz w:val="16"/>
                <w:szCs w:val="16"/>
                <w:lang w:val="es-MX" w:eastAsia="es-MX"/>
              </w:rPr>
              <w:t>8</w:t>
            </w:r>
          </w:p>
        </w:tc>
      </w:tr>
      <w:tr w:rsidR="00B37277" w:rsidRPr="006F0DF1" w14:paraId="6D173D66" w14:textId="77777777" w:rsidTr="00D411B6">
        <w:trPr>
          <w:gridBefore w:val="1"/>
          <w:gridAfter w:val="1"/>
          <w:wBefore w:w="10" w:type="dxa"/>
          <w:wAfter w:w="19" w:type="dxa"/>
          <w:trHeight w:val="215"/>
          <w:jc w:val="center"/>
        </w:trPr>
        <w:tc>
          <w:tcPr>
            <w:tcW w:w="3806" w:type="dxa"/>
            <w:gridSpan w:val="2"/>
            <w:tcBorders>
              <w:top w:val="double" w:sz="12" w:space="0" w:color="808080" w:themeColor="background1" w:themeShade="80"/>
            </w:tcBorders>
            <w:shd w:val="clear" w:color="auto" w:fill="F2F2F2" w:themeFill="background1" w:themeFillShade="F2"/>
            <w:vAlign w:val="center"/>
            <w:hideMark/>
          </w:tcPr>
          <w:p w14:paraId="6934EB95" w14:textId="77777777" w:rsidR="00B37277" w:rsidRPr="00255081" w:rsidRDefault="00B37277" w:rsidP="00B37277">
            <w:pPr>
              <w:spacing w:after="0" w:line="240" w:lineRule="auto"/>
              <w:ind w:left="170"/>
              <w:rPr>
                <w:rFonts w:ascii="Montserrat" w:eastAsia="Times New Roman" w:hAnsi="Montserrat" w:cs="Calibri"/>
                <w:color w:val="000000"/>
                <w:sz w:val="15"/>
                <w:szCs w:val="15"/>
                <w:lang w:val="es-MX" w:eastAsia="es-MX"/>
              </w:rPr>
            </w:pPr>
            <w:r w:rsidRPr="00255081">
              <w:rPr>
                <w:rFonts w:ascii="Montserrat" w:eastAsia="Times New Roman" w:hAnsi="Montserrat" w:cs="Calibri"/>
                <w:color w:val="000000"/>
                <w:sz w:val="15"/>
                <w:szCs w:val="15"/>
                <w:lang w:val="es-MX" w:eastAsia="es-MX"/>
              </w:rPr>
              <w:t>Anticipo a Proveedores y Contratistas</w:t>
            </w:r>
          </w:p>
        </w:tc>
        <w:tc>
          <w:tcPr>
            <w:tcW w:w="2098" w:type="dxa"/>
            <w:tcBorders>
              <w:top w:val="double" w:sz="12" w:space="0" w:color="808080" w:themeColor="background1" w:themeShade="80"/>
            </w:tcBorders>
            <w:shd w:val="clear" w:color="auto" w:fill="F2F2F2" w:themeFill="background1" w:themeFillShade="F2"/>
            <w:vAlign w:val="center"/>
          </w:tcPr>
          <w:p w14:paraId="2E3EA5C5" w14:textId="1BF42CBD" w:rsidR="00B37277" w:rsidRPr="00255081" w:rsidRDefault="00B37277" w:rsidP="00B37277">
            <w:pPr>
              <w:spacing w:after="0" w:line="240" w:lineRule="auto"/>
              <w:jc w:val="right"/>
              <w:rPr>
                <w:rFonts w:ascii="Montserrat" w:eastAsia="Times New Roman" w:hAnsi="Montserrat" w:cs="Calibri"/>
                <w:sz w:val="15"/>
                <w:szCs w:val="15"/>
                <w:lang w:val="es-MX" w:eastAsia="es-MX"/>
              </w:rPr>
            </w:pPr>
            <w:r w:rsidRPr="000F0321">
              <w:rPr>
                <w:rFonts w:ascii="Montserrat" w:hAnsi="Montserrat" w:cs="Arial"/>
                <w:color w:val="000000"/>
                <w:sz w:val="15"/>
                <w:szCs w:val="15"/>
              </w:rPr>
              <w:t>19,709,214,834</w:t>
            </w:r>
          </w:p>
        </w:tc>
        <w:tc>
          <w:tcPr>
            <w:tcW w:w="2098" w:type="dxa"/>
            <w:gridSpan w:val="2"/>
            <w:tcBorders>
              <w:top w:val="double" w:sz="12" w:space="0" w:color="808080" w:themeColor="background1" w:themeShade="80"/>
            </w:tcBorders>
            <w:shd w:val="clear" w:color="auto" w:fill="F2F2F2" w:themeFill="background1" w:themeFillShade="F2"/>
            <w:vAlign w:val="center"/>
            <w:hideMark/>
          </w:tcPr>
          <w:p w14:paraId="346A4CF6" w14:textId="77777777" w:rsidR="00B37277" w:rsidRPr="00255081" w:rsidRDefault="00B37277" w:rsidP="00B37277">
            <w:pPr>
              <w:spacing w:after="0" w:line="240" w:lineRule="auto"/>
              <w:jc w:val="right"/>
              <w:rPr>
                <w:rFonts w:ascii="Montserrat" w:eastAsia="Times New Roman" w:hAnsi="Montserrat" w:cs="Calibri"/>
                <w:sz w:val="15"/>
                <w:szCs w:val="15"/>
                <w:lang w:val="es-MX" w:eastAsia="es-MX"/>
              </w:rPr>
            </w:pPr>
            <w:r w:rsidRPr="00255081">
              <w:rPr>
                <w:rFonts w:ascii="Montserrat" w:eastAsia="Times New Roman" w:hAnsi="Montserrat" w:cs="Calibri"/>
                <w:sz w:val="15"/>
                <w:szCs w:val="15"/>
                <w:lang w:val="es-MX" w:eastAsia="es-MX"/>
              </w:rPr>
              <w:t>20,110,993,798</w:t>
            </w:r>
          </w:p>
        </w:tc>
      </w:tr>
      <w:tr w:rsidR="00B37277" w:rsidRPr="006F0DF1" w14:paraId="716B29A1" w14:textId="77777777" w:rsidTr="00D411B6">
        <w:trPr>
          <w:gridBefore w:val="1"/>
          <w:gridAfter w:val="1"/>
          <w:wBefore w:w="10" w:type="dxa"/>
          <w:wAfter w:w="19" w:type="dxa"/>
          <w:trHeight w:val="215"/>
          <w:jc w:val="center"/>
        </w:trPr>
        <w:tc>
          <w:tcPr>
            <w:tcW w:w="3806" w:type="dxa"/>
            <w:gridSpan w:val="2"/>
            <w:shd w:val="clear" w:color="auto" w:fill="F2F2F2" w:themeFill="background1" w:themeFillShade="F2"/>
            <w:vAlign w:val="center"/>
            <w:hideMark/>
          </w:tcPr>
          <w:p w14:paraId="2F9B6F90" w14:textId="77777777" w:rsidR="00B37277" w:rsidRPr="00255081" w:rsidRDefault="00B37277" w:rsidP="00B37277">
            <w:pPr>
              <w:spacing w:after="0" w:line="240" w:lineRule="auto"/>
              <w:ind w:left="170"/>
              <w:rPr>
                <w:rFonts w:ascii="Montserrat" w:eastAsia="Times New Roman" w:hAnsi="Montserrat" w:cs="Calibri"/>
                <w:color w:val="000000"/>
                <w:sz w:val="15"/>
                <w:szCs w:val="15"/>
                <w:lang w:val="es-MX" w:eastAsia="es-MX"/>
              </w:rPr>
            </w:pPr>
            <w:r w:rsidRPr="00255081">
              <w:rPr>
                <w:rFonts w:ascii="Montserrat" w:eastAsia="Times New Roman" w:hAnsi="Montserrat" w:cs="Calibri"/>
                <w:color w:val="000000"/>
                <w:sz w:val="15"/>
                <w:szCs w:val="15"/>
                <w:lang w:val="es-MX" w:eastAsia="es-MX"/>
              </w:rPr>
              <w:t>Otros</w:t>
            </w:r>
          </w:p>
        </w:tc>
        <w:tc>
          <w:tcPr>
            <w:tcW w:w="2098" w:type="dxa"/>
            <w:shd w:val="clear" w:color="auto" w:fill="F2F2F2" w:themeFill="background1" w:themeFillShade="F2"/>
            <w:vAlign w:val="center"/>
          </w:tcPr>
          <w:p w14:paraId="7913A460" w14:textId="01650A75" w:rsidR="00B37277" w:rsidRPr="00255081" w:rsidRDefault="00B37277" w:rsidP="00B37277">
            <w:pPr>
              <w:spacing w:after="0" w:line="240" w:lineRule="auto"/>
              <w:jc w:val="right"/>
              <w:rPr>
                <w:rFonts w:ascii="Montserrat" w:eastAsia="Times New Roman" w:hAnsi="Montserrat" w:cs="Calibri"/>
                <w:sz w:val="15"/>
                <w:szCs w:val="15"/>
                <w:lang w:val="es-MX" w:eastAsia="es-MX"/>
              </w:rPr>
            </w:pPr>
            <w:r w:rsidRPr="000F0321">
              <w:rPr>
                <w:rFonts w:ascii="Montserrat" w:hAnsi="Montserrat" w:cs="Arial"/>
                <w:color w:val="000000"/>
                <w:sz w:val="15"/>
                <w:szCs w:val="15"/>
              </w:rPr>
              <w:t>925,944</w:t>
            </w:r>
            <w:r w:rsidR="00810842" w:rsidRPr="000F0321">
              <w:rPr>
                <w:rFonts w:ascii="Montserrat" w:hAnsi="Montserrat" w:cs="Arial"/>
                <w:color w:val="000000"/>
                <w:sz w:val="15"/>
                <w:szCs w:val="15"/>
              </w:rPr>
              <w:t>,400</w:t>
            </w:r>
          </w:p>
        </w:tc>
        <w:tc>
          <w:tcPr>
            <w:tcW w:w="2098" w:type="dxa"/>
            <w:gridSpan w:val="2"/>
            <w:shd w:val="clear" w:color="auto" w:fill="F2F2F2" w:themeFill="background1" w:themeFillShade="F2"/>
            <w:vAlign w:val="center"/>
            <w:hideMark/>
          </w:tcPr>
          <w:p w14:paraId="0195F881" w14:textId="77777777" w:rsidR="00B37277" w:rsidRPr="00255081" w:rsidRDefault="00B37277" w:rsidP="00B37277">
            <w:pPr>
              <w:spacing w:after="0" w:line="240" w:lineRule="auto"/>
              <w:jc w:val="right"/>
              <w:rPr>
                <w:rFonts w:ascii="Montserrat" w:eastAsia="Times New Roman" w:hAnsi="Montserrat" w:cs="Calibri"/>
                <w:sz w:val="15"/>
                <w:szCs w:val="15"/>
                <w:lang w:val="es-MX" w:eastAsia="es-MX"/>
              </w:rPr>
            </w:pPr>
            <w:r w:rsidRPr="00255081">
              <w:rPr>
                <w:rFonts w:ascii="Montserrat" w:hAnsi="Montserrat" w:cs="Calibri"/>
                <w:sz w:val="15"/>
                <w:szCs w:val="15"/>
              </w:rPr>
              <w:t>953,456,808</w:t>
            </w:r>
          </w:p>
        </w:tc>
      </w:tr>
      <w:tr w:rsidR="00B37277" w:rsidRPr="006F0DF1" w14:paraId="3D70BBA5" w14:textId="77777777" w:rsidTr="00D411B6">
        <w:trPr>
          <w:gridBefore w:val="1"/>
          <w:gridAfter w:val="1"/>
          <w:wBefore w:w="10" w:type="dxa"/>
          <w:wAfter w:w="19" w:type="dxa"/>
          <w:trHeight w:val="215"/>
          <w:jc w:val="center"/>
        </w:trPr>
        <w:tc>
          <w:tcPr>
            <w:tcW w:w="3806" w:type="dxa"/>
            <w:gridSpan w:val="2"/>
            <w:tcBorders>
              <w:bottom w:val="single" w:sz="12" w:space="0" w:color="808080" w:themeColor="background1" w:themeShade="80"/>
            </w:tcBorders>
            <w:shd w:val="clear" w:color="auto" w:fill="F2F2F2" w:themeFill="background1" w:themeFillShade="F2"/>
            <w:vAlign w:val="center"/>
            <w:hideMark/>
          </w:tcPr>
          <w:p w14:paraId="3728EB3E" w14:textId="77777777" w:rsidR="00B37277" w:rsidRPr="00255081" w:rsidRDefault="00B37277" w:rsidP="00B37277">
            <w:pPr>
              <w:spacing w:after="0" w:line="240" w:lineRule="auto"/>
              <w:ind w:left="170"/>
              <w:jc w:val="right"/>
              <w:rPr>
                <w:rFonts w:ascii="Montserrat" w:eastAsia="Times New Roman" w:hAnsi="Montserrat" w:cs="Calibri"/>
                <w:b/>
                <w:bCs/>
                <w:color w:val="000000"/>
                <w:sz w:val="15"/>
                <w:szCs w:val="15"/>
                <w:lang w:val="es-MX" w:eastAsia="es-MX"/>
              </w:rPr>
            </w:pPr>
            <w:r w:rsidRPr="00255081">
              <w:rPr>
                <w:rFonts w:ascii="Montserrat" w:eastAsia="Times New Roman" w:hAnsi="Montserrat" w:cs="Calibri"/>
                <w:b/>
                <w:bCs/>
                <w:color w:val="000000"/>
                <w:sz w:val="15"/>
                <w:szCs w:val="15"/>
                <w:lang w:val="es-MX" w:eastAsia="es-MX"/>
              </w:rPr>
              <w:t>Total Derechos a Recibir Bienes o Servicios</w:t>
            </w:r>
          </w:p>
        </w:tc>
        <w:tc>
          <w:tcPr>
            <w:tcW w:w="2098" w:type="dxa"/>
            <w:tcBorders>
              <w:bottom w:val="single" w:sz="12" w:space="0" w:color="808080" w:themeColor="background1" w:themeShade="80"/>
            </w:tcBorders>
            <w:shd w:val="clear" w:color="auto" w:fill="F2F2F2" w:themeFill="background1" w:themeFillShade="F2"/>
            <w:vAlign w:val="center"/>
          </w:tcPr>
          <w:p w14:paraId="37D5822A" w14:textId="1C4EDC09" w:rsidR="00B37277" w:rsidRPr="00255081" w:rsidRDefault="00B37277" w:rsidP="00B37277">
            <w:pPr>
              <w:spacing w:after="0" w:line="240" w:lineRule="auto"/>
              <w:jc w:val="right"/>
              <w:rPr>
                <w:rFonts w:ascii="Montserrat" w:eastAsia="Times New Roman" w:hAnsi="Montserrat" w:cs="Calibri"/>
                <w:b/>
                <w:bCs/>
                <w:sz w:val="15"/>
                <w:szCs w:val="15"/>
                <w:lang w:val="es-MX" w:eastAsia="es-MX"/>
              </w:rPr>
            </w:pPr>
            <w:r w:rsidRPr="000F0321">
              <w:rPr>
                <w:rFonts w:ascii="Montserrat" w:hAnsi="Montserrat" w:cs="Arial"/>
                <w:b/>
                <w:bCs/>
                <w:color w:val="000000"/>
                <w:sz w:val="15"/>
                <w:szCs w:val="15"/>
              </w:rPr>
              <w:t>20,635,159,234</w:t>
            </w:r>
          </w:p>
        </w:tc>
        <w:tc>
          <w:tcPr>
            <w:tcW w:w="2098" w:type="dxa"/>
            <w:gridSpan w:val="2"/>
            <w:tcBorders>
              <w:bottom w:val="single" w:sz="12" w:space="0" w:color="808080" w:themeColor="background1" w:themeShade="80"/>
            </w:tcBorders>
            <w:shd w:val="clear" w:color="auto" w:fill="F2F2F2" w:themeFill="background1" w:themeFillShade="F2"/>
            <w:vAlign w:val="center"/>
            <w:hideMark/>
          </w:tcPr>
          <w:p w14:paraId="14EF5A87" w14:textId="77777777" w:rsidR="00B37277" w:rsidRPr="00255081" w:rsidRDefault="00B37277" w:rsidP="00B37277">
            <w:pPr>
              <w:spacing w:after="0" w:line="240" w:lineRule="auto"/>
              <w:jc w:val="right"/>
              <w:rPr>
                <w:rFonts w:ascii="Montserrat" w:eastAsia="Times New Roman" w:hAnsi="Montserrat" w:cs="Calibri"/>
                <w:b/>
                <w:bCs/>
                <w:sz w:val="15"/>
                <w:szCs w:val="15"/>
                <w:lang w:val="es-MX" w:eastAsia="es-MX"/>
              </w:rPr>
            </w:pPr>
            <w:r w:rsidRPr="00255081">
              <w:rPr>
                <w:rFonts w:ascii="Montserrat" w:hAnsi="Montserrat" w:cs="Calibri"/>
                <w:b/>
                <w:bCs/>
                <w:sz w:val="15"/>
                <w:szCs w:val="15"/>
              </w:rPr>
              <w:t>21,064,450,606</w:t>
            </w:r>
          </w:p>
        </w:tc>
      </w:tr>
    </w:tbl>
    <w:p w14:paraId="3782DAAC" w14:textId="77777777" w:rsidR="005A30B5" w:rsidRPr="006D1082" w:rsidRDefault="005A30B5" w:rsidP="006D1082">
      <w:pPr>
        <w:pStyle w:val="Prrafodelista"/>
        <w:ind w:left="0"/>
        <w:contextualSpacing w:val="0"/>
        <w:jc w:val="both"/>
        <w:rPr>
          <w:rFonts w:ascii="Montserrat" w:hAnsi="Montserrat" w:cs="Arial"/>
          <w:spacing w:val="-1"/>
          <w:sz w:val="18"/>
          <w:szCs w:val="18"/>
        </w:rPr>
      </w:pPr>
    </w:p>
    <w:p w14:paraId="5960E97A" w14:textId="29C89ADC" w:rsidR="009C3C24" w:rsidRDefault="00D04687" w:rsidP="006D1082">
      <w:pPr>
        <w:spacing w:after="120" w:line="250" w:lineRule="exact"/>
        <w:jc w:val="both"/>
        <w:rPr>
          <w:rFonts w:ascii="Montserrat" w:hAnsi="Montserrat"/>
          <w:sz w:val="18"/>
          <w:szCs w:val="18"/>
        </w:rPr>
      </w:pPr>
      <w:r w:rsidRPr="000F0321">
        <w:rPr>
          <w:rFonts w:ascii="Montserrat" w:hAnsi="Montserrat"/>
          <w:sz w:val="18"/>
          <w:szCs w:val="18"/>
        </w:rPr>
        <w:t xml:space="preserve">Para este ejercicio, se presenta una disminución de los anticipos a proveedores y contratistas </w:t>
      </w:r>
      <w:r w:rsidR="00B832D2" w:rsidRPr="000F0321">
        <w:rPr>
          <w:rFonts w:ascii="Montserrat" w:hAnsi="Montserrat"/>
          <w:sz w:val="18"/>
          <w:szCs w:val="18"/>
        </w:rPr>
        <w:t xml:space="preserve">como resultado de su aplicación, siendo los más significativos, </w:t>
      </w:r>
      <w:r w:rsidRPr="000F0321">
        <w:rPr>
          <w:rFonts w:ascii="Montserrat" w:hAnsi="Montserrat"/>
          <w:sz w:val="18"/>
          <w:szCs w:val="18"/>
        </w:rPr>
        <w:t xml:space="preserve">en </w:t>
      </w:r>
      <w:r w:rsidR="006641F9">
        <w:rPr>
          <w:rFonts w:ascii="Montserrat" w:hAnsi="Montserrat"/>
          <w:sz w:val="18"/>
          <w:szCs w:val="18"/>
        </w:rPr>
        <w:t>SEDENA,</w:t>
      </w:r>
      <w:r w:rsidR="00B832D2" w:rsidRPr="000F0321">
        <w:rPr>
          <w:rFonts w:ascii="Montserrat" w:hAnsi="Montserrat"/>
          <w:sz w:val="18"/>
          <w:szCs w:val="18"/>
        </w:rPr>
        <w:t xml:space="preserve"> Secretaría</w:t>
      </w:r>
      <w:r w:rsidR="006641F9">
        <w:rPr>
          <w:rFonts w:ascii="Montserrat" w:hAnsi="Montserrat"/>
          <w:sz w:val="18"/>
          <w:szCs w:val="18"/>
        </w:rPr>
        <w:t xml:space="preserve"> de</w:t>
      </w:r>
      <w:r w:rsidR="00E13674" w:rsidRPr="000F0321">
        <w:rPr>
          <w:rFonts w:ascii="Montserrat" w:hAnsi="Montserrat"/>
          <w:sz w:val="18"/>
          <w:szCs w:val="18"/>
        </w:rPr>
        <w:t xml:space="preserve"> Salud</w:t>
      </w:r>
      <w:r w:rsidR="006641F9">
        <w:rPr>
          <w:rFonts w:ascii="Montserrat" w:hAnsi="Montserrat"/>
          <w:sz w:val="18"/>
          <w:szCs w:val="18"/>
        </w:rPr>
        <w:t xml:space="preserve"> (SS) y Secretaría de</w:t>
      </w:r>
      <w:r w:rsidR="00192102" w:rsidRPr="000F0321">
        <w:rPr>
          <w:rFonts w:ascii="Montserrat" w:hAnsi="Montserrat"/>
          <w:sz w:val="18"/>
          <w:szCs w:val="18"/>
        </w:rPr>
        <w:t xml:space="preserve"> Medio Ambiente y Recursos Naturales</w:t>
      </w:r>
      <w:r w:rsidR="006641F9">
        <w:rPr>
          <w:rFonts w:ascii="Montserrat" w:hAnsi="Montserrat"/>
          <w:sz w:val="18"/>
          <w:szCs w:val="18"/>
        </w:rPr>
        <w:t xml:space="preserve"> (SEMARNAT)</w:t>
      </w:r>
      <w:r w:rsidR="00884522" w:rsidRPr="000F0321">
        <w:rPr>
          <w:rFonts w:ascii="Montserrat" w:hAnsi="Montserrat"/>
          <w:sz w:val="18"/>
          <w:szCs w:val="18"/>
        </w:rPr>
        <w:t>.</w:t>
      </w:r>
    </w:p>
    <w:p w14:paraId="75E9E2E1" w14:textId="77777777" w:rsidR="006D1082" w:rsidRPr="0061765C" w:rsidRDefault="006D1082" w:rsidP="006D1082">
      <w:pPr>
        <w:pStyle w:val="Prrafodelista"/>
        <w:ind w:left="0"/>
        <w:contextualSpacing w:val="0"/>
        <w:jc w:val="both"/>
        <w:rPr>
          <w:rFonts w:ascii="Montserrat" w:hAnsi="Montserrat" w:cs="Arial"/>
          <w:spacing w:val="-1"/>
          <w:sz w:val="14"/>
          <w:szCs w:val="14"/>
        </w:rPr>
      </w:pPr>
    </w:p>
    <w:p w14:paraId="28B1D1B8" w14:textId="77777777" w:rsidR="009C3C24" w:rsidRPr="004E44CE" w:rsidRDefault="009C3C24" w:rsidP="006D1082">
      <w:pPr>
        <w:pStyle w:val="VIETAFLECHA"/>
        <w:numPr>
          <w:ilvl w:val="0"/>
          <w:numId w:val="13"/>
        </w:numPr>
        <w:ind w:left="357" w:hanging="357"/>
        <w:rPr>
          <w:rFonts w:cs="Arial"/>
          <w:spacing w:val="-1"/>
        </w:rPr>
      </w:pPr>
      <w:r w:rsidRPr="004E44CE">
        <w:rPr>
          <w:rFonts w:cs="Arial"/>
          <w:spacing w:val="-1"/>
        </w:rPr>
        <w:t>Bienes Disponibles para su Transformación o Consumo</w:t>
      </w:r>
    </w:p>
    <w:p w14:paraId="48C73C9C" w14:textId="77777777" w:rsidR="009C3C24" w:rsidRPr="00063579" w:rsidRDefault="009C3C24" w:rsidP="00063579">
      <w:pPr>
        <w:spacing w:after="120" w:line="250" w:lineRule="exact"/>
        <w:jc w:val="both"/>
        <w:rPr>
          <w:rFonts w:ascii="Montserrat" w:hAnsi="Montserrat"/>
          <w:sz w:val="18"/>
          <w:szCs w:val="18"/>
        </w:rPr>
      </w:pPr>
      <w:r w:rsidRPr="00063579">
        <w:rPr>
          <w:rFonts w:ascii="Montserrat" w:hAnsi="Montserrat"/>
          <w:sz w:val="18"/>
          <w:szCs w:val="18"/>
        </w:rPr>
        <w:t>El rubro de inventarios en el activo circulante, se integra por aquellos bienes que forman parte de los procesos de elaboración, producción o transformación en bienes o productos por parte de las dependencias, y por la adquisición de bienes que se encuentran pendientes de recepción. A su vez, el rubro de almacenes agrupa aquellos bienes de consumo que no se distribuyen de manera inmediata para su uso y su entrega se hace en fecha posterior a la de su adquisición.</w:t>
      </w:r>
    </w:p>
    <w:p w14:paraId="1E6D126D" w14:textId="77777777" w:rsidR="009C3C24" w:rsidRDefault="009C3C24" w:rsidP="00063579">
      <w:pPr>
        <w:spacing w:after="120" w:line="250" w:lineRule="exact"/>
        <w:jc w:val="both"/>
        <w:rPr>
          <w:rFonts w:ascii="Montserrat" w:hAnsi="Montserrat"/>
          <w:sz w:val="18"/>
          <w:szCs w:val="18"/>
        </w:rPr>
      </w:pPr>
      <w:r w:rsidRPr="00063579">
        <w:rPr>
          <w:rFonts w:ascii="Montserrat" w:hAnsi="Montserrat"/>
          <w:sz w:val="18"/>
          <w:szCs w:val="18"/>
        </w:rPr>
        <w:t>A continuación se relacionan las cuentas que integran los rubros de inventarios y almacenes:</w:t>
      </w:r>
    </w:p>
    <w:p w14:paraId="5968ACB3" w14:textId="77777777" w:rsidR="0061765C" w:rsidRPr="0061765C" w:rsidRDefault="0061765C" w:rsidP="0061765C">
      <w:pPr>
        <w:pStyle w:val="Prrafodelista"/>
        <w:ind w:left="0"/>
        <w:contextualSpacing w:val="0"/>
        <w:jc w:val="both"/>
        <w:rPr>
          <w:rFonts w:ascii="Montserrat" w:hAnsi="Montserrat" w:cs="Arial"/>
          <w:spacing w:val="-1"/>
          <w:sz w:val="14"/>
          <w:szCs w:val="14"/>
        </w:rPr>
      </w:pPr>
    </w:p>
    <w:p w14:paraId="1FB62559" w14:textId="77777777" w:rsidR="009C3C24" w:rsidRPr="00936371" w:rsidRDefault="009C3C24" w:rsidP="00E52592">
      <w:pPr>
        <w:spacing w:after="60" w:line="240" w:lineRule="auto"/>
        <w:jc w:val="center"/>
        <w:rPr>
          <w:rFonts w:ascii="Montserrat" w:hAnsi="Montserrat" w:cs="Arial"/>
          <w:spacing w:val="-1"/>
          <w:sz w:val="18"/>
          <w:szCs w:val="18"/>
        </w:rPr>
      </w:pPr>
      <w:r w:rsidRPr="00936371">
        <w:rPr>
          <w:rFonts w:ascii="Montserrat" w:eastAsia="Times New Roman" w:hAnsi="Montserrat" w:cs="Calibri"/>
          <w:bCs/>
          <w:sz w:val="16"/>
          <w:szCs w:val="16"/>
          <w:lang w:val="es-MX" w:eastAsia="es-MX"/>
        </w:rPr>
        <w:t>(Pesos)</w:t>
      </w:r>
    </w:p>
    <w:tbl>
      <w:tblPr>
        <w:tblW w:w="8259" w:type="dxa"/>
        <w:jc w:val="center"/>
        <w:tblCellMar>
          <w:left w:w="70" w:type="dxa"/>
          <w:right w:w="70" w:type="dxa"/>
        </w:tblCellMar>
        <w:tblLook w:val="04A0" w:firstRow="1" w:lastRow="0" w:firstColumn="1" w:lastColumn="0" w:noHBand="0" w:noVBand="1"/>
      </w:tblPr>
      <w:tblGrid>
        <w:gridCol w:w="4063"/>
        <w:gridCol w:w="2098"/>
        <w:gridCol w:w="2098"/>
      </w:tblGrid>
      <w:tr w:rsidR="008C3C1D" w:rsidRPr="006F0DF1" w14:paraId="4CBB1851" w14:textId="77777777" w:rsidTr="00CC40D5">
        <w:trPr>
          <w:trHeight w:val="57"/>
          <w:jc w:val="center"/>
        </w:trPr>
        <w:tc>
          <w:tcPr>
            <w:tcW w:w="8259" w:type="dxa"/>
            <w:gridSpan w:val="3"/>
            <w:tcBorders>
              <w:top w:val="single" w:sz="12" w:space="0" w:color="808080" w:themeColor="background1" w:themeShade="80"/>
            </w:tcBorders>
            <w:shd w:val="clear" w:color="auto" w:fill="auto"/>
            <w:vAlign w:val="center"/>
          </w:tcPr>
          <w:p w14:paraId="29C38466" w14:textId="77777777" w:rsidR="008C3C1D" w:rsidRPr="008C3C1D" w:rsidRDefault="008C3C1D" w:rsidP="002F797B">
            <w:pPr>
              <w:spacing w:after="0" w:line="240" w:lineRule="auto"/>
              <w:jc w:val="center"/>
              <w:rPr>
                <w:rFonts w:ascii="Montserrat" w:eastAsia="Times New Roman" w:hAnsi="Montserrat" w:cs="Calibri"/>
                <w:b/>
                <w:bCs/>
                <w:color w:val="FFFFFF"/>
                <w:sz w:val="4"/>
                <w:szCs w:val="4"/>
                <w:lang w:val="es-MX" w:eastAsia="es-MX"/>
              </w:rPr>
            </w:pPr>
          </w:p>
        </w:tc>
      </w:tr>
      <w:tr w:rsidR="009C3C24" w:rsidRPr="006F0DF1" w14:paraId="50581EBD" w14:textId="77777777" w:rsidTr="006D1082">
        <w:trPr>
          <w:trHeight w:val="317"/>
          <w:jc w:val="center"/>
        </w:trPr>
        <w:tc>
          <w:tcPr>
            <w:tcW w:w="4063" w:type="dxa"/>
            <w:tcBorders>
              <w:left w:val="single" w:sz="8" w:space="0" w:color="FFFFFF" w:themeColor="background1"/>
              <w:bottom w:val="double" w:sz="12" w:space="0" w:color="808080" w:themeColor="background1" w:themeShade="80"/>
              <w:right w:val="single" w:sz="8" w:space="0" w:color="FFFFFF" w:themeColor="background1"/>
            </w:tcBorders>
            <w:shd w:val="clear" w:color="auto" w:fill="D4C19C"/>
            <w:vAlign w:val="center"/>
            <w:hideMark/>
          </w:tcPr>
          <w:p w14:paraId="40A0BE68" w14:textId="77777777" w:rsidR="009C3C24" w:rsidRPr="006F0DF1" w:rsidRDefault="009C3C24" w:rsidP="002F797B">
            <w:pPr>
              <w:spacing w:after="0" w:line="240" w:lineRule="auto"/>
              <w:jc w:val="center"/>
              <w:rPr>
                <w:rFonts w:ascii="Montserrat" w:eastAsia="Times New Roman" w:hAnsi="Montserrat" w:cs="Calibri"/>
                <w:b/>
                <w:bCs/>
                <w:color w:val="FFFFFF"/>
                <w:sz w:val="16"/>
                <w:szCs w:val="16"/>
                <w:lang w:val="es-MX" w:eastAsia="es-MX"/>
              </w:rPr>
            </w:pPr>
            <w:r w:rsidRPr="006F0DF1">
              <w:rPr>
                <w:rFonts w:ascii="Montserrat" w:eastAsia="Times New Roman" w:hAnsi="Montserrat" w:cs="Calibri"/>
                <w:b/>
                <w:bCs/>
                <w:color w:val="FFFFFF"/>
                <w:sz w:val="16"/>
                <w:szCs w:val="16"/>
                <w:lang w:val="es-MX" w:eastAsia="es-MX"/>
              </w:rPr>
              <w:t>Concepto</w:t>
            </w:r>
          </w:p>
        </w:tc>
        <w:tc>
          <w:tcPr>
            <w:tcW w:w="2098" w:type="dxa"/>
            <w:tcBorders>
              <w:left w:val="single" w:sz="8" w:space="0" w:color="FFFFFF" w:themeColor="background1"/>
              <w:bottom w:val="double" w:sz="12" w:space="0" w:color="808080" w:themeColor="background1" w:themeShade="80"/>
              <w:right w:val="single" w:sz="8" w:space="0" w:color="FFFFFF" w:themeColor="background1"/>
            </w:tcBorders>
            <w:shd w:val="clear" w:color="auto" w:fill="D4C19C"/>
            <w:vAlign w:val="center"/>
            <w:hideMark/>
          </w:tcPr>
          <w:p w14:paraId="71B57398" w14:textId="77777777" w:rsidR="009C3C24" w:rsidRPr="006F0DF1" w:rsidRDefault="009C3C24" w:rsidP="002F797B">
            <w:pPr>
              <w:spacing w:after="0" w:line="240" w:lineRule="auto"/>
              <w:jc w:val="center"/>
              <w:rPr>
                <w:rFonts w:ascii="Montserrat" w:eastAsia="Times New Roman" w:hAnsi="Montserrat" w:cs="Calibri"/>
                <w:b/>
                <w:bCs/>
                <w:color w:val="FFFFFF"/>
                <w:sz w:val="16"/>
                <w:szCs w:val="16"/>
                <w:lang w:val="es-MX" w:eastAsia="es-MX"/>
              </w:rPr>
            </w:pPr>
            <w:r>
              <w:rPr>
                <w:rFonts w:ascii="Montserrat" w:eastAsia="Times New Roman" w:hAnsi="Montserrat" w:cs="Calibri"/>
                <w:b/>
                <w:bCs/>
                <w:color w:val="FFFFFF"/>
                <w:sz w:val="16"/>
                <w:szCs w:val="16"/>
                <w:lang w:val="es-MX" w:eastAsia="es-MX"/>
              </w:rPr>
              <w:t>201</w:t>
            </w:r>
            <w:r w:rsidR="00686800">
              <w:rPr>
                <w:rFonts w:ascii="Montserrat" w:eastAsia="Times New Roman" w:hAnsi="Montserrat" w:cs="Calibri"/>
                <w:b/>
                <w:bCs/>
                <w:color w:val="FFFFFF"/>
                <w:sz w:val="16"/>
                <w:szCs w:val="16"/>
                <w:lang w:val="es-MX" w:eastAsia="es-MX"/>
              </w:rPr>
              <w:t>9</w:t>
            </w:r>
          </w:p>
        </w:tc>
        <w:tc>
          <w:tcPr>
            <w:tcW w:w="2098" w:type="dxa"/>
            <w:tcBorders>
              <w:left w:val="single" w:sz="8" w:space="0" w:color="FFFFFF" w:themeColor="background1"/>
              <w:bottom w:val="double" w:sz="12" w:space="0" w:color="808080" w:themeColor="background1" w:themeShade="80"/>
              <w:right w:val="single" w:sz="8" w:space="0" w:color="FFFFFF" w:themeColor="background1"/>
            </w:tcBorders>
            <w:shd w:val="clear" w:color="auto" w:fill="D4C19C"/>
            <w:vAlign w:val="center"/>
            <w:hideMark/>
          </w:tcPr>
          <w:p w14:paraId="592089ED" w14:textId="77777777" w:rsidR="009C3C24" w:rsidRPr="006F0DF1" w:rsidRDefault="009C3C24" w:rsidP="002F797B">
            <w:pPr>
              <w:spacing w:after="0" w:line="240" w:lineRule="auto"/>
              <w:jc w:val="center"/>
              <w:rPr>
                <w:rFonts w:ascii="Montserrat" w:eastAsia="Times New Roman" w:hAnsi="Montserrat" w:cs="Calibri"/>
                <w:b/>
                <w:bCs/>
                <w:color w:val="FFFFFF"/>
                <w:sz w:val="16"/>
                <w:szCs w:val="16"/>
                <w:lang w:val="es-MX" w:eastAsia="es-MX"/>
              </w:rPr>
            </w:pPr>
            <w:r>
              <w:rPr>
                <w:rFonts w:ascii="Montserrat" w:eastAsia="Times New Roman" w:hAnsi="Montserrat" w:cs="Calibri"/>
                <w:b/>
                <w:bCs/>
                <w:color w:val="FFFFFF"/>
                <w:sz w:val="16"/>
                <w:szCs w:val="16"/>
                <w:lang w:val="es-MX" w:eastAsia="es-MX"/>
              </w:rPr>
              <w:t>201</w:t>
            </w:r>
            <w:r w:rsidR="00686800">
              <w:rPr>
                <w:rFonts w:ascii="Montserrat" w:eastAsia="Times New Roman" w:hAnsi="Montserrat" w:cs="Calibri"/>
                <w:b/>
                <w:bCs/>
                <w:color w:val="FFFFFF"/>
                <w:sz w:val="16"/>
                <w:szCs w:val="16"/>
                <w:lang w:val="es-MX" w:eastAsia="es-MX"/>
              </w:rPr>
              <w:t>8</w:t>
            </w:r>
          </w:p>
        </w:tc>
      </w:tr>
      <w:tr w:rsidR="004F4680" w:rsidRPr="006F0DF1" w14:paraId="112847FA" w14:textId="77777777" w:rsidTr="007B7F9A">
        <w:trPr>
          <w:trHeight w:val="215"/>
          <w:jc w:val="center"/>
        </w:trPr>
        <w:tc>
          <w:tcPr>
            <w:tcW w:w="4063" w:type="dxa"/>
            <w:tcBorders>
              <w:top w:val="double" w:sz="12" w:space="0" w:color="808080" w:themeColor="background1" w:themeShade="80"/>
            </w:tcBorders>
            <w:shd w:val="clear" w:color="auto" w:fill="F2F2F2" w:themeFill="background1" w:themeFillShade="F2"/>
            <w:vAlign w:val="center"/>
            <w:hideMark/>
          </w:tcPr>
          <w:p w14:paraId="5FA02A1A" w14:textId="77777777" w:rsidR="004F4680" w:rsidRPr="00255081" w:rsidRDefault="004F4680" w:rsidP="004F4680">
            <w:pPr>
              <w:spacing w:after="0" w:line="240" w:lineRule="auto"/>
              <w:ind w:left="170"/>
              <w:rPr>
                <w:rFonts w:ascii="Montserrat" w:eastAsia="Times New Roman" w:hAnsi="Montserrat" w:cs="Calibri"/>
                <w:color w:val="000000"/>
                <w:sz w:val="15"/>
                <w:szCs w:val="15"/>
                <w:lang w:val="es-MX" w:eastAsia="es-MX"/>
              </w:rPr>
            </w:pPr>
            <w:r w:rsidRPr="00255081">
              <w:rPr>
                <w:rFonts w:ascii="Montserrat" w:eastAsia="Times New Roman" w:hAnsi="Montserrat" w:cs="Calibri"/>
                <w:color w:val="000000"/>
                <w:sz w:val="15"/>
                <w:szCs w:val="15"/>
                <w:lang w:val="es-MX" w:eastAsia="es-MX"/>
              </w:rPr>
              <w:t>Inventario de Mercancías Terminadas</w:t>
            </w:r>
          </w:p>
        </w:tc>
        <w:tc>
          <w:tcPr>
            <w:tcW w:w="2098" w:type="dxa"/>
            <w:tcBorders>
              <w:top w:val="double" w:sz="12" w:space="0" w:color="808080" w:themeColor="background1" w:themeShade="80"/>
            </w:tcBorders>
            <w:shd w:val="clear" w:color="000000" w:fill="F2F2F2"/>
            <w:vAlign w:val="center"/>
          </w:tcPr>
          <w:p w14:paraId="1E7C0170" w14:textId="66E5853C" w:rsidR="004F4680" w:rsidRPr="00255081" w:rsidRDefault="004F4680" w:rsidP="004F4680">
            <w:pPr>
              <w:spacing w:after="0" w:line="240" w:lineRule="auto"/>
              <w:jc w:val="right"/>
              <w:rPr>
                <w:rFonts w:ascii="Montserrat" w:eastAsia="Times New Roman" w:hAnsi="Montserrat" w:cs="Calibri"/>
                <w:color w:val="000000"/>
                <w:sz w:val="15"/>
                <w:szCs w:val="15"/>
                <w:lang w:val="es-MX" w:eastAsia="es-MX"/>
              </w:rPr>
            </w:pPr>
            <w:r w:rsidRPr="00255081">
              <w:rPr>
                <w:rFonts w:ascii="Montserrat" w:eastAsia="Times New Roman" w:hAnsi="Montserrat" w:cs="Calibri"/>
                <w:color w:val="000000"/>
                <w:sz w:val="15"/>
                <w:szCs w:val="15"/>
                <w:lang w:val="es-MX" w:eastAsia="es-MX"/>
              </w:rPr>
              <w:t>41,702,494</w:t>
            </w:r>
          </w:p>
        </w:tc>
        <w:tc>
          <w:tcPr>
            <w:tcW w:w="2098" w:type="dxa"/>
            <w:tcBorders>
              <w:top w:val="double" w:sz="12" w:space="0" w:color="808080" w:themeColor="background1" w:themeShade="80"/>
            </w:tcBorders>
            <w:shd w:val="clear" w:color="auto" w:fill="F2F2F2" w:themeFill="background1" w:themeFillShade="F2"/>
            <w:vAlign w:val="center"/>
            <w:hideMark/>
          </w:tcPr>
          <w:p w14:paraId="164FDEF0" w14:textId="77777777" w:rsidR="004F4680" w:rsidRPr="00255081" w:rsidRDefault="004F4680" w:rsidP="004F4680">
            <w:pPr>
              <w:spacing w:after="0" w:line="240" w:lineRule="auto"/>
              <w:jc w:val="right"/>
              <w:rPr>
                <w:rFonts w:ascii="Montserrat" w:eastAsia="Times New Roman" w:hAnsi="Montserrat" w:cs="Calibri"/>
                <w:color w:val="000000"/>
                <w:sz w:val="15"/>
                <w:szCs w:val="15"/>
                <w:lang w:val="es-MX" w:eastAsia="es-MX"/>
              </w:rPr>
            </w:pPr>
            <w:r w:rsidRPr="00255081">
              <w:rPr>
                <w:rFonts w:ascii="Montserrat" w:eastAsia="Times New Roman" w:hAnsi="Montserrat" w:cs="Calibri"/>
                <w:color w:val="000000"/>
                <w:sz w:val="15"/>
                <w:szCs w:val="15"/>
                <w:lang w:val="es-MX" w:eastAsia="es-MX"/>
              </w:rPr>
              <w:t>235,812,718</w:t>
            </w:r>
          </w:p>
        </w:tc>
      </w:tr>
      <w:tr w:rsidR="004F4680" w:rsidRPr="006F0DF1" w14:paraId="3410F8AF" w14:textId="77777777" w:rsidTr="007B7F9A">
        <w:trPr>
          <w:trHeight w:val="215"/>
          <w:jc w:val="center"/>
        </w:trPr>
        <w:tc>
          <w:tcPr>
            <w:tcW w:w="4063" w:type="dxa"/>
            <w:shd w:val="clear" w:color="auto" w:fill="F2F2F2" w:themeFill="background1" w:themeFillShade="F2"/>
            <w:vAlign w:val="center"/>
            <w:hideMark/>
          </w:tcPr>
          <w:p w14:paraId="515DEA6E" w14:textId="7E0DDBC4" w:rsidR="004F4680" w:rsidRPr="00255081" w:rsidRDefault="004F4680" w:rsidP="00F067C3">
            <w:pPr>
              <w:spacing w:after="0" w:line="240" w:lineRule="auto"/>
              <w:ind w:left="170"/>
              <w:rPr>
                <w:rFonts w:ascii="Montserrat" w:eastAsia="Times New Roman" w:hAnsi="Montserrat" w:cs="Calibri"/>
                <w:color w:val="000000"/>
                <w:sz w:val="15"/>
                <w:szCs w:val="15"/>
                <w:lang w:val="es-MX" w:eastAsia="es-MX"/>
              </w:rPr>
            </w:pPr>
            <w:r w:rsidRPr="00255081">
              <w:rPr>
                <w:rFonts w:ascii="Montserrat" w:eastAsia="Times New Roman" w:hAnsi="Montserrat" w:cs="Calibri"/>
                <w:color w:val="000000"/>
                <w:sz w:val="15"/>
                <w:szCs w:val="15"/>
                <w:lang w:val="es-MX" w:eastAsia="es-MX"/>
              </w:rPr>
              <w:t xml:space="preserve">Inventario de Mercancías </w:t>
            </w:r>
            <w:r w:rsidR="00F067C3">
              <w:rPr>
                <w:rFonts w:ascii="Montserrat" w:eastAsia="Times New Roman" w:hAnsi="Montserrat" w:cs="Calibri"/>
                <w:color w:val="000000"/>
                <w:sz w:val="15"/>
                <w:szCs w:val="15"/>
                <w:lang w:val="es-MX" w:eastAsia="es-MX"/>
              </w:rPr>
              <w:t>en Proceso de Elaboración</w:t>
            </w:r>
          </w:p>
        </w:tc>
        <w:tc>
          <w:tcPr>
            <w:tcW w:w="2098" w:type="dxa"/>
            <w:shd w:val="clear" w:color="000000" w:fill="F2F2F2"/>
            <w:vAlign w:val="center"/>
          </w:tcPr>
          <w:p w14:paraId="1AF76909" w14:textId="0E35444A" w:rsidR="004F4680" w:rsidRPr="00255081" w:rsidRDefault="004F4680" w:rsidP="004F4680">
            <w:pPr>
              <w:spacing w:after="0" w:line="240" w:lineRule="auto"/>
              <w:jc w:val="right"/>
              <w:rPr>
                <w:rFonts w:ascii="Montserrat" w:eastAsia="Times New Roman" w:hAnsi="Montserrat" w:cs="Calibri"/>
                <w:color w:val="000000"/>
                <w:sz w:val="15"/>
                <w:szCs w:val="15"/>
                <w:lang w:val="es-MX" w:eastAsia="es-MX"/>
              </w:rPr>
            </w:pPr>
            <w:r w:rsidRPr="00255081">
              <w:rPr>
                <w:rFonts w:ascii="Montserrat" w:eastAsia="Times New Roman" w:hAnsi="Montserrat" w:cs="Calibri"/>
                <w:color w:val="000000"/>
                <w:sz w:val="15"/>
                <w:szCs w:val="15"/>
                <w:lang w:val="es-MX" w:eastAsia="es-MX"/>
              </w:rPr>
              <w:t>3,115,304,66</w:t>
            </w:r>
            <w:r w:rsidR="00DC5DBB" w:rsidRPr="00255081">
              <w:rPr>
                <w:rFonts w:ascii="Montserrat" w:eastAsia="Times New Roman" w:hAnsi="Montserrat" w:cs="Calibri"/>
                <w:color w:val="000000"/>
                <w:sz w:val="15"/>
                <w:szCs w:val="15"/>
                <w:lang w:val="es-MX" w:eastAsia="es-MX"/>
              </w:rPr>
              <w:t>8</w:t>
            </w:r>
          </w:p>
        </w:tc>
        <w:tc>
          <w:tcPr>
            <w:tcW w:w="2098" w:type="dxa"/>
            <w:shd w:val="clear" w:color="auto" w:fill="F2F2F2" w:themeFill="background1" w:themeFillShade="F2"/>
            <w:vAlign w:val="center"/>
            <w:hideMark/>
          </w:tcPr>
          <w:p w14:paraId="20854767" w14:textId="77777777" w:rsidR="004F4680" w:rsidRPr="00255081" w:rsidRDefault="004F4680" w:rsidP="004F4680">
            <w:pPr>
              <w:spacing w:after="0" w:line="240" w:lineRule="auto"/>
              <w:jc w:val="right"/>
              <w:rPr>
                <w:rFonts w:ascii="Montserrat" w:eastAsia="Times New Roman" w:hAnsi="Montserrat" w:cs="Calibri"/>
                <w:color w:val="000000"/>
                <w:sz w:val="15"/>
                <w:szCs w:val="15"/>
                <w:lang w:val="es-MX" w:eastAsia="es-MX"/>
              </w:rPr>
            </w:pPr>
            <w:r w:rsidRPr="00255081">
              <w:rPr>
                <w:rFonts w:ascii="Montserrat" w:eastAsia="Times New Roman" w:hAnsi="Montserrat" w:cs="Calibri"/>
                <w:color w:val="000000"/>
                <w:sz w:val="15"/>
                <w:szCs w:val="15"/>
                <w:lang w:val="es-MX" w:eastAsia="es-MX"/>
              </w:rPr>
              <w:t>2,660,397,801</w:t>
            </w:r>
          </w:p>
        </w:tc>
      </w:tr>
      <w:tr w:rsidR="004F4680" w:rsidRPr="006F0DF1" w14:paraId="5376CECA" w14:textId="77777777" w:rsidTr="007B7F9A">
        <w:trPr>
          <w:trHeight w:val="215"/>
          <w:jc w:val="center"/>
        </w:trPr>
        <w:tc>
          <w:tcPr>
            <w:tcW w:w="4063" w:type="dxa"/>
            <w:tcBorders>
              <w:top w:val="nil"/>
            </w:tcBorders>
            <w:shd w:val="clear" w:color="auto" w:fill="F2F2F2" w:themeFill="background1" w:themeFillShade="F2"/>
            <w:vAlign w:val="center"/>
            <w:hideMark/>
          </w:tcPr>
          <w:p w14:paraId="0A21293E" w14:textId="77777777" w:rsidR="004F4680" w:rsidRPr="00255081" w:rsidRDefault="004F4680" w:rsidP="004F4680">
            <w:pPr>
              <w:spacing w:after="0" w:line="240" w:lineRule="auto"/>
              <w:ind w:left="170"/>
              <w:rPr>
                <w:rFonts w:ascii="Montserrat" w:eastAsia="Times New Roman" w:hAnsi="Montserrat" w:cs="Calibri"/>
                <w:color w:val="000000"/>
                <w:sz w:val="15"/>
                <w:szCs w:val="15"/>
                <w:lang w:val="es-MX" w:eastAsia="es-MX"/>
              </w:rPr>
            </w:pPr>
            <w:r w:rsidRPr="00255081">
              <w:rPr>
                <w:rFonts w:ascii="Montserrat" w:eastAsia="Times New Roman" w:hAnsi="Montserrat" w:cs="Calibri"/>
                <w:color w:val="000000"/>
                <w:sz w:val="15"/>
                <w:szCs w:val="15"/>
                <w:lang w:val="es-MX" w:eastAsia="es-MX"/>
              </w:rPr>
              <w:t>Inventario de Materias Primas, Materiales y Suministros para Producción</w:t>
            </w:r>
          </w:p>
        </w:tc>
        <w:tc>
          <w:tcPr>
            <w:tcW w:w="2098" w:type="dxa"/>
            <w:tcBorders>
              <w:top w:val="nil"/>
            </w:tcBorders>
            <w:shd w:val="clear" w:color="000000" w:fill="F2F2F2"/>
            <w:vAlign w:val="center"/>
          </w:tcPr>
          <w:p w14:paraId="3537F6EE" w14:textId="2C89772B" w:rsidR="004F4680" w:rsidRPr="00255081" w:rsidRDefault="004F4680" w:rsidP="004F4680">
            <w:pPr>
              <w:spacing w:after="0" w:line="240" w:lineRule="auto"/>
              <w:jc w:val="right"/>
              <w:rPr>
                <w:rFonts w:ascii="Montserrat" w:eastAsia="Times New Roman" w:hAnsi="Montserrat" w:cs="Calibri"/>
                <w:color w:val="000000"/>
                <w:sz w:val="15"/>
                <w:szCs w:val="15"/>
                <w:lang w:val="es-MX" w:eastAsia="es-MX"/>
              </w:rPr>
            </w:pPr>
            <w:r w:rsidRPr="00255081">
              <w:rPr>
                <w:rFonts w:ascii="Montserrat" w:eastAsia="Times New Roman" w:hAnsi="Montserrat" w:cs="Calibri"/>
                <w:color w:val="000000"/>
                <w:sz w:val="15"/>
                <w:szCs w:val="15"/>
                <w:lang w:val="es-MX" w:eastAsia="es-MX"/>
              </w:rPr>
              <w:t>-449,367,399</w:t>
            </w:r>
          </w:p>
        </w:tc>
        <w:tc>
          <w:tcPr>
            <w:tcW w:w="2098" w:type="dxa"/>
            <w:tcBorders>
              <w:top w:val="nil"/>
            </w:tcBorders>
            <w:shd w:val="clear" w:color="auto" w:fill="F2F2F2" w:themeFill="background1" w:themeFillShade="F2"/>
            <w:vAlign w:val="center"/>
            <w:hideMark/>
          </w:tcPr>
          <w:p w14:paraId="3F08E646" w14:textId="77777777" w:rsidR="004F4680" w:rsidRPr="00255081" w:rsidRDefault="004F4680" w:rsidP="004F4680">
            <w:pPr>
              <w:spacing w:after="0" w:line="240" w:lineRule="auto"/>
              <w:jc w:val="right"/>
              <w:rPr>
                <w:rFonts w:ascii="Montserrat" w:eastAsia="Times New Roman" w:hAnsi="Montserrat" w:cs="Calibri"/>
                <w:color w:val="000000"/>
                <w:sz w:val="15"/>
                <w:szCs w:val="15"/>
                <w:lang w:val="es-MX" w:eastAsia="es-MX"/>
              </w:rPr>
            </w:pPr>
            <w:r w:rsidRPr="00255081">
              <w:rPr>
                <w:rFonts w:ascii="Montserrat" w:eastAsia="Times New Roman" w:hAnsi="Montserrat" w:cs="Calibri"/>
                <w:color w:val="000000"/>
                <w:sz w:val="15"/>
                <w:szCs w:val="15"/>
                <w:lang w:val="es-MX" w:eastAsia="es-MX"/>
              </w:rPr>
              <w:t>751,347,301</w:t>
            </w:r>
          </w:p>
        </w:tc>
      </w:tr>
      <w:tr w:rsidR="004F4680" w:rsidRPr="006F0DF1" w14:paraId="1947DC55" w14:textId="77777777" w:rsidTr="007B7F9A">
        <w:trPr>
          <w:trHeight w:val="215"/>
          <w:jc w:val="center"/>
        </w:trPr>
        <w:tc>
          <w:tcPr>
            <w:tcW w:w="4063" w:type="dxa"/>
            <w:tcBorders>
              <w:top w:val="nil"/>
            </w:tcBorders>
            <w:shd w:val="clear" w:color="auto" w:fill="F2F2F2" w:themeFill="background1" w:themeFillShade="F2"/>
            <w:vAlign w:val="center"/>
            <w:hideMark/>
          </w:tcPr>
          <w:p w14:paraId="0FE8008A" w14:textId="77777777" w:rsidR="004F4680" w:rsidRPr="00255081" w:rsidRDefault="004F4680" w:rsidP="004F4680">
            <w:pPr>
              <w:spacing w:after="0" w:line="240" w:lineRule="auto"/>
              <w:ind w:left="170"/>
              <w:rPr>
                <w:rFonts w:ascii="Montserrat" w:eastAsia="Times New Roman" w:hAnsi="Montserrat" w:cs="Calibri"/>
                <w:color w:val="000000"/>
                <w:sz w:val="15"/>
                <w:szCs w:val="15"/>
                <w:lang w:val="es-MX" w:eastAsia="es-MX"/>
              </w:rPr>
            </w:pPr>
            <w:r w:rsidRPr="00255081">
              <w:rPr>
                <w:rFonts w:ascii="Montserrat" w:eastAsia="Times New Roman" w:hAnsi="Montserrat" w:cs="Calibri"/>
                <w:color w:val="000000"/>
                <w:sz w:val="15"/>
                <w:szCs w:val="15"/>
                <w:lang w:val="es-MX" w:eastAsia="es-MX"/>
              </w:rPr>
              <w:t>Bienes en Tránsito</w:t>
            </w:r>
          </w:p>
        </w:tc>
        <w:tc>
          <w:tcPr>
            <w:tcW w:w="2098" w:type="dxa"/>
            <w:tcBorders>
              <w:top w:val="nil"/>
            </w:tcBorders>
            <w:shd w:val="clear" w:color="000000" w:fill="F2F2F2"/>
            <w:vAlign w:val="center"/>
          </w:tcPr>
          <w:p w14:paraId="526969DA" w14:textId="30AD6D83" w:rsidR="004F4680" w:rsidRPr="00255081" w:rsidRDefault="004F4680" w:rsidP="004F4680">
            <w:pPr>
              <w:spacing w:after="0" w:line="240" w:lineRule="auto"/>
              <w:jc w:val="right"/>
              <w:rPr>
                <w:rFonts w:ascii="Montserrat" w:eastAsia="Times New Roman" w:hAnsi="Montserrat" w:cs="Calibri"/>
                <w:color w:val="000000"/>
                <w:sz w:val="15"/>
                <w:szCs w:val="15"/>
                <w:lang w:val="es-MX" w:eastAsia="es-MX"/>
              </w:rPr>
            </w:pPr>
            <w:r w:rsidRPr="00255081">
              <w:rPr>
                <w:rFonts w:ascii="Montserrat" w:eastAsia="Times New Roman" w:hAnsi="Montserrat" w:cs="Calibri"/>
                <w:color w:val="000000"/>
                <w:sz w:val="15"/>
                <w:szCs w:val="15"/>
                <w:lang w:val="es-MX" w:eastAsia="es-MX"/>
              </w:rPr>
              <w:t>845,613,387</w:t>
            </w:r>
          </w:p>
        </w:tc>
        <w:tc>
          <w:tcPr>
            <w:tcW w:w="2098" w:type="dxa"/>
            <w:tcBorders>
              <w:top w:val="nil"/>
            </w:tcBorders>
            <w:shd w:val="clear" w:color="auto" w:fill="F2F2F2" w:themeFill="background1" w:themeFillShade="F2"/>
            <w:vAlign w:val="center"/>
            <w:hideMark/>
          </w:tcPr>
          <w:p w14:paraId="310EA11E" w14:textId="77777777" w:rsidR="004F4680" w:rsidRPr="00255081" w:rsidRDefault="004F4680" w:rsidP="004F4680">
            <w:pPr>
              <w:spacing w:after="0" w:line="240" w:lineRule="auto"/>
              <w:jc w:val="right"/>
              <w:rPr>
                <w:rFonts w:ascii="Montserrat" w:eastAsia="Times New Roman" w:hAnsi="Montserrat" w:cs="Calibri"/>
                <w:color w:val="000000"/>
                <w:sz w:val="15"/>
                <w:szCs w:val="15"/>
                <w:lang w:val="es-MX" w:eastAsia="es-MX"/>
              </w:rPr>
            </w:pPr>
            <w:r w:rsidRPr="00255081">
              <w:rPr>
                <w:rFonts w:ascii="Montserrat" w:eastAsia="Times New Roman" w:hAnsi="Montserrat" w:cs="Calibri"/>
                <w:color w:val="000000"/>
                <w:sz w:val="15"/>
                <w:szCs w:val="15"/>
                <w:lang w:val="es-MX" w:eastAsia="es-MX"/>
              </w:rPr>
              <w:t>1,016,764,113</w:t>
            </w:r>
          </w:p>
        </w:tc>
      </w:tr>
      <w:tr w:rsidR="004F4680" w:rsidRPr="006F0DF1" w14:paraId="4065C157" w14:textId="77777777" w:rsidTr="007B7F9A">
        <w:trPr>
          <w:trHeight w:val="215"/>
          <w:jc w:val="center"/>
        </w:trPr>
        <w:tc>
          <w:tcPr>
            <w:tcW w:w="4063" w:type="dxa"/>
            <w:tcBorders>
              <w:top w:val="nil"/>
            </w:tcBorders>
            <w:shd w:val="clear" w:color="auto" w:fill="F2F2F2" w:themeFill="background1" w:themeFillShade="F2"/>
            <w:vAlign w:val="center"/>
            <w:hideMark/>
          </w:tcPr>
          <w:p w14:paraId="74DC79F3" w14:textId="77777777" w:rsidR="004F4680" w:rsidRPr="00255081" w:rsidRDefault="004F4680" w:rsidP="004F4680">
            <w:pPr>
              <w:spacing w:after="0" w:line="240" w:lineRule="auto"/>
              <w:ind w:left="170"/>
              <w:jc w:val="right"/>
              <w:rPr>
                <w:rFonts w:ascii="Montserrat" w:eastAsia="Times New Roman" w:hAnsi="Montserrat" w:cs="Calibri"/>
                <w:b/>
                <w:bCs/>
                <w:color w:val="000000"/>
                <w:sz w:val="15"/>
                <w:szCs w:val="15"/>
                <w:lang w:val="es-MX" w:eastAsia="es-MX"/>
              </w:rPr>
            </w:pPr>
            <w:r w:rsidRPr="00255081">
              <w:rPr>
                <w:rFonts w:ascii="Montserrat" w:eastAsia="Times New Roman" w:hAnsi="Montserrat" w:cs="Calibri"/>
                <w:b/>
                <w:bCs/>
                <w:color w:val="000000"/>
                <w:sz w:val="15"/>
                <w:szCs w:val="15"/>
                <w:lang w:val="es-MX" w:eastAsia="es-MX"/>
              </w:rPr>
              <w:t>Inventarios</w:t>
            </w:r>
          </w:p>
        </w:tc>
        <w:tc>
          <w:tcPr>
            <w:tcW w:w="2098" w:type="dxa"/>
            <w:tcBorders>
              <w:top w:val="nil"/>
            </w:tcBorders>
            <w:shd w:val="clear" w:color="000000" w:fill="F2F2F2"/>
            <w:vAlign w:val="center"/>
          </w:tcPr>
          <w:p w14:paraId="493F4DA6" w14:textId="084EF99C" w:rsidR="004F4680" w:rsidRPr="000F0321" w:rsidRDefault="004F4680" w:rsidP="004F4680">
            <w:pPr>
              <w:spacing w:after="0" w:line="240" w:lineRule="auto"/>
              <w:jc w:val="right"/>
              <w:rPr>
                <w:rFonts w:ascii="Montserrat" w:hAnsi="Montserrat" w:cs="Calibri"/>
                <w:b/>
                <w:bCs/>
                <w:color w:val="000000"/>
                <w:sz w:val="15"/>
                <w:szCs w:val="15"/>
              </w:rPr>
            </w:pPr>
            <w:r w:rsidRPr="000F0321">
              <w:rPr>
                <w:rFonts w:ascii="Montserrat" w:hAnsi="Montserrat" w:cs="Calibri"/>
                <w:b/>
                <w:bCs/>
                <w:color w:val="000000"/>
                <w:sz w:val="15"/>
                <w:szCs w:val="15"/>
              </w:rPr>
              <w:t>3,553,253,1</w:t>
            </w:r>
            <w:r w:rsidR="00DC5DBB" w:rsidRPr="000F0321">
              <w:rPr>
                <w:rFonts w:ascii="Montserrat" w:hAnsi="Montserrat" w:cs="Calibri"/>
                <w:b/>
                <w:bCs/>
                <w:color w:val="000000"/>
                <w:sz w:val="15"/>
                <w:szCs w:val="15"/>
              </w:rPr>
              <w:t>50</w:t>
            </w:r>
          </w:p>
        </w:tc>
        <w:tc>
          <w:tcPr>
            <w:tcW w:w="2098" w:type="dxa"/>
            <w:tcBorders>
              <w:top w:val="nil"/>
            </w:tcBorders>
            <w:shd w:val="clear" w:color="auto" w:fill="F2F2F2" w:themeFill="background1" w:themeFillShade="F2"/>
            <w:vAlign w:val="center"/>
            <w:hideMark/>
          </w:tcPr>
          <w:p w14:paraId="1C92A236" w14:textId="77777777" w:rsidR="004F4680" w:rsidRPr="00255081" w:rsidRDefault="004F4680" w:rsidP="004F4680">
            <w:pPr>
              <w:spacing w:after="0" w:line="240" w:lineRule="auto"/>
              <w:jc w:val="right"/>
              <w:rPr>
                <w:rFonts w:ascii="Montserrat" w:hAnsi="Montserrat" w:cs="Calibri"/>
                <w:b/>
                <w:bCs/>
                <w:color w:val="000000"/>
                <w:sz w:val="15"/>
                <w:szCs w:val="15"/>
              </w:rPr>
            </w:pPr>
            <w:r w:rsidRPr="00255081">
              <w:rPr>
                <w:rFonts w:ascii="Montserrat" w:hAnsi="Montserrat" w:cs="Calibri"/>
                <w:b/>
                <w:bCs/>
                <w:color w:val="000000"/>
                <w:sz w:val="15"/>
                <w:szCs w:val="15"/>
              </w:rPr>
              <w:t>4,664,321,933</w:t>
            </w:r>
          </w:p>
        </w:tc>
      </w:tr>
      <w:tr w:rsidR="004F4680" w:rsidRPr="006F0DF1" w14:paraId="4A99E97A" w14:textId="77777777" w:rsidTr="007B7F9A">
        <w:trPr>
          <w:trHeight w:val="215"/>
          <w:jc w:val="center"/>
        </w:trPr>
        <w:tc>
          <w:tcPr>
            <w:tcW w:w="4063" w:type="dxa"/>
            <w:tcBorders>
              <w:top w:val="nil"/>
            </w:tcBorders>
            <w:shd w:val="clear" w:color="auto" w:fill="F2F2F2" w:themeFill="background1" w:themeFillShade="F2"/>
            <w:vAlign w:val="center"/>
            <w:hideMark/>
          </w:tcPr>
          <w:p w14:paraId="1AB70AA3" w14:textId="77777777" w:rsidR="004F4680" w:rsidRPr="00255081" w:rsidRDefault="004F4680" w:rsidP="004F4680">
            <w:pPr>
              <w:spacing w:after="0" w:line="240" w:lineRule="auto"/>
              <w:ind w:left="170"/>
              <w:rPr>
                <w:rFonts w:ascii="Montserrat" w:eastAsia="Times New Roman" w:hAnsi="Montserrat" w:cs="Calibri"/>
                <w:color w:val="000000"/>
                <w:sz w:val="15"/>
                <w:szCs w:val="15"/>
                <w:lang w:val="es-MX" w:eastAsia="es-MX"/>
              </w:rPr>
            </w:pPr>
            <w:r w:rsidRPr="00255081">
              <w:rPr>
                <w:rFonts w:ascii="Montserrat" w:eastAsia="Times New Roman" w:hAnsi="Montserrat" w:cs="Calibri"/>
                <w:color w:val="000000"/>
                <w:sz w:val="15"/>
                <w:szCs w:val="15"/>
                <w:lang w:val="es-MX" w:eastAsia="es-MX"/>
              </w:rPr>
              <w:t>Almacén de Materiales y Suministros de Consumo</w:t>
            </w:r>
          </w:p>
        </w:tc>
        <w:tc>
          <w:tcPr>
            <w:tcW w:w="2098" w:type="dxa"/>
            <w:tcBorders>
              <w:top w:val="nil"/>
            </w:tcBorders>
            <w:shd w:val="clear" w:color="000000" w:fill="F2F2F2"/>
            <w:vAlign w:val="center"/>
          </w:tcPr>
          <w:p w14:paraId="7B1FD57F" w14:textId="58CA7FEE" w:rsidR="004F4680" w:rsidRPr="00255081" w:rsidRDefault="004F4680" w:rsidP="004F4680">
            <w:pPr>
              <w:spacing w:after="0" w:line="240" w:lineRule="auto"/>
              <w:jc w:val="right"/>
              <w:rPr>
                <w:rFonts w:ascii="Montserrat" w:eastAsia="Times New Roman" w:hAnsi="Montserrat" w:cs="Calibri"/>
                <w:color w:val="000000"/>
                <w:sz w:val="15"/>
                <w:szCs w:val="15"/>
                <w:lang w:val="es-MX" w:eastAsia="es-MX"/>
              </w:rPr>
            </w:pPr>
            <w:r w:rsidRPr="00255081">
              <w:rPr>
                <w:rFonts w:ascii="Montserrat" w:eastAsia="Times New Roman" w:hAnsi="Montserrat" w:cs="Calibri"/>
                <w:color w:val="000000"/>
                <w:sz w:val="15"/>
                <w:szCs w:val="15"/>
                <w:lang w:val="es-MX" w:eastAsia="es-MX"/>
              </w:rPr>
              <w:t>3,341,589,094</w:t>
            </w:r>
          </w:p>
        </w:tc>
        <w:tc>
          <w:tcPr>
            <w:tcW w:w="2098" w:type="dxa"/>
            <w:tcBorders>
              <w:top w:val="nil"/>
            </w:tcBorders>
            <w:shd w:val="clear" w:color="auto" w:fill="F2F2F2" w:themeFill="background1" w:themeFillShade="F2"/>
            <w:vAlign w:val="center"/>
            <w:hideMark/>
          </w:tcPr>
          <w:p w14:paraId="0F4E5184" w14:textId="77777777" w:rsidR="004F4680" w:rsidRPr="00255081" w:rsidRDefault="004F4680" w:rsidP="004F4680">
            <w:pPr>
              <w:spacing w:after="0" w:line="240" w:lineRule="auto"/>
              <w:jc w:val="right"/>
              <w:rPr>
                <w:rFonts w:ascii="Montserrat" w:hAnsi="Montserrat" w:cs="Calibri"/>
                <w:color w:val="000000"/>
                <w:sz w:val="15"/>
                <w:szCs w:val="15"/>
              </w:rPr>
            </w:pPr>
            <w:r w:rsidRPr="00255081">
              <w:rPr>
                <w:rFonts w:ascii="Montserrat" w:eastAsia="Times New Roman" w:hAnsi="Montserrat" w:cs="Calibri"/>
                <w:color w:val="000000"/>
                <w:sz w:val="15"/>
                <w:szCs w:val="15"/>
                <w:lang w:val="es-MX" w:eastAsia="es-MX"/>
              </w:rPr>
              <w:t>3,539,866,608</w:t>
            </w:r>
          </w:p>
        </w:tc>
      </w:tr>
      <w:tr w:rsidR="004F4680" w:rsidRPr="006F0DF1" w14:paraId="660B19AB" w14:textId="77777777" w:rsidTr="007B7F9A">
        <w:trPr>
          <w:trHeight w:val="215"/>
          <w:jc w:val="center"/>
        </w:trPr>
        <w:tc>
          <w:tcPr>
            <w:tcW w:w="4063" w:type="dxa"/>
            <w:tcBorders>
              <w:bottom w:val="single" w:sz="12" w:space="0" w:color="808080" w:themeColor="background1" w:themeShade="80"/>
            </w:tcBorders>
            <w:shd w:val="clear" w:color="auto" w:fill="F2F2F2" w:themeFill="background1" w:themeFillShade="F2"/>
            <w:vAlign w:val="center"/>
            <w:hideMark/>
          </w:tcPr>
          <w:p w14:paraId="0D9ED3D3" w14:textId="77777777" w:rsidR="004F4680" w:rsidRPr="00255081" w:rsidRDefault="004F4680" w:rsidP="004F4680">
            <w:pPr>
              <w:spacing w:after="0" w:line="240" w:lineRule="auto"/>
              <w:ind w:left="170"/>
              <w:jc w:val="right"/>
              <w:rPr>
                <w:rFonts w:ascii="Montserrat" w:eastAsia="Times New Roman" w:hAnsi="Montserrat" w:cs="Calibri"/>
                <w:b/>
                <w:bCs/>
                <w:color w:val="000000"/>
                <w:sz w:val="15"/>
                <w:szCs w:val="15"/>
                <w:lang w:val="es-MX" w:eastAsia="es-MX"/>
              </w:rPr>
            </w:pPr>
            <w:r w:rsidRPr="00255081">
              <w:rPr>
                <w:rFonts w:ascii="Montserrat" w:eastAsia="Times New Roman" w:hAnsi="Montserrat" w:cs="Calibri"/>
                <w:b/>
                <w:bCs/>
                <w:color w:val="000000"/>
                <w:sz w:val="15"/>
                <w:szCs w:val="15"/>
                <w:lang w:val="es-MX" w:eastAsia="es-MX"/>
              </w:rPr>
              <w:t>Total Inventarios y Almacenes</w:t>
            </w:r>
          </w:p>
        </w:tc>
        <w:tc>
          <w:tcPr>
            <w:tcW w:w="2098" w:type="dxa"/>
            <w:tcBorders>
              <w:bottom w:val="single" w:sz="12" w:space="0" w:color="808080" w:themeColor="background1" w:themeShade="80"/>
            </w:tcBorders>
            <w:shd w:val="clear" w:color="000000" w:fill="F2F2F2"/>
            <w:vAlign w:val="center"/>
          </w:tcPr>
          <w:p w14:paraId="21310BB6" w14:textId="6B9AB862" w:rsidR="004F4680" w:rsidRPr="000F0321" w:rsidRDefault="004F4680" w:rsidP="004F4680">
            <w:pPr>
              <w:spacing w:after="0" w:line="240" w:lineRule="auto"/>
              <w:jc w:val="right"/>
              <w:rPr>
                <w:rFonts w:ascii="Montserrat" w:hAnsi="Montserrat" w:cs="Calibri"/>
                <w:b/>
                <w:bCs/>
                <w:color w:val="000000"/>
                <w:sz w:val="15"/>
                <w:szCs w:val="15"/>
              </w:rPr>
            </w:pPr>
            <w:r w:rsidRPr="000F0321">
              <w:rPr>
                <w:rFonts w:ascii="Montserrat" w:hAnsi="Montserrat" w:cs="Calibri"/>
                <w:b/>
                <w:bCs/>
                <w:color w:val="000000"/>
                <w:sz w:val="15"/>
                <w:szCs w:val="15"/>
              </w:rPr>
              <w:t>6,894,842,244</w:t>
            </w:r>
          </w:p>
        </w:tc>
        <w:tc>
          <w:tcPr>
            <w:tcW w:w="2098" w:type="dxa"/>
            <w:tcBorders>
              <w:bottom w:val="single" w:sz="12" w:space="0" w:color="808080" w:themeColor="background1" w:themeShade="80"/>
            </w:tcBorders>
            <w:shd w:val="clear" w:color="auto" w:fill="F2F2F2" w:themeFill="background1" w:themeFillShade="F2"/>
            <w:vAlign w:val="center"/>
            <w:hideMark/>
          </w:tcPr>
          <w:p w14:paraId="719B1896" w14:textId="77777777" w:rsidR="004F4680" w:rsidRPr="00255081" w:rsidRDefault="004F4680" w:rsidP="004F4680">
            <w:pPr>
              <w:spacing w:after="0" w:line="240" w:lineRule="auto"/>
              <w:jc w:val="right"/>
              <w:rPr>
                <w:rFonts w:ascii="Montserrat" w:hAnsi="Montserrat" w:cs="Calibri"/>
                <w:b/>
                <w:bCs/>
                <w:color w:val="000000"/>
                <w:sz w:val="15"/>
                <w:szCs w:val="15"/>
              </w:rPr>
            </w:pPr>
            <w:r w:rsidRPr="00255081">
              <w:rPr>
                <w:rFonts w:ascii="Montserrat" w:hAnsi="Montserrat" w:cs="Calibri"/>
                <w:b/>
                <w:bCs/>
                <w:sz w:val="15"/>
                <w:szCs w:val="15"/>
              </w:rPr>
              <w:t>8,204,188,541</w:t>
            </w:r>
          </w:p>
        </w:tc>
      </w:tr>
    </w:tbl>
    <w:p w14:paraId="52E4939B" w14:textId="77777777" w:rsidR="00D411B6" w:rsidRPr="0061765C" w:rsidRDefault="00D411B6" w:rsidP="0061765C">
      <w:pPr>
        <w:pStyle w:val="Prrafodelista"/>
        <w:ind w:left="0"/>
        <w:contextualSpacing w:val="0"/>
        <w:jc w:val="both"/>
        <w:rPr>
          <w:rFonts w:ascii="Montserrat" w:hAnsi="Montserrat" w:cs="Arial"/>
          <w:spacing w:val="-1"/>
          <w:sz w:val="14"/>
          <w:szCs w:val="14"/>
        </w:rPr>
      </w:pPr>
    </w:p>
    <w:p w14:paraId="52694DF2" w14:textId="0B72D045" w:rsidR="00172E13" w:rsidRDefault="00172E13" w:rsidP="00172E13">
      <w:pPr>
        <w:spacing w:after="120" w:line="250" w:lineRule="exact"/>
        <w:jc w:val="both"/>
        <w:rPr>
          <w:rFonts w:ascii="Montserrat" w:hAnsi="Montserrat"/>
          <w:sz w:val="18"/>
          <w:szCs w:val="18"/>
        </w:rPr>
      </w:pPr>
      <w:r>
        <w:rPr>
          <w:rFonts w:ascii="Montserrat" w:hAnsi="Montserrat"/>
          <w:sz w:val="18"/>
          <w:szCs w:val="18"/>
        </w:rPr>
        <w:t>Para este ejercicio, la disminución en el rubro de inventarios y almacenes se debe a la terminación de diversos trabajos de construcción de equipo de transporte marítimo por parte de la</w:t>
      </w:r>
      <w:r w:rsidRPr="00063579">
        <w:rPr>
          <w:rFonts w:ascii="Montserrat" w:hAnsi="Montserrat"/>
          <w:sz w:val="18"/>
          <w:szCs w:val="18"/>
        </w:rPr>
        <w:t xml:space="preserve"> </w:t>
      </w:r>
      <w:r>
        <w:rPr>
          <w:rFonts w:ascii="Montserrat" w:hAnsi="Montserrat"/>
          <w:sz w:val="18"/>
          <w:szCs w:val="18"/>
        </w:rPr>
        <w:t>Secretaría de Marina (SEMAR) y a la fabricación de</w:t>
      </w:r>
      <w:r w:rsidRPr="00063579">
        <w:rPr>
          <w:rFonts w:ascii="Montserrat" w:hAnsi="Montserrat"/>
          <w:sz w:val="18"/>
          <w:szCs w:val="18"/>
        </w:rPr>
        <w:t xml:space="preserve"> </w:t>
      </w:r>
      <w:r w:rsidRPr="008454B3">
        <w:rPr>
          <w:rFonts w:ascii="Montserrat" w:hAnsi="Montserrat"/>
          <w:sz w:val="18"/>
          <w:szCs w:val="18"/>
        </w:rPr>
        <w:t xml:space="preserve">vehículos blindados por parte de SEDENA que fueron destinados </w:t>
      </w:r>
      <w:r>
        <w:rPr>
          <w:rFonts w:ascii="Montserrat" w:hAnsi="Montserrat"/>
          <w:sz w:val="18"/>
          <w:szCs w:val="18"/>
        </w:rPr>
        <w:t>en este ejercicio a</w:t>
      </w:r>
      <w:r w:rsidRPr="008454B3">
        <w:rPr>
          <w:rFonts w:ascii="Montserrat" w:hAnsi="Montserrat"/>
          <w:sz w:val="18"/>
          <w:szCs w:val="18"/>
        </w:rPr>
        <w:t xml:space="preserve"> ac</w:t>
      </w:r>
      <w:r>
        <w:rPr>
          <w:rFonts w:ascii="Montserrat" w:hAnsi="Montserrat"/>
          <w:sz w:val="18"/>
          <w:szCs w:val="18"/>
        </w:rPr>
        <w:t xml:space="preserve">tividades de seguridad nacional y, en menor medida, por </w:t>
      </w:r>
      <w:r w:rsidRPr="00063579">
        <w:rPr>
          <w:rFonts w:ascii="Montserrat" w:hAnsi="Montserrat"/>
          <w:sz w:val="18"/>
          <w:szCs w:val="18"/>
        </w:rPr>
        <w:t>la disminución de remesas de bienes muebles en</w:t>
      </w:r>
      <w:r>
        <w:rPr>
          <w:rFonts w:ascii="Montserrat" w:hAnsi="Montserrat"/>
          <w:sz w:val="18"/>
          <w:szCs w:val="18"/>
        </w:rPr>
        <w:t xml:space="preserve"> </w:t>
      </w:r>
      <w:r w:rsidR="004B170A">
        <w:rPr>
          <w:rFonts w:ascii="Montserrat" w:hAnsi="Montserrat"/>
          <w:sz w:val="18"/>
          <w:szCs w:val="18"/>
        </w:rPr>
        <w:t xml:space="preserve">la </w:t>
      </w:r>
      <w:r>
        <w:rPr>
          <w:rFonts w:ascii="Montserrat" w:hAnsi="Montserrat"/>
          <w:sz w:val="18"/>
          <w:szCs w:val="18"/>
        </w:rPr>
        <w:t xml:space="preserve">SEMAR y </w:t>
      </w:r>
      <w:r w:rsidR="00ED0581">
        <w:rPr>
          <w:rFonts w:ascii="Montserrat" w:hAnsi="Montserrat"/>
          <w:sz w:val="18"/>
          <w:szCs w:val="18"/>
        </w:rPr>
        <w:t>en la Secretaría de Comunicaciones y Transportes (</w:t>
      </w:r>
      <w:r>
        <w:rPr>
          <w:rFonts w:ascii="Montserrat" w:hAnsi="Montserrat"/>
          <w:sz w:val="18"/>
          <w:szCs w:val="18"/>
        </w:rPr>
        <w:t>SCT</w:t>
      </w:r>
      <w:r w:rsidR="00ED0581">
        <w:rPr>
          <w:rFonts w:ascii="Montserrat" w:hAnsi="Montserrat"/>
          <w:sz w:val="18"/>
          <w:szCs w:val="18"/>
        </w:rPr>
        <w:t>)</w:t>
      </w:r>
      <w:r>
        <w:rPr>
          <w:rFonts w:ascii="Montserrat" w:hAnsi="Montserrat"/>
          <w:sz w:val="18"/>
          <w:szCs w:val="18"/>
        </w:rPr>
        <w:t>.</w:t>
      </w:r>
    </w:p>
    <w:p w14:paraId="556C0F3E" w14:textId="45F0ED04" w:rsidR="0061765C" w:rsidRPr="00063579" w:rsidRDefault="0061765C" w:rsidP="000F0321">
      <w:pPr>
        <w:rPr>
          <w:rFonts w:ascii="Montserrat" w:hAnsi="Montserrat"/>
          <w:sz w:val="18"/>
          <w:szCs w:val="18"/>
        </w:rPr>
      </w:pPr>
    </w:p>
    <w:p w14:paraId="2D91A2FA" w14:textId="77777777" w:rsidR="009C3C24" w:rsidRPr="004E44CE" w:rsidRDefault="009C3C24" w:rsidP="005A5AC5">
      <w:pPr>
        <w:pStyle w:val="VIETAFLECHA"/>
        <w:numPr>
          <w:ilvl w:val="0"/>
          <w:numId w:val="13"/>
        </w:numPr>
        <w:ind w:left="357" w:hanging="357"/>
        <w:rPr>
          <w:rFonts w:cs="Arial"/>
          <w:spacing w:val="-1"/>
        </w:rPr>
      </w:pPr>
      <w:r w:rsidRPr="004E44CE">
        <w:rPr>
          <w:rFonts w:cs="Arial"/>
          <w:spacing w:val="-1"/>
        </w:rPr>
        <w:t xml:space="preserve">Otros Activos Circulantes </w:t>
      </w:r>
    </w:p>
    <w:p w14:paraId="47262869" w14:textId="24CDA7FC" w:rsidR="009C3C24" w:rsidRDefault="000E6361" w:rsidP="00063579">
      <w:pPr>
        <w:spacing w:after="120" w:line="250" w:lineRule="exact"/>
        <w:jc w:val="both"/>
        <w:rPr>
          <w:rFonts w:ascii="Montserrat" w:hAnsi="Montserrat"/>
          <w:sz w:val="18"/>
          <w:szCs w:val="18"/>
        </w:rPr>
      </w:pPr>
      <w:r>
        <w:rPr>
          <w:rFonts w:ascii="Montserrat" w:hAnsi="Montserrat"/>
          <w:sz w:val="18"/>
          <w:szCs w:val="18"/>
        </w:rPr>
        <w:t>Está representado por</w:t>
      </w:r>
      <w:r w:rsidR="00A7722E" w:rsidRPr="00063579">
        <w:rPr>
          <w:rFonts w:ascii="Montserrat" w:hAnsi="Montserrat"/>
          <w:sz w:val="18"/>
          <w:szCs w:val="18"/>
        </w:rPr>
        <w:t xml:space="preserve"> </w:t>
      </w:r>
      <w:r w:rsidR="009C3C24" w:rsidRPr="00063579">
        <w:rPr>
          <w:rFonts w:ascii="Montserrat" w:hAnsi="Montserrat"/>
          <w:sz w:val="18"/>
          <w:szCs w:val="18"/>
        </w:rPr>
        <w:t>los Bienes Derivados de Embargos, Decomisos, Aseguramientos y Dación en Pago</w:t>
      </w:r>
      <w:r w:rsidR="00ED0581">
        <w:rPr>
          <w:rFonts w:ascii="Montserrat" w:hAnsi="Montserrat"/>
          <w:sz w:val="18"/>
          <w:szCs w:val="18"/>
        </w:rPr>
        <w:t>;</w:t>
      </w:r>
      <w:r w:rsidR="0070534A">
        <w:rPr>
          <w:rFonts w:ascii="Montserrat" w:hAnsi="Montserrat"/>
          <w:sz w:val="18"/>
          <w:szCs w:val="18"/>
        </w:rPr>
        <w:t xml:space="preserve"> su</w:t>
      </w:r>
      <w:r w:rsidR="0070534A" w:rsidRPr="00063579">
        <w:rPr>
          <w:rFonts w:ascii="Montserrat" w:hAnsi="Montserrat"/>
          <w:sz w:val="18"/>
          <w:szCs w:val="18"/>
        </w:rPr>
        <w:t xml:space="preserve"> incremento se deriva </w:t>
      </w:r>
      <w:r w:rsidR="0070534A">
        <w:rPr>
          <w:rFonts w:ascii="Montserrat" w:hAnsi="Montserrat"/>
          <w:sz w:val="18"/>
          <w:szCs w:val="18"/>
        </w:rPr>
        <w:t>de</w:t>
      </w:r>
      <w:r w:rsidR="0070534A" w:rsidRPr="00063579">
        <w:rPr>
          <w:rFonts w:ascii="Montserrat" w:hAnsi="Montserrat"/>
          <w:sz w:val="18"/>
          <w:szCs w:val="18"/>
        </w:rPr>
        <w:t xml:space="preserve"> los bienes recibidos en dación en pago a favor del Poder Ejecutivo Federal.</w:t>
      </w:r>
    </w:p>
    <w:p w14:paraId="152167D9" w14:textId="77777777" w:rsidR="009C3C24" w:rsidRPr="00936371" w:rsidRDefault="009C3C24" w:rsidP="00E52592">
      <w:pPr>
        <w:spacing w:after="60" w:line="240" w:lineRule="auto"/>
        <w:jc w:val="center"/>
        <w:rPr>
          <w:rFonts w:ascii="Montserrat" w:hAnsi="Montserrat" w:cs="Arial"/>
          <w:spacing w:val="-1"/>
          <w:sz w:val="18"/>
          <w:szCs w:val="18"/>
        </w:rPr>
      </w:pPr>
      <w:r w:rsidRPr="00936371">
        <w:rPr>
          <w:rFonts w:ascii="Montserrat" w:eastAsia="Times New Roman" w:hAnsi="Montserrat" w:cs="Calibri"/>
          <w:bCs/>
          <w:sz w:val="16"/>
          <w:szCs w:val="16"/>
          <w:lang w:val="es-MX" w:eastAsia="es-MX"/>
        </w:rPr>
        <w:lastRenderedPageBreak/>
        <w:t>(Pesos)</w:t>
      </w:r>
    </w:p>
    <w:tbl>
      <w:tblPr>
        <w:tblW w:w="8225" w:type="dxa"/>
        <w:jc w:val="center"/>
        <w:tblCellMar>
          <w:left w:w="70" w:type="dxa"/>
          <w:right w:w="70" w:type="dxa"/>
        </w:tblCellMar>
        <w:tblLook w:val="04A0" w:firstRow="1" w:lastRow="0" w:firstColumn="1" w:lastColumn="0" w:noHBand="0" w:noVBand="1"/>
      </w:tblPr>
      <w:tblGrid>
        <w:gridCol w:w="4029"/>
        <w:gridCol w:w="2098"/>
        <w:gridCol w:w="2098"/>
      </w:tblGrid>
      <w:tr w:rsidR="008C3C1D" w:rsidRPr="006F0DF1" w14:paraId="4C6DE49A" w14:textId="77777777" w:rsidTr="00CC40D5">
        <w:trPr>
          <w:trHeight w:val="57"/>
          <w:jc w:val="center"/>
        </w:trPr>
        <w:tc>
          <w:tcPr>
            <w:tcW w:w="8225" w:type="dxa"/>
            <w:gridSpan w:val="3"/>
            <w:tcBorders>
              <w:top w:val="single" w:sz="12" w:space="0" w:color="808080" w:themeColor="background1" w:themeShade="80"/>
            </w:tcBorders>
            <w:shd w:val="clear" w:color="auto" w:fill="auto"/>
            <w:vAlign w:val="center"/>
          </w:tcPr>
          <w:p w14:paraId="3D99B2D2" w14:textId="77777777" w:rsidR="008C3C1D" w:rsidRPr="008C3C1D" w:rsidRDefault="008C3C1D" w:rsidP="002F797B">
            <w:pPr>
              <w:spacing w:after="0" w:line="240" w:lineRule="auto"/>
              <w:jc w:val="center"/>
              <w:rPr>
                <w:rFonts w:ascii="Montserrat" w:eastAsia="Times New Roman" w:hAnsi="Montserrat" w:cs="Calibri"/>
                <w:b/>
                <w:bCs/>
                <w:color w:val="FFFFFF"/>
                <w:sz w:val="4"/>
                <w:szCs w:val="4"/>
                <w:lang w:val="es-MX" w:eastAsia="es-MX"/>
              </w:rPr>
            </w:pPr>
          </w:p>
        </w:tc>
      </w:tr>
      <w:tr w:rsidR="009C3C24" w:rsidRPr="006F0DF1" w14:paraId="51E842C6" w14:textId="77777777" w:rsidTr="007B7F9A">
        <w:trPr>
          <w:trHeight w:val="215"/>
          <w:jc w:val="center"/>
        </w:trPr>
        <w:tc>
          <w:tcPr>
            <w:tcW w:w="4029" w:type="dxa"/>
            <w:tcBorders>
              <w:left w:val="single" w:sz="8" w:space="0" w:color="FFFFFF" w:themeColor="background1"/>
              <w:bottom w:val="double" w:sz="12" w:space="0" w:color="808080" w:themeColor="background1" w:themeShade="80"/>
              <w:right w:val="single" w:sz="8" w:space="0" w:color="FFFFFF" w:themeColor="background1"/>
            </w:tcBorders>
            <w:shd w:val="clear" w:color="auto" w:fill="D4C19C"/>
            <w:vAlign w:val="center"/>
            <w:hideMark/>
          </w:tcPr>
          <w:p w14:paraId="2EE7B845" w14:textId="77777777" w:rsidR="009C3C24" w:rsidRPr="006F0DF1" w:rsidRDefault="009C3C24" w:rsidP="002F797B">
            <w:pPr>
              <w:spacing w:after="0" w:line="240" w:lineRule="auto"/>
              <w:jc w:val="center"/>
              <w:rPr>
                <w:rFonts w:ascii="Montserrat" w:eastAsia="Times New Roman" w:hAnsi="Montserrat" w:cs="Calibri"/>
                <w:b/>
                <w:bCs/>
                <w:color w:val="FFFFFF"/>
                <w:sz w:val="16"/>
                <w:szCs w:val="16"/>
                <w:lang w:val="es-MX" w:eastAsia="es-MX"/>
              </w:rPr>
            </w:pPr>
            <w:r w:rsidRPr="006F0DF1">
              <w:rPr>
                <w:rFonts w:ascii="Montserrat" w:eastAsia="Times New Roman" w:hAnsi="Montserrat" w:cs="Calibri"/>
                <w:b/>
                <w:bCs/>
                <w:color w:val="FFFFFF"/>
                <w:sz w:val="16"/>
                <w:szCs w:val="16"/>
                <w:lang w:val="es-MX" w:eastAsia="es-MX"/>
              </w:rPr>
              <w:t>Concepto</w:t>
            </w:r>
          </w:p>
        </w:tc>
        <w:tc>
          <w:tcPr>
            <w:tcW w:w="2098" w:type="dxa"/>
            <w:tcBorders>
              <w:left w:val="single" w:sz="8" w:space="0" w:color="FFFFFF" w:themeColor="background1"/>
              <w:bottom w:val="double" w:sz="12" w:space="0" w:color="808080" w:themeColor="background1" w:themeShade="80"/>
              <w:right w:val="single" w:sz="8" w:space="0" w:color="FFFFFF" w:themeColor="background1"/>
            </w:tcBorders>
            <w:shd w:val="clear" w:color="auto" w:fill="D4C19C"/>
            <w:vAlign w:val="center"/>
            <w:hideMark/>
          </w:tcPr>
          <w:p w14:paraId="0A94FE1F" w14:textId="050E23BF" w:rsidR="009C3C24" w:rsidRPr="006F0DF1" w:rsidRDefault="009C3C24" w:rsidP="002F797B">
            <w:pPr>
              <w:spacing w:after="0" w:line="240" w:lineRule="auto"/>
              <w:jc w:val="center"/>
              <w:rPr>
                <w:rFonts w:ascii="Montserrat" w:eastAsia="Times New Roman" w:hAnsi="Montserrat" w:cs="Calibri"/>
                <w:b/>
                <w:bCs/>
                <w:color w:val="FFFFFF"/>
                <w:sz w:val="16"/>
                <w:szCs w:val="16"/>
                <w:lang w:val="es-MX" w:eastAsia="es-MX"/>
              </w:rPr>
            </w:pPr>
            <w:r>
              <w:rPr>
                <w:rFonts w:ascii="Montserrat" w:eastAsia="Times New Roman" w:hAnsi="Montserrat" w:cs="Calibri"/>
                <w:b/>
                <w:bCs/>
                <w:color w:val="FFFFFF"/>
                <w:sz w:val="16"/>
                <w:szCs w:val="16"/>
                <w:lang w:val="es-MX" w:eastAsia="es-MX"/>
              </w:rPr>
              <w:t>201</w:t>
            </w:r>
            <w:r w:rsidR="00C8753F">
              <w:rPr>
                <w:rFonts w:ascii="Montserrat" w:eastAsia="Times New Roman" w:hAnsi="Montserrat" w:cs="Calibri"/>
                <w:b/>
                <w:bCs/>
                <w:color w:val="FFFFFF"/>
                <w:sz w:val="16"/>
                <w:szCs w:val="16"/>
                <w:lang w:val="es-MX" w:eastAsia="es-MX"/>
              </w:rPr>
              <w:t>9</w:t>
            </w:r>
          </w:p>
        </w:tc>
        <w:tc>
          <w:tcPr>
            <w:tcW w:w="2098" w:type="dxa"/>
            <w:tcBorders>
              <w:left w:val="single" w:sz="8" w:space="0" w:color="FFFFFF" w:themeColor="background1"/>
              <w:bottom w:val="double" w:sz="12" w:space="0" w:color="808080" w:themeColor="background1" w:themeShade="80"/>
              <w:right w:val="single" w:sz="8" w:space="0" w:color="FFFFFF" w:themeColor="background1"/>
            </w:tcBorders>
            <w:shd w:val="clear" w:color="auto" w:fill="D4C19C"/>
            <w:vAlign w:val="center"/>
            <w:hideMark/>
          </w:tcPr>
          <w:p w14:paraId="10E59094" w14:textId="2235DEF9" w:rsidR="009C3C24" w:rsidRPr="006F0DF1" w:rsidRDefault="009C3C24" w:rsidP="002F797B">
            <w:pPr>
              <w:spacing w:after="0" w:line="240" w:lineRule="auto"/>
              <w:jc w:val="center"/>
              <w:rPr>
                <w:rFonts w:ascii="Montserrat" w:eastAsia="Times New Roman" w:hAnsi="Montserrat" w:cs="Calibri"/>
                <w:b/>
                <w:bCs/>
                <w:color w:val="FFFFFF"/>
                <w:sz w:val="16"/>
                <w:szCs w:val="16"/>
                <w:lang w:val="es-MX" w:eastAsia="es-MX"/>
              </w:rPr>
            </w:pPr>
            <w:r>
              <w:rPr>
                <w:rFonts w:ascii="Montserrat" w:eastAsia="Times New Roman" w:hAnsi="Montserrat" w:cs="Calibri"/>
                <w:b/>
                <w:bCs/>
                <w:color w:val="FFFFFF"/>
                <w:sz w:val="16"/>
                <w:szCs w:val="16"/>
                <w:lang w:val="es-MX" w:eastAsia="es-MX"/>
              </w:rPr>
              <w:t>201</w:t>
            </w:r>
            <w:r w:rsidR="00C8753F">
              <w:rPr>
                <w:rFonts w:ascii="Montserrat" w:eastAsia="Times New Roman" w:hAnsi="Montserrat" w:cs="Calibri"/>
                <w:b/>
                <w:bCs/>
                <w:color w:val="FFFFFF"/>
                <w:sz w:val="16"/>
                <w:szCs w:val="16"/>
                <w:lang w:val="es-MX" w:eastAsia="es-MX"/>
              </w:rPr>
              <w:t>8</w:t>
            </w:r>
          </w:p>
        </w:tc>
      </w:tr>
      <w:tr w:rsidR="001C197E" w:rsidRPr="006F0DF1" w14:paraId="107950AA" w14:textId="77777777" w:rsidTr="00686800">
        <w:trPr>
          <w:trHeight w:val="215"/>
          <w:jc w:val="center"/>
        </w:trPr>
        <w:tc>
          <w:tcPr>
            <w:tcW w:w="4029" w:type="dxa"/>
            <w:tcBorders>
              <w:top w:val="double" w:sz="12" w:space="0" w:color="808080" w:themeColor="background1" w:themeShade="80"/>
            </w:tcBorders>
            <w:shd w:val="clear" w:color="auto" w:fill="F2F2F2" w:themeFill="background1" w:themeFillShade="F2"/>
            <w:vAlign w:val="center"/>
            <w:hideMark/>
          </w:tcPr>
          <w:p w14:paraId="56568AEF" w14:textId="77777777" w:rsidR="001C197E" w:rsidRPr="00255081" w:rsidRDefault="001C197E" w:rsidP="001C197E">
            <w:pPr>
              <w:spacing w:after="0" w:line="240" w:lineRule="auto"/>
              <w:ind w:left="170"/>
              <w:jc w:val="both"/>
              <w:rPr>
                <w:rFonts w:ascii="Montserrat" w:eastAsia="Times New Roman" w:hAnsi="Montserrat" w:cs="Calibri"/>
                <w:color w:val="000000"/>
                <w:sz w:val="15"/>
                <w:szCs w:val="15"/>
                <w:lang w:val="es-MX" w:eastAsia="es-MX"/>
              </w:rPr>
            </w:pPr>
            <w:r w:rsidRPr="00255081">
              <w:rPr>
                <w:rFonts w:ascii="Montserrat" w:eastAsia="Times New Roman" w:hAnsi="Montserrat" w:cs="Calibri"/>
                <w:color w:val="000000"/>
                <w:sz w:val="15"/>
                <w:szCs w:val="15"/>
                <w:lang w:val="es-MX" w:eastAsia="es-MX"/>
              </w:rPr>
              <w:t>Bienes Derivados de Embargos, Decomisos, Aseguramientos y Dación en Pago</w:t>
            </w:r>
          </w:p>
        </w:tc>
        <w:tc>
          <w:tcPr>
            <w:tcW w:w="2098" w:type="dxa"/>
            <w:tcBorders>
              <w:top w:val="double" w:sz="12" w:space="0" w:color="808080" w:themeColor="background1" w:themeShade="80"/>
            </w:tcBorders>
            <w:shd w:val="clear" w:color="000000" w:fill="F2F2F2"/>
            <w:vAlign w:val="center"/>
          </w:tcPr>
          <w:p w14:paraId="511CC6F8" w14:textId="0A363850" w:rsidR="001C197E" w:rsidRPr="00255081" w:rsidRDefault="001C197E" w:rsidP="001C197E">
            <w:pPr>
              <w:spacing w:after="0" w:line="240" w:lineRule="auto"/>
              <w:jc w:val="right"/>
              <w:rPr>
                <w:rFonts w:ascii="Montserrat" w:hAnsi="Montserrat" w:cs="Calibri"/>
                <w:color w:val="000000"/>
                <w:sz w:val="15"/>
                <w:szCs w:val="15"/>
                <w:lang w:val="es-MX" w:eastAsia="es-MX"/>
              </w:rPr>
            </w:pPr>
            <w:r w:rsidRPr="000F0321">
              <w:rPr>
                <w:rFonts w:ascii="Montserrat" w:hAnsi="Montserrat" w:cs="Arial"/>
                <w:color w:val="000000"/>
                <w:sz w:val="15"/>
                <w:szCs w:val="15"/>
              </w:rPr>
              <w:t>12,396,589,237</w:t>
            </w:r>
          </w:p>
        </w:tc>
        <w:tc>
          <w:tcPr>
            <w:tcW w:w="2098" w:type="dxa"/>
            <w:tcBorders>
              <w:top w:val="double" w:sz="12" w:space="0" w:color="808080" w:themeColor="background1" w:themeShade="80"/>
            </w:tcBorders>
            <w:shd w:val="clear" w:color="auto" w:fill="F2F2F2" w:themeFill="background1" w:themeFillShade="F2"/>
            <w:vAlign w:val="center"/>
            <w:hideMark/>
          </w:tcPr>
          <w:p w14:paraId="5809F142" w14:textId="77777777" w:rsidR="001C197E" w:rsidRPr="00255081" w:rsidRDefault="001C197E" w:rsidP="001C197E">
            <w:pPr>
              <w:spacing w:after="0" w:line="240" w:lineRule="auto"/>
              <w:jc w:val="right"/>
              <w:rPr>
                <w:rFonts w:ascii="Montserrat" w:hAnsi="Montserrat" w:cs="Calibri"/>
                <w:color w:val="000000"/>
                <w:sz w:val="15"/>
                <w:szCs w:val="15"/>
                <w:lang w:val="es-MX" w:eastAsia="es-MX"/>
              </w:rPr>
            </w:pPr>
            <w:r w:rsidRPr="00255081">
              <w:rPr>
                <w:rFonts w:ascii="Montserrat" w:hAnsi="Montserrat" w:cs="Calibri"/>
                <w:color w:val="000000"/>
                <w:sz w:val="15"/>
                <w:szCs w:val="15"/>
              </w:rPr>
              <w:t>11,731,955,775</w:t>
            </w:r>
          </w:p>
        </w:tc>
      </w:tr>
      <w:tr w:rsidR="001C197E" w:rsidRPr="006F0DF1" w14:paraId="4016191C" w14:textId="77777777" w:rsidTr="00686800">
        <w:trPr>
          <w:trHeight w:val="215"/>
          <w:jc w:val="center"/>
        </w:trPr>
        <w:tc>
          <w:tcPr>
            <w:tcW w:w="4029" w:type="dxa"/>
            <w:tcBorders>
              <w:bottom w:val="single" w:sz="12" w:space="0" w:color="808080" w:themeColor="background1" w:themeShade="80"/>
            </w:tcBorders>
            <w:shd w:val="clear" w:color="auto" w:fill="F2F2F2" w:themeFill="background1" w:themeFillShade="F2"/>
            <w:vAlign w:val="center"/>
            <w:hideMark/>
          </w:tcPr>
          <w:p w14:paraId="19183B83" w14:textId="77777777" w:rsidR="001C197E" w:rsidRPr="00255081" w:rsidRDefault="001C197E" w:rsidP="001C197E">
            <w:pPr>
              <w:spacing w:after="0" w:line="240" w:lineRule="auto"/>
              <w:ind w:left="170"/>
              <w:jc w:val="right"/>
              <w:rPr>
                <w:rFonts w:ascii="Montserrat" w:eastAsia="Times New Roman" w:hAnsi="Montserrat" w:cs="Calibri"/>
                <w:b/>
                <w:bCs/>
                <w:color w:val="000000"/>
                <w:sz w:val="15"/>
                <w:szCs w:val="15"/>
                <w:lang w:val="es-MX" w:eastAsia="es-MX"/>
              </w:rPr>
            </w:pPr>
            <w:r w:rsidRPr="00255081">
              <w:rPr>
                <w:rFonts w:ascii="Montserrat" w:eastAsia="Times New Roman" w:hAnsi="Montserrat" w:cs="Calibri"/>
                <w:b/>
                <w:bCs/>
                <w:color w:val="000000"/>
                <w:sz w:val="15"/>
                <w:szCs w:val="15"/>
                <w:lang w:val="es-MX" w:eastAsia="es-MX"/>
              </w:rPr>
              <w:t>Total Otros Activos Circulantes</w:t>
            </w:r>
          </w:p>
        </w:tc>
        <w:tc>
          <w:tcPr>
            <w:tcW w:w="2098" w:type="dxa"/>
            <w:tcBorders>
              <w:bottom w:val="single" w:sz="12" w:space="0" w:color="808080" w:themeColor="background1" w:themeShade="80"/>
            </w:tcBorders>
            <w:shd w:val="clear" w:color="000000" w:fill="F2F2F2"/>
            <w:vAlign w:val="center"/>
          </w:tcPr>
          <w:p w14:paraId="51AFDB71" w14:textId="0C55F5E5" w:rsidR="001C197E" w:rsidRPr="00255081" w:rsidRDefault="001C197E" w:rsidP="001C197E">
            <w:pPr>
              <w:spacing w:after="0" w:line="240" w:lineRule="auto"/>
              <w:jc w:val="right"/>
              <w:rPr>
                <w:rFonts w:ascii="Montserrat" w:hAnsi="Montserrat" w:cs="Calibri"/>
                <w:b/>
                <w:bCs/>
                <w:sz w:val="15"/>
                <w:szCs w:val="15"/>
              </w:rPr>
            </w:pPr>
            <w:r w:rsidRPr="000F0321">
              <w:rPr>
                <w:rFonts w:ascii="Montserrat" w:hAnsi="Montserrat" w:cs="Arial"/>
                <w:b/>
                <w:bCs/>
                <w:color w:val="000000"/>
                <w:sz w:val="15"/>
                <w:szCs w:val="15"/>
              </w:rPr>
              <w:t>12,396,589,237</w:t>
            </w:r>
          </w:p>
        </w:tc>
        <w:tc>
          <w:tcPr>
            <w:tcW w:w="2098" w:type="dxa"/>
            <w:tcBorders>
              <w:bottom w:val="single" w:sz="12" w:space="0" w:color="808080" w:themeColor="background1" w:themeShade="80"/>
            </w:tcBorders>
            <w:shd w:val="clear" w:color="auto" w:fill="F2F2F2" w:themeFill="background1" w:themeFillShade="F2"/>
            <w:vAlign w:val="center"/>
            <w:hideMark/>
          </w:tcPr>
          <w:p w14:paraId="6282697F" w14:textId="77777777" w:rsidR="001C197E" w:rsidRPr="00255081" w:rsidRDefault="001C197E" w:rsidP="001C197E">
            <w:pPr>
              <w:spacing w:after="0" w:line="240" w:lineRule="auto"/>
              <w:jc w:val="right"/>
              <w:rPr>
                <w:rFonts w:ascii="Montserrat" w:hAnsi="Montserrat" w:cs="Calibri"/>
                <w:b/>
                <w:bCs/>
                <w:sz w:val="15"/>
                <w:szCs w:val="15"/>
              </w:rPr>
            </w:pPr>
            <w:r w:rsidRPr="00255081">
              <w:rPr>
                <w:rFonts w:ascii="Montserrat" w:hAnsi="Montserrat" w:cs="Calibri"/>
                <w:b/>
                <w:bCs/>
                <w:sz w:val="15"/>
                <w:szCs w:val="15"/>
              </w:rPr>
              <w:t>11,731,955,775</w:t>
            </w:r>
          </w:p>
        </w:tc>
      </w:tr>
    </w:tbl>
    <w:p w14:paraId="2ACE1732" w14:textId="77777777" w:rsidR="0061765C" w:rsidRPr="0061765C" w:rsidRDefault="0061765C" w:rsidP="0061765C">
      <w:pPr>
        <w:pStyle w:val="Prrafodelista"/>
        <w:ind w:left="0"/>
        <w:contextualSpacing w:val="0"/>
        <w:jc w:val="both"/>
        <w:rPr>
          <w:rFonts w:ascii="Montserrat" w:hAnsi="Montserrat"/>
          <w:sz w:val="18"/>
          <w:szCs w:val="18"/>
        </w:rPr>
      </w:pPr>
    </w:p>
    <w:p w14:paraId="62407F8D" w14:textId="77777777" w:rsidR="0061765C" w:rsidRPr="00063579" w:rsidRDefault="0061765C" w:rsidP="0061765C">
      <w:pPr>
        <w:pStyle w:val="Prrafodelista"/>
        <w:ind w:left="0"/>
        <w:contextualSpacing w:val="0"/>
        <w:jc w:val="both"/>
        <w:rPr>
          <w:rFonts w:ascii="Montserrat" w:hAnsi="Montserrat"/>
          <w:sz w:val="18"/>
          <w:szCs w:val="18"/>
        </w:rPr>
      </w:pPr>
    </w:p>
    <w:p w14:paraId="5F6A2E18" w14:textId="77777777" w:rsidR="009C3C24" w:rsidRPr="00F86F92" w:rsidRDefault="009C3C24" w:rsidP="005A5AC5">
      <w:pPr>
        <w:pStyle w:val="VIETAFLECHA"/>
        <w:numPr>
          <w:ilvl w:val="0"/>
          <w:numId w:val="13"/>
        </w:numPr>
        <w:ind w:left="357" w:hanging="357"/>
        <w:rPr>
          <w:rFonts w:cs="Arial"/>
          <w:spacing w:val="-1"/>
        </w:rPr>
      </w:pPr>
      <w:r w:rsidRPr="00F86F92">
        <w:rPr>
          <w:rFonts w:cs="Arial"/>
          <w:spacing w:val="-1"/>
        </w:rPr>
        <w:t>Inversiones Financieras a Largo Plazo</w:t>
      </w:r>
    </w:p>
    <w:p w14:paraId="077741D0" w14:textId="4E4B80C8" w:rsidR="009C3C24" w:rsidRDefault="009C3C24" w:rsidP="00063579">
      <w:pPr>
        <w:spacing w:after="120" w:line="250" w:lineRule="exact"/>
        <w:jc w:val="both"/>
        <w:rPr>
          <w:rFonts w:ascii="Montserrat" w:hAnsi="Montserrat"/>
          <w:sz w:val="18"/>
          <w:szCs w:val="18"/>
        </w:rPr>
      </w:pPr>
      <w:r w:rsidRPr="00F30620">
        <w:rPr>
          <w:rFonts w:ascii="Montserrat" w:hAnsi="Montserrat"/>
          <w:sz w:val="18"/>
          <w:szCs w:val="18"/>
        </w:rPr>
        <w:t>El Poder Ejecutivo Federal posee activos financieros representados por inversiones en empresas de participación estatal, organismos descentralizados, fideicomisos públicos paraestatales y empresas p</w:t>
      </w:r>
      <w:r w:rsidR="00F067C3">
        <w:rPr>
          <w:rFonts w:ascii="Montserrat" w:hAnsi="Montserrat"/>
          <w:sz w:val="18"/>
          <w:szCs w:val="18"/>
        </w:rPr>
        <w:t>roductivas del Estado, destinada</w:t>
      </w:r>
      <w:r w:rsidRPr="00F30620">
        <w:rPr>
          <w:rFonts w:ascii="Montserrat" w:hAnsi="Montserrat"/>
          <w:sz w:val="18"/>
          <w:szCs w:val="18"/>
        </w:rPr>
        <w:t>s a apoyar actividades productivas y/o prioritarias</w:t>
      </w:r>
      <w:r w:rsidR="0070534A" w:rsidRPr="00F30620">
        <w:rPr>
          <w:rFonts w:ascii="Montserrat" w:hAnsi="Montserrat"/>
          <w:sz w:val="18"/>
          <w:szCs w:val="18"/>
        </w:rPr>
        <w:t>, así como</w:t>
      </w:r>
      <w:r w:rsidRPr="00F30620">
        <w:rPr>
          <w:rFonts w:ascii="Montserrat" w:hAnsi="Montserrat"/>
          <w:sz w:val="18"/>
          <w:szCs w:val="18"/>
        </w:rPr>
        <w:t xml:space="preserve"> en fideicomisos, mandatos y contratos análogos sin estructura orgánica, </w:t>
      </w:r>
      <w:r w:rsidR="0070534A" w:rsidRPr="00F30620">
        <w:rPr>
          <w:rFonts w:ascii="Montserrat" w:hAnsi="Montserrat"/>
          <w:sz w:val="18"/>
          <w:szCs w:val="18"/>
        </w:rPr>
        <w:t>y</w:t>
      </w:r>
      <w:r w:rsidRPr="00F30620">
        <w:rPr>
          <w:rFonts w:ascii="Montserrat" w:hAnsi="Montserrat"/>
          <w:sz w:val="18"/>
          <w:szCs w:val="18"/>
        </w:rPr>
        <w:t xml:space="preserve"> en organismos internacionales</w:t>
      </w:r>
      <w:r w:rsidR="0070534A" w:rsidRPr="00F30620">
        <w:rPr>
          <w:rFonts w:ascii="Montserrat" w:hAnsi="Montserrat"/>
          <w:sz w:val="18"/>
          <w:szCs w:val="18"/>
        </w:rPr>
        <w:t>,</w:t>
      </w:r>
      <w:r w:rsidRPr="00F30620">
        <w:rPr>
          <w:rFonts w:ascii="Montserrat" w:hAnsi="Montserrat"/>
          <w:sz w:val="18"/>
          <w:szCs w:val="18"/>
        </w:rPr>
        <w:t xml:space="preserve"> de </w:t>
      </w:r>
      <w:r w:rsidR="0070534A" w:rsidRPr="00F30620">
        <w:rPr>
          <w:rFonts w:ascii="Montserrat" w:hAnsi="Montserrat"/>
          <w:sz w:val="18"/>
          <w:szCs w:val="18"/>
        </w:rPr>
        <w:t xml:space="preserve">acuerdo con </w:t>
      </w:r>
      <w:r w:rsidRPr="00F30620">
        <w:rPr>
          <w:rFonts w:ascii="Montserrat" w:hAnsi="Montserrat"/>
          <w:sz w:val="18"/>
          <w:szCs w:val="18"/>
        </w:rPr>
        <w:t xml:space="preserve">la siguiente </w:t>
      </w:r>
      <w:r w:rsidR="0070534A" w:rsidRPr="00F30620">
        <w:rPr>
          <w:rFonts w:ascii="Montserrat" w:hAnsi="Montserrat"/>
          <w:sz w:val="18"/>
          <w:szCs w:val="18"/>
        </w:rPr>
        <w:t>integración</w:t>
      </w:r>
      <w:r w:rsidRPr="00F30620">
        <w:rPr>
          <w:rFonts w:ascii="Montserrat" w:hAnsi="Montserrat"/>
          <w:sz w:val="18"/>
          <w:szCs w:val="18"/>
        </w:rPr>
        <w:t>:</w:t>
      </w:r>
    </w:p>
    <w:p w14:paraId="05247C0B" w14:textId="77777777" w:rsidR="009C3C24" w:rsidRPr="00936371" w:rsidRDefault="009C3C24" w:rsidP="00E52592">
      <w:pPr>
        <w:spacing w:after="60" w:line="240" w:lineRule="auto"/>
        <w:jc w:val="center"/>
        <w:rPr>
          <w:rFonts w:ascii="Montserrat" w:hAnsi="Montserrat" w:cs="Arial"/>
          <w:spacing w:val="-1"/>
          <w:sz w:val="18"/>
          <w:szCs w:val="18"/>
        </w:rPr>
      </w:pPr>
      <w:r w:rsidRPr="00936371">
        <w:rPr>
          <w:rFonts w:ascii="Montserrat" w:eastAsia="Times New Roman" w:hAnsi="Montserrat" w:cs="Calibri"/>
          <w:bCs/>
          <w:sz w:val="16"/>
          <w:szCs w:val="16"/>
          <w:lang w:val="es-MX" w:eastAsia="es-MX"/>
        </w:rPr>
        <w:t>(Pesos)</w:t>
      </w:r>
    </w:p>
    <w:tbl>
      <w:tblPr>
        <w:tblW w:w="8259" w:type="dxa"/>
        <w:jc w:val="center"/>
        <w:tblCellMar>
          <w:left w:w="70" w:type="dxa"/>
          <w:right w:w="70" w:type="dxa"/>
        </w:tblCellMar>
        <w:tblLook w:val="04A0" w:firstRow="1" w:lastRow="0" w:firstColumn="1" w:lastColumn="0" w:noHBand="0" w:noVBand="1"/>
      </w:tblPr>
      <w:tblGrid>
        <w:gridCol w:w="4063"/>
        <w:gridCol w:w="2098"/>
        <w:gridCol w:w="2098"/>
      </w:tblGrid>
      <w:tr w:rsidR="00373F9E" w:rsidRPr="006F0DF1" w14:paraId="0C8352BB" w14:textId="77777777" w:rsidTr="00CC40D5">
        <w:trPr>
          <w:trHeight w:val="57"/>
          <w:jc w:val="center"/>
        </w:trPr>
        <w:tc>
          <w:tcPr>
            <w:tcW w:w="8259" w:type="dxa"/>
            <w:gridSpan w:val="3"/>
            <w:tcBorders>
              <w:top w:val="single" w:sz="12" w:space="0" w:color="808080" w:themeColor="background1" w:themeShade="80"/>
            </w:tcBorders>
            <w:shd w:val="clear" w:color="auto" w:fill="auto"/>
            <w:vAlign w:val="center"/>
          </w:tcPr>
          <w:p w14:paraId="63B75D4E" w14:textId="77777777" w:rsidR="00373F9E" w:rsidRPr="008C3C1D" w:rsidRDefault="00373F9E" w:rsidP="002F797B">
            <w:pPr>
              <w:spacing w:after="0" w:line="240" w:lineRule="auto"/>
              <w:jc w:val="center"/>
              <w:rPr>
                <w:rFonts w:ascii="Montserrat" w:eastAsia="Times New Roman" w:hAnsi="Montserrat" w:cs="Calibri"/>
                <w:b/>
                <w:bCs/>
                <w:color w:val="FFFFFF"/>
                <w:sz w:val="4"/>
                <w:szCs w:val="4"/>
                <w:lang w:val="es-MX" w:eastAsia="es-MX"/>
              </w:rPr>
            </w:pPr>
          </w:p>
        </w:tc>
      </w:tr>
      <w:tr w:rsidR="009C3C24" w:rsidRPr="006F0DF1" w14:paraId="3A5D455F" w14:textId="77777777" w:rsidTr="0061765C">
        <w:trPr>
          <w:trHeight w:val="317"/>
          <w:jc w:val="center"/>
        </w:trPr>
        <w:tc>
          <w:tcPr>
            <w:tcW w:w="4063" w:type="dxa"/>
            <w:tcBorders>
              <w:left w:val="single" w:sz="8" w:space="0" w:color="FFFFFF" w:themeColor="background1"/>
              <w:bottom w:val="double" w:sz="12" w:space="0" w:color="808080" w:themeColor="background1" w:themeShade="80"/>
              <w:right w:val="single" w:sz="8" w:space="0" w:color="FFFFFF" w:themeColor="background1"/>
            </w:tcBorders>
            <w:shd w:val="clear" w:color="auto" w:fill="D4C19C"/>
            <w:vAlign w:val="center"/>
            <w:hideMark/>
          </w:tcPr>
          <w:p w14:paraId="250977CC" w14:textId="77777777" w:rsidR="009C3C24" w:rsidRPr="006F0DF1" w:rsidRDefault="009C3C24" w:rsidP="002F797B">
            <w:pPr>
              <w:spacing w:after="0" w:line="240" w:lineRule="auto"/>
              <w:jc w:val="center"/>
              <w:rPr>
                <w:rFonts w:ascii="Montserrat" w:eastAsia="Times New Roman" w:hAnsi="Montserrat" w:cs="Calibri"/>
                <w:b/>
                <w:bCs/>
                <w:color w:val="FFFFFF"/>
                <w:sz w:val="16"/>
                <w:szCs w:val="16"/>
                <w:lang w:val="es-MX" w:eastAsia="es-MX"/>
              </w:rPr>
            </w:pPr>
            <w:r w:rsidRPr="006F0DF1">
              <w:rPr>
                <w:rFonts w:ascii="Montserrat" w:eastAsia="Times New Roman" w:hAnsi="Montserrat" w:cs="Calibri"/>
                <w:b/>
                <w:bCs/>
                <w:color w:val="FFFFFF"/>
                <w:sz w:val="16"/>
                <w:szCs w:val="16"/>
                <w:lang w:val="es-MX" w:eastAsia="es-MX"/>
              </w:rPr>
              <w:t>Concepto</w:t>
            </w:r>
          </w:p>
        </w:tc>
        <w:tc>
          <w:tcPr>
            <w:tcW w:w="2098" w:type="dxa"/>
            <w:tcBorders>
              <w:left w:val="single" w:sz="8" w:space="0" w:color="FFFFFF" w:themeColor="background1"/>
              <w:bottom w:val="double" w:sz="12" w:space="0" w:color="808080" w:themeColor="background1" w:themeShade="80"/>
              <w:right w:val="single" w:sz="8" w:space="0" w:color="FFFFFF" w:themeColor="background1"/>
            </w:tcBorders>
            <w:shd w:val="clear" w:color="auto" w:fill="D4C19C"/>
            <w:vAlign w:val="center"/>
            <w:hideMark/>
          </w:tcPr>
          <w:p w14:paraId="774598DC" w14:textId="77777777" w:rsidR="009C3C24" w:rsidRPr="006F0DF1" w:rsidRDefault="009C3C24" w:rsidP="002F797B">
            <w:pPr>
              <w:spacing w:after="0" w:line="240" w:lineRule="auto"/>
              <w:jc w:val="center"/>
              <w:rPr>
                <w:rFonts w:ascii="Montserrat" w:eastAsia="Times New Roman" w:hAnsi="Montserrat" w:cs="Calibri"/>
                <w:b/>
                <w:bCs/>
                <w:color w:val="FFFFFF"/>
                <w:sz w:val="16"/>
                <w:szCs w:val="16"/>
                <w:lang w:val="es-MX" w:eastAsia="es-MX"/>
              </w:rPr>
            </w:pPr>
            <w:r>
              <w:rPr>
                <w:rFonts w:ascii="Montserrat" w:eastAsia="Times New Roman" w:hAnsi="Montserrat" w:cs="Calibri"/>
                <w:b/>
                <w:bCs/>
                <w:color w:val="FFFFFF"/>
                <w:sz w:val="16"/>
                <w:szCs w:val="16"/>
                <w:lang w:val="es-MX" w:eastAsia="es-MX"/>
              </w:rPr>
              <w:t>201</w:t>
            </w:r>
            <w:r w:rsidR="00686800">
              <w:rPr>
                <w:rFonts w:ascii="Montserrat" w:eastAsia="Times New Roman" w:hAnsi="Montserrat" w:cs="Calibri"/>
                <w:b/>
                <w:bCs/>
                <w:color w:val="FFFFFF"/>
                <w:sz w:val="16"/>
                <w:szCs w:val="16"/>
                <w:lang w:val="es-MX" w:eastAsia="es-MX"/>
              </w:rPr>
              <w:t>9</w:t>
            </w:r>
          </w:p>
        </w:tc>
        <w:tc>
          <w:tcPr>
            <w:tcW w:w="2098" w:type="dxa"/>
            <w:tcBorders>
              <w:left w:val="single" w:sz="8" w:space="0" w:color="FFFFFF" w:themeColor="background1"/>
              <w:bottom w:val="double" w:sz="12" w:space="0" w:color="808080" w:themeColor="background1" w:themeShade="80"/>
              <w:right w:val="single" w:sz="8" w:space="0" w:color="FFFFFF" w:themeColor="background1"/>
            </w:tcBorders>
            <w:shd w:val="clear" w:color="auto" w:fill="D4C19C"/>
            <w:vAlign w:val="center"/>
            <w:hideMark/>
          </w:tcPr>
          <w:p w14:paraId="44062243" w14:textId="77777777" w:rsidR="009C3C24" w:rsidRPr="006F0DF1" w:rsidRDefault="009C3C24" w:rsidP="002F797B">
            <w:pPr>
              <w:spacing w:after="0" w:line="240" w:lineRule="auto"/>
              <w:jc w:val="center"/>
              <w:rPr>
                <w:rFonts w:ascii="Montserrat" w:eastAsia="Times New Roman" w:hAnsi="Montserrat" w:cs="Calibri"/>
                <w:b/>
                <w:bCs/>
                <w:color w:val="FFFFFF"/>
                <w:sz w:val="16"/>
                <w:szCs w:val="16"/>
                <w:lang w:val="es-MX" w:eastAsia="es-MX"/>
              </w:rPr>
            </w:pPr>
            <w:r>
              <w:rPr>
                <w:rFonts w:ascii="Montserrat" w:eastAsia="Times New Roman" w:hAnsi="Montserrat" w:cs="Calibri"/>
                <w:b/>
                <w:bCs/>
                <w:color w:val="FFFFFF"/>
                <w:sz w:val="16"/>
                <w:szCs w:val="16"/>
                <w:lang w:val="es-MX" w:eastAsia="es-MX"/>
              </w:rPr>
              <w:t>201</w:t>
            </w:r>
            <w:r w:rsidR="00686800">
              <w:rPr>
                <w:rFonts w:ascii="Montserrat" w:eastAsia="Times New Roman" w:hAnsi="Montserrat" w:cs="Calibri"/>
                <w:b/>
                <w:bCs/>
                <w:color w:val="FFFFFF"/>
                <w:sz w:val="16"/>
                <w:szCs w:val="16"/>
                <w:lang w:val="es-MX" w:eastAsia="es-MX"/>
              </w:rPr>
              <w:t>8</w:t>
            </w:r>
          </w:p>
        </w:tc>
      </w:tr>
      <w:tr w:rsidR="001C197E" w:rsidRPr="006F0DF1" w14:paraId="738957AC" w14:textId="77777777" w:rsidTr="007B7F9A">
        <w:trPr>
          <w:trHeight w:val="215"/>
          <w:jc w:val="center"/>
        </w:trPr>
        <w:tc>
          <w:tcPr>
            <w:tcW w:w="4063" w:type="dxa"/>
            <w:tcBorders>
              <w:top w:val="double" w:sz="12" w:space="0" w:color="808080" w:themeColor="background1" w:themeShade="80"/>
            </w:tcBorders>
            <w:shd w:val="clear" w:color="auto" w:fill="F2F2F2" w:themeFill="background1" w:themeFillShade="F2"/>
            <w:vAlign w:val="center"/>
            <w:hideMark/>
          </w:tcPr>
          <w:p w14:paraId="273B2FF8" w14:textId="77777777" w:rsidR="001C197E" w:rsidRPr="00255081" w:rsidRDefault="001C197E" w:rsidP="001C197E">
            <w:pPr>
              <w:spacing w:after="0" w:line="240" w:lineRule="auto"/>
              <w:ind w:left="170"/>
              <w:jc w:val="both"/>
              <w:rPr>
                <w:rFonts w:ascii="Montserrat" w:eastAsia="Times New Roman" w:hAnsi="Montserrat" w:cs="Calibri"/>
                <w:color w:val="000000"/>
                <w:sz w:val="15"/>
                <w:szCs w:val="15"/>
                <w:lang w:val="es-MX" w:eastAsia="es-MX"/>
              </w:rPr>
            </w:pPr>
            <w:r w:rsidRPr="00255081">
              <w:rPr>
                <w:rFonts w:ascii="Montserrat" w:eastAsia="Times New Roman" w:hAnsi="Montserrat" w:cs="Calibri"/>
                <w:color w:val="000000"/>
                <w:sz w:val="15"/>
                <w:szCs w:val="15"/>
                <w:lang w:val="es-MX" w:eastAsia="es-MX"/>
              </w:rPr>
              <w:t>Fideicomisos, Mandatos y Contratos Análogos del Poder Ejecutivo</w:t>
            </w:r>
          </w:p>
        </w:tc>
        <w:tc>
          <w:tcPr>
            <w:tcW w:w="2098" w:type="dxa"/>
            <w:tcBorders>
              <w:top w:val="double" w:sz="12" w:space="0" w:color="808080" w:themeColor="background1" w:themeShade="80"/>
            </w:tcBorders>
            <w:shd w:val="clear" w:color="000000" w:fill="F2F2F2"/>
            <w:vAlign w:val="center"/>
          </w:tcPr>
          <w:p w14:paraId="24AC0A7F" w14:textId="1972809D" w:rsidR="001C197E" w:rsidRPr="00255081" w:rsidRDefault="004E652D" w:rsidP="001C197E">
            <w:pPr>
              <w:spacing w:after="0" w:line="240" w:lineRule="auto"/>
              <w:jc w:val="right"/>
              <w:rPr>
                <w:rFonts w:ascii="Montserrat" w:hAnsi="Montserrat" w:cs="Calibri"/>
                <w:sz w:val="15"/>
                <w:szCs w:val="15"/>
                <w:lang w:val="es-MX" w:eastAsia="es-MX"/>
              </w:rPr>
            </w:pPr>
            <w:r w:rsidRPr="00255081">
              <w:rPr>
                <w:rFonts w:ascii="Montserrat" w:hAnsi="Montserrat" w:cs="Arial"/>
                <w:color w:val="000000"/>
                <w:sz w:val="15"/>
                <w:szCs w:val="15"/>
              </w:rPr>
              <w:t>536</w:t>
            </w:r>
            <w:r w:rsidR="00F30620" w:rsidRPr="00255081">
              <w:rPr>
                <w:rFonts w:ascii="Montserrat" w:hAnsi="Montserrat" w:cs="Arial"/>
                <w:color w:val="000000"/>
                <w:sz w:val="15"/>
                <w:szCs w:val="15"/>
              </w:rPr>
              <w:t>,</w:t>
            </w:r>
            <w:r w:rsidRPr="00255081">
              <w:rPr>
                <w:rFonts w:ascii="Montserrat" w:hAnsi="Montserrat" w:cs="Arial"/>
                <w:color w:val="000000"/>
                <w:sz w:val="15"/>
                <w:szCs w:val="15"/>
              </w:rPr>
              <w:t>212</w:t>
            </w:r>
            <w:r w:rsidR="00F30620" w:rsidRPr="00255081">
              <w:rPr>
                <w:rFonts w:ascii="Montserrat" w:hAnsi="Montserrat" w:cs="Arial"/>
                <w:color w:val="000000"/>
                <w:sz w:val="15"/>
                <w:szCs w:val="15"/>
              </w:rPr>
              <w:t>,</w:t>
            </w:r>
            <w:r w:rsidRPr="00255081">
              <w:rPr>
                <w:rFonts w:ascii="Montserrat" w:hAnsi="Montserrat" w:cs="Arial"/>
                <w:color w:val="000000"/>
                <w:sz w:val="15"/>
                <w:szCs w:val="15"/>
              </w:rPr>
              <w:t>347</w:t>
            </w:r>
            <w:r w:rsidR="00F30620" w:rsidRPr="00255081">
              <w:rPr>
                <w:rFonts w:ascii="Montserrat" w:hAnsi="Montserrat" w:cs="Arial"/>
                <w:color w:val="000000"/>
                <w:sz w:val="15"/>
                <w:szCs w:val="15"/>
              </w:rPr>
              <w:t>,</w:t>
            </w:r>
            <w:r w:rsidRPr="00255081">
              <w:rPr>
                <w:rFonts w:ascii="Montserrat" w:hAnsi="Montserrat" w:cs="Arial"/>
                <w:color w:val="000000"/>
                <w:sz w:val="15"/>
                <w:szCs w:val="15"/>
              </w:rPr>
              <w:t>715</w:t>
            </w:r>
          </w:p>
        </w:tc>
        <w:tc>
          <w:tcPr>
            <w:tcW w:w="2098" w:type="dxa"/>
            <w:tcBorders>
              <w:top w:val="double" w:sz="12" w:space="0" w:color="808080" w:themeColor="background1" w:themeShade="80"/>
            </w:tcBorders>
            <w:shd w:val="clear" w:color="auto" w:fill="F2F2F2" w:themeFill="background1" w:themeFillShade="F2"/>
            <w:vAlign w:val="center"/>
            <w:hideMark/>
          </w:tcPr>
          <w:p w14:paraId="771B75F6" w14:textId="77777777" w:rsidR="001C197E" w:rsidRPr="00255081" w:rsidRDefault="001C197E" w:rsidP="001C197E">
            <w:pPr>
              <w:spacing w:after="0" w:line="240" w:lineRule="auto"/>
              <w:jc w:val="right"/>
              <w:rPr>
                <w:rFonts w:ascii="Montserrat" w:hAnsi="Montserrat" w:cs="Calibri"/>
                <w:sz w:val="15"/>
                <w:szCs w:val="15"/>
                <w:lang w:val="es-MX" w:eastAsia="es-MX"/>
              </w:rPr>
            </w:pPr>
            <w:r w:rsidRPr="00255081">
              <w:rPr>
                <w:rFonts w:ascii="Montserrat" w:hAnsi="Montserrat" w:cs="Calibri"/>
                <w:sz w:val="15"/>
                <w:szCs w:val="15"/>
              </w:rPr>
              <w:t>628,184,426,465</w:t>
            </w:r>
          </w:p>
        </w:tc>
      </w:tr>
      <w:tr w:rsidR="001C197E" w:rsidRPr="006F0DF1" w14:paraId="138F75EA" w14:textId="77777777" w:rsidTr="007B7F9A">
        <w:trPr>
          <w:trHeight w:val="215"/>
          <w:jc w:val="center"/>
        </w:trPr>
        <w:tc>
          <w:tcPr>
            <w:tcW w:w="4063" w:type="dxa"/>
            <w:shd w:val="clear" w:color="auto" w:fill="F2F2F2" w:themeFill="background1" w:themeFillShade="F2"/>
            <w:vAlign w:val="center"/>
            <w:hideMark/>
          </w:tcPr>
          <w:p w14:paraId="76F564AE" w14:textId="77777777" w:rsidR="001C197E" w:rsidRPr="00255081" w:rsidRDefault="001C197E" w:rsidP="001C197E">
            <w:pPr>
              <w:spacing w:after="0" w:line="240" w:lineRule="auto"/>
              <w:ind w:left="170"/>
              <w:jc w:val="both"/>
              <w:rPr>
                <w:rFonts w:ascii="Montserrat" w:eastAsia="Times New Roman" w:hAnsi="Montserrat" w:cs="Calibri"/>
                <w:color w:val="000000"/>
                <w:sz w:val="15"/>
                <w:szCs w:val="15"/>
                <w:lang w:val="es-MX" w:eastAsia="es-MX"/>
              </w:rPr>
            </w:pPr>
            <w:r w:rsidRPr="00255081">
              <w:rPr>
                <w:rFonts w:ascii="Montserrat" w:eastAsia="Times New Roman" w:hAnsi="Montserrat" w:cs="Calibri"/>
                <w:color w:val="000000"/>
                <w:sz w:val="15"/>
                <w:szCs w:val="15"/>
                <w:lang w:val="es-MX" w:eastAsia="es-MX"/>
              </w:rPr>
              <w:t>Fideicomisos, Mandatos y Contratos Análogos Públicos No Empresariales y No Financieros</w:t>
            </w:r>
          </w:p>
        </w:tc>
        <w:tc>
          <w:tcPr>
            <w:tcW w:w="2098" w:type="dxa"/>
            <w:shd w:val="clear" w:color="000000" w:fill="F2F2F2"/>
            <w:vAlign w:val="center"/>
          </w:tcPr>
          <w:p w14:paraId="3F246983" w14:textId="0C360932" w:rsidR="001C197E" w:rsidRPr="00255081" w:rsidRDefault="001C197E" w:rsidP="001C197E">
            <w:pPr>
              <w:spacing w:after="0" w:line="240" w:lineRule="auto"/>
              <w:jc w:val="right"/>
              <w:rPr>
                <w:rFonts w:ascii="Montserrat" w:eastAsia="Times New Roman" w:hAnsi="Montserrat" w:cs="Calibri"/>
                <w:sz w:val="15"/>
                <w:szCs w:val="15"/>
                <w:lang w:val="es-MX" w:eastAsia="es-MX"/>
              </w:rPr>
            </w:pPr>
            <w:r w:rsidRPr="000F0321">
              <w:rPr>
                <w:rFonts w:ascii="Montserrat" w:hAnsi="Montserrat" w:cs="Arial"/>
                <w:color w:val="000000"/>
                <w:sz w:val="15"/>
                <w:szCs w:val="15"/>
              </w:rPr>
              <w:t>9,861,963,631</w:t>
            </w:r>
          </w:p>
        </w:tc>
        <w:tc>
          <w:tcPr>
            <w:tcW w:w="2098" w:type="dxa"/>
            <w:shd w:val="clear" w:color="auto" w:fill="F2F2F2" w:themeFill="background1" w:themeFillShade="F2"/>
            <w:vAlign w:val="center"/>
            <w:hideMark/>
          </w:tcPr>
          <w:p w14:paraId="72F09BA1" w14:textId="77777777" w:rsidR="001C197E" w:rsidRPr="00255081" w:rsidRDefault="001C197E" w:rsidP="001C197E">
            <w:pPr>
              <w:spacing w:after="0" w:line="240" w:lineRule="auto"/>
              <w:jc w:val="right"/>
              <w:rPr>
                <w:rFonts w:ascii="Montserrat" w:eastAsia="Times New Roman" w:hAnsi="Montserrat" w:cs="Calibri"/>
                <w:sz w:val="15"/>
                <w:szCs w:val="15"/>
                <w:lang w:val="es-MX" w:eastAsia="es-MX"/>
              </w:rPr>
            </w:pPr>
            <w:r w:rsidRPr="00255081">
              <w:rPr>
                <w:rFonts w:ascii="Montserrat" w:eastAsia="Times New Roman" w:hAnsi="Montserrat" w:cs="Calibri"/>
                <w:sz w:val="15"/>
                <w:szCs w:val="15"/>
                <w:lang w:val="es-MX" w:eastAsia="es-MX"/>
              </w:rPr>
              <w:t>9,689,744,233</w:t>
            </w:r>
          </w:p>
        </w:tc>
      </w:tr>
      <w:tr w:rsidR="001C197E" w:rsidRPr="006F0DF1" w14:paraId="61BD403C" w14:textId="77777777" w:rsidTr="007B7F9A">
        <w:trPr>
          <w:trHeight w:val="215"/>
          <w:jc w:val="center"/>
        </w:trPr>
        <w:tc>
          <w:tcPr>
            <w:tcW w:w="4063" w:type="dxa"/>
            <w:tcBorders>
              <w:top w:val="nil"/>
            </w:tcBorders>
            <w:shd w:val="clear" w:color="auto" w:fill="F2F2F2" w:themeFill="background1" w:themeFillShade="F2"/>
            <w:vAlign w:val="center"/>
            <w:hideMark/>
          </w:tcPr>
          <w:p w14:paraId="01AB4064" w14:textId="77777777" w:rsidR="001C197E" w:rsidRPr="00255081" w:rsidRDefault="001C197E" w:rsidP="001C197E">
            <w:pPr>
              <w:spacing w:after="0" w:line="240" w:lineRule="auto"/>
              <w:ind w:left="170"/>
              <w:jc w:val="both"/>
              <w:rPr>
                <w:rFonts w:ascii="Montserrat" w:eastAsia="Times New Roman" w:hAnsi="Montserrat" w:cs="Calibri"/>
                <w:color w:val="000000"/>
                <w:sz w:val="15"/>
                <w:szCs w:val="15"/>
                <w:lang w:val="es-MX" w:eastAsia="es-MX"/>
              </w:rPr>
            </w:pPr>
            <w:r w:rsidRPr="00255081">
              <w:rPr>
                <w:rFonts w:ascii="Montserrat" w:eastAsia="Times New Roman" w:hAnsi="Montserrat" w:cs="Calibri"/>
                <w:color w:val="000000"/>
                <w:sz w:val="15"/>
                <w:szCs w:val="15"/>
                <w:lang w:val="es-MX" w:eastAsia="es-MX"/>
              </w:rPr>
              <w:t>Fideicomisos, Mandatos y Contratos Análogos Públicos Empresariales y No Financieros</w:t>
            </w:r>
          </w:p>
        </w:tc>
        <w:tc>
          <w:tcPr>
            <w:tcW w:w="2098" w:type="dxa"/>
            <w:tcBorders>
              <w:top w:val="nil"/>
            </w:tcBorders>
            <w:shd w:val="clear" w:color="000000" w:fill="F2F2F2"/>
            <w:vAlign w:val="center"/>
          </w:tcPr>
          <w:p w14:paraId="21D20084" w14:textId="78ABF191" w:rsidR="001C197E" w:rsidRPr="00255081" w:rsidRDefault="001C197E" w:rsidP="001C197E">
            <w:pPr>
              <w:spacing w:after="0" w:line="240" w:lineRule="auto"/>
              <w:jc w:val="right"/>
              <w:rPr>
                <w:rFonts w:ascii="Montserrat" w:eastAsia="Times New Roman" w:hAnsi="Montserrat" w:cs="Calibri"/>
                <w:sz w:val="15"/>
                <w:szCs w:val="15"/>
                <w:lang w:val="es-MX" w:eastAsia="es-MX"/>
              </w:rPr>
            </w:pPr>
            <w:r w:rsidRPr="000F0321">
              <w:rPr>
                <w:rFonts w:ascii="Montserrat" w:hAnsi="Montserrat" w:cs="Arial"/>
                <w:color w:val="000000"/>
                <w:sz w:val="15"/>
                <w:szCs w:val="15"/>
              </w:rPr>
              <w:t>20,821,286,126</w:t>
            </w:r>
          </w:p>
        </w:tc>
        <w:tc>
          <w:tcPr>
            <w:tcW w:w="2098" w:type="dxa"/>
            <w:tcBorders>
              <w:top w:val="nil"/>
            </w:tcBorders>
            <w:shd w:val="clear" w:color="auto" w:fill="F2F2F2" w:themeFill="background1" w:themeFillShade="F2"/>
            <w:vAlign w:val="center"/>
            <w:hideMark/>
          </w:tcPr>
          <w:p w14:paraId="106A86AC" w14:textId="77777777" w:rsidR="001C197E" w:rsidRPr="00255081" w:rsidRDefault="001C197E" w:rsidP="001C197E">
            <w:pPr>
              <w:spacing w:after="0" w:line="240" w:lineRule="auto"/>
              <w:jc w:val="right"/>
              <w:rPr>
                <w:rFonts w:ascii="Montserrat" w:eastAsia="Times New Roman" w:hAnsi="Montserrat" w:cs="Calibri"/>
                <w:sz w:val="15"/>
                <w:szCs w:val="15"/>
                <w:lang w:val="es-MX" w:eastAsia="es-MX"/>
              </w:rPr>
            </w:pPr>
            <w:r w:rsidRPr="00255081">
              <w:rPr>
                <w:rFonts w:ascii="Montserrat" w:eastAsia="Times New Roman" w:hAnsi="Montserrat" w:cs="Calibri"/>
                <w:sz w:val="15"/>
                <w:szCs w:val="15"/>
                <w:lang w:val="es-MX" w:eastAsia="es-MX"/>
              </w:rPr>
              <w:t>20,476,703,885</w:t>
            </w:r>
          </w:p>
        </w:tc>
      </w:tr>
      <w:tr w:rsidR="001C197E" w:rsidRPr="006F0DF1" w14:paraId="74267C16" w14:textId="77777777" w:rsidTr="007B7F9A">
        <w:trPr>
          <w:trHeight w:val="215"/>
          <w:jc w:val="center"/>
        </w:trPr>
        <w:tc>
          <w:tcPr>
            <w:tcW w:w="4063" w:type="dxa"/>
            <w:tcBorders>
              <w:top w:val="nil"/>
            </w:tcBorders>
            <w:shd w:val="clear" w:color="auto" w:fill="F2F2F2" w:themeFill="background1" w:themeFillShade="F2"/>
            <w:vAlign w:val="center"/>
            <w:hideMark/>
          </w:tcPr>
          <w:p w14:paraId="34563023" w14:textId="77777777" w:rsidR="001C197E" w:rsidRPr="00255081" w:rsidRDefault="001C197E" w:rsidP="001C197E">
            <w:pPr>
              <w:spacing w:after="0" w:line="240" w:lineRule="auto"/>
              <w:ind w:left="170"/>
              <w:jc w:val="both"/>
              <w:rPr>
                <w:rFonts w:ascii="Montserrat" w:eastAsia="Times New Roman" w:hAnsi="Montserrat" w:cs="Calibri"/>
                <w:color w:val="000000"/>
                <w:sz w:val="15"/>
                <w:szCs w:val="15"/>
                <w:lang w:val="es-MX" w:eastAsia="es-MX"/>
              </w:rPr>
            </w:pPr>
            <w:r w:rsidRPr="00255081">
              <w:rPr>
                <w:rFonts w:ascii="Montserrat" w:eastAsia="Times New Roman" w:hAnsi="Montserrat" w:cs="Calibri"/>
                <w:color w:val="000000"/>
                <w:sz w:val="15"/>
                <w:szCs w:val="15"/>
                <w:lang w:val="es-MX" w:eastAsia="es-MX"/>
              </w:rPr>
              <w:t>Fideicomisos, Mandatos y Contratos Análogos Públicos Financieros</w:t>
            </w:r>
          </w:p>
        </w:tc>
        <w:tc>
          <w:tcPr>
            <w:tcW w:w="2098" w:type="dxa"/>
            <w:tcBorders>
              <w:top w:val="nil"/>
            </w:tcBorders>
            <w:shd w:val="clear" w:color="000000" w:fill="F2F2F2"/>
            <w:vAlign w:val="center"/>
          </w:tcPr>
          <w:p w14:paraId="69818F98" w14:textId="090E5E41" w:rsidR="001C197E" w:rsidRPr="00255081" w:rsidRDefault="001C197E" w:rsidP="001C197E">
            <w:pPr>
              <w:spacing w:after="0" w:line="240" w:lineRule="auto"/>
              <w:jc w:val="right"/>
              <w:rPr>
                <w:rFonts w:ascii="Montserrat" w:eastAsia="Times New Roman" w:hAnsi="Montserrat" w:cs="Calibri"/>
                <w:sz w:val="15"/>
                <w:szCs w:val="15"/>
                <w:lang w:val="es-MX" w:eastAsia="es-MX"/>
              </w:rPr>
            </w:pPr>
            <w:r w:rsidRPr="000F0321">
              <w:rPr>
                <w:rFonts w:ascii="Montserrat" w:hAnsi="Montserrat" w:cs="Arial"/>
                <w:color w:val="000000"/>
                <w:sz w:val="15"/>
                <w:szCs w:val="15"/>
              </w:rPr>
              <w:t>112,268,290,564</w:t>
            </w:r>
          </w:p>
        </w:tc>
        <w:tc>
          <w:tcPr>
            <w:tcW w:w="2098" w:type="dxa"/>
            <w:tcBorders>
              <w:top w:val="nil"/>
            </w:tcBorders>
            <w:shd w:val="clear" w:color="auto" w:fill="F2F2F2" w:themeFill="background1" w:themeFillShade="F2"/>
            <w:vAlign w:val="center"/>
            <w:hideMark/>
          </w:tcPr>
          <w:p w14:paraId="2A6EB51A" w14:textId="77777777" w:rsidR="001C197E" w:rsidRPr="00255081" w:rsidRDefault="001C197E" w:rsidP="001C197E">
            <w:pPr>
              <w:spacing w:after="0" w:line="240" w:lineRule="auto"/>
              <w:jc w:val="right"/>
              <w:rPr>
                <w:rFonts w:ascii="Montserrat" w:eastAsia="Times New Roman" w:hAnsi="Montserrat" w:cs="Calibri"/>
                <w:sz w:val="15"/>
                <w:szCs w:val="15"/>
                <w:lang w:val="es-MX" w:eastAsia="es-MX"/>
              </w:rPr>
            </w:pPr>
            <w:r w:rsidRPr="00255081">
              <w:rPr>
                <w:rFonts w:ascii="Montserrat" w:eastAsia="Times New Roman" w:hAnsi="Montserrat" w:cs="Calibri"/>
                <w:sz w:val="15"/>
                <w:szCs w:val="15"/>
                <w:lang w:val="es-MX" w:eastAsia="es-MX"/>
              </w:rPr>
              <w:t>108,378,695,837</w:t>
            </w:r>
          </w:p>
        </w:tc>
      </w:tr>
      <w:tr w:rsidR="001C197E" w:rsidRPr="006F0DF1" w14:paraId="605E2090" w14:textId="77777777" w:rsidTr="007B7F9A">
        <w:trPr>
          <w:trHeight w:val="340"/>
          <w:jc w:val="center"/>
        </w:trPr>
        <w:tc>
          <w:tcPr>
            <w:tcW w:w="4063" w:type="dxa"/>
            <w:tcBorders>
              <w:top w:val="nil"/>
            </w:tcBorders>
            <w:shd w:val="clear" w:color="auto" w:fill="F2F2F2" w:themeFill="background1" w:themeFillShade="F2"/>
            <w:vAlign w:val="center"/>
            <w:hideMark/>
          </w:tcPr>
          <w:p w14:paraId="03734970" w14:textId="77777777" w:rsidR="001C197E" w:rsidRPr="00255081" w:rsidRDefault="001C197E" w:rsidP="001C197E">
            <w:pPr>
              <w:spacing w:after="0" w:line="240" w:lineRule="auto"/>
              <w:rPr>
                <w:rFonts w:ascii="Montserrat" w:eastAsia="Times New Roman" w:hAnsi="Montserrat" w:cs="Calibri"/>
                <w:b/>
                <w:bCs/>
                <w:color w:val="000000"/>
                <w:sz w:val="15"/>
                <w:szCs w:val="15"/>
                <w:lang w:val="es-MX" w:eastAsia="es-MX"/>
              </w:rPr>
            </w:pPr>
            <w:r w:rsidRPr="00255081">
              <w:rPr>
                <w:rFonts w:ascii="Montserrat" w:eastAsia="Times New Roman" w:hAnsi="Montserrat" w:cs="Calibri"/>
                <w:b/>
                <w:bCs/>
                <w:color w:val="000000"/>
                <w:sz w:val="15"/>
                <w:szCs w:val="15"/>
                <w:lang w:val="es-MX" w:eastAsia="es-MX"/>
              </w:rPr>
              <w:t xml:space="preserve">Fideicomisos, Mandatos y Contratos Análogos </w:t>
            </w:r>
          </w:p>
        </w:tc>
        <w:tc>
          <w:tcPr>
            <w:tcW w:w="2098" w:type="dxa"/>
            <w:tcBorders>
              <w:top w:val="nil"/>
            </w:tcBorders>
            <w:shd w:val="clear" w:color="auto" w:fill="F2F2F2" w:themeFill="background1" w:themeFillShade="F2"/>
            <w:vAlign w:val="center"/>
          </w:tcPr>
          <w:p w14:paraId="78D50176" w14:textId="25B063CD" w:rsidR="001C197E" w:rsidRPr="000F0321" w:rsidRDefault="00F30620" w:rsidP="001C197E">
            <w:pPr>
              <w:spacing w:after="0" w:line="240" w:lineRule="auto"/>
              <w:jc w:val="right"/>
              <w:rPr>
                <w:rFonts w:ascii="Montserrat" w:hAnsi="Montserrat" w:cs="Calibri"/>
                <w:b/>
                <w:bCs/>
                <w:sz w:val="15"/>
                <w:szCs w:val="15"/>
              </w:rPr>
            </w:pPr>
            <w:r w:rsidRPr="00255081">
              <w:rPr>
                <w:rFonts w:ascii="Montserrat" w:hAnsi="Montserrat" w:cs="Calibri"/>
                <w:b/>
                <w:bCs/>
                <w:sz w:val="15"/>
                <w:szCs w:val="15"/>
              </w:rPr>
              <w:t>679,163,888,036</w:t>
            </w:r>
          </w:p>
        </w:tc>
        <w:tc>
          <w:tcPr>
            <w:tcW w:w="2098" w:type="dxa"/>
            <w:tcBorders>
              <w:top w:val="nil"/>
            </w:tcBorders>
            <w:shd w:val="clear" w:color="auto" w:fill="F2F2F2" w:themeFill="background1" w:themeFillShade="F2"/>
            <w:vAlign w:val="center"/>
            <w:hideMark/>
          </w:tcPr>
          <w:p w14:paraId="1EA5F96A" w14:textId="77777777" w:rsidR="001C197E" w:rsidRPr="00255081" w:rsidRDefault="001C197E" w:rsidP="001C197E">
            <w:pPr>
              <w:spacing w:after="0" w:line="240" w:lineRule="auto"/>
              <w:jc w:val="right"/>
              <w:rPr>
                <w:rFonts w:ascii="Montserrat" w:eastAsia="Times New Roman" w:hAnsi="Montserrat" w:cs="Calibri"/>
                <w:b/>
                <w:bCs/>
                <w:color w:val="7030A0"/>
                <w:sz w:val="15"/>
                <w:szCs w:val="15"/>
                <w:lang w:val="es-MX" w:eastAsia="es-MX"/>
              </w:rPr>
            </w:pPr>
            <w:r w:rsidRPr="00255081">
              <w:rPr>
                <w:rFonts w:ascii="Montserrat" w:hAnsi="Montserrat" w:cs="Calibri"/>
                <w:b/>
                <w:bCs/>
                <w:sz w:val="15"/>
                <w:szCs w:val="15"/>
              </w:rPr>
              <w:t>766,729,570,420</w:t>
            </w:r>
          </w:p>
        </w:tc>
      </w:tr>
      <w:tr w:rsidR="001C197E" w:rsidRPr="006F0DF1" w14:paraId="15F8F4B5" w14:textId="77777777" w:rsidTr="007B7F9A">
        <w:trPr>
          <w:trHeight w:val="215"/>
          <w:jc w:val="center"/>
        </w:trPr>
        <w:tc>
          <w:tcPr>
            <w:tcW w:w="4063" w:type="dxa"/>
            <w:tcBorders>
              <w:top w:val="nil"/>
            </w:tcBorders>
            <w:shd w:val="clear" w:color="auto" w:fill="F2F2F2" w:themeFill="background1" w:themeFillShade="F2"/>
            <w:vAlign w:val="center"/>
            <w:hideMark/>
          </w:tcPr>
          <w:p w14:paraId="161411FA" w14:textId="77777777" w:rsidR="001C197E" w:rsidRPr="00255081" w:rsidRDefault="001C197E" w:rsidP="001C197E">
            <w:pPr>
              <w:spacing w:after="0" w:line="240" w:lineRule="auto"/>
              <w:ind w:left="170"/>
              <w:jc w:val="both"/>
              <w:rPr>
                <w:rFonts w:ascii="Montserrat" w:eastAsia="Times New Roman" w:hAnsi="Montserrat" w:cs="Calibri"/>
                <w:color w:val="000000"/>
                <w:sz w:val="15"/>
                <w:szCs w:val="15"/>
                <w:lang w:val="es-MX" w:eastAsia="es-MX"/>
              </w:rPr>
            </w:pPr>
            <w:r w:rsidRPr="00255081">
              <w:rPr>
                <w:rFonts w:ascii="Montserrat" w:eastAsia="Times New Roman" w:hAnsi="Montserrat" w:cs="Calibri"/>
                <w:color w:val="000000"/>
                <w:sz w:val="15"/>
                <w:szCs w:val="15"/>
                <w:lang w:val="es-MX" w:eastAsia="es-MX"/>
              </w:rPr>
              <w:t>Participaciones y Aportaciones de Capital a LP en el Sector Público</w:t>
            </w:r>
          </w:p>
        </w:tc>
        <w:tc>
          <w:tcPr>
            <w:tcW w:w="2098" w:type="dxa"/>
            <w:tcBorders>
              <w:top w:val="nil"/>
            </w:tcBorders>
            <w:shd w:val="clear" w:color="000000" w:fill="F2F2F2"/>
            <w:vAlign w:val="center"/>
          </w:tcPr>
          <w:p w14:paraId="1B02593F" w14:textId="3427DAED" w:rsidR="001C197E" w:rsidRPr="00255081" w:rsidRDefault="001C197E" w:rsidP="001C197E">
            <w:pPr>
              <w:spacing w:after="0" w:line="240" w:lineRule="auto"/>
              <w:jc w:val="right"/>
              <w:rPr>
                <w:rFonts w:ascii="Montserrat" w:eastAsia="Times New Roman" w:hAnsi="Montserrat" w:cs="Calibri"/>
                <w:sz w:val="15"/>
                <w:szCs w:val="15"/>
                <w:lang w:val="es-MX" w:eastAsia="es-MX"/>
              </w:rPr>
            </w:pPr>
            <w:r w:rsidRPr="000F0321">
              <w:rPr>
                <w:rFonts w:ascii="Montserrat" w:hAnsi="Montserrat" w:cs="Arial"/>
                <w:color w:val="000000"/>
                <w:sz w:val="15"/>
                <w:szCs w:val="15"/>
              </w:rPr>
              <w:t>1,526,851,949,945</w:t>
            </w:r>
          </w:p>
        </w:tc>
        <w:tc>
          <w:tcPr>
            <w:tcW w:w="2098" w:type="dxa"/>
            <w:tcBorders>
              <w:top w:val="nil"/>
            </w:tcBorders>
            <w:shd w:val="clear" w:color="auto" w:fill="F2F2F2" w:themeFill="background1" w:themeFillShade="F2"/>
            <w:vAlign w:val="center"/>
            <w:hideMark/>
          </w:tcPr>
          <w:p w14:paraId="44268CEB" w14:textId="77777777" w:rsidR="001C197E" w:rsidRPr="00255081" w:rsidRDefault="001C197E" w:rsidP="001C197E">
            <w:pPr>
              <w:spacing w:after="0" w:line="240" w:lineRule="auto"/>
              <w:jc w:val="right"/>
              <w:rPr>
                <w:rFonts w:ascii="Montserrat" w:eastAsia="Times New Roman" w:hAnsi="Montserrat" w:cs="Calibri"/>
                <w:sz w:val="15"/>
                <w:szCs w:val="15"/>
                <w:lang w:val="es-MX" w:eastAsia="es-MX"/>
              </w:rPr>
            </w:pPr>
            <w:r w:rsidRPr="00255081">
              <w:rPr>
                <w:rFonts w:ascii="Montserrat" w:eastAsia="Times New Roman" w:hAnsi="Montserrat" w:cs="Calibri"/>
                <w:sz w:val="15"/>
                <w:szCs w:val="15"/>
                <w:lang w:val="es-MX" w:eastAsia="es-MX"/>
              </w:rPr>
              <w:t>1,404,753,124,072</w:t>
            </w:r>
          </w:p>
        </w:tc>
      </w:tr>
      <w:tr w:rsidR="001C197E" w:rsidRPr="006F0DF1" w14:paraId="2092D2B0" w14:textId="77777777" w:rsidTr="007B7F9A">
        <w:trPr>
          <w:trHeight w:val="215"/>
          <w:jc w:val="center"/>
        </w:trPr>
        <w:tc>
          <w:tcPr>
            <w:tcW w:w="4063" w:type="dxa"/>
            <w:tcBorders>
              <w:top w:val="nil"/>
            </w:tcBorders>
            <w:shd w:val="clear" w:color="auto" w:fill="F2F2F2" w:themeFill="background1" w:themeFillShade="F2"/>
            <w:vAlign w:val="center"/>
            <w:hideMark/>
          </w:tcPr>
          <w:p w14:paraId="0AD0755C" w14:textId="77777777" w:rsidR="001C197E" w:rsidRPr="00255081" w:rsidRDefault="001C197E" w:rsidP="001C197E">
            <w:pPr>
              <w:spacing w:after="0" w:line="240" w:lineRule="auto"/>
              <w:ind w:left="170"/>
              <w:jc w:val="both"/>
              <w:rPr>
                <w:rFonts w:ascii="Montserrat" w:eastAsia="Times New Roman" w:hAnsi="Montserrat" w:cs="Calibri"/>
                <w:color w:val="000000"/>
                <w:sz w:val="15"/>
                <w:szCs w:val="15"/>
                <w:lang w:val="es-MX" w:eastAsia="es-MX"/>
              </w:rPr>
            </w:pPr>
            <w:r w:rsidRPr="00255081">
              <w:rPr>
                <w:rFonts w:ascii="Montserrat" w:eastAsia="Times New Roman" w:hAnsi="Montserrat" w:cs="Calibri"/>
                <w:color w:val="000000"/>
                <w:sz w:val="15"/>
                <w:szCs w:val="15"/>
                <w:lang w:val="es-MX" w:eastAsia="es-MX"/>
              </w:rPr>
              <w:t>Participaciones y Aportaciones de Capital a LP en el Sector Externo</w:t>
            </w:r>
          </w:p>
        </w:tc>
        <w:tc>
          <w:tcPr>
            <w:tcW w:w="2098" w:type="dxa"/>
            <w:tcBorders>
              <w:top w:val="nil"/>
            </w:tcBorders>
            <w:shd w:val="clear" w:color="000000" w:fill="F2F2F2"/>
            <w:vAlign w:val="center"/>
          </w:tcPr>
          <w:p w14:paraId="7A330756" w14:textId="46B28D53" w:rsidR="001C197E" w:rsidRPr="00255081" w:rsidRDefault="001C197E" w:rsidP="001C197E">
            <w:pPr>
              <w:spacing w:after="0" w:line="240" w:lineRule="auto"/>
              <w:jc w:val="right"/>
              <w:rPr>
                <w:rFonts w:ascii="Montserrat" w:eastAsia="Times New Roman" w:hAnsi="Montserrat" w:cs="Calibri"/>
                <w:sz w:val="15"/>
                <w:szCs w:val="15"/>
                <w:lang w:val="es-MX" w:eastAsia="es-MX"/>
              </w:rPr>
            </w:pPr>
            <w:r w:rsidRPr="000F0321">
              <w:rPr>
                <w:rFonts w:ascii="Montserrat" w:hAnsi="Montserrat" w:cs="Arial"/>
                <w:color w:val="000000"/>
                <w:sz w:val="15"/>
                <w:szCs w:val="15"/>
              </w:rPr>
              <w:t>14,174,488,962</w:t>
            </w:r>
          </w:p>
        </w:tc>
        <w:tc>
          <w:tcPr>
            <w:tcW w:w="2098" w:type="dxa"/>
            <w:tcBorders>
              <w:top w:val="nil"/>
            </w:tcBorders>
            <w:shd w:val="clear" w:color="auto" w:fill="F2F2F2" w:themeFill="background1" w:themeFillShade="F2"/>
            <w:vAlign w:val="center"/>
            <w:hideMark/>
          </w:tcPr>
          <w:p w14:paraId="12AD61EF" w14:textId="77777777" w:rsidR="001C197E" w:rsidRPr="00255081" w:rsidRDefault="001C197E" w:rsidP="001C197E">
            <w:pPr>
              <w:spacing w:after="0" w:line="240" w:lineRule="auto"/>
              <w:jc w:val="right"/>
              <w:rPr>
                <w:rFonts w:ascii="Montserrat" w:eastAsia="Times New Roman" w:hAnsi="Montserrat" w:cs="Calibri"/>
                <w:sz w:val="15"/>
                <w:szCs w:val="15"/>
                <w:lang w:val="es-MX" w:eastAsia="es-MX"/>
              </w:rPr>
            </w:pPr>
            <w:r w:rsidRPr="00255081">
              <w:rPr>
                <w:rFonts w:ascii="Montserrat" w:eastAsia="Times New Roman" w:hAnsi="Montserrat" w:cs="Calibri"/>
                <w:sz w:val="15"/>
                <w:szCs w:val="15"/>
                <w:lang w:val="es-MX" w:eastAsia="es-MX"/>
              </w:rPr>
              <w:t>14,174,488,962</w:t>
            </w:r>
          </w:p>
        </w:tc>
      </w:tr>
      <w:tr w:rsidR="001C197E" w:rsidRPr="006F0DF1" w14:paraId="4DCD472B" w14:textId="77777777" w:rsidTr="007B7F9A">
        <w:trPr>
          <w:trHeight w:val="340"/>
          <w:jc w:val="center"/>
        </w:trPr>
        <w:tc>
          <w:tcPr>
            <w:tcW w:w="4063" w:type="dxa"/>
            <w:shd w:val="clear" w:color="auto" w:fill="F2F2F2" w:themeFill="background1" w:themeFillShade="F2"/>
            <w:vAlign w:val="center"/>
            <w:hideMark/>
          </w:tcPr>
          <w:p w14:paraId="3BA95AA4" w14:textId="77777777" w:rsidR="001C197E" w:rsidRPr="00255081" w:rsidRDefault="001C197E" w:rsidP="001C197E">
            <w:pPr>
              <w:spacing w:after="0" w:line="240" w:lineRule="auto"/>
              <w:jc w:val="both"/>
              <w:rPr>
                <w:rFonts w:ascii="Montserrat" w:eastAsia="Times New Roman" w:hAnsi="Montserrat" w:cs="Calibri"/>
                <w:b/>
                <w:bCs/>
                <w:color w:val="000000"/>
                <w:sz w:val="15"/>
                <w:szCs w:val="15"/>
                <w:lang w:val="es-MX" w:eastAsia="es-MX"/>
              </w:rPr>
            </w:pPr>
            <w:r w:rsidRPr="00255081">
              <w:rPr>
                <w:rFonts w:ascii="Montserrat" w:eastAsia="Times New Roman" w:hAnsi="Montserrat" w:cs="Calibri"/>
                <w:b/>
                <w:bCs/>
                <w:color w:val="000000"/>
                <w:sz w:val="15"/>
                <w:szCs w:val="15"/>
                <w:lang w:val="es-MX" w:eastAsia="es-MX"/>
              </w:rPr>
              <w:t>Participaciones y Aportaciones de Capital</w:t>
            </w:r>
          </w:p>
        </w:tc>
        <w:tc>
          <w:tcPr>
            <w:tcW w:w="2098" w:type="dxa"/>
            <w:shd w:val="clear" w:color="000000" w:fill="F2F2F2"/>
            <w:vAlign w:val="center"/>
          </w:tcPr>
          <w:p w14:paraId="6B0721F6" w14:textId="1348DDE9" w:rsidR="001C197E" w:rsidRPr="000F0321" w:rsidRDefault="001C197E" w:rsidP="001C197E">
            <w:pPr>
              <w:spacing w:after="0" w:line="240" w:lineRule="auto"/>
              <w:jc w:val="right"/>
              <w:rPr>
                <w:rFonts w:ascii="Montserrat" w:hAnsi="Montserrat" w:cs="Calibri"/>
                <w:b/>
                <w:bCs/>
                <w:sz w:val="15"/>
                <w:szCs w:val="15"/>
              </w:rPr>
            </w:pPr>
            <w:r w:rsidRPr="000F0321">
              <w:rPr>
                <w:rFonts w:ascii="Montserrat" w:hAnsi="Montserrat" w:cs="Calibri"/>
                <w:b/>
                <w:bCs/>
                <w:sz w:val="15"/>
                <w:szCs w:val="15"/>
              </w:rPr>
              <w:t>1,541,026,438,907</w:t>
            </w:r>
          </w:p>
        </w:tc>
        <w:tc>
          <w:tcPr>
            <w:tcW w:w="2098" w:type="dxa"/>
            <w:shd w:val="clear" w:color="auto" w:fill="F2F2F2" w:themeFill="background1" w:themeFillShade="F2"/>
            <w:vAlign w:val="center"/>
            <w:hideMark/>
          </w:tcPr>
          <w:p w14:paraId="0BAED926" w14:textId="77777777" w:rsidR="001C197E" w:rsidRPr="000F0321" w:rsidRDefault="001C197E" w:rsidP="001C197E">
            <w:pPr>
              <w:spacing w:after="0" w:line="240" w:lineRule="auto"/>
              <w:jc w:val="right"/>
              <w:rPr>
                <w:rFonts w:ascii="Montserrat" w:hAnsi="Montserrat" w:cs="Calibri"/>
                <w:b/>
                <w:bCs/>
                <w:sz w:val="15"/>
                <w:szCs w:val="15"/>
              </w:rPr>
            </w:pPr>
            <w:r w:rsidRPr="00255081">
              <w:rPr>
                <w:rFonts w:ascii="Montserrat" w:hAnsi="Montserrat" w:cs="Calibri"/>
                <w:b/>
                <w:bCs/>
                <w:sz w:val="15"/>
                <w:szCs w:val="15"/>
              </w:rPr>
              <w:t>1,418,927,613,034</w:t>
            </w:r>
          </w:p>
        </w:tc>
      </w:tr>
      <w:tr w:rsidR="00932F70" w:rsidRPr="006F0DF1" w14:paraId="1F8935D1" w14:textId="77777777" w:rsidTr="007B7F9A">
        <w:trPr>
          <w:trHeight w:val="340"/>
          <w:jc w:val="center"/>
        </w:trPr>
        <w:tc>
          <w:tcPr>
            <w:tcW w:w="4063" w:type="dxa"/>
            <w:shd w:val="clear" w:color="auto" w:fill="F2F2F2" w:themeFill="background1" w:themeFillShade="F2"/>
            <w:vAlign w:val="center"/>
          </w:tcPr>
          <w:p w14:paraId="3E6CD0AD" w14:textId="38EE3502" w:rsidR="00932F70" w:rsidRPr="00255081" w:rsidRDefault="00932F70" w:rsidP="000F0321">
            <w:pPr>
              <w:spacing w:after="0" w:line="240" w:lineRule="auto"/>
              <w:ind w:left="214"/>
              <w:jc w:val="both"/>
              <w:rPr>
                <w:rFonts w:ascii="Montserrat" w:eastAsia="Times New Roman" w:hAnsi="Montserrat" w:cs="Calibri"/>
                <w:b/>
                <w:bCs/>
                <w:color w:val="000000"/>
                <w:sz w:val="15"/>
                <w:szCs w:val="15"/>
                <w:lang w:val="es-MX" w:eastAsia="es-MX"/>
              </w:rPr>
            </w:pPr>
            <w:r w:rsidRPr="00255081">
              <w:rPr>
                <w:rFonts w:ascii="Montserrat" w:eastAsia="Times New Roman" w:hAnsi="Montserrat" w:cs="Calibri"/>
                <w:color w:val="000000"/>
                <w:sz w:val="15"/>
                <w:szCs w:val="15"/>
                <w:lang w:val="es-MX" w:eastAsia="es-MX"/>
              </w:rPr>
              <w:t>Otros Valores a Largo Plazo</w:t>
            </w:r>
          </w:p>
        </w:tc>
        <w:tc>
          <w:tcPr>
            <w:tcW w:w="2098" w:type="dxa"/>
            <w:shd w:val="clear" w:color="000000" w:fill="F2F2F2"/>
            <w:vAlign w:val="center"/>
          </w:tcPr>
          <w:p w14:paraId="6F8E654C" w14:textId="17B2BAE4" w:rsidR="00932F70" w:rsidRPr="000F0321" w:rsidRDefault="00932F70" w:rsidP="00932F70">
            <w:pPr>
              <w:spacing w:after="0" w:line="240" w:lineRule="auto"/>
              <w:jc w:val="right"/>
              <w:rPr>
                <w:rFonts w:ascii="Montserrat" w:hAnsi="Montserrat" w:cs="Arial"/>
                <w:b/>
                <w:bCs/>
                <w:color w:val="000000"/>
                <w:sz w:val="15"/>
                <w:szCs w:val="15"/>
              </w:rPr>
            </w:pPr>
            <w:r w:rsidRPr="000F0321">
              <w:rPr>
                <w:rFonts w:ascii="Montserrat" w:hAnsi="Montserrat" w:cs="Arial"/>
                <w:color w:val="000000"/>
                <w:sz w:val="15"/>
                <w:szCs w:val="15"/>
              </w:rPr>
              <w:t>122,131,000,000</w:t>
            </w:r>
          </w:p>
        </w:tc>
        <w:tc>
          <w:tcPr>
            <w:tcW w:w="2098" w:type="dxa"/>
            <w:shd w:val="clear" w:color="auto" w:fill="F2F2F2" w:themeFill="background1" w:themeFillShade="F2"/>
            <w:vAlign w:val="center"/>
          </w:tcPr>
          <w:p w14:paraId="44D0F664" w14:textId="7C09AA9D" w:rsidR="00932F70" w:rsidRPr="00255081" w:rsidRDefault="00932F70" w:rsidP="00932F70">
            <w:pPr>
              <w:spacing w:after="0" w:line="240" w:lineRule="auto"/>
              <w:jc w:val="right"/>
              <w:rPr>
                <w:rFonts w:ascii="Montserrat" w:hAnsi="Montserrat" w:cs="Calibri"/>
                <w:b/>
                <w:bCs/>
                <w:sz w:val="15"/>
                <w:szCs w:val="15"/>
              </w:rPr>
            </w:pPr>
            <w:r w:rsidRPr="00255081">
              <w:rPr>
                <w:rFonts w:ascii="Montserrat" w:eastAsia="Times New Roman" w:hAnsi="Montserrat" w:cs="Calibri"/>
                <w:sz w:val="15"/>
                <w:szCs w:val="15"/>
                <w:lang w:val="es-MX" w:eastAsia="es-MX"/>
              </w:rPr>
              <w:t>0</w:t>
            </w:r>
          </w:p>
        </w:tc>
      </w:tr>
      <w:tr w:rsidR="001C197E" w:rsidRPr="006F0DF1" w14:paraId="58648EF2" w14:textId="77777777" w:rsidTr="007B7F9A">
        <w:trPr>
          <w:trHeight w:val="340"/>
          <w:jc w:val="center"/>
        </w:trPr>
        <w:tc>
          <w:tcPr>
            <w:tcW w:w="4063" w:type="dxa"/>
            <w:tcBorders>
              <w:bottom w:val="single" w:sz="12" w:space="0" w:color="808080" w:themeColor="background1" w:themeShade="80"/>
            </w:tcBorders>
            <w:shd w:val="clear" w:color="auto" w:fill="F2F2F2" w:themeFill="background1" w:themeFillShade="F2"/>
            <w:vAlign w:val="center"/>
            <w:hideMark/>
          </w:tcPr>
          <w:p w14:paraId="57301795" w14:textId="77777777" w:rsidR="001C197E" w:rsidRPr="00255081" w:rsidRDefault="001C197E" w:rsidP="001C197E">
            <w:pPr>
              <w:spacing w:after="0" w:line="240" w:lineRule="auto"/>
              <w:ind w:left="170"/>
              <w:jc w:val="right"/>
              <w:rPr>
                <w:rFonts w:ascii="Montserrat" w:eastAsia="Times New Roman" w:hAnsi="Montserrat" w:cs="Calibri"/>
                <w:b/>
                <w:bCs/>
                <w:color w:val="000000"/>
                <w:sz w:val="15"/>
                <w:szCs w:val="15"/>
                <w:lang w:val="es-MX" w:eastAsia="es-MX"/>
              </w:rPr>
            </w:pPr>
            <w:r w:rsidRPr="00255081">
              <w:rPr>
                <w:rFonts w:ascii="Montserrat" w:eastAsia="Times New Roman" w:hAnsi="Montserrat" w:cs="Calibri"/>
                <w:b/>
                <w:bCs/>
                <w:color w:val="000000"/>
                <w:sz w:val="15"/>
                <w:szCs w:val="15"/>
                <w:lang w:val="es-MX" w:eastAsia="es-MX"/>
              </w:rPr>
              <w:t>Total Inversiones Financieras a Largo Plazo</w:t>
            </w:r>
          </w:p>
        </w:tc>
        <w:tc>
          <w:tcPr>
            <w:tcW w:w="2098" w:type="dxa"/>
            <w:tcBorders>
              <w:bottom w:val="single" w:sz="12" w:space="0" w:color="808080" w:themeColor="background1" w:themeShade="80"/>
            </w:tcBorders>
            <w:shd w:val="clear" w:color="000000" w:fill="F2F2F2"/>
            <w:vAlign w:val="center"/>
          </w:tcPr>
          <w:p w14:paraId="6B059C99" w14:textId="5CC1E5F7" w:rsidR="001C197E" w:rsidRPr="000F0321" w:rsidRDefault="00F30620" w:rsidP="001C197E">
            <w:pPr>
              <w:spacing w:after="0" w:line="240" w:lineRule="auto"/>
              <w:jc w:val="right"/>
              <w:rPr>
                <w:rFonts w:ascii="Montserrat" w:eastAsia="Times New Roman" w:hAnsi="Montserrat" w:cs="Calibri"/>
                <w:b/>
                <w:bCs/>
                <w:sz w:val="15"/>
                <w:szCs w:val="15"/>
                <w:highlight w:val="magenta"/>
                <w:lang w:val="es-MX" w:eastAsia="es-MX"/>
              </w:rPr>
            </w:pPr>
            <w:r w:rsidRPr="00255081">
              <w:rPr>
                <w:rFonts w:ascii="Montserrat" w:eastAsia="Times New Roman" w:hAnsi="Montserrat" w:cs="Calibri"/>
                <w:b/>
                <w:bCs/>
                <w:sz w:val="15"/>
                <w:szCs w:val="15"/>
                <w:lang w:val="es-MX" w:eastAsia="es-MX"/>
              </w:rPr>
              <w:t>2,342,321,326,943</w:t>
            </w:r>
          </w:p>
        </w:tc>
        <w:tc>
          <w:tcPr>
            <w:tcW w:w="2098" w:type="dxa"/>
            <w:tcBorders>
              <w:bottom w:val="single" w:sz="12" w:space="0" w:color="808080" w:themeColor="background1" w:themeShade="80"/>
            </w:tcBorders>
            <w:shd w:val="clear" w:color="auto" w:fill="F2F2F2" w:themeFill="background1" w:themeFillShade="F2"/>
            <w:vAlign w:val="center"/>
            <w:hideMark/>
          </w:tcPr>
          <w:p w14:paraId="515581E2" w14:textId="77777777" w:rsidR="001C197E" w:rsidRPr="00255081" w:rsidRDefault="001C197E" w:rsidP="001C197E">
            <w:pPr>
              <w:spacing w:after="0" w:line="240" w:lineRule="auto"/>
              <w:jc w:val="right"/>
              <w:rPr>
                <w:rFonts w:ascii="Montserrat" w:eastAsia="Times New Roman" w:hAnsi="Montserrat" w:cs="Calibri"/>
                <w:b/>
                <w:bCs/>
                <w:sz w:val="15"/>
                <w:szCs w:val="15"/>
                <w:lang w:val="es-MX" w:eastAsia="es-MX"/>
              </w:rPr>
            </w:pPr>
            <w:r w:rsidRPr="00255081">
              <w:rPr>
                <w:rFonts w:ascii="Montserrat" w:eastAsia="Times New Roman" w:hAnsi="Montserrat" w:cs="Calibri"/>
                <w:b/>
                <w:bCs/>
                <w:sz w:val="15"/>
                <w:szCs w:val="15"/>
                <w:lang w:val="es-MX" w:eastAsia="es-MX"/>
              </w:rPr>
              <w:t>2,185,657,183,454</w:t>
            </w:r>
          </w:p>
        </w:tc>
      </w:tr>
    </w:tbl>
    <w:p w14:paraId="24CCBD92" w14:textId="77777777" w:rsidR="0061765C" w:rsidRPr="0061765C" w:rsidRDefault="0061765C" w:rsidP="0061765C">
      <w:pPr>
        <w:pStyle w:val="Prrafodelista"/>
        <w:ind w:left="0"/>
        <w:contextualSpacing w:val="0"/>
        <w:jc w:val="both"/>
        <w:rPr>
          <w:rFonts w:ascii="Montserrat" w:hAnsi="Montserrat"/>
          <w:sz w:val="18"/>
          <w:szCs w:val="18"/>
        </w:rPr>
      </w:pPr>
    </w:p>
    <w:p w14:paraId="4427C7EE" w14:textId="77777777" w:rsidR="002702EC" w:rsidRDefault="002702EC" w:rsidP="002702EC">
      <w:pPr>
        <w:pStyle w:val="VIETAFLECHA"/>
        <w:numPr>
          <w:ilvl w:val="0"/>
          <w:numId w:val="0"/>
        </w:numPr>
        <w:ind w:left="357"/>
        <w:rPr>
          <w:rFonts w:cs="Arial"/>
          <w:spacing w:val="-1"/>
        </w:rPr>
      </w:pPr>
    </w:p>
    <w:p w14:paraId="5D9153D8" w14:textId="77777777" w:rsidR="009C3C24" w:rsidRPr="004E44CE" w:rsidRDefault="009C3C24" w:rsidP="0061765C">
      <w:pPr>
        <w:pStyle w:val="VIETAFLECHA"/>
        <w:numPr>
          <w:ilvl w:val="0"/>
          <w:numId w:val="13"/>
        </w:numPr>
        <w:ind w:left="357" w:hanging="357"/>
        <w:rPr>
          <w:rFonts w:cs="Arial"/>
          <w:spacing w:val="-1"/>
        </w:rPr>
      </w:pPr>
      <w:r w:rsidRPr="004E44CE">
        <w:rPr>
          <w:rFonts w:cs="Arial"/>
          <w:spacing w:val="-1"/>
        </w:rPr>
        <w:t>Fideicomisos, Mandatos y Contratos Análogos del Poder Ejecutivo Federal</w:t>
      </w:r>
    </w:p>
    <w:p w14:paraId="3465C799" w14:textId="0A87FBF3" w:rsidR="00EC2223" w:rsidRPr="000F0321" w:rsidRDefault="00EC2223" w:rsidP="000F0321">
      <w:pPr>
        <w:spacing w:after="120" w:line="250" w:lineRule="exact"/>
        <w:jc w:val="both"/>
        <w:rPr>
          <w:rFonts w:ascii="Montserrat" w:hAnsi="Montserrat"/>
          <w:sz w:val="18"/>
          <w:szCs w:val="18"/>
        </w:rPr>
      </w:pPr>
      <w:r w:rsidRPr="000F0321">
        <w:rPr>
          <w:rFonts w:ascii="Montserrat" w:hAnsi="Montserrat"/>
          <w:sz w:val="18"/>
          <w:szCs w:val="18"/>
        </w:rPr>
        <w:t xml:space="preserve">De acuerdo con el artículo 32 de la </w:t>
      </w:r>
      <w:r w:rsidR="00F067C3">
        <w:rPr>
          <w:rFonts w:ascii="Montserrat" w:hAnsi="Montserrat"/>
          <w:sz w:val="18"/>
          <w:szCs w:val="18"/>
        </w:rPr>
        <w:t>LGCG</w:t>
      </w:r>
      <w:r w:rsidRPr="000F0321">
        <w:rPr>
          <w:rFonts w:ascii="Montserrat" w:hAnsi="Montserrat"/>
          <w:sz w:val="18"/>
          <w:szCs w:val="18"/>
        </w:rPr>
        <w:t>, cada ente público debe registrar en una cuenta de activo, los derechos patrimoniales que tengan en fideicomisos sin estructura orgánica, mandatos y contratos análogos; para ello, en el Poder Ejecutivo se creó la subcuenta específica 1.2.1.3.1, denominada Fideicomisos, Mandatos y Contratos Análogos del Poder Ejecutivo.</w:t>
      </w:r>
    </w:p>
    <w:p w14:paraId="3FA7017D" w14:textId="26CAC7FE" w:rsidR="00EC2223" w:rsidRPr="000F0321" w:rsidRDefault="00EC2223" w:rsidP="000F0321">
      <w:pPr>
        <w:spacing w:after="120" w:line="250" w:lineRule="exact"/>
        <w:jc w:val="both"/>
        <w:rPr>
          <w:rFonts w:ascii="Montserrat" w:hAnsi="Montserrat"/>
          <w:sz w:val="18"/>
          <w:szCs w:val="18"/>
        </w:rPr>
      </w:pPr>
      <w:r w:rsidRPr="000F0321">
        <w:rPr>
          <w:rFonts w:ascii="Montserrat" w:hAnsi="Montserrat"/>
          <w:sz w:val="18"/>
          <w:szCs w:val="18"/>
        </w:rPr>
        <w:lastRenderedPageBreak/>
        <w:t xml:space="preserve">Para la </w:t>
      </w:r>
      <w:r w:rsidR="00F067C3" w:rsidRPr="000F0321">
        <w:rPr>
          <w:rFonts w:ascii="Montserrat" w:hAnsi="Montserrat"/>
          <w:sz w:val="18"/>
          <w:szCs w:val="18"/>
        </w:rPr>
        <w:t xml:space="preserve">Cuenta Pública </w:t>
      </w:r>
      <w:r w:rsidRPr="000F0321">
        <w:rPr>
          <w:rFonts w:ascii="Montserrat" w:hAnsi="Montserrat"/>
          <w:sz w:val="18"/>
          <w:szCs w:val="18"/>
        </w:rPr>
        <w:t xml:space="preserve">de 2019, se presenta un saldo en la subcuenta de Fideicomisos, Mandatos y Contratos Análogos del </w:t>
      </w:r>
      <w:r w:rsidR="00ED0581">
        <w:rPr>
          <w:rFonts w:ascii="Montserrat" w:hAnsi="Montserrat"/>
          <w:sz w:val="18"/>
          <w:szCs w:val="18"/>
        </w:rPr>
        <w:t xml:space="preserve">Poder Ejecutivo </w:t>
      </w:r>
      <w:r w:rsidR="00F067C3">
        <w:rPr>
          <w:rFonts w:ascii="Montserrat" w:hAnsi="Montserrat"/>
          <w:sz w:val="18"/>
          <w:szCs w:val="18"/>
        </w:rPr>
        <w:t>de</w:t>
      </w:r>
      <w:r w:rsidRPr="000F0321">
        <w:rPr>
          <w:rFonts w:ascii="Montserrat" w:hAnsi="Montserrat"/>
          <w:sz w:val="18"/>
          <w:szCs w:val="18"/>
        </w:rPr>
        <w:t xml:space="preserve"> 536,212</w:t>
      </w:r>
      <w:r w:rsidR="00ED0581">
        <w:rPr>
          <w:rFonts w:ascii="Montserrat" w:hAnsi="Montserrat"/>
          <w:sz w:val="18"/>
          <w:szCs w:val="18"/>
        </w:rPr>
        <w:t xml:space="preserve">,347,715 pesos, de los cuales </w:t>
      </w:r>
      <w:r w:rsidRPr="000F0321">
        <w:rPr>
          <w:rFonts w:ascii="Montserrat" w:hAnsi="Montserrat"/>
          <w:sz w:val="18"/>
          <w:szCs w:val="18"/>
        </w:rPr>
        <w:t>41,600,000 pesos corresponden a aportaciones pagadas como ADEFA en 2020 que se registraron e</w:t>
      </w:r>
      <w:r w:rsidR="007F6248">
        <w:rPr>
          <w:rFonts w:ascii="Montserrat" w:hAnsi="Montserrat"/>
          <w:sz w:val="18"/>
          <w:szCs w:val="18"/>
        </w:rPr>
        <w:t>n</w:t>
      </w:r>
      <w:r w:rsidRPr="000F0321">
        <w:rPr>
          <w:rFonts w:ascii="Montserrat" w:hAnsi="Montserrat"/>
          <w:sz w:val="18"/>
          <w:szCs w:val="18"/>
        </w:rPr>
        <w:t xml:space="preserve"> </w:t>
      </w:r>
      <w:r w:rsidR="00ED0581">
        <w:rPr>
          <w:rFonts w:ascii="Montserrat" w:hAnsi="Montserrat"/>
          <w:sz w:val="18"/>
          <w:szCs w:val="18"/>
        </w:rPr>
        <w:t xml:space="preserve">diciembre </w:t>
      </w:r>
      <w:r w:rsidR="007F6248">
        <w:rPr>
          <w:rFonts w:ascii="Montserrat" w:hAnsi="Montserrat"/>
          <w:sz w:val="18"/>
          <w:szCs w:val="18"/>
        </w:rPr>
        <w:t xml:space="preserve">de </w:t>
      </w:r>
      <w:r w:rsidR="00ED0581">
        <w:rPr>
          <w:rFonts w:ascii="Montserrat" w:hAnsi="Montserrat"/>
          <w:sz w:val="18"/>
          <w:szCs w:val="18"/>
        </w:rPr>
        <w:t xml:space="preserve">2019. </w:t>
      </w:r>
      <w:r w:rsidR="007F6248">
        <w:rPr>
          <w:rFonts w:ascii="Montserrat" w:hAnsi="Montserrat"/>
          <w:sz w:val="18"/>
          <w:szCs w:val="18"/>
        </w:rPr>
        <w:t>Dicho</w:t>
      </w:r>
      <w:r w:rsidR="00ED0581">
        <w:rPr>
          <w:rFonts w:ascii="Montserrat" w:hAnsi="Montserrat"/>
          <w:sz w:val="18"/>
          <w:szCs w:val="18"/>
        </w:rPr>
        <w:t xml:space="preserve"> importe de </w:t>
      </w:r>
      <w:r w:rsidRPr="000F0321">
        <w:rPr>
          <w:rFonts w:ascii="Montserrat" w:hAnsi="Montserrat"/>
          <w:sz w:val="18"/>
          <w:szCs w:val="18"/>
        </w:rPr>
        <w:t xml:space="preserve">536,212,347,715 pesos, se integra </w:t>
      </w:r>
      <w:r w:rsidR="007F6248">
        <w:rPr>
          <w:rFonts w:ascii="Montserrat" w:hAnsi="Montserrat"/>
          <w:sz w:val="18"/>
          <w:szCs w:val="18"/>
        </w:rPr>
        <w:t>por</w:t>
      </w:r>
      <w:r w:rsidRPr="000F0321">
        <w:rPr>
          <w:rFonts w:ascii="Montserrat" w:hAnsi="Montserrat"/>
          <w:sz w:val="18"/>
          <w:szCs w:val="18"/>
        </w:rPr>
        <w:t xml:space="preserve"> 93 fideicomisos que son administrados por dependencias del Poder Ejecutivo Federal. En el ejercicio de 2019 se crearon 5 fideicomisos: Mandato para la realización de Actos Previos a la Enajenación de las Aeronaves al Servicio de la Oficina de la Presidencia de la República, Contrato de Mandato 2263, Contrato de Mandato 2264, Fideicomiso Fondo de Mejoramiento Urbano y el Mandato para la Realización de Actos Previos a la Enajenación de las Aeronaves al Servicio de la Policía Federal.</w:t>
      </w:r>
    </w:p>
    <w:p w14:paraId="04F0E823" w14:textId="3D92E527" w:rsidR="00EC2223" w:rsidRPr="000F0321" w:rsidRDefault="00EC2223" w:rsidP="000F0321">
      <w:pPr>
        <w:spacing w:after="120" w:line="250" w:lineRule="exact"/>
        <w:jc w:val="both"/>
        <w:rPr>
          <w:rFonts w:ascii="Montserrat" w:hAnsi="Montserrat"/>
          <w:sz w:val="18"/>
          <w:szCs w:val="18"/>
        </w:rPr>
      </w:pPr>
      <w:r w:rsidRPr="000F0321">
        <w:rPr>
          <w:rFonts w:ascii="Montserrat" w:hAnsi="Montserrat"/>
          <w:sz w:val="18"/>
          <w:szCs w:val="18"/>
        </w:rPr>
        <w:t>En el ejercicio que se reporta, se extinguieron o se encuentran en proceso de extinción 10 fideicomisos y el saldo contable que acredita el derecho patrimonial en el Poder Ejecutivo es “0”: Convenio Específico para la Operación y De</w:t>
      </w:r>
      <w:r w:rsidR="007F6248">
        <w:rPr>
          <w:rFonts w:ascii="Montserrat" w:hAnsi="Montserrat"/>
          <w:sz w:val="18"/>
          <w:szCs w:val="18"/>
        </w:rPr>
        <w:t>sarrollo del Programa SEPA-INGLÉ</w:t>
      </w:r>
      <w:r w:rsidRPr="000F0321">
        <w:rPr>
          <w:rFonts w:ascii="Montserrat" w:hAnsi="Montserrat"/>
          <w:sz w:val="18"/>
          <w:szCs w:val="18"/>
        </w:rPr>
        <w:t>S, Convenio de Cooperación para la Operación del Programa de Educación a Distancia II, Convenio de Cooperación para la Operación del Programa de Educación a Distancia, Programa Nacional de Superación de Personal Académico (SUPERA), Fondo de Apoyo al Programa Intersectorial de Educación Saludable, Fideicomiso para el Desarrollo de la Región Centro País (FIDCENTRO), Fideicomiso para el Desarrollo de la Región Centro-Occidente (FIDERCO), Fondo de Ahorro para los Trabajadores del CORETT, Fideicomiso Traslativo de Dominio Puerto los Cabos y Fideicomiso para la Adaptación de los Museos Diego Rivera y Frida Kalo.</w:t>
      </w:r>
    </w:p>
    <w:p w14:paraId="0A1698BB" w14:textId="77777777" w:rsidR="007F6248" w:rsidRDefault="00EC2223" w:rsidP="000F0321">
      <w:pPr>
        <w:spacing w:after="120" w:line="250" w:lineRule="exact"/>
        <w:jc w:val="both"/>
        <w:rPr>
          <w:rFonts w:ascii="Montserrat" w:hAnsi="Montserrat"/>
          <w:sz w:val="18"/>
          <w:szCs w:val="18"/>
        </w:rPr>
      </w:pPr>
      <w:r w:rsidRPr="000F0321">
        <w:rPr>
          <w:rFonts w:ascii="Montserrat" w:hAnsi="Montserrat"/>
          <w:sz w:val="18"/>
          <w:szCs w:val="18"/>
        </w:rPr>
        <w:t>Adicionalmente se resec</w:t>
      </w:r>
      <w:r w:rsidR="007F6248">
        <w:rPr>
          <w:rFonts w:ascii="Montserrat" w:hAnsi="Montserrat"/>
          <w:sz w:val="18"/>
          <w:szCs w:val="18"/>
        </w:rPr>
        <w:t>torizaron del Ramo 6 al Ramo 5</w:t>
      </w:r>
      <w:r w:rsidRPr="000F0321">
        <w:rPr>
          <w:rFonts w:ascii="Montserrat" w:hAnsi="Montserrat"/>
          <w:sz w:val="18"/>
          <w:szCs w:val="18"/>
        </w:rPr>
        <w:t xml:space="preserve"> </w:t>
      </w:r>
      <w:r w:rsidR="00EE5081">
        <w:rPr>
          <w:rFonts w:ascii="Montserrat" w:hAnsi="Montserrat"/>
          <w:sz w:val="18"/>
          <w:szCs w:val="18"/>
        </w:rPr>
        <w:t xml:space="preserve">el </w:t>
      </w:r>
      <w:r w:rsidRPr="000F0321">
        <w:rPr>
          <w:rFonts w:ascii="Montserrat" w:hAnsi="Montserrat"/>
          <w:sz w:val="18"/>
          <w:szCs w:val="18"/>
        </w:rPr>
        <w:t xml:space="preserve">Fondo de Infraestructura para Países de Mesoamérica y el Caribe y del Ramo 15 al Ramo 10 el Fondo para el Desarrollo de Zonas de Producción Minera. </w:t>
      </w:r>
    </w:p>
    <w:p w14:paraId="29064462" w14:textId="1FEDFF6C" w:rsidR="00EC2223" w:rsidRPr="000F0321" w:rsidRDefault="00EC2223" w:rsidP="000F0321">
      <w:pPr>
        <w:spacing w:after="120" w:line="250" w:lineRule="exact"/>
        <w:jc w:val="both"/>
        <w:rPr>
          <w:rFonts w:ascii="Montserrat" w:hAnsi="Montserrat"/>
          <w:sz w:val="18"/>
          <w:szCs w:val="18"/>
        </w:rPr>
      </w:pPr>
      <w:r w:rsidRPr="000F0321">
        <w:rPr>
          <w:rFonts w:ascii="Montserrat" w:hAnsi="Montserrat"/>
          <w:sz w:val="18"/>
          <w:szCs w:val="18"/>
        </w:rPr>
        <w:t>El valor del patrimonio que corresponde al Ente Público Poder Ejecutivo Federal de fideicomisos, mandatos y contratos análogos, registrado en esta subcuenta es el siguiente:</w:t>
      </w:r>
    </w:p>
    <w:p w14:paraId="7D62576C" w14:textId="1679109A" w:rsidR="003270CC" w:rsidRDefault="003270CC" w:rsidP="000F0321">
      <w:pPr>
        <w:spacing w:after="120" w:line="250" w:lineRule="exact"/>
        <w:jc w:val="both"/>
        <w:rPr>
          <w:rFonts w:ascii="Montserrat" w:hAnsi="Montserrat"/>
          <w:sz w:val="18"/>
          <w:szCs w:val="18"/>
        </w:rPr>
      </w:pPr>
    </w:p>
    <w:tbl>
      <w:tblPr>
        <w:tblW w:w="12729" w:type="dxa"/>
        <w:tblInd w:w="142" w:type="dxa"/>
        <w:tblLayout w:type="fixed"/>
        <w:tblCellMar>
          <w:left w:w="70" w:type="dxa"/>
          <w:right w:w="70" w:type="dxa"/>
        </w:tblCellMar>
        <w:tblLook w:val="04A0" w:firstRow="1" w:lastRow="0" w:firstColumn="1" w:lastColumn="0" w:noHBand="0" w:noVBand="1"/>
      </w:tblPr>
      <w:tblGrid>
        <w:gridCol w:w="6095"/>
        <w:gridCol w:w="1984"/>
        <w:gridCol w:w="284"/>
        <w:gridCol w:w="1984"/>
        <w:gridCol w:w="284"/>
        <w:gridCol w:w="1984"/>
        <w:gridCol w:w="114"/>
      </w:tblGrid>
      <w:tr w:rsidR="00EC2223" w:rsidRPr="006F0DF1" w14:paraId="1F154052" w14:textId="04928CCB" w:rsidTr="002702EC">
        <w:trPr>
          <w:gridAfter w:val="1"/>
          <w:wAfter w:w="114" w:type="dxa"/>
          <w:trHeight w:val="420"/>
          <w:tblHeader/>
        </w:trPr>
        <w:tc>
          <w:tcPr>
            <w:tcW w:w="12615" w:type="dxa"/>
            <w:gridSpan w:val="6"/>
            <w:shd w:val="clear" w:color="auto" w:fill="FFFFFF" w:themeFill="background1"/>
            <w:vAlign w:val="bottom"/>
          </w:tcPr>
          <w:p w14:paraId="052FFAED" w14:textId="3A848DDC" w:rsidR="00EC2223" w:rsidRPr="000F0321" w:rsidRDefault="00EC2223" w:rsidP="002702EC">
            <w:pPr>
              <w:spacing w:after="120" w:line="240" w:lineRule="auto"/>
              <w:jc w:val="center"/>
              <w:rPr>
                <w:rFonts w:ascii="Montserrat" w:hAnsi="Montserrat" w:cs="Arial"/>
                <w:spacing w:val="-1"/>
                <w:sz w:val="16"/>
                <w:szCs w:val="16"/>
                <w:highlight w:val="magenta"/>
              </w:rPr>
            </w:pPr>
            <w:r w:rsidRPr="005A30B5">
              <w:rPr>
                <w:rFonts w:ascii="Montserrat" w:hAnsi="Montserrat" w:cs="Arial"/>
                <w:spacing w:val="-1"/>
                <w:sz w:val="16"/>
                <w:szCs w:val="16"/>
              </w:rPr>
              <w:t>(Pesos)</w:t>
            </w:r>
          </w:p>
        </w:tc>
      </w:tr>
      <w:tr w:rsidR="00EC2223" w:rsidRPr="006F0DF1" w14:paraId="0417C3CE" w14:textId="77777777" w:rsidTr="000F0321">
        <w:trPr>
          <w:trHeight w:val="57"/>
          <w:tblHeader/>
        </w:trPr>
        <w:tc>
          <w:tcPr>
            <w:tcW w:w="8079" w:type="dxa"/>
            <w:gridSpan w:val="2"/>
            <w:tcBorders>
              <w:top w:val="single" w:sz="12" w:space="0" w:color="808080" w:themeColor="background1" w:themeShade="80"/>
            </w:tcBorders>
            <w:shd w:val="clear" w:color="auto" w:fill="FFFFFF" w:themeFill="background1"/>
          </w:tcPr>
          <w:p w14:paraId="270BE031" w14:textId="77777777" w:rsidR="00EC2223" w:rsidRPr="00373F9E" w:rsidRDefault="00EC2223" w:rsidP="002702EC">
            <w:pPr>
              <w:spacing w:after="120" w:line="240" w:lineRule="auto"/>
              <w:jc w:val="center"/>
              <w:rPr>
                <w:rFonts w:ascii="Montserrat" w:hAnsi="Montserrat"/>
                <w:color w:val="FFFFFF"/>
                <w:sz w:val="4"/>
                <w:szCs w:val="4"/>
                <w:lang w:val="es-MX" w:eastAsia="es-MX"/>
              </w:rPr>
            </w:pPr>
          </w:p>
        </w:tc>
        <w:tc>
          <w:tcPr>
            <w:tcW w:w="2268" w:type="dxa"/>
            <w:gridSpan w:val="2"/>
            <w:tcBorders>
              <w:top w:val="single" w:sz="12" w:space="0" w:color="808080" w:themeColor="background1" w:themeShade="80"/>
            </w:tcBorders>
            <w:shd w:val="clear" w:color="auto" w:fill="FFFFFF" w:themeFill="background1"/>
          </w:tcPr>
          <w:p w14:paraId="28673A11" w14:textId="77777777" w:rsidR="00EC2223" w:rsidRPr="00373F9E" w:rsidRDefault="00EC2223" w:rsidP="002702EC">
            <w:pPr>
              <w:spacing w:after="120" w:line="240" w:lineRule="auto"/>
              <w:jc w:val="center"/>
              <w:rPr>
                <w:rFonts w:ascii="Montserrat" w:hAnsi="Montserrat"/>
                <w:color w:val="FFFFFF"/>
                <w:sz w:val="4"/>
                <w:szCs w:val="4"/>
                <w:lang w:val="es-MX" w:eastAsia="es-MX"/>
              </w:rPr>
            </w:pPr>
          </w:p>
        </w:tc>
        <w:tc>
          <w:tcPr>
            <w:tcW w:w="2382" w:type="dxa"/>
            <w:gridSpan w:val="3"/>
            <w:tcBorders>
              <w:top w:val="single" w:sz="12" w:space="0" w:color="808080" w:themeColor="background1" w:themeShade="80"/>
            </w:tcBorders>
            <w:shd w:val="clear" w:color="auto" w:fill="FFFFFF" w:themeFill="background1"/>
            <w:vAlign w:val="center"/>
          </w:tcPr>
          <w:p w14:paraId="0D515432" w14:textId="1CBA0BE6" w:rsidR="00EC2223" w:rsidRPr="00373F9E" w:rsidRDefault="00EC2223" w:rsidP="002702EC">
            <w:pPr>
              <w:spacing w:after="120" w:line="240" w:lineRule="auto"/>
              <w:jc w:val="center"/>
              <w:rPr>
                <w:rFonts w:ascii="Montserrat" w:hAnsi="Montserrat"/>
                <w:color w:val="FFFFFF"/>
                <w:sz w:val="4"/>
                <w:szCs w:val="4"/>
                <w:lang w:val="es-MX" w:eastAsia="es-MX"/>
              </w:rPr>
            </w:pPr>
          </w:p>
        </w:tc>
      </w:tr>
      <w:tr w:rsidR="00EC2223" w:rsidRPr="00FC3A0A" w14:paraId="4D039654" w14:textId="77777777" w:rsidTr="000F0321">
        <w:trPr>
          <w:trHeight w:val="145"/>
          <w:tblHeader/>
        </w:trPr>
        <w:tc>
          <w:tcPr>
            <w:tcW w:w="6095" w:type="dxa"/>
            <w:tcBorders>
              <w:left w:val="single" w:sz="8" w:space="0" w:color="FFFFFF" w:themeColor="background1"/>
              <w:bottom w:val="double" w:sz="12" w:space="0" w:color="808080" w:themeColor="background1" w:themeShade="80"/>
              <w:right w:val="single" w:sz="8" w:space="0" w:color="FFFFFF" w:themeColor="background1"/>
            </w:tcBorders>
            <w:shd w:val="clear" w:color="auto" w:fill="D4C19C"/>
            <w:vAlign w:val="center"/>
            <w:hideMark/>
          </w:tcPr>
          <w:p w14:paraId="1EBF6DCF" w14:textId="77777777" w:rsidR="00EC2223" w:rsidRPr="00FC3A0A" w:rsidRDefault="00EC2223" w:rsidP="002702EC">
            <w:pPr>
              <w:spacing w:after="120" w:line="240" w:lineRule="auto"/>
              <w:jc w:val="center"/>
              <w:rPr>
                <w:rFonts w:ascii="Montserrat" w:hAnsi="Montserrat"/>
                <w:b/>
                <w:color w:val="FFFFFF"/>
                <w:sz w:val="16"/>
                <w:szCs w:val="16"/>
                <w:lang w:val="es-MX" w:eastAsia="es-MX"/>
              </w:rPr>
            </w:pPr>
            <w:r w:rsidRPr="00FC3A0A">
              <w:rPr>
                <w:rFonts w:ascii="Montserrat" w:hAnsi="Montserrat"/>
                <w:b/>
                <w:color w:val="FFFFFF"/>
                <w:sz w:val="16"/>
                <w:szCs w:val="16"/>
                <w:lang w:val="es-MX" w:eastAsia="es-MX"/>
              </w:rPr>
              <w:t>Fideicomisos, Mandatos y Contratos Análogos  /  Denominación</w:t>
            </w:r>
          </w:p>
        </w:tc>
        <w:tc>
          <w:tcPr>
            <w:tcW w:w="2268" w:type="dxa"/>
            <w:gridSpan w:val="2"/>
            <w:tcBorders>
              <w:left w:val="single" w:sz="8" w:space="0" w:color="FFFFFF" w:themeColor="background1"/>
              <w:bottom w:val="double" w:sz="12" w:space="0" w:color="808080" w:themeColor="background1" w:themeShade="80"/>
              <w:right w:val="single" w:sz="8" w:space="0" w:color="FFFFFF" w:themeColor="background1"/>
            </w:tcBorders>
            <w:shd w:val="clear" w:color="auto" w:fill="D4C19C"/>
            <w:vAlign w:val="center"/>
          </w:tcPr>
          <w:p w14:paraId="781BCFCE" w14:textId="7AC0C3E8" w:rsidR="00EC2223" w:rsidRPr="00FC3A0A" w:rsidRDefault="00EC2223" w:rsidP="002702EC">
            <w:pPr>
              <w:spacing w:after="120" w:line="240" w:lineRule="auto"/>
              <w:jc w:val="center"/>
              <w:rPr>
                <w:rFonts w:ascii="Montserrat" w:hAnsi="Montserrat"/>
                <w:b/>
                <w:color w:val="FFFFFF"/>
                <w:sz w:val="16"/>
                <w:szCs w:val="16"/>
                <w:lang w:val="es-MX" w:eastAsia="es-MX"/>
              </w:rPr>
            </w:pPr>
            <w:r w:rsidRPr="000B02A4">
              <w:rPr>
                <w:rFonts w:ascii="Montserrat" w:eastAsia="Times New Roman" w:hAnsi="Montserrat" w:cs="Calibri"/>
                <w:b/>
                <w:bCs/>
                <w:color w:val="FFFFFF"/>
                <w:sz w:val="15"/>
                <w:szCs w:val="15"/>
                <w:lang w:val="es-MX" w:eastAsia="es-MX"/>
              </w:rPr>
              <w:t>PATRIMONIO NETO DEL FIDEICOMISO, MANDATO O CONTRATO ANÁLOGO</w:t>
            </w:r>
          </w:p>
        </w:tc>
        <w:tc>
          <w:tcPr>
            <w:tcW w:w="2268" w:type="dxa"/>
            <w:gridSpan w:val="2"/>
            <w:tcBorders>
              <w:left w:val="single" w:sz="8" w:space="0" w:color="FFFFFF" w:themeColor="background1"/>
              <w:bottom w:val="double" w:sz="12" w:space="0" w:color="808080" w:themeColor="background1" w:themeShade="80"/>
              <w:right w:val="single" w:sz="8" w:space="0" w:color="FFFFFF" w:themeColor="background1"/>
            </w:tcBorders>
            <w:shd w:val="clear" w:color="auto" w:fill="D4C19C"/>
            <w:vAlign w:val="center"/>
          </w:tcPr>
          <w:p w14:paraId="6BB0F9C1" w14:textId="50289F61" w:rsidR="00EC2223" w:rsidRPr="00FC3A0A" w:rsidRDefault="00EC2223" w:rsidP="002702EC">
            <w:pPr>
              <w:spacing w:after="120" w:line="240" w:lineRule="auto"/>
              <w:jc w:val="center"/>
              <w:rPr>
                <w:rFonts w:ascii="Montserrat" w:hAnsi="Montserrat"/>
                <w:b/>
                <w:color w:val="FFFFFF"/>
                <w:sz w:val="16"/>
                <w:szCs w:val="16"/>
                <w:lang w:val="es-MX" w:eastAsia="es-MX"/>
              </w:rPr>
            </w:pPr>
            <w:r w:rsidRPr="000B02A4">
              <w:rPr>
                <w:rFonts w:ascii="Montserrat" w:eastAsia="Times New Roman" w:hAnsi="Montserrat" w:cs="Calibri"/>
                <w:b/>
                <w:bCs/>
                <w:color w:val="FFFFFF"/>
                <w:sz w:val="15"/>
                <w:szCs w:val="15"/>
                <w:lang w:val="es-MX" w:eastAsia="es-MX"/>
              </w:rPr>
              <w:t>% DEL DERECHO</w:t>
            </w:r>
            <w:r w:rsidRPr="000B02A4">
              <w:rPr>
                <w:rFonts w:ascii="Montserrat" w:eastAsia="Times New Roman" w:hAnsi="Montserrat" w:cs="Calibri"/>
                <w:b/>
                <w:bCs/>
                <w:color w:val="FFFFFF"/>
                <w:sz w:val="15"/>
                <w:szCs w:val="15"/>
                <w:lang w:val="es-MX" w:eastAsia="es-MX"/>
              </w:rPr>
              <w:br/>
              <w:t>PATRIMONIAL DEL</w:t>
            </w:r>
            <w:r w:rsidRPr="000B02A4">
              <w:rPr>
                <w:rFonts w:ascii="Montserrat" w:eastAsia="Times New Roman" w:hAnsi="Montserrat" w:cs="Calibri"/>
                <w:b/>
                <w:bCs/>
                <w:color w:val="FFFFFF"/>
                <w:sz w:val="15"/>
                <w:szCs w:val="15"/>
                <w:lang w:val="es-MX" w:eastAsia="es-MX"/>
              </w:rPr>
              <w:br/>
              <w:t>PODER EJECUTIVO FEDERAL</w:t>
            </w:r>
          </w:p>
        </w:tc>
        <w:tc>
          <w:tcPr>
            <w:tcW w:w="2098" w:type="dxa"/>
            <w:gridSpan w:val="2"/>
            <w:tcBorders>
              <w:left w:val="single" w:sz="8" w:space="0" w:color="FFFFFF" w:themeColor="background1"/>
              <w:bottom w:val="double" w:sz="12" w:space="0" w:color="808080" w:themeColor="background1" w:themeShade="80"/>
              <w:right w:val="single" w:sz="8" w:space="0" w:color="FFFFFF" w:themeColor="background1"/>
            </w:tcBorders>
            <w:shd w:val="clear" w:color="auto" w:fill="D4C19C"/>
            <w:vAlign w:val="center"/>
            <w:hideMark/>
          </w:tcPr>
          <w:p w14:paraId="460F1E20" w14:textId="55044077" w:rsidR="00EC2223" w:rsidRPr="00FC3A0A" w:rsidRDefault="00EC2223" w:rsidP="002702EC">
            <w:pPr>
              <w:spacing w:after="120" w:line="240" w:lineRule="auto"/>
              <w:jc w:val="center"/>
              <w:rPr>
                <w:rFonts w:ascii="Montserrat" w:hAnsi="Montserrat"/>
                <w:b/>
                <w:color w:val="FFFFFF"/>
                <w:sz w:val="16"/>
                <w:szCs w:val="16"/>
                <w:lang w:val="es-MX" w:eastAsia="es-MX"/>
              </w:rPr>
            </w:pPr>
            <w:r w:rsidRPr="000B02A4">
              <w:rPr>
                <w:rFonts w:ascii="Montserrat" w:eastAsia="Times New Roman" w:hAnsi="Montserrat" w:cs="Calibri"/>
                <w:b/>
                <w:bCs/>
                <w:color w:val="FFFFFF"/>
                <w:sz w:val="15"/>
                <w:szCs w:val="15"/>
                <w:lang w:val="es-MX" w:eastAsia="es-MX"/>
              </w:rPr>
              <w:t>PATRIMONIO 2019</w:t>
            </w:r>
            <w:r w:rsidRPr="000B02A4">
              <w:rPr>
                <w:rFonts w:ascii="Montserrat" w:eastAsia="Times New Roman" w:hAnsi="Montserrat" w:cs="Calibri"/>
                <w:b/>
                <w:bCs/>
                <w:color w:val="FFFFFF"/>
                <w:sz w:val="15"/>
                <w:szCs w:val="15"/>
                <w:lang w:val="es-MX" w:eastAsia="es-MX"/>
              </w:rPr>
              <w:br/>
              <w:t>PODER EJECUTIVO FEDERAL     1/</w:t>
            </w:r>
          </w:p>
        </w:tc>
      </w:tr>
      <w:tr w:rsidR="00EC2223" w:rsidRPr="006F0DF1" w14:paraId="01825A54" w14:textId="77777777" w:rsidTr="000F0321">
        <w:trPr>
          <w:trHeight w:val="340"/>
        </w:trPr>
        <w:tc>
          <w:tcPr>
            <w:tcW w:w="6095" w:type="dxa"/>
            <w:tcBorders>
              <w:top w:val="double" w:sz="12" w:space="0" w:color="808080" w:themeColor="background1" w:themeShade="80"/>
            </w:tcBorders>
            <w:shd w:val="clear" w:color="auto" w:fill="F2F2F2" w:themeFill="background1" w:themeFillShade="F2"/>
            <w:vAlign w:val="center"/>
          </w:tcPr>
          <w:p w14:paraId="1DAAF327" w14:textId="27CDCB51" w:rsidR="00EC2223" w:rsidRPr="00255081" w:rsidRDefault="00EC2223" w:rsidP="004B170A">
            <w:pPr>
              <w:spacing w:after="120" w:line="240" w:lineRule="auto"/>
              <w:jc w:val="both"/>
              <w:rPr>
                <w:rFonts w:ascii="Montserrat" w:eastAsia="Times New Roman" w:hAnsi="Montserrat" w:cs="Arial"/>
                <w:color w:val="000000"/>
                <w:sz w:val="15"/>
                <w:szCs w:val="15"/>
                <w:lang w:eastAsia="es-MX"/>
              </w:rPr>
            </w:pPr>
            <w:r w:rsidRPr="00255081">
              <w:rPr>
                <w:rFonts w:ascii="Montserrat" w:eastAsia="Times New Roman" w:hAnsi="Montserrat" w:cs="Calibri"/>
                <w:sz w:val="15"/>
                <w:szCs w:val="15"/>
                <w:lang w:val="es-MX" w:eastAsia="es-MX"/>
              </w:rPr>
              <w:t>Mandato para la realización de Actos Previos a la Enajenación de las Aeronaves al Servicio de la Oficina de la Presidencia de la República</w:t>
            </w:r>
          </w:p>
        </w:tc>
        <w:tc>
          <w:tcPr>
            <w:tcW w:w="2268" w:type="dxa"/>
            <w:gridSpan w:val="2"/>
            <w:tcBorders>
              <w:top w:val="double" w:sz="12" w:space="0" w:color="808080" w:themeColor="background1" w:themeShade="80"/>
            </w:tcBorders>
            <w:shd w:val="clear" w:color="auto" w:fill="F2F2F2" w:themeFill="background1" w:themeFillShade="F2"/>
            <w:vAlign w:val="center"/>
          </w:tcPr>
          <w:p w14:paraId="4473135D" w14:textId="6E4C11D5" w:rsidR="00EC2223" w:rsidRPr="00255081" w:rsidRDefault="00EC2223" w:rsidP="002702EC">
            <w:pPr>
              <w:spacing w:after="120" w:line="240" w:lineRule="auto"/>
              <w:jc w:val="right"/>
              <w:rPr>
                <w:rFonts w:ascii="Montserrat" w:eastAsia="Times New Roman" w:hAnsi="Montserrat" w:cs="Arial"/>
                <w:color w:val="000000"/>
                <w:sz w:val="15"/>
                <w:szCs w:val="15"/>
                <w:lang w:eastAsia="es-MX"/>
              </w:rPr>
            </w:pPr>
            <w:r w:rsidRPr="00255081">
              <w:rPr>
                <w:rFonts w:ascii="Montserrat" w:eastAsia="Times New Roman" w:hAnsi="Montserrat" w:cs="Calibri"/>
                <w:sz w:val="15"/>
                <w:szCs w:val="15"/>
                <w:lang w:val="es-MX" w:eastAsia="es-MX"/>
              </w:rPr>
              <w:t>9,779,350</w:t>
            </w:r>
          </w:p>
        </w:tc>
        <w:tc>
          <w:tcPr>
            <w:tcW w:w="2268" w:type="dxa"/>
            <w:gridSpan w:val="2"/>
            <w:tcBorders>
              <w:top w:val="double" w:sz="12" w:space="0" w:color="808080" w:themeColor="background1" w:themeShade="80"/>
            </w:tcBorders>
            <w:shd w:val="clear" w:color="auto" w:fill="F2F2F2" w:themeFill="background1" w:themeFillShade="F2"/>
            <w:vAlign w:val="center"/>
          </w:tcPr>
          <w:p w14:paraId="2DEAE058" w14:textId="77550AF1" w:rsidR="00EC2223" w:rsidRPr="00255081" w:rsidRDefault="00EC2223" w:rsidP="002702EC">
            <w:pPr>
              <w:spacing w:after="120" w:line="240" w:lineRule="auto"/>
              <w:jc w:val="right"/>
              <w:rPr>
                <w:rFonts w:ascii="Montserrat" w:eastAsia="Times New Roman" w:hAnsi="Montserrat" w:cs="Arial"/>
                <w:color w:val="000000"/>
                <w:sz w:val="15"/>
                <w:szCs w:val="15"/>
                <w:lang w:eastAsia="es-MX"/>
              </w:rPr>
            </w:pPr>
            <w:r w:rsidRPr="00255081">
              <w:rPr>
                <w:rFonts w:ascii="Montserrat" w:eastAsia="Times New Roman" w:hAnsi="Montserrat" w:cs="Calibri"/>
                <w:sz w:val="15"/>
                <w:szCs w:val="15"/>
                <w:lang w:val="es-MX" w:eastAsia="es-MX"/>
              </w:rPr>
              <w:t>100%</w:t>
            </w:r>
          </w:p>
        </w:tc>
        <w:tc>
          <w:tcPr>
            <w:tcW w:w="2098" w:type="dxa"/>
            <w:gridSpan w:val="2"/>
            <w:tcBorders>
              <w:top w:val="double" w:sz="12" w:space="0" w:color="808080" w:themeColor="background1" w:themeShade="80"/>
            </w:tcBorders>
            <w:shd w:val="clear" w:color="auto" w:fill="F2F2F2" w:themeFill="background1" w:themeFillShade="F2"/>
            <w:noWrap/>
            <w:vAlign w:val="center"/>
          </w:tcPr>
          <w:p w14:paraId="423EE274" w14:textId="1CFD99F3" w:rsidR="00EC2223" w:rsidRPr="00255081" w:rsidRDefault="00EC2223" w:rsidP="002702EC">
            <w:pPr>
              <w:spacing w:after="120" w:line="240" w:lineRule="auto"/>
              <w:jc w:val="right"/>
              <w:rPr>
                <w:rFonts w:ascii="Montserrat" w:eastAsia="Times New Roman" w:hAnsi="Montserrat" w:cs="Arial"/>
                <w:color w:val="000000"/>
                <w:sz w:val="15"/>
                <w:szCs w:val="15"/>
                <w:lang w:eastAsia="es-MX"/>
              </w:rPr>
            </w:pPr>
            <w:r w:rsidRPr="00255081">
              <w:rPr>
                <w:rFonts w:ascii="Montserrat" w:eastAsia="Times New Roman" w:hAnsi="Montserrat" w:cs="Calibri"/>
                <w:sz w:val="15"/>
                <w:szCs w:val="15"/>
                <w:lang w:val="es-MX" w:eastAsia="es-MX"/>
              </w:rPr>
              <w:t>9,779,350</w:t>
            </w:r>
          </w:p>
        </w:tc>
      </w:tr>
      <w:tr w:rsidR="00EC2223" w:rsidRPr="006F0DF1" w14:paraId="121038C4" w14:textId="77777777" w:rsidTr="000F0321">
        <w:trPr>
          <w:trHeight w:val="340"/>
        </w:trPr>
        <w:tc>
          <w:tcPr>
            <w:tcW w:w="6095" w:type="dxa"/>
            <w:shd w:val="clear" w:color="auto" w:fill="F2F2F2" w:themeFill="background1" w:themeFillShade="F2"/>
            <w:vAlign w:val="center"/>
          </w:tcPr>
          <w:p w14:paraId="00D0085C" w14:textId="086CA2A3" w:rsidR="00EC2223" w:rsidRPr="00255081" w:rsidRDefault="00EC2223" w:rsidP="004B170A">
            <w:pPr>
              <w:spacing w:after="120" w:line="240" w:lineRule="auto"/>
              <w:jc w:val="both"/>
              <w:rPr>
                <w:rFonts w:ascii="Montserrat" w:eastAsia="Times New Roman" w:hAnsi="Montserrat" w:cs="Arial"/>
                <w:color w:val="000000"/>
                <w:sz w:val="15"/>
                <w:szCs w:val="15"/>
                <w:lang w:eastAsia="es-MX"/>
              </w:rPr>
            </w:pPr>
            <w:r w:rsidRPr="00255081">
              <w:rPr>
                <w:rFonts w:ascii="Montserrat" w:eastAsia="Times New Roman" w:hAnsi="Montserrat" w:cs="Calibri"/>
                <w:sz w:val="15"/>
                <w:szCs w:val="15"/>
                <w:lang w:val="es-MX" w:eastAsia="es-MX"/>
              </w:rPr>
              <w:t>Fideicomiso Preventivo</w:t>
            </w:r>
          </w:p>
        </w:tc>
        <w:tc>
          <w:tcPr>
            <w:tcW w:w="2268" w:type="dxa"/>
            <w:gridSpan w:val="2"/>
            <w:shd w:val="clear" w:color="auto" w:fill="F2F2F2" w:themeFill="background1" w:themeFillShade="F2"/>
            <w:vAlign w:val="center"/>
          </w:tcPr>
          <w:p w14:paraId="4B453C42" w14:textId="7AE2635D" w:rsidR="00EC2223" w:rsidRPr="00255081" w:rsidRDefault="00EC2223" w:rsidP="002702EC">
            <w:pPr>
              <w:spacing w:after="120" w:line="240" w:lineRule="auto"/>
              <w:jc w:val="right"/>
              <w:rPr>
                <w:rFonts w:ascii="Montserrat" w:eastAsia="Times New Roman" w:hAnsi="Montserrat" w:cs="Arial"/>
                <w:color w:val="000000"/>
                <w:sz w:val="15"/>
                <w:szCs w:val="15"/>
                <w:lang w:eastAsia="es-MX"/>
              </w:rPr>
            </w:pPr>
            <w:r w:rsidRPr="00255081">
              <w:rPr>
                <w:rFonts w:ascii="Montserrat" w:eastAsia="Times New Roman" w:hAnsi="Montserrat" w:cs="Calibri"/>
                <w:sz w:val="15"/>
                <w:szCs w:val="15"/>
                <w:lang w:val="es-MX" w:eastAsia="es-MX"/>
              </w:rPr>
              <w:t>681,619,020</w:t>
            </w:r>
          </w:p>
        </w:tc>
        <w:tc>
          <w:tcPr>
            <w:tcW w:w="2268" w:type="dxa"/>
            <w:gridSpan w:val="2"/>
            <w:shd w:val="clear" w:color="auto" w:fill="F2F2F2" w:themeFill="background1" w:themeFillShade="F2"/>
            <w:vAlign w:val="center"/>
          </w:tcPr>
          <w:p w14:paraId="661CF7BB" w14:textId="5A0AF047" w:rsidR="00EC2223" w:rsidRPr="00255081" w:rsidRDefault="00EC2223" w:rsidP="002702EC">
            <w:pPr>
              <w:spacing w:after="120" w:line="240" w:lineRule="auto"/>
              <w:jc w:val="right"/>
              <w:rPr>
                <w:rFonts w:ascii="Montserrat" w:eastAsia="Times New Roman" w:hAnsi="Montserrat" w:cs="Arial"/>
                <w:color w:val="000000"/>
                <w:sz w:val="15"/>
                <w:szCs w:val="15"/>
                <w:lang w:eastAsia="es-MX"/>
              </w:rPr>
            </w:pPr>
            <w:r w:rsidRPr="00255081">
              <w:rPr>
                <w:rFonts w:ascii="Montserrat" w:eastAsia="Times New Roman" w:hAnsi="Montserrat" w:cs="Calibri"/>
                <w:sz w:val="15"/>
                <w:szCs w:val="15"/>
                <w:lang w:val="es-MX" w:eastAsia="es-MX"/>
              </w:rPr>
              <w:t>100%</w:t>
            </w:r>
          </w:p>
        </w:tc>
        <w:tc>
          <w:tcPr>
            <w:tcW w:w="2098" w:type="dxa"/>
            <w:gridSpan w:val="2"/>
            <w:shd w:val="clear" w:color="auto" w:fill="F2F2F2" w:themeFill="background1" w:themeFillShade="F2"/>
            <w:noWrap/>
            <w:vAlign w:val="center"/>
          </w:tcPr>
          <w:p w14:paraId="47DD5B9C" w14:textId="6DCE2057" w:rsidR="00EC2223" w:rsidRPr="00255081" w:rsidRDefault="00EC2223" w:rsidP="002702EC">
            <w:pPr>
              <w:spacing w:after="120" w:line="240" w:lineRule="auto"/>
              <w:jc w:val="right"/>
              <w:rPr>
                <w:rFonts w:ascii="Montserrat" w:eastAsia="Times New Roman" w:hAnsi="Montserrat" w:cs="Arial"/>
                <w:color w:val="000000"/>
                <w:sz w:val="15"/>
                <w:szCs w:val="15"/>
                <w:lang w:eastAsia="es-MX"/>
              </w:rPr>
            </w:pPr>
            <w:r w:rsidRPr="00255081">
              <w:rPr>
                <w:rFonts w:ascii="Montserrat" w:eastAsia="Times New Roman" w:hAnsi="Montserrat" w:cs="Calibri"/>
                <w:sz w:val="15"/>
                <w:szCs w:val="15"/>
                <w:lang w:val="es-MX" w:eastAsia="es-MX"/>
              </w:rPr>
              <w:t>681,619,020</w:t>
            </w:r>
          </w:p>
        </w:tc>
      </w:tr>
      <w:tr w:rsidR="00EC2223" w:rsidRPr="006F0DF1" w14:paraId="7C783659" w14:textId="77777777" w:rsidTr="000F0321">
        <w:trPr>
          <w:trHeight w:val="340"/>
        </w:trPr>
        <w:tc>
          <w:tcPr>
            <w:tcW w:w="6095" w:type="dxa"/>
            <w:tcBorders>
              <w:top w:val="nil"/>
            </w:tcBorders>
            <w:shd w:val="clear" w:color="auto" w:fill="F2F2F2" w:themeFill="background1" w:themeFillShade="F2"/>
            <w:vAlign w:val="center"/>
          </w:tcPr>
          <w:p w14:paraId="135E6E34" w14:textId="4AA7F6DE" w:rsidR="00EC2223" w:rsidRPr="00255081" w:rsidRDefault="00EC2223" w:rsidP="004B170A">
            <w:pPr>
              <w:spacing w:after="120" w:line="240" w:lineRule="auto"/>
              <w:jc w:val="both"/>
              <w:rPr>
                <w:rFonts w:ascii="Montserrat" w:eastAsia="Times New Roman" w:hAnsi="Montserrat" w:cs="Arial"/>
                <w:color w:val="000000"/>
                <w:sz w:val="15"/>
                <w:szCs w:val="15"/>
                <w:lang w:eastAsia="es-MX"/>
              </w:rPr>
            </w:pPr>
            <w:r w:rsidRPr="00255081">
              <w:rPr>
                <w:rFonts w:ascii="Montserrat" w:eastAsia="Times New Roman" w:hAnsi="Montserrat" w:cs="Calibri"/>
                <w:sz w:val="15"/>
                <w:szCs w:val="15"/>
                <w:lang w:val="es-MX" w:eastAsia="es-MX"/>
              </w:rPr>
              <w:t>Fondo de Apoyo Social a Ex trabajadores Migratorios Mexicanos</w:t>
            </w:r>
          </w:p>
        </w:tc>
        <w:tc>
          <w:tcPr>
            <w:tcW w:w="2268" w:type="dxa"/>
            <w:gridSpan w:val="2"/>
            <w:tcBorders>
              <w:top w:val="nil"/>
            </w:tcBorders>
            <w:shd w:val="clear" w:color="auto" w:fill="F2F2F2" w:themeFill="background1" w:themeFillShade="F2"/>
            <w:vAlign w:val="center"/>
          </w:tcPr>
          <w:p w14:paraId="4CDD0BD5" w14:textId="629DA9B9" w:rsidR="00EC2223" w:rsidRPr="00255081" w:rsidRDefault="00EC2223" w:rsidP="002702EC">
            <w:pPr>
              <w:spacing w:after="120" w:line="240" w:lineRule="auto"/>
              <w:jc w:val="right"/>
              <w:rPr>
                <w:rFonts w:ascii="Montserrat" w:eastAsia="Times New Roman" w:hAnsi="Montserrat" w:cs="Arial"/>
                <w:color w:val="000000"/>
                <w:sz w:val="15"/>
                <w:szCs w:val="15"/>
                <w:lang w:eastAsia="es-MX"/>
              </w:rPr>
            </w:pPr>
            <w:r w:rsidRPr="00255081">
              <w:rPr>
                <w:rFonts w:ascii="Montserrat" w:eastAsia="Times New Roman" w:hAnsi="Montserrat" w:cs="Calibri"/>
                <w:sz w:val="15"/>
                <w:szCs w:val="15"/>
                <w:lang w:val="es-MX" w:eastAsia="es-MX"/>
              </w:rPr>
              <w:t>145,840,330</w:t>
            </w:r>
          </w:p>
        </w:tc>
        <w:tc>
          <w:tcPr>
            <w:tcW w:w="2268" w:type="dxa"/>
            <w:gridSpan w:val="2"/>
            <w:tcBorders>
              <w:top w:val="nil"/>
            </w:tcBorders>
            <w:shd w:val="clear" w:color="auto" w:fill="F2F2F2" w:themeFill="background1" w:themeFillShade="F2"/>
            <w:vAlign w:val="center"/>
          </w:tcPr>
          <w:p w14:paraId="65610B21" w14:textId="55850FF2" w:rsidR="00EC2223" w:rsidRPr="00255081" w:rsidRDefault="00EC2223" w:rsidP="002702EC">
            <w:pPr>
              <w:spacing w:after="120" w:line="240" w:lineRule="auto"/>
              <w:jc w:val="right"/>
              <w:rPr>
                <w:rFonts w:ascii="Montserrat" w:eastAsia="Times New Roman" w:hAnsi="Montserrat" w:cs="Arial"/>
                <w:color w:val="000000"/>
                <w:sz w:val="15"/>
                <w:szCs w:val="15"/>
                <w:lang w:eastAsia="es-MX"/>
              </w:rPr>
            </w:pPr>
            <w:r w:rsidRPr="00255081">
              <w:rPr>
                <w:rFonts w:ascii="Montserrat" w:eastAsia="Times New Roman" w:hAnsi="Montserrat" w:cs="Calibri"/>
                <w:sz w:val="15"/>
                <w:szCs w:val="15"/>
                <w:lang w:val="es-MX" w:eastAsia="es-MX"/>
              </w:rPr>
              <w:t>100%</w:t>
            </w:r>
          </w:p>
        </w:tc>
        <w:tc>
          <w:tcPr>
            <w:tcW w:w="2098" w:type="dxa"/>
            <w:gridSpan w:val="2"/>
            <w:tcBorders>
              <w:top w:val="nil"/>
            </w:tcBorders>
            <w:shd w:val="clear" w:color="auto" w:fill="F2F2F2" w:themeFill="background1" w:themeFillShade="F2"/>
            <w:noWrap/>
            <w:vAlign w:val="center"/>
          </w:tcPr>
          <w:p w14:paraId="28B680CE" w14:textId="10F90F5E" w:rsidR="00EC2223" w:rsidRPr="00255081" w:rsidRDefault="00EC2223" w:rsidP="002702EC">
            <w:pPr>
              <w:spacing w:after="120" w:line="240" w:lineRule="auto"/>
              <w:jc w:val="right"/>
              <w:rPr>
                <w:rFonts w:ascii="Montserrat" w:eastAsia="Times New Roman" w:hAnsi="Montserrat" w:cs="Arial"/>
                <w:color w:val="000000"/>
                <w:sz w:val="15"/>
                <w:szCs w:val="15"/>
                <w:lang w:eastAsia="es-MX"/>
              </w:rPr>
            </w:pPr>
            <w:r w:rsidRPr="00255081">
              <w:rPr>
                <w:rFonts w:ascii="Montserrat" w:eastAsia="Times New Roman" w:hAnsi="Montserrat" w:cs="Calibri"/>
                <w:sz w:val="15"/>
                <w:szCs w:val="15"/>
                <w:lang w:val="es-MX" w:eastAsia="es-MX"/>
              </w:rPr>
              <w:t>145,840,330</w:t>
            </w:r>
          </w:p>
        </w:tc>
      </w:tr>
      <w:tr w:rsidR="00EC2223" w:rsidRPr="006F0DF1" w14:paraId="1D29A891" w14:textId="77777777" w:rsidTr="000F0321">
        <w:trPr>
          <w:trHeight w:val="340"/>
        </w:trPr>
        <w:tc>
          <w:tcPr>
            <w:tcW w:w="6095" w:type="dxa"/>
            <w:tcBorders>
              <w:top w:val="nil"/>
            </w:tcBorders>
            <w:shd w:val="clear" w:color="auto" w:fill="F2F2F2" w:themeFill="background1" w:themeFillShade="F2"/>
            <w:vAlign w:val="center"/>
          </w:tcPr>
          <w:p w14:paraId="2AC9FA88" w14:textId="3DCF3C8D" w:rsidR="00EC2223" w:rsidRPr="00255081" w:rsidRDefault="00EC2223" w:rsidP="004B170A">
            <w:pPr>
              <w:spacing w:after="120" w:line="240" w:lineRule="auto"/>
              <w:jc w:val="both"/>
              <w:rPr>
                <w:rFonts w:ascii="Montserrat" w:eastAsia="Times New Roman" w:hAnsi="Montserrat" w:cs="Arial"/>
                <w:color w:val="000000"/>
                <w:sz w:val="15"/>
                <w:szCs w:val="15"/>
                <w:lang w:eastAsia="es-MX"/>
              </w:rPr>
            </w:pPr>
            <w:r w:rsidRPr="00255081">
              <w:rPr>
                <w:rFonts w:ascii="Montserrat" w:eastAsia="Times New Roman" w:hAnsi="Montserrat" w:cs="Calibri"/>
                <w:sz w:val="15"/>
                <w:szCs w:val="15"/>
                <w:lang w:val="es-MX" w:eastAsia="es-MX"/>
              </w:rPr>
              <w:t>Fideicomiso para la Plataforma de Infraestructura, Mantenimiento y Equipamiento de Seguridad Pública y Aeronaves</w:t>
            </w:r>
          </w:p>
        </w:tc>
        <w:tc>
          <w:tcPr>
            <w:tcW w:w="2268" w:type="dxa"/>
            <w:gridSpan w:val="2"/>
            <w:tcBorders>
              <w:top w:val="nil"/>
            </w:tcBorders>
            <w:shd w:val="clear" w:color="auto" w:fill="F2F2F2" w:themeFill="background1" w:themeFillShade="F2"/>
            <w:vAlign w:val="center"/>
          </w:tcPr>
          <w:p w14:paraId="5D635F9D" w14:textId="018B6485" w:rsidR="00EC2223" w:rsidRPr="00255081" w:rsidRDefault="00EC2223" w:rsidP="002702EC">
            <w:pPr>
              <w:spacing w:after="120" w:line="240" w:lineRule="auto"/>
              <w:jc w:val="right"/>
              <w:rPr>
                <w:rFonts w:ascii="Montserrat" w:eastAsia="Times New Roman" w:hAnsi="Montserrat" w:cs="Arial"/>
                <w:color w:val="000000"/>
                <w:sz w:val="15"/>
                <w:szCs w:val="15"/>
                <w:lang w:eastAsia="es-MX"/>
              </w:rPr>
            </w:pPr>
            <w:r w:rsidRPr="00255081">
              <w:rPr>
                <w:rFonts w:ascii="Montserrat" w:eastAsia="Times New Roman" w:hAnsi="Montserrat" w:cs="Calibri"/>
                <w:sz w:val="15"/>
                <w:szCs w:val="15"/>
                <w:lang w:val="es-MX" w:eastAsia="es-MX"/>
              </w:rPr>
              <w:t>1,096,079,059</w:t>
            </w:r>
          </w:p>
        </w:tc>
        <w:tc>
          <w:tcPr>
            <w:tcW w:w="2268" w:type="dxa"/>
            <w:gridSpan w:val="2"/>
            <w:tcBorders>
              <w:top w:val="nil"/>
            </w:tcBorders>
            <w:shd w:val="clear" w:color="auto" w:fill="F2F2F2" w:themeFill="background1" w:themeFillShade="F2"/>
            <w:vAlign w:val="center"/>
          </w:tcPr>
          <w:p w14:paraId="0C15590A" w14:textId="5B9C0334" w:rsidR="00EC2223" w:rsidRPr="00255081" w:rsidRDefault="00EC2223" w:rsidP="002702EC">
            <w:pPr>
              <w:spacing w:after="120" w:line="240" w:lineRule="auto"/>
              <w:jc w:val="right"/>
              <w:rPr>
                <w:rFonts w:ascii="Montserrat" w:eastAsia="Times New Roman" w:hAnsi="Montserrat" w:cs="Arial"/>
                <w:color w:val="000000"/>
                <w:sz w:val="15"/>
                <w:szCs w:val="15"/>
                <w:lang w:eastAsia="es-MX"/>
              </w:rPr>
            </w:pPr>
            <w:r w:rsidRPr="00255081">
              <w:rPr>
                <w:rFonts w:ascii="Montserrat" w:eastAsia="Times New Roman" w:hAnsi="Montserrat" w:cs="Calibri"/>
                <w:sz w:val="15"/>
                <w:szCs w:val="15"/>
                <w:lang w:val="es-MX" w:eastAsia="es-MX"/>
              </w:rPr>
              <w:t>100%</w:t>
            </w:r>
          </w:p>
        </w:tc>
        <w:tc>
          <w:tcPr>
            <w:tcW w:w="2098" w:type="dxa"/>
            <w:gridSpan w:val="2"/>
            <w:tcBorders>
              <w:top w:val="nil"/>
            </w:tcBorders>
            <w:shd w:val="clear" w:color="auto" w:fill="F2F2F2" w:themeFill="background1" w:themeFillShade="F2"/>
            <w:noWrap/>
            <w:vAlign w:val="center"/>
          </w:tcPr>
          <w:p w14:paraId="219CF32C" w14:textId="5252B7ED" w:rsidR="00EC2223" w:rsidRPr="00255081" w:rsidRDefault="00EC2223" w:rsidP="002702EC">
            <w:pPr>
              <w:spacing w:after="120" w:line="240" w:lineRule="auto"/>
              <w:jc w:val="right"/>
              <w:rPr>
                <w:rFonts w:ascii="Montserrat" w:eastAsia="Times New Roman" w:hAnsi="Montserrat" w:cs="Arial"/>
                <w:color w:val="000000"/>
                <w:sz w:val="15"/>
                <w:szCs w:val="15"/>
                <w:lang w:eastAsia="es-MX"/>
              </w:rPr>
            </w:pPr>
            <w:r w:rsidRPr="00255081">
              <w:rPr>
                <w:rFonts w:ascii="Montserrat" w:eastAsia="Times New Roman" w:hAnsi="Montserrat" w:cs="Calibri"/>
                <w:sz w:val="15"/>
                <w:szCs w:val="15"/>
                <w:lang w:val="es-MX" w:eastAsia="es-MX"/>
              </w:rPr>
              <w:t>1,096,079,059</w:t>
            </w:r>
          </w:p>
        </w:tc>
      </w:tr>
      <w:tr w:rsidR="00EC2223" w:rsidRPr="006F0DF1" w14:paraId="6E9BB3B8" w14:textId="77777777" w:rsidTr="000F0321">
        <w:trPr>
          <w:trHeight w:val="340"/>
        </w:trPr>
        <w:tc>
          <w:tcPr>
            <w:tcW w:w="6095" w:type="dxa"/>
            <w:tcBorders>
              <w:top w:val="nil"/>
            </w:tcBorders>
            <w:shd w:val="clear" w:color="auto" w:fill="F2F2F2" w:themeFill="background1" w:themeFillShade="F2"/>
            <w:vAlign w:val="center"/>
          </w:tcPr>
          <w:p w14:paraId="62348463" w14:textId="28B69092" w:rsidR="00EC2223" w:rsidRPr="00255081" w:rsidRDefault="00EC2223" w:rsidP="004B170A">
            <w:pPr>
              <w:spacing w:after="120" w:line="240" w:lineRule="auto"/>
              <w:jc w:val="both"/>
              <w:rPr>
                <w:rFonts w:ascii="Montserrat" w:eastAsia="Times New Roman" w:hAnsi="Montserrat" w:cs="Arial"/>
                <w:color w:val="000000"/>
                <w:sz w:val="15"/>
                <w:szCs w:val="15"/>
                <w:lang w:eastAsia="es-MX"/>
              </w:rPr>
            </w:pPr>
            <w:r w:rsidRPr="00255081">
              <w:rPr>
                <w:rFonts w:ascii="Montserrat" w:eastAsia="Times New Roman" w:hAnsi="Montserrat" w:cs="Calibri"/>
                <w:sz w:val="15"/>
                <w:szCs w:val="15"/>
                <w:lang w:val="es-MX" w:eastAsia="es-MX"/>
              </w:rPr>
              <w:t>Fondo para la Protección de las Personas Defensoras de Derechos Humanos y Periodistas</w:t>
            </w:r>
          </w:p>
        </w:tc>
        <w:tc>
          <w:tcPr>
            <w:tcW w:w="2268" w:type="dxa"/>
            <w:gridSpan w:val="2"/>
            <w:tcBorders>
              <w:top w:val="nil"/>
            </w:tcBorders>
            <w:shd w:val="clear" w:color="auto" w:fill="F2F2F2" w:themeFill="background1" w:themeFillShade="F2"/>
            <w:vAlign w:val="center"/>
          </w:tcPr>
          <w:p w14:paraId="6E637ED4" w14:textId="62A48112" w:rsidR="00EC2223" w:rsidRPr="00255081" w:rsidRDefault="00EC2223" w:rsidP="002702EC">
            <w:pPr>
              <w:spacing w:after="120" w:line="240" w:lineRule="auto"/>
              <w:jc w:val="right"/>
              <w:rPr>
                <w:rFonts w:ascii="Montserrat" w:eastAsia="Times New Roman" w:hAnsi="Montserrat" w:cs="Arial"/>
                <w:color w:val="000000"/>
                <w:sz w:val="15"/>
                <w:szCs w:val="15"/>
                <w:lang w:eastAsia="es-MX"/>
              </w:rPr>
            </w:pPr>
            <w:r w:rsidRPr="00255081">
              <w:rPr>
                <w:rFonts w:ascii="Montserrat" w:eastAsia="Times New Roman" w:hAnsi="Montserrat" w:cs="Calibri"/>
                <w:sz w:val="15"/>
                <w:szCs w:val="15"/>
                <w:lang w:val="es-MX" w:eastAsia="es-MX"/>
              </w:rPr>
              <w:t>212,504,624</w:t>
            </w:r>
          </w:p>
        </w:tc>
        <w:tc>
          <w:tcPr>
            <w:tcW w:w="2268" w:type="dxa"/>
            <w:gridSpan w:val="2"/>
            <w:tcBorders>
              <w:top w:val="nil"/>
            </w:tcBorders>
            <w:shd w:val="clear" w:color="auto" w:fill="F2F2F2" w:themeFill="background1" w:themeFillShade="F2"/>
            <w:vAlign w:val="center"/>
          </w:tcPr>
          <w:p w14:paraId="2F15C4EF" w14:textId="5BF886C0" w:rsidR="00EC2223" w:rsidRPr="00255081" w:rsidRDefault="00EC2223" w:rsidP="002702EC">
            <w:pPr>
              <w:spacing w:after="120" w:line="240" w:lineRule="auto"/>
              <w:jc w:val="right"/>
              <w:rPr>
                <w:rFonts w:ascii="Montserrat" w:eastAsia="Times New Roman" w:hAnsi="Montserrat" w:cs="Arial"/>
                <w:color w:val="000000"/>
                <w:sz w:val="15"/>
                <w:szCs w:val="15"/>
                <w:lang w:eastAsia="es-MX"/>
              </w:rPr>
            </w:pPr>
            <w:r w:rsidRPr="00255081">
              <w:rPr>
                <w:rFonts w:ascii="Montserrat" w:eastAsia="Times New Roman" w:hAnsi="Montserrat" w:cs="Calibri"/>
                <w:sz w:val="15"/>
                <w:szCs w:val="15"/>
                <w:lang w:val="es-MX" w:eastAsia="es-MX"/>
              </w:rPr>
              <w:t>100%</w:t>
            </w:r>
          </w:p>
        </w:tc>
        <w:tc>
          <w:tcPr>
            <w:tcW w:w="2098" w:type="dxa"/>
            <w:gridSpan w:val="2"/>
            <w:tcBorders>
              <w:top w:val="nil"/>
            </w:tcBorders>
            <w:shd w:val="clear" w:color="auto" w:fill="F2F2F2" w:themeFill="background1" w:themeFillShade="F2"/>
            <w:noWrap/>
            <w:vAlign w:val="center"/>
          </w:tcPr>
          <w:p w14:paraId="13C7AF45" w14:textId="672A1A85" w:rsidR="00EC2223" w:rsidRPr="00255081" w:rsidRDefault="00EC2223" w:rsidP="002702EC">
            <w:pPr>
              <w:spacing w:after="120" w:line="240" w:lineRule="auto"/>
              <w:jc w:val="right"/>
              <w:rPr>
                <w:rFonts w:ascii="Montserrat" w:eastAsia="Times New Roman" w:hAnsi="Montserrat" w:cs="Arial"/>
                <w:color w:val="000000"/>
                <w:sz w:val="15"/>
                <w:szCs w:val="15"/>
                <w:lang w:eastAsia="es-MX"/>
              </w:rPr>
            </w:pPr>
            <w:r w:rsidRPr="00255081">
              <w:rPr>
                <w:rFonts w:ascii="Montserrat" w:eastAsia="Times New Roman" w:hAnsi="Montserrat" w:cs="Calibri"/>
                <w:sz w:val="15"/>
                <w:szCs w:val="15"/>
                <w:lang w:val="es-MX" w:eastAsia="es-MX"/>
              </w:rPr>
              <w:t>212,504,624</w:t>
            </w:r>
          </w:p>
        </w:tc>
      </w:tr>
      <w:tr w:rsidR="00EC2223" w:rsidRPr="006F0DF1" w14:paraId="401F6313" w14:textId="77777777" w:rsidTr="000F0321">
        <w:trPr>
          <w:trHeight w:val="340"/>
        </w:trPr>
        <w:tc>
          <w:tcPr>
            <w:tcW w:w="6095" w:type="dxa"/>
            <w:tcBorders>
              <w:top w:val="nil"/>
            </w:tcBorders>
            <w:shd w:val="clear" w:color="auto" w:fill="F2F2F2" w:themeFill="background1" w:themeFillShade="F2"/>
            <w:vAlign w:val="center"/>
          </w:tcPr>
          <w:p w14:paraId="664A88E3" w14:textId="7ED4F66B" w:rsidR="00EC2223" w:rsidRPr="00255081" w:rsidRDefault="00EC2223" w:rsidP="004B170A">
            <w:pPr>
              <w:spacing w:after="120" w:line="240" w:lineRule="auto"/>
              <w:jc w:val="both"/>
              <w:rPr>
                <w:rFonts w:ascii="Montserrat" w:eastAsia="Times New Roman" w:hAnsi="Montserrat" w:cs="Arial"/>
                <w:color w:val="000000"/>
                <w:sz w:val="15"/>
                <w:szCs w:val="15"/>
                <w:lang w:eastAsia="es-MX"/>
              </w:rPr>
            </w:pPr>
            <w:r w:rsidRPr="00255081">
              <w:rPr>
                <w:rFonts w:ascii="Montserrat" w:eastAsia="Times New Roman" w:hAnsi="Montserrat" w:cs="Calibri"/>
                <w:sz w:val="15"/>
                <w:szCs w:val="15"/>
                <w:lang w:val="es-MX" w:eastAsia="es-MX"/>
              </w:rPr>
              <w:t>Cumplimiento de Obligaciones en materia de Derechos Humanos</w:t>
            </w:r>
          </w:p>
        </w:tc>
        <w:tc>
          <w:tcPr>
            <w:tcW w:w="2268" w:type="dxa"/>
            <w:gridSpan w:val="2"/>
            <w:tcBorders>
              <w:top w:val="nil"/>
            </w:tcBorders>
            <w:shd w:val="clear" w:color="auto" w:fill="F2F2F2" w:themeFill="background1" w:themeFillShade="F2"/>
            <w:vAlign w:val="center"/>
          </w:tcPr>
          <w:p w14:paraId="41841779" w14:textId="2828E1FB" w:rsidR="00EC2223" w:rsidRPr="00255081" w:rsidRDefault="00EC2223" w:rsidP="002702EC">
            <w:pPr>
              <w:spacing w:after="120" w:line="240" w:lineRule="auto"/>
              <w:jc w:val="right"/>
              <w:rPr>
                <w:rFonts w:ascii="Montserrat" w:eastAsia="Times New Roman" w:hAnsi="Montserrat" w:cs="Arial"/>
                <w:color w:val="000000"/>
                <w:sz w:val="15"/>
                <w:szCs w:val="15"/>
                <w:lang w:eastAsia="es-MX"/>
              </w:rPr>
            </w:pPr>
            <w:r w:rsidRPr="00255081">
              <w:rPr>
                <w:rFonts w:ascii="Montserrat" w:eastAsia="Times New Roman" w:hAnsi="Montserrat" w:cs="Calibri"/>
                <w:sz w:val="15"/>
                <w:szCs w:val="15"/>
                <w:lang w:val="es-MX" w:eastAsia="es-MX"/>
              </w:rPr>
              <w:t>99,361,682</w:t>
            </w:r>
          </w:p>
        </w:tc>
        <w:tc>
          <w:tcPr>
            <w:tcW w:w="2268" w:type="dxa"/>
            <w:gridSpan w:val="2"/>
            <w:tcBorders>
              <w:top w:val="nil"/>
            </w:tcBorders>
            <w:shd w:val="clear" w:color="auto" w:fill="F2F2F2" w:themeFill="background1" w:themeFillShade="F2"/>
            <w:vAlign w:val="center"/>
          </w:tcPr>
          <w:p w14:paraId="79DDFCCF" w14:textId="43722689" w:rsidR="00EC2223" w:rsidRPr="00255081" w:rsidRDefault="00EC2223" w:rsidP="002702EC">
            <w:pPr>
              <w:spacing w:after="120" w:line="240" w:lineRule="auto"/>
              <w:jc w:val="right"/>
              <w:rPr>
                <w:rFonts w:ascii="Montserrat" w:eastAsia="Times New Roman" w:hAnsi="Montserrat" w:cs="Arial"/>
                <w:color w:val="000000"/>
                <w:sz w:val="15"/>
                <w:szCs w:val="15"/>
                <w:lang w:eastAsia="es-MX"/>
              </w:rPr>
            </w:pPr>
            <w:r w:rsidRPr="00255081">
              <w:rPr>
                <w:rFonts w:ascii="Montserrat" w:eastAsia="Times New Roman" w:hAnsi="Montserrat" w:cs="Calibri"/>
                <w:sz w:val="15"/>
                <w:szCs w:val="15"/>
                <w:lang w:val="es-MX" w:eastAsia="es-MX"/>
              </w:rPr>
              <w:t>100%</w:t>
            </w:r>
          </w:p>
        </w:tc>
        <w:tc>
          <w:tcPr>
            <w:tcW w:w="2098" w:type="dxa"/>
            <w:gridSpan w:val="2"/>
            <w:tcBorders>
              <w:top w:val="nil"/>
            </w:tcBorders>
            <w:shd w:val="clear" w:color="auto" w:fill="F2F2F2" w:themeFill="background1" w:themeFillShade="F2"/>
            <w:noWrap/>
            <w:vAlign w:val="center"/>
          </w:tcPr>
          <w:p w14:paraId="54724DCC" w14:textId="53165239" w:rsidR="00EC2223" w:rsidRPr="00255081" w:rsidRDefault="00EC2223" w:rsidP="002702EC">
            <w:pPr>
              <w:spacing w:after="120" w:line="240" w:lineRule="auto"/>
              <w:jc w:val="right"/>
              <w:rPr>
                <w:rFonts w:ascii="Montserrat" w:eastAsia="Times New Roman" w:hAnsi="Montserrat" w:cs="Arial"/>
                <w:color w:val="000000"/>
                <w:sz w:val="15"/>
                <w:szCs w:val="15"/>
                <w:lang w:eastAsia="es-MX"/>
              </w:rPr>
            </w:pPr>
            <w:r w:rsidRPr="00255081">
              <w:rPr>
                <w:rFonts w:ascii="Montserrat" w:eastAsia="Times New Roman" w:hAnsi="Montserrat" w:cs="Calibri"/>
                <w:sz w:val="15"/>
                <w:szCs w:val="15"/>
                <w:lang w:val="es-MX" w:eastAsia="es-MX"/>
              </w:rPr>
              <w:t>99,361,682</w:t>
            </w:r>
          </w:p>
        </w:tc>
      </w:tr>
      <w:tr w:rsidR="00EC2223" w:rsidRPr="006F0DF1" w14:paraId="637D3746" w14:textId="77777777" w:rsidTr="000F0321">
        <w:trPr>
          <w:trHeight w:val="340"/>
        </w:trPr>
        <w:tc>
          <w:tcPr>
            <w:tcW w:w="6095" w:type="dxa"/>
            <w:tcBorders>
              <w:top w:val="nil"/>
            </w:tcBorders>
            <w:shd w:val="clear" w:color="auto" w:fill="F2F2F2" w:themeFill="background1" w:themeFillShade="F2"/>
            <w:vAlign w:val="center"/>
          </w:tcPr>
          <w:p w14:paraId="0F28B330" w14:textId="4AFE6EB7" w:rsidR="00EC2223" w:rsidRPr="00255081" w:rsidRDefault="00EC2223" w:rsidP="004B170A">
            <w:pPr>
              <w:spacing w:after="120" w:line="240" w:lineRule="auto"/>
              <w:jc w:val="both"/>
              <w:rPr>
                <w:rFonts w:ascii="Montserrat" w:eastAsia="Times New Roman" w:hAnsi="Montserrat" w:cs="Arial"/>
                <w:color w:val="000000"/>
                <w:sz w:val="15"/>
                <w:szCs w:val="15"/>
                <w:lang w:eastAsia="es-MX"/>
              </w:rPr>
            </w:pPr>
            <w:r w:rsidRPr="00255081">
              <w:rPr>
                <w:rFonts w:ascii="Montserrat" w:eastAsia="Times New Roman" w:hAnsi="Montserrat" w:cs="Calibri"/>
                <w:sz w:val="15"/>
                <w:szCs w:val="15"/>
                <w:lang w:val="es-MX" w:eastAsia="es-MX"/>
              </w:rPr>
              <w:t>Fideicomiso para Cubrir Gastos por Demandas en el Extranjero</w:t>
            </w:r>
          </w:p>
        </w:tc>
        <w:tc>
          <w:tcPr>
            <w:tcW w:w="2268" w:type="dxa"/>
            <w:gridSpan w:val="2"/>
            <w:tcBorders>
              <w:top w:val="nil"/>
            </w:tcBorders>
            <w:shd w:val="clear" w:color="auto" w:fill="F2F2F2" w:themeFill="background1" w:themeFillShade="F2"/>
            <w:vAlign w:val="center"/>
          </w:tcPr>
          <w:p w14:paraId="2D8D9FB7" w14:textId="37568B38" w:rsidR="00EC2223" w:rsidRPr="00255081" w:rsidRDefault="00EC2223" w:rsidP="002702EC">
            <w:pPr>
              <w:spacing w:after="120" w:line="240" w:lineRule="auto"/>
              <w:jc w:val="right"/>
              <w:rPr>
                <w:rFonts w:ascii="Montserrat" w:eastAsia="Times New Roman" w:hAnsi="Montserrat" w:cs="Arial"/>
                <w:color w:val="000000"/>
                <w:sz w:val="15"/>
                <w:szCs w:val="15"/>
                <w:lang w:eastAsia="es-MX"/>
              </w:rPr>
            </w:pPr>
            <w:r w:rsidRPr="00255081">
              <w:rPr>
                <w:rFonts w:ascii="Montserrat" w:eastAsia="Times New Roman" w:hAnsi="Montserrat" w:cs="Calibri"/>
                <w:sz w:val="15"/>
                <w:szCs w:val="15"/>
                <w:lang w:val="es-MX" w:eastAsia="es-MX"/>
              </w:rPr>
              <w:t>293,322,128</w:t>
            </w:r>
          </w:p>
        </w:tc>
        <w:tc>
          <w:tcPr>
            <w:tcW w:w="2268" w:type="dxa"/>
            <w:gridSpan w:val="2"/>
            <w:tcBorders>
              <w:top w:val="nil"/>
            </w:tcBorders>
            <w:shd w:val="clear" w:color="auto" w:fill="F2F2F2" w:themeFill="background1" w:themeFillShade="F2"/>
            <w:vAlign w:val="center"/>
          </w:tcPr>
          <w:p w14:paraId="15FE92E5" w14:textId="0E27C32E" w:rsidR="00EC2223" w:rsidRPr="00255081" w:rsidRDefault="00EC2223" w:rsidP="002702EC">
            <w:pPr>
              <w:spacing w:after="120" w:line="240" w:lineRule="auto"/>
              <w:jc w:val="right"/>
              <w:rPr>
                <w:rFonts w:ascii="Montserrat" w:eastAsia="Times New Roman" w:hAnsi="Montserrat" w:cs="Arial"/>
                <w:color w:val="000000"/>
                <w:sz w:val="15"/>
                <w:szCs w:val="15"/>
                <w:lang w:eastAsia="es-MX"/>
              </w:rPr>
            </w:pPr>
            <w:r w:rsidRPr="00255081">
              <w:rPr>
                <w:rFonts w:ascii="Montserrat" w:eastAsia="Times New Roman" w:hAnsi="Montserrat" w:cs="Calibri"/>
                <w:sz w:val="15"/>
                <w:szCs w:val="15"/>
                <w:lang w:val="es-MX" w:eastAsia="es-MX"/>
              </w:rPr>
              <w:t>100%</w:t>
            </w:r>
          </w:p>
        </w:tc>
        <w:tc>
          <w:tcPr>
            <w:tcW w:w="2098" w:type="dxa"/>
            <w:gridSpan w:val="2"/>
            <w:tcBorders>
              <w:top w:val="nil"/>
            </w:tcBorders>
            <w:shd w:val="clear" w:color="auto" w:fill="F2F2F2" w:themeFill="background1" w:themeFillShade="F2"/>
            <w:noWrap/>
            <w:vAlign w:val="center"/>
          </w:tcPr>
          <w:p w14:paraId="276EDF67" w14:textId="0495D99D" w:rsidR="00EC2223" w:rsidRPr="00255081" w:rsidRDefault="00EC2223" w:rsidP="002702EC">
            <w:pPr>
              <w:spacing w:after="120" w:line="240" w:lineRule="auto"/>
              <w:jc w:val="right"/>
              <w:rPr>
                <w:rFonts w:ascii="Montserrat" w:eastAsia="Times New Roman" w:hAnsi="Montserrat" w:cs="Arial"/>
                <w:color w:val="000000"/>
                <w:sz w:val="15"/>
                <w:szCs w:val="15"/>
                <w:lang w:eastAsia="es-MX"/>
              </w:rPr>
            </w:pPr>
            <w:r w:rsidRPr="00255081">
              <w:rPr>
                <w:rFonts w:ascii="Montserrat" w:eastAsia="Times New Roman" w:hAnsi="Montserrat" w:cs="Calibri"/>
                <w:sz w:val="15"/>
                <w:szCs w:val="15"/>
                <w:lang w:val="es-MX" w:eastAsia="es-MX"/>
              </w:rPr>
              <w:t>293,322,128</w:t>
            </w:r>
          </w:p>
        </w:tc>
      </w:tr>
      <w:tr w:rsidR="00EC2223" w:rsidRPr="006F0DF1" w14:paraId="0221901E" w14:textId="77777777" w:rsidTr="000F0321">
        <w:trPr>
          <w:trHeight w:val="340"/>
        </w:trPr>
        <w:tc>
          <w:tcPr>
            <w:tcW w:w="6095" w:type="dxa"/>
            <w:tcBorders>
              <w:top w:val="nil"/>
            </w:tcBorders>
            <w:shd w:val="clear" w:color="auto" w:fill="F2F2F2" w:themeFill="background1" w:themeFillShade="F2"/>
            <w:vAlign w:val="center"/>
          </w:tcPr>
          <w:p w14:paraId="4E792E38" w14:textId="77777777" w:rsidR="000A1B05" w:rsidRDefault="000A1B05" w:rsidP="004B170A">
            <w:pPr>
              <w:spacing w:after="120" w:line="240" w:lineRule="auto"/>
              <w:jc w:val="both"/>
              <w:rPr>
                <w:rFonts w:ascii="Montserrat" w:eastAsia="Times New Roman" w:hAnsi="Montserrat" w:cs="Calibri"/>
                <w:sz w:val="15"/>
                <w:szCs w:val="15"/>
                <w:lang w:val="es-MX" w:eastAsia="es-MX"/>
              </w:rPr>
            </w:pPr>
          </w:p>
          <w:p w14:paraId="55BE75DC" w14:textId="1DEA4876" w:rsidR="00EC2223" w:rsidRPr="00255081" w:rsidRDefault="00EC2223" w:rsidP="004B170A">
            <w:pPr>
              <w:spacing w:after="120" w:line="240" w:lineRule="auto"/>
              <w:jc w:val="both"/>
              <w:rPr>
                <w:rFonts w:ascii="Montserrat" w:eastAsia="Times New Roman" w:hAnsi="Montserrat" w:cs="Arial"/>
                <w:color w:val="000000"/>
                <w:sz w:val="15"/>
                <w:szCs w:val="15"/>
                <w:lang w:eastAsia="es-MX"/>
              </w:rPr>
            </w:pPr>
            <w:r w:rsidRPr="00255081">
              <w:rPr>
                <w:rFonts w:ascii="Montserrat" w:eastAsia="Times New Roman" w:hAnsi="Montserrat" w:cs="Calibri"/>
                <w:sz w:val="15"/>
                <w:szCs w:val="15"/>
                <w:lang w:val="es-MX" w:eastAsia="es-MX"/>
              </w:rPr>
              <w:t>Mandato para la Estrategia de Fortalecimiento para la Atención a Mexicanos en Estados Unidos</w:t>
            </w:r>
          </w:p>
        </w:tc>
        <w:tc>
          <w:tcPr>
            <w:tcW w:w="2268" w:type="dxa"/>
            <w:gridSpan w:val="2"/>
            <w:tcBorders>
              <w:top w:val="nil"/>
            </w:tcBorders>
            <w:shd w:val="clear" w:color="auto" w:fill="F2F2F2" w:themeFill="background1" w:themeFillShade="F2"/>
            <w:vAlign w:val="center"/>
          </w:tcPr>
          <w:p w14:paraId="628050D4" w14:textId="5256B5BD" w:rsidR="00EC2223" w:rsidRPr="00255081" w:rsidRDefault="00EC2223" w:rsidP="002702EC">
            <w:pPr>
              <w:spacing w:after="120" w:line="240" w:lineRule="auto"/>
              <w:jc w:val="right"/>
              <w:rPr>
                <w:rFonts w:ascii="Montserrat" w:eastAsia="Times New Roman" w:hAnsi="Montserrat" w:cs="Arial"/>
                <w:color w:val="000000"/>
                <w:sz w:val="15"/>
                <w:szCs w:val="15"/>
                <w:lang w:eastAsia="es-MX"/>
              </w:rPr>
            </w:pPr>
            <w:r w:rsidRPr="00255081">
              <w:rPr>
                <w:rFonts w:ascii="Montserrat" w:eastAsia="Times New Roman" w:hAnsi="Montserrat" w:cs="Calibri"/>
                <w:sz w:val="15"/>
                <w:szCs w:val="15"/>
                <w:lang w:val="es-MX" w:eastAsia="es-MX"/>
              </w:rPr>
              <w:t>132,034,713</w:t>
            </w:r>
          </w:p>
        </w:tc>
        <w:tc>
          <w:tcPr>
            <w:tcW w:w="2268" w:type="dxa"/>
            <w:gridSpan w:val="2"/>
            <w:tcBorders>
              <w:top w:val="nil"/>
            </w:tcBorders>
            <w:shd w:val="clear" w:color="auto" w:fill="F2F2F2" w:themeFill="background1" w:themeFillShade="F2"/>
            <w:vAlign w:val="center"/>
          </w:tcPr>
          <w:p w14:paraId="1E62FAEB" w14:textId="6386F896" w:rsidR="00EC2223" w:rsidRPr="00255081" w:rsidRDefault="00EC2223" w:rsidP="002702EC">
            <w:pPr>
              <w:spacing w:after="120" w:line="240" w:lineRule="auto"/>
              <w:jc w:val="right"/>
              <w:rPr>
                <w:rFonts w:ascii="Montserrat" w:eastAsia="Times New Roman" w:hAnsi="Montserrat" w:cs="Arial"/>
                <w:color w:val="000000"/>
                <w:sz w:val="15"/>
                <w:szCs w:val="15"/>
                <w:lang w:eastAsia="es-MX"/>
              </w:rPr>
            </w:pPr>
            <w:r w:rsidRPr="00255081">
              <w:rPr>
                <w:rFonts w:ascii="Montserrat" w:eastAsia="Times New Roman" w:hAnsi="Montserrat" w:cs="Calibri"/>
                <w:sz w:val="15"/>
                <w:szCs w:val="15"/>
                <w:lang w:val="es-MX" w:eastAsia="es-MX"/>
              </w:rPr>
              <w:t>100%</w:t>
            </w:r>
          </w:p>
        </w:tc>
        <w:tc>
          <w:tcPr>
            <w:tcW w:w="2098" w:type="dxa"/>
            <w:gridSpan w:val="2"/>
            <w:tcBorders>
              <w:top w:val="nil"/>
            </w:tcBorders>
            <w:shd w:val="clear" w:color="auto" w:fill="F2F2F2" w:themeFill="background1" w:themeFillShade="F2"/>
            <w:noWrap/>
            <w:vAlign w:val="center"/>
          </w:tcPr>
          <w:p w14:paraId="06BC5550" w14:textId="77522253" w:rsidR="00EC2223" w:rsidRPr="00255081" w:rsidRDefault="00EC2223" w:rsidP="002702EC">
            <w:pPr>
              <w:spacing w:after="120" w:line="240" w:lineRule="auto"/>
              <w:jc w:val="right"/>
              <w:rPr>
                <w:rFonts w:ascii="Montserrat" w:eastAsia="Times New Roman" w:hAnsi="Montserrat" w:cs="Arial"/>
                <w:color w:val="000000"/>
                <w:sz w:val="15"/>
                <w:szCs w:val="15"/>
                <w:lang w:eastAsia="es-MX"/>
              </w:rPr>
            </w:pPr>
            <w:r w:rsidRPr="00255081">
              <w:rPr>
                <w:rFonts w:ascii="Montserrat" w:eastAsia="Times New Roman" w:hAnsi="Montserrat" w:cs="Calibri"/>
                <w:sz w:val="15"/>
                <w:szCs w:val="15"/>
                <w:lang w:val="es-MX" w:eastAsia="es-MX"/>
              </w:rPr>
              <w:t>132,034,713</w:t>
            </w:r>
          </w:p>
        </w:tc>
      </w:tr>
      <w:tr w:rsidR="00EC2223" w:rsidRPr="006F0DF1" w14:paraId="489D0672" w14:textId="77777777" w:rsidTr="000F0321">
        <w:trPr>
          <w:trHeight w:val="340"/>
        </w:trPr>
        <w:tc>
          <w:tcPr>
            <w:tcW w:w="6095" w:type="dxa"/>
            <w:tcBorders>
              <w:top w:val="nil"/>
            </w:tcBorders>
            <w:shd w:val="clear" w:color="auto" w:fill="F2F2F2" w:themeFill="background1" w:themeFillShade="F2"/>
            <w:vAlign w:val="center"/>
          </w:tcPr>
          <w:p w14:paraId="5CA28F43" w14:textId="3FEA9283" w:rsidR="00EC2223" w:rsidRPr="00255081" w:rsidRDefault="00EC2223" w:rsidP="004B170A">
            <w:pPr>
              <w:spacing w:after="120" w:line="240" w:lineRule="auto"/>
              <w:jc w:val="both"/>
              <w:rPr>
                <w:rFonts w:ascii="Montserrat" w:eastAsia="Times New Roman" w:hAnsi="Montserrat" w:cs="Arial"/>
                <w:color w:val="000000"/>
                <w:sz w:val="15"/>
                <w:szCs w:val="15"/>
                <w:lang w:eastAsia="es-MX"/>
              </w:rPr>
            </w:pPr>
            <w:r w:rsidRPr="00255081">
              <w:rPr>
                <w:rFonts w:ascii="Montserrat" w:eastAsia="Times New Roman" w:hAnsi="Montserrat" w:cs="Calibri"/>
                <w:sz w:val="15"/>
                <w:szCs w:val="15"/>
                <w:lang w:val="es-MX" w:eastAsia="es-MX"/>
              </w:rPr>
              <w:t>Mandato para el Establecimiento del Fondo de Contingencia para las Representaciones de México en el Extranjero</w:t>
            </w:r>
          </w:p>
        </w:tc>
        <w:tc>
          <w:tcPr>
            <w:tcW w:w="2268" w:type="dxa"/>
            <w:gridSpan w:val="2"/>
            <w:tcBorders>
              <w:top w:val="nil"/>
            </w:tcBorders>
            <w:shd w:val="clear" w:color="auto" w:fill="F2F2F2" w:themeFill="background1" w:themeFillShade="F2"/>
            <w:vAlign w:val="center"/>
          </w:tcPr>
          <w:p w14:paraId="5C974E5E" w14:textId="59FA3D1C" w:rsidR="00EC2223" w:rsidRPr="00255081" w:rsidRDefault="00EC2223" w:rsidP="002702EC">
            <w:pPr>
              <w:spacing w:after="120" w:line="240" w:lineRule="auto"/>
              <w:jc w:val="right"/>
              <w:rPr>
                <w:rFonts w:ascii="Montserrat" w:eastAsia="Times New Roman" w:hAnsi="Montserrat" w:cs="Arial"/>
                <w:color w:val="000000"/>
                <w:sz w:val="15"/>
                <w:szCs w:val="15"/>
                <w:lang w:eastAsia="es-MX"/>
              </w:rPr>
            </w:pPr>
            <w:r w:rsidRPr="00255081">
              <w:rPr>
                <w:rFonts w:ascii="Montserrat" w:eastAsia="Times New Roman" w:hAnsi="Montserrat" w:cs="Calibri"/>
                <w:sz w:val="15"/>
                <w:szCs w:val="15"/>
                <w:lang w:val="es-MX" w:eastAsia="es-MX"/>
              </w:rPr>
              <w:t>21,997,533</w:t>
            </w:r>
          </w:p>
        </w:tc>
        <w:tc>
          <w:tcPr>
            <w:tcW w:w="2268" w:type="dxa"/>
            <w:gridSpan w:val="2"/>
            <w:tcBorders>
              <w:top w:val="nil"/>
            </w:tcBorders>
            <w:shd w:val="clear" w:color="auto" w:fill="F2F2F2" w:themeFill="background1" w:themeFillShade="F2"/>
            <w:vAlign w:val="center"/>
          </w:tcPr>
          <w:p w14:paraId="10B2D34E" w14:textId="700736CE" w:rsidR="00EC2223" w:rsidRPr="00255081" w:rsidRDefault="00EC2223" w:rsidP="002702EC">
            <w:pPr>
              <w:spacing w:after="120" w:line="240" w:lineRule="auto"/>
              <w:jc w:val="right"/>
              <w:rPr>
                <w:rFonts w:ascii="Montserrat" w:eastAsia="Times New Roman" w:hAnsi="Montserrat" w:cs="Arial"/>
                <w:color w:val="000000"/>
                <w:sz w:val="15"/>
                <w:szCs w:val="15"/>
                <w:lang w:eastAsia="es-MX"/>
              </w:rPr>
            </w:pPr>
            <w:r w:rsidRPr="00255081">
              <w:rPr>
                <w:rFonts w:ascii="Montserrat" w:eastAsia="Times New Roman" w:hAnsi="Montserrat" w:cs="Calibri"/>
                <w:sz w:val="15"/>
                <w:szCs w:val="15"/>
                <w:lang w:val="es-MX" w:eastAsia="es-MX"/>
              </w:rPr>
              <w:t>100%</w:t>
            </w:r>
          </w:p>
        </w:tc>
        <w:tc>
          <w:tcPr>
            <w:tcW w:w="2098" w:type="dxa"/>
            <w:gridSpan w:val="2"/>
            <w:tcBorders>
              <w:top w:val="nil"/>
            </w:tcBorders>
            <w:shd w:val="clear" w:color="auto" w:fill="F2F2F2" w:themeFill="background1" w:themeFillShade="F2"/>
            <w:noWrap/>
            <w:vAlign w:val="center"/>
          </w:tcPr>
          <w:p w14:paraId="635ED84E" w14:textId="6686E528" w:rsidR="00EC2223" w:rsidRPr="00255081" w:rsidRDefault="00EC2223" w:rsidP="002702EC">
            <w:pPr>
              <w:spacing w:after="120" w:line="240" w:lineRule="auto"/>
              <w:jc w:val="right"/>
              <w:rPr>
                <w:rFonts w:ascii="Montserrat" w:eastAsia="Times New Roman" w:hAnsi="Montserrat" w:cs="Arial"/>
                <w:color w:val="000000"/>
                <w:sz w:val="15"/>
                <w:szCs w:val="15"/>
                <w:lang w:eastAsia="es-MX"/>
              </w:rPr>
            </w:pPr>
            <w:r w:rsidRPr="00255081">
              <w:rPr>
                <w:rFonts w:ascii="Montserrat" w:eastAsia="Times New Roman" w:hAnsi="Montserrat" w:cs="Calibri"/>
                <w:sz w:val="15"/>
                <w:szCs w:val="15"/>
                <w:lang w:val="es-MX" w:eastAsia="es-MX"/>
              </w:rPr>
              <w:t>21,997,533</w:t>
            </w:r>
          </w:p>
        </w:tc>
      </w:tr>
      <w:tr w:rsidR="00EC2223" w:rsidRPr="006F0DF1" w14:paraId="0E064A0A" w14:textId="77777777" w:rsidTr="002702EC">
        <w:trPr>
          <w:trHeight w:val="389"/>
        </w:trPr>
        <w:tc>
          <w:tcPr>
            <w:tcW w:w="6095" w:type="dxa"/>
            <w:tcBorders>
              <w:top w:val="nil"/>
            </w:tcBorders>
            <w:shd w:val="clear" w:color="auto" w:fill="F2F2F2" w:themeFill="background1" w:themeFillShade="F2"/>
            <w:vAlign w:val="bottom"/>
          </w:tcPr>
          <w:p w14:paraId="4B0D22A6" w14:textId="2503758C" w:rsidR="00EC2223" w:rsidRPr="00255081" w:rsidRDefault="00EC2223" w:rsidP="004B170A">
            <w:pPr>
              <w:spacing w:after="120" w:line="240" w:lineRule="auto"/>
              <w:jc w:val="both"/>
              <w:rPr>
                <w:rFonts w:ascii="Montserrat" w:eastAsia="Times New Roman" w:hAnsi="Montserrat" w:cs="Arial"/>
                <w:color w:val="000000"/>
                <w:sz w:val="15"/>
                <w:szCs w:val="15"/>
                <w:lang w:eastAsia="es-MX"/>
              </w:rPr>
            </w:pPr>
            <w:r w:rsidRPr="00255081">
              <w:rPr>
                <w:rFonts w:ascii="Montserrat" w:eastAsia="Times New Roman" w:hAnsi="Montserrat" w:cs="Calibri"/>
                <w:sz w:val="15"/>
                <w:szCs w:val="15"/>
                <w:lang w:val="es-MX" w:eastAsia="es-MX"/>
              </w:rPr>
              <w:t>Fondo Mixto de Cooperación Técnica y Científica México-España</w:t>
            </w:r>
          </w:p>
        </w:tc>
        <w:tc>
          <w:tcPr>
            <w:tcW w:w="2268" w:type="dxa"/>
            <w:gridSpan w:val="2"/>
            <w:tcBorders>
              <w:top w:val="nil"/>
            </w:tcBorders>
            <w:shd w:val="clear" w:color="auto" w:fill="F2F2F2" w:themeFill="background1" w:themeFillShade="F2"/>
            <w:vAlign w:val="bottom"/>
          </w:tcPr>
          <w:p w14:paraId="0CA9CEA8" w14:textId="4C61E144" w:rsidR="00EC2223" w:rsidRPr="00255081" w:rsidRDefault="00EC2223" w:rsidP="002702EC">
            <w:pPr>
              <w:spacing w:after="120" w:line="240" w:lineRule="auto"/>
              <w:jc w:val="right"/>
              <w:rPr>
                <w:rFonts w:ascii="Montserrat" w:eastAsia="Times New Roman" w:hAnsi="Montserrat" w:cs="Arial"/>
                <w:color w:val="000000"/>
                <w:sz w:val="15"/>
                <w:szCs w:val="15"/>
                <w:lang w:eastAsia="es-MX"/>
              </w:rPr>
            </w:pPr>
            <w:r w:rsidRPr="00255081">
              <w:rPr>
                <w:rFonts w:ascii="Montserrat" w:eastAsia="Times New Roman" w:hAnsi="Montserrat" w:cs="Calibri"/>
                <w:sz w:val="15"/>
                <w:szCs w:val="15"/>
                <w:lang w:val="es-MX" w:eastAsia="es-MX"/>
              </w:rPr>
              <w:t>76,578,540</w:t>
            </w:r>
          </w:p>
        </w:tc>
        <w:tc>
          <w:tcPr>
            <w:tcW w:w="2268" w:type="dxa"/>
            <w:gridSpan w:val="2"/>
            <w:tcBorders>
              <w:top w:val="nil"/>
            </w:tcBorders>
            <w:shd w:val="clear" w:color="auto" w:fill="F2F2F2" w:themeFill="background1" w:themeFillShade="F2"/>
            <w:vAlign w:val="bottom"/>
          </w:tcPr>
          <w:p w14:paraId="1FA3CDDA" w14:textId="620BCFC8" w:rsidR="00EC2223" w:rsidRPr="00255081" w:rsidRDefault="00EC2223" w:rsidP="002702EC">
            <w:pPr>
              <w:spacing w:after="120" w:line="240" w:lineRule="auto"/>
              <w:jc w:val="right"/>
              <w:rPr>
                <w:rFonts w:ascii="Montserrat" w:eastAsia="Times New Roman" w:hAnsi="Montserrat" w:cs="Arial"/>
                <w:color w:val="000000"/>
                <w:sz w:val="15"/>
                <w:szCs w:val="15"/>
                <w:lang w:eastAsia="es-MX"/>
              </w:rPr>
            </w:pPr>
            <w:r w:rsidRPr="00255081">
              <w:rPr>
                <w:rFonts w:ascii="Montserrat" w:eastAsia="Times New Roman" w:hAnsi="Montserrat" w:cs="Calibri"/>
                <w:sz w:val="15"/>
                <w:szCs w:val="15"/>
                <w:lang w:val="es-MX" w:eastAsia="es-MX"/>
              </w:rPr>
              <w:t>50%</w:t>
            </w:r>
          </w:p>
        </w:tc>
        <w:tc>
          <w:tcPr>
            <w:tcW w:w="2098" w:type="dxa"/>
            <w:gridSpan w:val="2"/>
            <w:tcBorders>
              <w:top w:val="nil"/>
            </w:tcBorders>
            <w:shd w:val="clear" w:color="auto" w:fill="F2F2F2" w:themeFill="background1" w:themeFillShade="F2"/>
            <w:noWrap/>
            <w:vAlign w:val="bottom"/>
          </w:tcPr>
          <w:p w14:paraId="51F70EF9" w14:textId="322BCE96" w:rsidR="00EC2223" w:rsidRPr="00255081" w:rsidRDefault="00EC2223" w:rsidP="002702EC">
            <w:pPr>
              <w:spacing w:after="120" w:line="240" w:lineRule="auto"/>
              <w:jc w:val="right"/>
              <w:rPr>
                <w:rFonts w:ascii="Montserrat" w:eastAsia="Times New Roman" w:hAnsi="Montserrat" w:cs="Arial"/>
                <w:color w:val="000000"/>
                <w:sz w:val="15"/>
                <w:szCs w:val="15"/>
                <w:lang w:eastAsia="es-MX"/>
              </w:rPr>
            </w:pPr>
            <w:r w:rsidRPr="00255081">
              <w:rPr>
                <w:rFonts w:ascii="Montserrat" w:eastAsia="Times New Roman" w:hAnsi="Montserrat" w:cs="Calibri"/>
                <w:sz w:val="15"/>
                <w:szCs w:val="15"/>
                <w:lang w:val="es-MX" w:eastAsia="es-MX"/>
              </w:rPr>
              <w:t>38,289,270</w:t>
            </w:r>
          </w:p>
        </w:tc>
      </w:tr>
      <w:tr w:rsidR="00EC2223" w:rsidRPr="006F0DF1" w14:paraId="39EC9772" w14:textId="77777777" w:rsidTr="000F0321">
        <w:trPr>
          <w:trHeight w:val="340"/>
        </w:trPr>
        <w:tc>
          <w:tcPr>
            <w:tcW w:w="6095" w:type="dxa"/>
            <w:tcBorders>
              <w:top w:val="nil"/>
            </w:tcBorders>
            <w:shd w:val="clear" w:color="auto" w:fill="F2F2F2" w:themeFill="background1" w:themeFillShade="F2"/>
            <w:vAlign w:val="center"/>
          </w:tcPr>
          <w:p w14:paraId="22532479" w14:textId="10C13A0E" w:rsidR="00EC2223" w:rsidRPr="00255081" w:rsidRDefault="00EC2223" w:rsidP="004B170A">
            <w:pPr>
              <w:spacing w:after="120" w:line="240" w:lineRule="auto"/>
              <w:jc w:val="both"/>
              <w:rPr>
                <w:rFonts w:ascii="Montserrat" w:eastAsia="Times New Roman" w:hAnsi="Montserrat" w:cs="Arial"/>
                <w:color w:val="000000"/>
                <w:sz w:val="15"/>
                <w:szCs w:val="15"/>
                <w:lang w:eastAsia="es-MX"/>
              </w:rPr>
            </w:pPr>
            <w:r w:rsidRPr="00255081">
              <w:rPr>
                <w:rFonts w:ascii="Montserrat" w:eastAsia="Times New Roman" w:hAnsi="Montserrat" w:cs="Calibri"/>
                <w:sz w:val="15"/>
                <w:szCs w:val="15"/>
                <w:lang w:val="es-MX" w:eastAsia="es-MX"/>
              </w:rPr>
              <w:t>Fondo Nacional de Cooperación Internacional para el Desarrollo</w:t>
            </w:r>
          </w:p>
        </w:tc>
        <w:tc>
          <w:tcPr>
            <w:tcW w:w="2268" w:type="dxa"/>
            <w:gridSpan w:val="2"/>
            <w:tcBorders>
              <w:top w:val="nil"/>
            </w:tcBorders>
            <w:shd w:val="clear" w:color="auto" w:fill="F2F2F2" w:themeFill="background1" w:themeFillShade="F2"/>
            <w:vAlign w:val="center"/>
          </w:tcPr>
          <w:p w14:paraId="15DC3E4D" w14:textId="5AA82FB1" w:rsidR="00EC2223" w:rsidRPr="00255081" w:rsidRDefault="00EC2223" w:rsidP="002702EC">
            <w:pPr>
              <w:spacing w:after="120" w:line="240" w:lineRule="auto"/>
              <w:jc w:val="right"/>
              <w:rPr>
                <w:rFonts w:ascii="Montserrat" w:eastAsia="Times New Roman" w:hAnsi="Montserrat" w:cs="Arial"/>
                <w:color w:val="000000"/>
                <w:sz w:val="15"/>
                <w:szCs w:val="15"/>
                <w:lang w:eastAsia="es-MX"/>
              </w:rPr>
            </w:pPr>
            <w:r w:rsidRPr="00255081">
              <w:rPr>
                <w:rFonts w:ascii="Montserrat" w:eastAsia="Times New Roman" w:hAnsi="Montserrat" w:cs="Calibri"/>
                <w:sz w:val="15"/>
                <w:szCs w:val="15"/>
                <w:lang w:val="es-MX" w:eastAsia="es-MX"/>
              </w:rPr>
              <w:t>36,443,889</w:t>
            </w:r>
          </w:p>
        </w:tc>
        <w:tc>
          <w:tcPr>
            <w:tcW w:w="2268" w:type="dxa"/>
            <w:gridSpan w:val="2"/>
            <w:tcBorders>
              <w:top w:val="nil"/>
            </w:tcBorders>
            <w:shd w:val="clear" w:color="auto" w:fill="F2F2F2" w:themeFill="background1" w:themeFillShade="F2"/>
            <w:vAlign w:val="center"/>
          </w:tcPr>
          <w:p w14:paraId="70458ABF" w14:textId="013A8EB8" w:rsidR="00EC2223" w:rsidRPr="00255081" w:rsidRDefault="00EC2223" w:rsidP="002702EC">
            <w:pPr>
              <w:spacing w:after="120" w:line="240" w:lineRule="auto"/>
              <w:jc w:val="right"/>
              <w:rPr>
                <w:rFonts w:ascii="Montserrat" w:eastAsia="Times New Roman" w:hAnsi="Montserrat" w:cs="Arial"/>
                <w:color w:val="000000"/>
                <w:sz w:val="15"/>
                <w:szCs w:val="15"/>
                <w:lang w:eastAsia="es-MX"/>
              </w:rPr>
            </w:pPr>
            <w:r w:rsidRPr="00255081">
              <w:rPr>
                <w:rFonts w:ascii="Montserrat" w:eastAsia="Times New Roman" w:hAnsi="Montserrat" w:cs="Calibri"/>
                <w:sz w:val="15"/>
                <w:szCs w:val="15"/>
                <w:lang w:val="es-MX" w:eastAsia="es-MX"/>
              </w:rPr>
              <w:t>100%</w:t>
            </w:r>
          </w:p>
        </w:tc>
        <w:tc>
          <w:tcPr>
            <w:tcW w:w="2098" w:type="dxa"/>
            <w:gridSpan w:val="2"/>
            <w:tcBorders>
              <w:top w:val="nil"/>
            </w:tcBorders>
            <w:shd w:val="clear" w:color="auto" w:fill="F2F2F2" w:themeFill="background1" w:themeFillShade="F2"/>
            <w:noWrap/>
            <w:vAlign w:val="center"/>
          </w:tcPr>
          <w:p w14:paraId="6AAAEA54" w14:textId="20834BD7" w:rsidR="00EC2223" w:rsidRPr="00255081" w:rsidRDefault="00EC2223" w:rsidP="002702EC">
            <w:pPr>
              <w:spacing w:after="120" w:line="240" w:lineRule="auto"/>
              <w:jc w:val="right"/>
              <w:rPr>
                <w:rFonts w:ascii="Montserrat" w:eastAsia="Times New Roman" w:hAnsi="Montserrat" w:cs="Arial"/>
                <w:color w:val="000000"/>
                <w:sz w:val="15"/>
                <w:szCs w:val="15"/>
                <w:lang w:eastAsia="es-MX"/>
              </w:rPr>
            </w:pPr>
            <w:r w:rsidRPr="00255081">
              <w:rPr>
                <w:rFonts w:ascii="Montserrat" w:eastAsia="Times New Roman" w:hAnsi="Montserrat" w:cs="Calibri"/>
                <w:sz w:val="15"/>
                <w:szCs w:val="15"/>
                <w:lang w:val="es-MX" w:eastAsia="es-MX"/>
              </w:rPr>
              <w:t>36,443,889</w:t>
            </w:r>
          </w:p>
        </w:tc>
      </w:tr>
      <w:tr w:rsidR="00EC2223" w:rsidRPr="006F0DF1" w14:paraId="16B2A3C0" w14:textId="77777777" w:rsidTr="000F0321">
        <w:trPr>
          <w:trHeight w:val="340"/>
        </w:trPr>
        <w:tc>
          <w:tcPr>
            <w:tcW w:w="6095" w:type="dxa"/>
            <w:tcBorders>
              <w:top w:val="nil"/>
            </w:tcBorders>
            <w:shd w:val="clear" w:color="auto" w:fill="F2F2F2" w:themeFill="background1" w:themeFillShade="F2"/>
            <w:vAlign w:val="center"/>
          </w:tcPr>
          <w:p w14:paraId="447ABEB7" w14:textId="680143AE" w:rsidR="00EC2223" w:rsidRPr="00255081" w:rsidRDefault="00EC2223" w:rsidP="004B170A">
            <w:pPr>
              <w:spacing w:after="120" w:line="240" w:lineRule="auto"/>
              <w:jc w:val="both"/>
              <w:rPr>
                <w:rFonts w:ascii="Montserrat" w:eastAsia="Times New Roman" w:hAnsi="Montserrat" w:cs="Arial"/>
                <w:color w:val="000000"/>
                <w:sz w:val="15"/>
                <w:szCs w:val="15"/>
                <w:lang w:eastAsia="es-MX"/>
              </w:rPr>
            </w:pPr>
            <w:r w:rsidRPr="00255081">
              <w:rPr>
                <w:rFonts w:ascii="Montserrat" w:eastAsia="Times New Roman" w:hAnsi="Montserrat" w:cs="Calibri"/>
                <w:sz w:val="15"/>
                <w:szCs w:val="15"/>
                <w:lang w:val="es-MX" w:eastAsia="es-MX"/>
              </w:rPr>
              <w:t>Fondo de Infraestructura para Países de Mesoamérica y el Caribe</w:t>
            </w:r>
          </w:p>
        </w:tc>
        <w:tc>
          <w:tcPr>
            <w:tcW w:w="2268" w:type="dxa"/>
            <w:gridSpan w:val="2"/>
            <w:tcBorders>
              <w:top w:val="nil"/>
            </w:tcBorders>
            <w:shd w:val="clear" w:color="auto" w:fill="F2F2F2" w:themeFill="background1" w:themeFillShade="F2"/>
            <w:vAlign w:val="center"/>
          </w:tcPr>
          <w:p w14:paraId="12425DBA" w14:textId="5AA4F162" w:rsidR="00EC2223" w:rsidRPr="00255081" w:rsidRDefault="00EC2223" w:rsidP="002702EC">
            <w:pPr>
              <w:spacing w:after="120" w:line="240" w:lineRule="auto"/>
              <w:jc w:val="right"/>
              <w:rPr>
                <w:rFonts w:ascii="Montserrat" w:eastAsia="Times New Roman" w:hAnsi="Montserrat" w:cs="Arial"/>
                <w:color w:val="000000"/>
                <w:sz w:val="15"/>
                <w:szCs w:val="15"/>
                <w:lang w:eastAsia="es-MX"/>
              </w:rPr>
            </w:pPr>
            <w:r w:rsidRPr="00255081">
              <w:rPr>
                <w:rFonts w:ascii="Montserrat" w:eastAsia="Times New Roman" w:hAnsi="Montserrat" w:cs="Calibri"/>
                <w:sz w:val="15"/>
                <w:szCs w:val="15"/>
                <w:lang w:val="es-MX" w:eastAsia="es-MX"/>
              </w:rPr>
              <w:t>1,890,593,209</w:t>
            </w:r>
          </w:p>
        </w:tc>
        <w:tc>
          <w:tcPr>
            <w:tcW w:w="2268" w:type="dxa"/>
            <w:gridSpan w:val="2"/>
            <w:tcBorders>
              <w:top w:val="nil"/>
            </w:tcBorders>
            <w:shd w:val="clear" w:color="auto" w:fill="F2F2F2" w:themeFill="background1" w:themeFillShade="F2"/>
            <w:vAlign w:val="center"/>
          </w:tcPr>
          <w:p w14:paraId="1A602F4B" w14:textId="04CD2F19" w:rsidR="00EC2223" w:rsidRPr="00255081" w:rsidRDefault="00EC2223" w:rsidP="002702EC">
            <w:pPr>
              <w:spacing w:after="120" w:line="240" w:lineRule="auto"/>
              <w:jc w:val="right"/>
              <w:rPr>
                <w:rFonts w:ascii="Montserrat" w:eastAsia="Times New Roman" w:hAnsi="Montserrat" w:cs="Arial"/>
                <w:color w:val="000000"/>
                <w:sz w:val="15"/>
                <w:szCs w:val="15"/>
                <w:lang w:eastAsia="es-MX"/>
              </w:rPr>
            </w:pPr>
            <w:r w:rsidRPr="00255081">
              <w:rPr>
                <w:rFonts w:ascii="Montserrat" w:eastAsia="Times New Roman" w:hAnsi="Montserrat" w:cs="Calibri"/>
                <w:sz w:val="15"/>
                <w:szCs w:val="15"/>
                <w:lang w:val="es-MX" w:eastAsia="es-MX"/>
              </w:rPr>
              <w:t>100%</w:t>
            </w:r>
          </w:p>
        </w:tc>
        <w:tc>
          <w:tcPr>
            <w:tcW w:w="2098" w:type="dxa"/>
            <w:gridSpan w:val="2"/>
            <w:tcBorders>
              <w:top w:val="nil"/>
            </w:tcBorders>
            <w:shd w:val="clear" w:color="auto" w:fill="F2F2F2" w:themeFill="background1" w:themeFillShade="F2"/>
            <w:noWrap/>
            <w:vAlign w:val="center"/>
          </w:tcPr>
          <w:p w14:paraId="33F34534" w14:textId="138E5C7B" w:rsidR="00EC2223" w:rsidRPr="00255081" w:rsidRDefault="00EC2223" w:rsidP="002702EC">
            <w:pPr>
              <w:spacing w:after="120" w:line="240" w:lineRule="auto"/>
              <w:jc w:val="right"/>
              <w:rPr>
                <w:rFonts w:ascii="Montserrat" w:eastAsia="Times New Roman" w:hAnsi="Montserrat" w:cs="Arial"/>
                <w:color w:val="000000"/>
                <w:sz w:val="15"/>
                <w:szCs w:val="15"/>
                <w:lang w:eastAsia="es-MX"/>
              </w:rPr>
            </w:pPr>
            <w:r w:rsidRPr="00255081">
              <w:rPr>
                <w:rFonts w:ascii="Montserrat" w:eastAsia="Times New Roman" w:hAnsi="Montserrat" w:cs="Calibri"/>
                <w:sz w:val="15"/>
                <w:szCs w:val="15"/>
                <w:lang w:val="es-MX" w:eastAsia="es-MX"/>
              </w:rPr>
              <w:t>1,890,593,209</w:t>
            </w:r>
          </w:p>
        </w:tc>
      </w:tr>
      <w:tr w:rsidR="00EC2223" w:rsidRPr="006F0DF1" w14:paraId="5B3AAF96" w14:textId="77777777" w:rsidTr="000F0321">
        <w:trPr>
          <w:trHeight w:val="340"/>
        </w:trPr>
        <w:tc>
          <w:tcPr>
            <w:tcW w:w="6095" w:type="dxa"/>
            <w:tcBorders>
              <w:top w:val="nil"/>
            </w:tcBorders>
            <w:shd w:val="clear" w:color="auto" w:fill="F2F2F2" w:themeFill="background1" w:themeFillShade="F2"/>
            <w:vAlign w:val="center"/>
          </w:tcPr>
          <w:p w14:paraId="5E40B7A4" w14:textId="5FDCD56B" w:rsidR="00EC2223" w:rsidRPr="00255081" w:rsidRDefault="00EC2223" w:rsidP="004B170A">
            <w:pPr>
              <w:spacing w:after="120" w:line="240" w:lineRule="auto"/>
              <w:jc w:val="both"/>
              <w:rPr>
                <w:rFonts w:ascii="Montserrat" w:eastAsia="Times New Roman" w:hAnsi="Montserrat" w:cs="Arial"/>
                <w:color w:val="000000"/>
                <w:sz w:val="15"/>
                <w:szCs w:val="15"/>
                <w:lang w:eastAsia="es-MX"/>
              </w:rPr>
            </w:pPr>
            <w:r w:rsidRPr="00255081">
              <w:rPr>
                <w:rFonts w:ascii="Montserrat" w:eastAsia="Times New Roman" w:hAnsi="Montserrat" w:cs="Calibri"/>
                <w:sz w:val="15"/>
                <w:szCs w:val="15"/>
                <w:lang w:val="es-MX" w:eastAsia="es-MX"/>
              </w:rPr>
              <w:t>Fideicomiso Fondo de Apoyo a los Trabajadores de Confianza de la Comisión Nacional Bancaria y de Valores</w:t>
            </w:r>
          </w:p>
        </w:tc>
        <w:tc>
          <w:tcPr>
            <w:tcW w:w="2268" w:type="dxa"/>
            <w:gridSpan w:val="2"/>
            <w:tcBorders>
              <w:top w:val="nil"/>
            </w:tcBorders>
            <w:shd w:val="clear" w:color="auto" w:fill="F2F2F2" w:themeFill="background1" w:themeFillShade="F2"/>
            <w:vAlign w:val="center"/>
          </w:tcPr>
          <w:p w14:paraId="38B22F64" w14:textId="2FED0685" w:rsidR="00EC2223" w:rsidRPr="00255081" w:rsidRDefault="00EC2223" w:rsidP="002702EC">
            <w:pPr>
              <w:spacing w:after="120" w:line="240" w:lineRule="auto"/>
              <w:jc w:val="right"/>
              <w:rPr>
                <w:rFonts w:ascii="Montserrat" w:eastAsia="Times New Roman" w:hAnsi="Montserrat" w:cs="Arial"/>
                <w:color w:val="000000"/>
                <w:sz w:val="15"/>
                <w:szCs w:val="15"/>
                <w:lang w:eastAsia="es-MX"/>
              </w:rPr>
            </w:pPr>
            <w:r w:rsidRPr="00255081">
              <w:rPr>
                <w:rFonts w:ascii="Montserrat" w:eastAsia="Times New Roman" w:hAnsi="Montserrat" w:cs="Calibri"/>
                <w:sz w:val="15"/>
                <w:szCs w:val="15"/>
                <w:lang w:val="es-MX" w:eastAsia="es-MX"/>
              </w:rPr>
              <w:t>1,237,935,820</w:t>
            </w:r>
          </w:p>
        </w:tc>
        <w:tc>
          <w:tcPr>
            <w:tcW w:w="2268" w:type="dxa"/>
            <w:gridSpan w:val="2"/>
            <w:tcBorders>
              <w:top w:val="nil"/>
            </w:tcBorders>
            <w:shd w:val="clear" w:color="auto" w:fill="F2F2F2" w:themeFill="background1" w:themeFillShade="F2"/>
            <w:vAlign w:val="center"/>
          </w:tcPr>
          <w:p w14:paraId="49DDBFF0" w14:textId="331FE05A" w:rsidR="00EC2223" w:rsidRPr="00255081" w:rsidRDefault="00EC2223" w:rsidP="002702EC">
            <w:pPr>
              <w:spacing w:after="120" w:line="240" w:lineRule="auto"/>
              <w:jc w:val="right"/>
              <w:rPr>
                <w:rFonts w:ascii="Montserrat" w:eastAsia="Times New Roman" w:hAnsi="Montserrat" w:cs="Arial"/>
                <w:color w:val="000000"/>
                <w:sz w:val="15"/>
                <w:szCs w:val="15"/>
                <w:lang w:eastAsia="es-MX"/>
              </w:rPr>
            </w:pPr>
            <w:r w:rsidRPr="00255081">
              <w:rPr>
                <w:rFonts w:ascii="Montserrat" w:eastAsia="Times New Roman" w:hAnsi="Montserrat" w:cs="Calibri"/>
                <w:sz w:val="15"/>
                <w:szCs w:val="15"/>
                <w:lang w:val="es-MX" w:eastAsia="es-MX"/>
              </w:rPr>
              <w:t>100%</w:t>
            </w:r>
          </w:p>
        </w:tc>
        <w:tc>
          <w:tcPr>
            <w:tcW w:w="2098" w:type="dxa"/>
            <w:gridSpan w:val="2"/>
            <w:tcBorders>
              <w:top w:val="nil"/>
            </w:tcBorders>
            <w:shd w:val="clear" w:color="auto" w:fill="F2F2F2" w:themeFill="background1" w:themeFillShade="F2"/>
            <w:noWrap/>
            <w:vAlign w:val="center"/>
          </w:tcPr>
          <w:p w14:paraId="73D205F0" w14:textId="2D236C70" w:rsidR="00EC2223" w:rsidRPr="00255081" w:rsidRDefault="00EC2223" w:rsidP="002702EC">
            <w:pPr>
              <w:spacing w:after="120" w:line="240" w:lineRule="auto"/>
              <w:jc w:val="right"/>
              <w:rPr>
                <w:rFonts w:ascii="Montserrat" w:eastAsia="Times New Roman" w:hAnsi="Montserrat" w:cs="Arial"/>
                <w:color w:val="000000"/>
                <w:sz w:val="15"/>
                <w:szCs w:val="15"/>
                <w:lang w:eastAsia="es-MX"/>
              </w:rPr>
            </w:pPr>
            <w:r w:rsidRPr="00255081">
              <w:rPr>
                <w:rFonts w:ascii="Montserrat" w:eastAsia="Times New Roman" w:hAnsi="Montserrat" w:cs="Calibri"/>
                <w:sz w:val="15"/>
                <w:szCs w:val="15"/>
                <w:lang w:val="es-MX" w:eastAsia="es-MX"/>
              </w:rPr>
              <w:t>1,237,935,820</w:t>
            </w:r>
          </w:p>
        </w:tc>
      </w:tr>
      <w:tr w:rsidR="00EC2223" w:rsidRPr="006F0DF1" w14:paraId="21A19297" w14:textId="77777777" w:rsidTr="000F0321">
        <w:trPr>
          <w:trHeight w:val="397"/>
        </w:trPr>
        <w:tc>
          <w:tcPr>
            <w:tcW w:w="6095" w:type="dxa"/>
            <w:shd w:val="clear" w:color="auto" w:fill="F2F2F2" w:themeFill="background1" w:themeFillShade="F2"/>
            <w:vAlign w:val="center"/>
          </w:tcPr>
          <w:p w14:paraId="756F00CE" w14:textId="35F45BC3" w:rsidR="00EC2223" w:rsidRPr="00255081" w:rsidRDefault="00EC2223" w:rsidP="004B170A">
            <w:pPr>
              <w:spacing w:after="120" w:line="240" w:lineRule="auto"/>
              <w:jc w:val="both"/>
              <w:rPr>
                <w:rFonts w:ascii="Montserrat" w:eastAsia="Times New Roman" w:hAnsi="Montserrat" w:cs="Arial"/>
                <w:color w:val="000000"/>
                <w:sz w:val="15"/>
                <w:szCs w:val="15"/>
                <w:lang w:eastAsia="es-MX"/>
              </w:rPr>
            </w:pPr>
            <w:r w:rsidRPr="00255081">
              <w:rPr>
                <w:rFonts w:ascii="Montserrat" w:eastAsia="Times New Roman" w:hAnsi="Montserrat" w:cs="Calibri"/>
                <w:sz w:val="15"/>
                <w:szCs w:val="15"/>
                <w:lang w:val="es-MX" w:eastAsia="es-MX"/>
              </w:rPr>
              <w:t>Fondo para la Asistencia y Defensa Legal de los Miembros de la Junta de Gobierno de la Comisión Nacional Bancaria y de Valores que no sean Servidores Públicos de ésta, así como los Interventores y Personal Auxiliar al cual los propios Interventores les otorguen poderes porque sea necesario para el desempeño de sus funciones</w:t>
            </w:r>
          </w:p>
        </w:tc>
        <w:tc>
          <w:tcPr>
            <w:tcW w:w="2268" w:type="dxa"/>
            <w:gridSpan w:val="2"/>
            <w:shd w:val="clear" w:color="auto" w:fill="F2F2F2" w:themeFill="background1" w:themeFillShade="F2"/>
            <w:vAlign w:val="center"/>
          </w:tcPr>
          <w:p w14:paraId="36BEF19B" w14:textId="51551F60" w:rsidR="00EC2223" w:rsidRPr="00255081" w:rsidRDefault="00EC2223" w:rsidP="002702EC">
            <w:pPr>
              <w:spacing w:after="120" w:line="240" w:lineRule="auto"/>
              <w:jc w:val="right"/>
              <w:rPr>
                <w:rFonts w:ascii="Montserrat" w:eastAsia="Times New Roman" w:hAnsi="Montserrat" w:cs="Arial"/>
                <w:color w:val="000000"/>
                <w:sz w:val="15"/>
                <w:szCs w:val="15"/>
                <w:lang w:eastAsia="es-MX"/>
              </w:rPr>
            </w:pPr>
            <w:r w:rsidRPr="00255081">
              <w:rPr>
                <w:rFonts w:ascii="Montserrat" w:eastAsia="Times New Roman" w:hAnsi="Montserrat" w:cs="Calibri"/>
                <w:sz w:val="15"/>
                <w:szCs w:val="15"/>
                <w:lang w:val="es-MX" w:eastAsia="es-MX"/>
              </w:rPr>
              <w:t>49,029,776</w:t>
            </w:r>
          </w:p>
        </w:tc>
        <w:tc>
          <w:tcPr>
            <w:tcW w:w="2268" w:type="dxa"/>
            <w:gridSpan w:val="2"/>
            <w:shd w:val="clear" w:color="auto" w:fill="F2F2F2" w:themeFill="background1" w:themeFillShade="F2"/>
            <w:vAlign w:val="center"/>
          </w:tcPr>
          <w:p w14:paraId="731B691F" w14:textId="49A18CFA" w:rsidR="00EC2223" w:rsidRPr="00255081" w:rsidRDefault="00EC2223" w:rsidP="002702EC">
            <w:pPr>
              <w:spacing w:after="120" w:line="240" w:lineRule="auto"/>
              <w:jc w:val="right"/>
              <w:rPr>
                <w:rFonts w:ascii="Montserrat" w:eastAsia="Times New Roman" w:hAnsi="Montserrat" w:cs="Arial"/>
                <w:color w:val="000000"/>
                <w:sz w:val="15"/>
                <w:szCs w:val="15"/>
                <w:lang w:eastAsia="es-MX"/>
              </w:rPr>
            </w:pPr>
            <w:r w:rsidRPr="00255081">
              <w:rPr>
                <w:rFonts w:ascii="Montserrat" w:eastAsia="Times New Roman" w:hAnsi="Montserrat" w:cs="Calibri"/>
                <w:sz w:val="15"/>
                <w:szCs w:val="15"/>
                <w:lang w:val="es-MX" w:eastAsia="es-MX"/>
              </w:rPr>
              <w:t>100%</w:t>
            </w:r>
          </w:p>
        </w:tc>
        <w:tc>
          <w:tcPr>
            <w:tcW w:w="2098" w:type="dxa"/>
            <w:gridSpan w:val="2"/>
            <w:shd w:val="clear" w:color="auto" w:fill="F2F2F2" w:themeFill="background1" w:themeFillShade="F2"/>
            <w:noWrap/>
            <w:vAlign w:val="center"/>
          </w:tcPr>
          <w:p w14:paraId="3E7ECD95" w14:textId="3219B48A" w:rsidR="00EC2223" w:rsidRPr="00255081" w:rsidRDefault="00EC2223" w:rsidP="002702EC">
            <w:pPr>
              <w:spacing w:after="120" w:line="240" w:lineRule="auto"/>
              <w:jc w:val="right"/>
              <w:rPr>
                <w:rFonts w:ascii="Montserrat" w:eastAsia="Times New Roman" w:hAnsi="Montserrat" w:cs="Arial"/>
                <w:color w:val="000000"/>
                <w:sz w:val="15"/>
                <w:szCs w:val="15"/>
                <w:lang w:eastAsia="es-MX"/>
              </w:rPr>
            </w:pPr>
            <w:r w:rsidRPr="00255081">
              <w:rPr>
                <w:rFonts w:ascii="Montserrat" w:eastAsia="Times New Roman" w:hAnsi="Montserrat" w:cs="Calibri"/>
                <w:sz w:val="15"/>
                <w:szCs w:val="15"/>
                <w:lang w:val="es-MX" w:eastAsia="es-MX"/>
              </w:rPr>
              <w:t>49,029,776</w:t>
            </w:r>
          </w:p>
        </w:tc>
      </w:tr>
      <w:tr w:rsidR="00EC2223" w:rsidRPr="006F0DF1" w14:paraId="061A074C" w14:textId="77777777" w:rsidTr="000F0321">
        <w:trPr>
          <w:trHeight w:val="340"/>
        </w:trPr>
        <w:tc>
          <w:tcPr>
            <w:tcW w:w="6095" w:type="dxa"/>
            <w:shd w:val="clear" w:color="auto" w:fill="F2F2F2" w:themeFill="background1" w:themeFillShade="F2"/>
            <w:vAlign w:val="center"/>
          </w:tcPr>
          <w:p w14:paraId="4E816CF1" w14:textId="32B13955" w:rsidR="00EC2223" w:rsidRPr="00255081" w:rsidRDefault="00EC2223" w:rsidP="004B170A">
            <w:pPr>
              <w:spacing w:after="120" w:line="240" w:lineRule="auto"/>
              <w:jc w:val="both"/>
              <w:rPr>
                <w:rFonts w:ascii="Montserrat" w:eastAsia="Times New Roman" w:hAnsi="Montserrat" w:cs="Arial"/>
                <w:color w:val="000000"/>
                <w:sz w:val="15"/>
                <w:szCs w:val="15"/>
                <w:lang w:val="es-MX" w:eastAsia="es-MX"/>
              </w:rPr>
            </w:pPr>
            <w:r w:rsidRPr="00255081">
              <w:rPr>
                <w:rFonts w:ascii="Montserrat" w:eastAsia="Times New Roman" w:hAnsi="Montserrat" w:cs="Calibri"/>
                <w:sz w:val="15"/>
                <w:szCs w:val="15"/>
                <w:lang w:val="es-MX" w:eastAsia="es-MX"/>
              </w:rPr>
              <w:t>Fideicomiso para el Pago de Gratificación por Antigüedad a los Trabajadores de Base de la Comisión Nacional Bancaria y de Valores que se retiren después de 15 años de servicios interrumpidos</w:t>
            </w:r>
          </w:p>
        </w:tc>
        <w:tc>
          <w:tcPr>
            <w:tcW w:w="2268" w:type="dxa"/>
            <w:gridSpan w:val="2"/>
            <w:shd w:val="clear" w:color="auto" w:fill="F2F2F2" w:themeFill="background1" w:themeFillShade="F2"/>
            <w:vAlign w:val="center"/>
          </w:tcPr>
          <w:p w14:paraId="1365D2D8" w14:textId="11B42611" w:rsidR="00EC2223" w:rsidRPr="00255081" w:rsidRDefault="00EC2223" w:rsidP="002702EC">
            <w:pPr>
              <w:spacing w:after="120" w:line="240" w:lineRule="auto"/>
              <w:jc w:val="right"/>
              <w:rPr>
                <w:rFonts w:ascii="Montserrat" w:eastAsia="Times New Roman" w:hAnsi="Montserrat" w:cs="Arial"/>
                <w:color w:val="000000"/>
                <w:sz w:val="15"/>
                <w:szCs w:val="15"/>
                <w:lang w:eastAsia="es-MX"/>
              </w:rPr>
            </w:pPr>
            <w:r w:rsidRPr="00255081">
              <w:rPr>
                <w:rFonts w:ascii="Montserrat" w:eastAsia="Times New Roman" w:hAnsi="Montserrat" w:cs="Calibri"/>
                <w:sz w:val="15"/>
                <w:szCs w:val="15"/>
                <w:lang w:val="es-MX" w:eastAsia="es-MX"/>
              </w:rPr>
              <w:t>67,182,559</w:t>
            </w:r>
          </w:p>
        </w:tc>
        <w:tc>
          <w:tcPr>
            <w:tcW w:w="2268" w:type="dxa"/>
            <w:gridSpan w:val="2"/>
            <w:shd w:val="clear" w:color="auto" w:fill="F2F2F2" w:themeFill="background1" w:themeFillShade="F2"/>
            <w:vAlign w:val="center"/>
          </w:tcPr>
          <w:p w14:paraId="03EA7F27" w14:textId="47251C7D" w:rsidR="00EC2223" w:rsidRPr="00255081" w:rsidRDefault="00EC2223" w:rsidP="002702EC">
            <w:pPr>
              <w:spacing w:after="120" w:line="240" w:lineRule="auto"/>
              <w:jc w:val="right"/>
              <w:rPr>
                <w:rFonts w:ascii="Montserrat" w:eastAsia="Times New Roman" w:hAnsi="Montserrat" w:cs="Arial"/>
                <w:color w:val="000000"/>
                <w:sz w:val="15"/>
                <w:szCs w:val="15"/>
                <w:lang w:eastAsia="es-MX"/>
              </w:rPr>
            </w:pPr>
            <w:r w:rsidRPr="00255081">
              <w:rPr>
                <w:rFonts w:ascii="Montserrat" w:eastAsia="Times New Roman" w:hAnsi="Montserrat" w:cs="Calibri"/>
                <w:sz w:val="15"/>
                <w:szCs w:val="15"/>
                <w:lang w:val="es-MX" w:eastAsia="es-MX"/>
              </w:rPr>
              <w:t>100%</w:t>
            </w:r>
          </w:p>
        </w:tc>
        <w:tc>
          <w:tcPr>
            <w:tcW w:w="2098" w:type="dxa"/>
            <w:gridSpan w:val="2"/>
            <w:shd w:val="clear" w:color="auto" w:fill="F2F2F2" w:themeFill="background1" w:themeFillShade="F2"/>
            <w:noWrap/>
            <w:vAlign w:val="center"/>
          </w:tcPr>
          <w:p w14:paraId="563D3B55" w14:textId="3832AA02" w:rsidR="00EC2223" w:rsidRPr="00255081" w:rsidRDefault="00EC2223" w:rsidP="002702EC">
            <w:pPr>
              <w:spacing w:after="120" w:line="240" w:lineRule="auto"/>
              <w:jc w:val="right"/>
              <w:rPr>
                <w:rFonts w:ascii="Montserrat" w:eastAsia="Times New Roman" w:hAnsi="Montserrat" w:cs="Arial"/>
                <w:color w:val="000000"/>
                <w:sz w:val="15"/>
                <w:szCs w:val="15"/>
                <w:lang w:eastAsia="es-MX"/>
              </w:rPr>
            </w:pPr>
            <w:r w:rsidRPr="00255081">
              <w:rPr>
                <w:rFonts w:ascii="Montserrat" w:eastAsia="Times New Roman" w:hAnsi="Montserrat" w:cs="Calibri"/>
                <w:sz w:val="15"/>
                <w:szCs w:val="15"/>
                <w:lang w:val="es-MX" w:eastAsia="es-MX"/>
              </w:rPr>
              <w:t>67,182,559</w:t>
            </w:r>
          </w:p>
        </w:tc>
      </w:tr>
      <w:tr w:rsidR="00EC2223" w:rsidRPr="006F0DF1" w14:paraId="6511AC73" w14:textId="77777777" w:rsidTr="000F0321">
        <w:trPr>
          <w:trHeight w:val="340"/>
        </w:trPr>
        <w:tc>
          <w:tcPr>
            <w:tcW w:w="6095" w:type="dxa"/>
            <w:tcBorders>
              <w:top w:val="nil"/>
            </w:tcBorders>
            <w:shd w:val="clear" w:color="auto" w:fill="F2F2F2" w:themeFill="background1" w:themeFillShade="F2"/>
            <w:vAlign w:val="center"/>
          </w:tcPr>
          <w:p w14:paraId="2F9692CD" w14:textId="53F13131" w:rsidR="00EC2223" w:rsidRPr="00255081" w:rsidRDefault="00EC2223" w:rsidP="004B170A">
            <w:pPr>
              <w:spacing w:after="120" w:line="240" w:lineRule="auto"/>
              <w:jc w:val="both"/>
              <w:rPr>
                <w:rFonts w:ascii="Montserrat" w:eastAsia="Times New Roman" w:hAnsi="Montserrat" w:cs="Arial"/>
                <w:color w:val="000000"/>
                <w:sz w:val="15"/>
                <w:szCs w:val="15"/>
                <w:lang w:eastAsia="es-MX"/>
              </w:rPr>
            </w:pPr>
            <w:r w:rsidRPr="00255081">
              <w:rPr>
                <w:rFonts w:ascii="Montserrat" w:eastAsia="Times New Roman" w:hAnsi="Montserrat" w:cs="Calibri"/>
                <w:sz w:val="15"/>
                <w:szCs w:val="15"/>
                <w:lang w:val="es-MX" w:eastAsia="es-MX"/>
              </w:rPr>
              <w:t>Fideicomiso para la Asistencia Legal de los miembros de la Junta de Gobierno y Servidores Públicos de la Comisión Nacional de Seguros y Fianzas, así como los Interventores Administrativos o Gerentes y Funcionarios Auxiliares de las intervenciones 10124</w:t>
            </w:r>
          </w:p>
        </w:tc>
        <w:tc>
          <w:tcPr>
            <w:tcW w:w="2268" w:type="dxa"/>
            <w:gridSpan w:val="2"/>
            <w:tcBorders>
              <w:top w:val="nil"/>
            </w:tcBorders>
            <w:shd w:val="clear" w:color="auto" w:fill="F2F2F2" w:themeFill="background1" w:themeFillShade="F2"/>
            <w:vAlign w:val="center"/>
          </w:tcPr>
          <w:p w14:paraId="4176948D" w14:textId="4E3C0016" w:rsidR="00EC2223" w:rsidRPr="00255081" w:rsidRDefault="00EC2223" w:rsidP="002702EC">
            <w:pPr>
              <w:spacing w:after="120" w:line="240" w:lineRule="auto"/>
              <w:jc w:val="right"/>
              <w:rPr>
                <w:rFonts w:ascii="Montserrat" w:eastAsia="Times New Roman" w:hAnsi="Montserrat" w:cs="Arial"/>
                <w:color w:val="000000"/>
                <w:sz w:val="15"/>
                <w:szCs w:val="15"/>
                <w:lang w:eastAsia="es-MX"/>
              </w:rPr>
            </w:pPr>
            <w:r w:rsidRPr="00255081">
              <w:rPr>
                <w:rFonts w:ascii="Montserrat" w:eastAsia="Times New Roman" w:hAnsi="Montserrat" w:cs="Calibri"/>
                <w:sz w:val="15"/>
                <w:szCs w:val="15"/>
                <w:lang w:val="es-MX" w:eastAsia="es-MX"/>
              </w:rPr>
              <w:t>20,103,152</w:t>
            </w:r>
          </w:p>
        </w:tc>
        <w:tc>
          <w:tcPr>
            <w:tcW w:w="2268" w:type="dxa"/>
            <w:gridSpan w:val="2"/>
            <w:tcBorders>
              <w:top w:val="nil"/>
            </w:tcBorders>
            <w:shd w:val="clear" w:color="auto" w:fill="F2F2F2" w:themeFill="background1" w:themeFillShade="F2"/>
            <w:vAlign w:val="center"/>
          </w:tcPr>
          <w:p w14:paraId="25704119" w14:textId="6EDC17F8" w:rsidR="00EC2223" w:rsidRPr="00255081" w:rsidRDefault="00EC2223" w:rsidP="002702EC">
            <w:pPr>
              <w:spacing w:after="120" w:line="240" w:lineRule="auto"/>
              <w:jc w:val="right"/>
              <w:rPr>
                <w:rFonts w:ascii="Montserrat" w:eastAsia="Times New Roman" w:hAnsi="Montserrat" w:cs="Arial"/>
                <w:color w:val="000000"/>
                <w:sz w:val="15"/>
                <w:szCs w:val="15"/>
                <w:lang w:eastAsia="es-MX"/>
              </w:rPr>
            </w:pPr>
            <w:r w:rsidRPr="00255081">
              <w:rPr>
                <w:rFonts w:ascii="Montserrat" w:eastAsia="Times New Roman" w:hAnsi="Montserrat" w:cs="Calibri"/>
                <w:sz w:val="15"/>
                <w:szCs w:val="15"/>
                <w:lang w:val="es-MX" w:eastAsia="es-MX"/>
              </w:rPr>
              <w:t>100%</w:t>
            </w:r>
          </w:p>
        </w:tc>
        <w:tc>
          <w:tcPr>
            <w:tcW w:w="2098" w:type="dxa"/>
            <w:gridSpan w:val="2"/>
            <w:tcBorders>
              <w:top w:val="nil"/>
            </w:tcBorders>
            <w:shd w:val="clear" w:color="auto" w:fill="F2F2F2" w:themeFill="background1" w:themeFillShade="F2"/>
            <w:noWrap/>
            <w:vAlign w:val="center"/>
          </w:tcPr>
          <w:p w14:paraId="3E8A920C" w14:textId="3F07DDA9" w:rsidR="00EC2223" w:rsidRPr="00255081" w:rsidRDefault="00EC2223" w:rsidP="002702EC">
            <w:pPr>
              <w:spacing w:after="120" w:line="240" w:lineRule="auto"/>
              <w:jc w:val="right"/>
              <w:rPr>
                <w:rFonts w:ascii="Montserrat" w:eastAsia="Times New Roman" w:hAnsi="Montserrat" w:cs="Arial"/>
                <w:color w:val="000000"/>
                <w:sz w:val="15"/>
                <w:szCs w:val="15"/>
                <w:lang w:eastAsia="es-MX"/>
              </w:rPr>
            </w:pPr>
            <w:r w:rsidRPr="00255081">
              <w:rPr>
                <w:rFonts w:ascii="Montserrat" w:eastAsia="Times New Roman" w:hAnsi="Montserrat" w:cs="Calibri"/>
                <w:sz w:val="15"/>
                <w:szCs w:val="15"/>
                <w:lang w:val="es-MX" w:eastAsia="es-MX"/>
              </w:rPr>
              <w:t>20,103,152</w:t>
            </w:r>
          </w:p>
        </w:tc>
      </w:tr>
      <w:tr w:rsidR="00EC2223" w:rsidRPr="006F0DF1" w14:paraId="1A4EDA89" w14:textId="77777777" w:rsidTr="000F0321">
        <w:trPr>
          <w:trHeight w:val="340"/>
        </w:trPr>
        <w:tc>
          <w:tcPr>
            <w:tcW w:w="6095" w:type="dxa"/>
            <w:tcBorders>
              <w:top w:val="nil"/>
            </w:tcBorders>
            <w:shd w:val="clear" w:color="auto" w:fill="F2F2F2" w:themeFill="background1" w:themeFillShade="F2"/>
            <w:vAlign w:val="center"/>
          </w:tcPr>
          <w:p w14:paraId="7211ACAA" w14:textId="2BCF6B98" w:rsidR="00EC2223" w:rsidRPr="00255081" w:rsidRDefault="00EC2223" w:rsidP="004B170A">
            <w:pPr>
              <w:spacing w:after="120" w:line="240" w:lineRule="auto"/>
              <w:jc w:val="both"/>
              <w:rPr>
                <w:rFonts w:ascii="Montserrat" w:eastAsia="Times New Roman" w:hAnsi="Montserrat" w:cs="Arial"/>
                <w:color w:val="000000"/>
                <w:sz w:val="15"/>
                <w:szCs w:val="15"/>
                <w:lang w:eastAsia="es-MX"/>
              </w:rPr>
            </w:pPr>
            <w:r w:rsidRPr="00255081">
              <w:rPr>
                <w:rFonts w:ascii="Montserrat" w:eastAsia="Times New Roman" w:hAnsi="Montserrat" w:cs="Calibri"/>
                <w:sz w:val="15"/>
                <w:szCs w:val="15"/>
                <w:lang w:val="es-MX" w:eastAsia="es-MX"/>
              </w:rPr>
              <w:t>Fideicomiso para la asistencia legal de los miembros de la Junta de Gobierno, del Comité Consultivo y de Vigilancia y Servidores Públicos de la Comisión Nacional del Sistema de Ahorro para el Retiro, así como de los interventores administrativos o gerentes y funcionarios auxiliares de las intervenciones.</w:t>
            </w:r>
          </w:p>
        </w:tc>
        <w:tc>
          <w:tcPr>
            <w:tcW w:w="2268" w:type="dxa"/>
            <w:gridSpan w:val="2"/>
            <w:tcBorders>
              <w:top w:val="nil"/>
            </w:tcBorders>
            <w:shd w:val="clear" w:color="auto" w:fill="F2F2F2" w:themeFill="background1" w:themeFillShade="F2"/>
            <w:vAlign w:val="center"/>
          </w:tcPr>
          <w:p w14:paraId="5D1EF078" w14:textId="46744B1E" w:rsidR="00EC2223" w:rsidRPr="00255081" w:rsidRDefault="00EC2223" w:rsidP="002702EC">
            <w:pPr>
              <w:spacing w:after="120" w:line="240" w:lineRule="auto"/>
              <w:jc w:val="right"/>
              <w:rPr>
                <w:rFonts w:ascii="Montserrat" w:eastAsia="Times New Roman" w:hAnsi="Montserrat" w:cs="Arial"/>
                <w:color w:val="000000"/>
                <w:sz w:val="15"/>
                <w:szCs w:val="15"/>
                <w:lang w:eastAsia="es-MX"/>
              </w:rPr>
            </w:pPr>
            <w:r w:rsidRPr="00255081">
              <w:rPr>
                <w:rFonts w:ascii="Montserrat" w:eastAsia="Times New Roman" w:hAnsi="Montserrat" w:cs="Calibri"/>
                <w:color w:val="000000"/>
                <w:sz w:val="15"/>
                <w:szCs w:val="15"/>
                <w:lang w:val="es-MX" w:eastAsia="es-MX"/>
              </w:rPr>
              <w:t>8,014,465</w:t>
            </w:r>
          </w:p>
        </w:tc>
        <w:tc>
          <w:tcPr>
            <w:tcW w:w="2268" w:type="dxa"/>
            <w:gridSpan w:val="2"/>
            <w:tcBorders>
              <w:top w:val="nil"/>
            </w:tcBorders>
            <w:shd w:val="clear" w:color="auto" w:fill="F2F2F2" w:themeFill="background1" w:themeFillShade="F2"/>
            <w:vAlign w:val="center"/>
          </w:tcPr>
          <w:p w14:paraId="285DCDA3" w14:textId="7672AB37" w:rsidR="00EC2223" w:rsidRPr="00255081" w:rsidRDefault="00EC2223" w:rsidP="002702EC">
            <w:pPr>
              <w:spacing w:after="120" w:line="240" w:lineRule="auto"/>
              <w:jc w:val="right"/>
              <w:rPr>
                <w:rFonts w:ascii="Montserrat" w:eastAsia="Times New Roman" w:hAnsi="Montserrat" w:cs="Arial"/>
                <w:color w:val="000000"/>
                <w:sz w:val="15"/>
                <w:szCs w:val="15"/>
                <w:lang w:eastAsia="es-MX"/>
              </w:rPr>
            </w:pPr>
            <w:r w:rsidRPr="00255081">
              <w:rPr>
                <w:rFonts w:ascii="Montserrat" w:eastAsia="Times New Roman" w:hAnsi="Montserrat" w:cs="Calibri"/>
                <w:color w:val="000000"/>
                <w:sz w:val="15"/>
                <w:szCs w:val="15"/>
                <w:lang w:val="es-MX" w:eastAsia="es-MX"/>
              </w:rPr>
              <w:t>100%</w:t>
            </w:r>
          </w:p>
        </w:tc>
        <w:tc>
          <w:tcPr>
            <w:tcW w:w="2098" w:type="dxa"/>
            <w:gridSpan w:val="2"/>
            <w:tcBorders>
              <w:top w:val="nil"/>
            </w:tcBorders>
            <w:shd w:val="clear" w:color="auto" w:fill="F2F2F2" w:themeFill="background1" w:themeFillShade="F2"/>
            <w:noWrap/>
            <w:vAlign w:val="center"/>
          </w:tcPr>
          <w:p w14:paraId="2B19DD63" w14:textId="4F5F7FD5" w:rsidR="00EC2223" w:rsidRPr="00255081" w:rsidRDefault="00EC2223" w:rsidP="002702EC">
            <w:pPr>
              <w:spacing w:after="120" w:line="240" w:lineRule="auto"/>
              <w:jc w:val="right"/>
              <w:rPr>
                <w:rFonts w:ascii="Montserrat" w:eastAsia="Times New Roman" w:hAnsi="Montserrat" w:cs="Arial"/>
                <w:color w:val="000000"/>
                <w:sz w:val="15"/>
                <w:szCs w:val="15"/>
                <w:lang w:eastAsia="es-MX"/>
              </w:rPr>
            </w:pPr>
            <w:r w:rsidRPr="00255081">
              <w:rPr>
                <w:rFonts w:ascii="Montserrat" w:eastAsia="Times New Roman" w:hAnsi="Montserrat" w:cs="Calibri"/>
                <w:color w:val="000000"/>
                <w:sz w:val="15"/>
                <w:szCs w:val="15"/>
                <w:lang w:val="es-MX" w:eastAsia="es-MX"/>
              </w:rPr>
              <w:t>8,014,465</w:t>
            </w:r>
          </w:p>
        </w:tc>
      </w:tr>
      <w:tr w:rsidR="00EC2223" w:rsidRPr="006F0DF1" w14:paraId="117475B6" w14:textId="77777777" w:rsidTr="000F0321">
        <w:trPr>
          <w:trHeight w:val="340"/>
        </w:trPr>
        <w:tc>
          <w:tcPr>
            <w:tcW w:w="6095" w:type="dxa"/>
            <w:tcBorders>
              <w:top w:val="nil"/>
            </w:tcBorders>
            <w:shd w:val="clear" w:color="auto" w:fill="F2F2F2" w:themeFill="background1" w:themeFillShade="F2"/>
            <w:vAlign w:val="center"/>
          </w:tcPr>
          <w:p w14:paraId="5E227CC1" w14:textId="66F9114B" w:rsidR="00EC2223" w:rsidRPr="00255081" w:rsidRDefault="00EC2223" w:rsidP="004B170A">
            <w:pPr>
              <w:spacing w:after="120" w:line="240" w:lineRule="auto"/>
              <w:jc w:val="both"/>
              <w:rPr>
                <w:rFonts w:ascii="Montserrat" w:eastAsia="Times New Roman" w:hAnsi="Montserrat" w:cs="Arial"/>
                <w:color w:val="000000"/>
                <w:sz w:val="15"/>
                <w:szCs w:val="15"/>
                <w:lang w:eastAsia="es-MX"/>
              </w:rPr>
            </w:pPr>
            <w:r w:rsidRPr="00255081">
              <w:rPr>
                <w:rFonts w:ascii="Montserrat" w:eastAsia="Times New Roman" w:hAnsi="Montserrat" w:cs="Calibri"/>
                <w:sz w:val="15"/>
                <w:szCs w:val="15"/>
                <w:lang w:val="es-MX" w:eastAsia="es-MX"/>
              </w:rPr>
              <w:t>Fideicomiso para Administrar la Contraprestación del Artículo 16 de la Ley Aduanera (FACLA)</w:t>
            </w:r>
          </w:p>
        </w:tc>
        <w:tc>
          <w:tcPr>
            <w:tcW w:w="2268" w:type="dxa"/>
            <w:gridSpan w:val="2"/>
            <w:tcBorders>
              <w:top w:val="nil"/>
            </w:tcBorders>
            <w:shd w:val="clear" w:color="auto" w:fill="F2F2F2" w:themeFill="background1" w:themeFillShade="F2"/>
            <w:vAlign w:val="center"/>
          </w:tcPr>
          <w:p w14:paraId="0ED93472" w14:textId="73440EC0" w:rsidR="00EC2223" w:rsidRPr="00255081" w:rsidRDefault="00EC2223" w:rsidP="002702EC">
            <w:pPr>
              <w:spacing w:after="120" w:line="240" w:lineRule="auto"/>
              <w:jc w:val="right"/>
              <w:rPr>
                <w:rFonts w:ascii="Montserrat" w:eastAsia="Times New Roman" w:hAnsi="Montserrat" w:cs="Arial"/>
                <w:color w:val="000000"/>
                <w:sz w:val="15"/>
                <w:szCs w:val="15"/>
                <w:lang w:eastAsia="es-MX"/>
              </w:rPr>
            </w:pPr>
            <w:r w:rsidRPr="00255081">
              <w:rPr>
                <w:rFonts w:ascii="Montserrat" w:eastAsia="Times New Roman" w:hAnsi="Montserrat" w:cs="Calibri"/>
                <w:color w:val="000000"/>
                <w:sz w:val="15"/>
                <w:szCs w:val="15"/>
                <w:lang w:val="es-MX" w:eastAsia="es-MX"/>
              </w:rPr>
              <w:t>64,347,894,922</w:t>
            </w:r>
          </w:p>
        </w:tc>
        <w:tc>
          <w:tcPr>
            <w:tcW w:w="2268" w:type="dxa"/>
            <w:gridSpan w:val="2"/>
            <w:tcBorders>
              <w:top w:val="nil"/>
            </w:tcBorders>
            <w:shd w:val="clear" w:color="auto" w:fill="F2F2F2" w:themeFill="background1" w:themeFillShade="F2"/>
            <w:vAlign w:val="center"/>
          </w:tcPr>
          <w:p w14:paraId="60E9DB62" w14:textId="14F6CAB9" w:rsidR="00EC2223" w:rsidRPr="00255081" w:rsidRDefault="00EC2223" w:rsidP="002702EC">
            <w:pPr>
              <w:spacing w:after="120" w:line="240" w:lineRule="auto"/>
              <w:jc w:val="right"/>
              <w:rPr>
                <w:rFonts w:ascii="Montserrat" w:eastAsia="Times New Roman" w:hAnsi="Montserrat" w:cs="Arial"/>
                <w:color w:val="000000"/>
                <w:sz w:val="15"/>
                <w:szCs w:val="15"/>
                <w:lang w:eastAsia="es-MX"/>
              </w:rPr>
            </w:pPr>
            <w:r w:rsidRPr="00255081">
              <w:rPr>
                <w:rFonts w:ascii="Montserrat" w:eastAsia="Times New Roman" w:hAnsi="Montserrat" w:cs="Calibri"/>
                <w:color w:val="000000"/>
                <w:sz w:val="15"/>
                <w:szCs w:val="15"/>
                <w:lang w:val="es-MX" w:eastAsia="es-MX"/>
              </w:rPr>
              <w:t>100%</w:t>
            </w:r>
          </w:p>
        </w:tc>
        <w:tc>
          <w:tcPr>
            <w:tcW w:w="2098" w:type="dxa"/>
            <w:gridSpan w:val="2"/>
            <w:tcBorders>
              <w:top w:val="nil"/>
            </w:tcBorders>
            <w:shd w:val="clear" w:color="auto" w:fill="F2F2F2" w:themeFill="background1" w:themeFillShade="F2"/>
            <w:noWrap/>
            <w:vAlign w:val="center"/>
          </w:tcPr>
          <w:p w14:paraId="6C18E0C9" w14:textId="358E8349" w:rsidR="00EC2223" w:rsidRPr="00255081" w:rsidRDefault="00EC2223" w:rsidP="002702EC">
            <w:pPr>
              <w:spacing w:after="120" w:line="240" w:lineRule="auto"/>
              <w:jc w:val="right"/>
              <w:rPr>
                <w:rFonts w:ascii="Montserrat" w:eastAsia="Times New Roman" w:hAnsi="Montserrat" w:cs="Arial"/>
                <w:color w:val="000000"/>
                <w:sz w:val="15"/>
                <w:szCs w:val="15"/>
                <w:lang w:eastAsia="es-MX"/>
              </w:rPr>
            </w:pPr>
            <w:r w:rsidRPr="00255081">
              <w:rPr>
                <w:rFonts w:ascii="Montserrat" w:eastAsia="Times New Roman" w:hAnsi="Montserrat" w:cs="Calibri"/>
                <w:color w:val="000000"/>
                <w:sz w:val="15"/>
                <w:szCs w:val="15"/>
                <w:lang w:val="es-MX" w:eastAsia="es-MX"/>
              </w:rPr>
              <w:t>64,347,894,922</w:t>
            </w:r>
          </w:p>
        </w:tc>
      </w:tr>
      <w:tr w:rsidR="00EC2223" w:rsidRPr="006F0DF1" w14:paraId="15F775F7" w14:textId="77777777" w:rsidTr="000F0321">
        <w:trPr>
          <w:trHeight w:val="340"/>
        </w:trPr>
        <w:tc>
          <w:tcPr>
            <w:tcW w:w="6095" w:type="dxa"/>
            <w:tcBorders>
              <w:top w:val="nil"/>
            </w:tcBorders>
            <w:shd w:val="clear" w:color="auto" w:fill="F2F2F2" w:themeFill="background1" w:themeFillShade="F2"/>
            <w:vAlign w:val="center"/>
          </w:tcPr>
          <w:p w14:paraId="3BD46FCE" w14:textId="7C196B0B" w:rsidR="00EC2223" w:rsidRPr="00255081" w:rsidRDefault="00EC2223" w:rsidP="004B170A">
            <w:pPr>
              <w:spacing w:after="120" w:line="240" w:lineRule="auto"/>
              <w:jc w:val="both"/>
              <w:rPr>
                <w:rFonts w:ascii="Montserrat" w:eastAsia="Times New Roman" w:hAnsi="Montserrat" w:cs="Arial"/>
                <w:color w:val="000000"/>
                <w:sz w:val="15"/>
                <w:szCs w:val="15"/>
                <w:lang w:eastAsia="es-MX"/>
              </w:rPr>
            </w:pPr>
            <w:r w:rsidRPr="00255081">
              <w:rPr>
                <w:rFonts w:ascii="Montserrat" w:eastAsia="Times New Roman" w:hAnsi="Montserrat" w:cs="Calibri"/>
                <w:sz w:val="15"/>
                <w:szCs w:val="15"/>
                <w:lang w:val="es-MX" w:eastAsia="es-MX"/>
              </w:rPr>
              <w:t>Fideicomiso Programa de Mejoramiento de los Medios de Informática y Control de las Autoridades Aduaneras (FIDEMICA)</w:t>
            </w:r>
          </w:p>
        </w:tc>
        <w:tc>
          <w:tcPr>
            <w:tcW w:w="2268" w:type="dxa"/>
            <w:gridSpan w:val="2"/>
            <w:tcBorders>
              <w:top w:val="nil"/>
            </w:tcBorders>
            <w:shd w:val="clear" w:color="auto" w:fill="F2F2F2" w:themeFill="background1" w:themeFillShade="F2"/>
            <w:vAlign w:val="center"/>
          </w:tcPr>
          <w:p w14:paraId="31FD28B9" w14:textId="4CA8829F" w:rsidR="00EC2223" w:rsidRPr="00255081" w:rsidRDefault="00EC2223" w:rsidP="002702EC">
            <w:pPr>
              <w:spacing w:after="120" w:line="240" w:lineRule="auto"/>
              <w:jc w:val="right"/>
              <w:rPr>
                <w:rFonts w:ascii="Montserrat" w:eastAsia="Times New Roman" w:hAnsi="Montserrat" w:cs="Arial"/>
                <w:color w:val="000000"/>
                <w:sz w:val="15"/>
                <w:szCs w:val="15"/>
                <w:lang w:eastAsia="es-MX"/>
              </w:rPr>
            </w:pPr>
            <w:r w:rsidRPr="00255081">
              <w:rPr>
                <w:rFonts w:ascii="Montserrat" w:eastAsia="Times New Roman" w:hAnsi="Montserrat" w:cs="Calibri"/>
                <w:color w:val="000000"/>
                <w:sz w:val="15"/>
                <w:szCs w:val="15"/>
                <w:lang w:val="es-MX" w:eastAsia="es-MX"/>
              </w:rPr>
              <w:t>2,197,953,529</w:t>
            </w:r>
          </w:p>
        </w:tc>
        <w:tc>
          <w:tcPr>
            <w:tcW w:w="2268" w:type="dxa"/>
            <w:gridSpan w:val="2"/>
            <w:tcBorders>
              <w:top w:val="nil"/>
            </w:tcBorders>
            <w:shd w:val="clear" w:color="auto" w:fill="F2F2F2" w:themeFill="background1" w:themeFillShade="F2"/>
            <w:vAlign w:val="center"/>
          </w:tcPr>
          <w:p w14:paraId="2FEE1FA2" w14:textId="77A7DE3B" w:rsidR="00EC2223" w:rsidRPr="00255081" w:rsidRDefault="00EC2223" w:rsidP="002702EC">
            <w:pPr>
              <w:spacing w:after="120" w:line="240" w:lineRule="auto"/>
              <w:jc w:val="right"/>
              <w:rPr>
                <w:rFonts w:ascii="Montserrat" w:eastAsia="Times New Roman" w:hAnsi="Montserrat" w:cs="Arial"/>
                <w:color w:val="000000"/>
                <w:sz w:val="15"/>
                <w:szCs w:val="15"/>
                <w:lang w:eastAsia="es-MX"/>
              </w:rPr>
            </w:pPr>
            <w:r w:rsidRPr="00255081">
              <w:rPr>
                <w:rFonts w:ascii="Montserrat" w:eastAsia="Times New Roman" w:hAnsi="Montserrat" w:cs="Calibri"/>
                <w:color w:val="000000"/>
                <w:sz w:val="15"/>
                <w:szCs w:val="15"/>
                <w:lang w:val="es-MX" w:eastAsia="es-MX"/>
              </w:rPr>
              <w:t>100%</w:t>
            </w:r>
          </w:p>
        </w:tc>
        <w:tc>
          <w:tcPr>
            <w:tcW w:w="2098" w:type="dxa"/>
            <w:gridSpan w:val="2"/>
            <w:tcBorders>
              <w:top w:val="nil"/>
            </w:tcBorders>
            <w:shd w:val="clear" w:color="auto" w:fill="F2F2F2" w:themeFill="background1" w:themeFillShade="F2"/>
            <w:noWrap/>
            <w:vAlign w:val="center"/>
          </w:tcPr>
          <w:p w14:paraId="5FD1FD83" w14:textId="7ACFBE2B" w:rsidR="00EC2223" w:rsidRPr="00255081" w:rsidRDefault="00EC2223" w:rsidP="002702EC">
            <w:pPr>
              <w:spacing w:after="120" w:line="240" w:lineRule="auto"/>
              <w:jc w:val="right"/>
              <w:rPr>
                <w:rFonts w:ascii="Montserrat" w:eastAsia="Times New Roman" w:hAnsi="Montserrat" w:cs="Arial"/>
                <w:color w:val="000000"/>
                <w:sz w:val="15"/>
                <w:szCs w:val="15"/>
                <w:lang w:eastAsia="es-MX"/>
              </w:rPr>
            </w:pPr>
            <w:r w:rsidRPr="00255081">
              <w:rPr>
                <w:rFonts w:ascii="Montserrat" w:eastAsia="Times New Roman" w:hAnsi="Montserrat" w:cs="Calibri"/>
                <w:color w:val="000000"/>
                <w:sz w:val="15"/>
                <w:szCs w:val="15"/>
                <w:lang w:val="es-MX" w:eastAsia="es-MX"/>
              </w:rPr>
              <w:t>2,197,953,529</w:t>
            </w:r>
          </w:p>
        </w:tc>
      </w:tr>
      <w:tr w:rsidR="00EC2223" w:rsidRPr="006F0DF1" w14:paraId="7CE37131" w14:textId="77777777" w:rsidTr="000F0321">
        <w:trPr>
          <w:trHeight w:val="433"/>
        </w:trPr>
        <w:tc>
          <w:tcPr>
            <w:tcW w:w="6095" w:type="dxa"/>
            <w:tcBorders>
              <w:top w:val="nil"/>
            </w:tcBorders>
            <w:shd w:val="clear" w:color="auto" w:fill="F2F2F2" w:themeFill="background1" w:themeFillShade="F2"/>
            <w:vAlign w:val="center"/>
          </w:tcPr>
          <w:p w14:paraId="5175435F" w14:textId="762C8E69" w:rsidR="00EC2223" w:rsidRPr="00255081" w:rsidRDefault="00EC2223" w:rsidP="004B170A">
            <w:pPr>
              <w:spacing w:after="120" w:line="240" w:lineRule="auto"/>
              <w:jc w:val="both"/>
              <w:rPr>
                <w:rFonts w:ascii="Montserrat" w:eastAsia="Times New Roman" w:hAnsi="Montserrat" w:cs="Arial"/>
                <w:color w:val="000000"/>
                <w:sz w:val="15"/>
                <w:szCs w:val="15"/>
                <w:lang w:eastAsia="es-MX"/>
              </w:rPr>
            </w:pPr>
            <w:r w:rsidRPr="00255081">
              <w:rPr>
                <w:rFonts w:ascii="Montserrat" w:eastAsia="Times New Roman" w:hAnsi="Montserrat" w:cs="Calibri"/>
                <w:sz w:val="15"/>
                <w:szCs w:val="15"/>
                <w:lang w:val="es-MX" w:eastAsia="es-MX"/>
              </w:rPr>
              <w:t>Mandato Extinta Comisión Monetaria</w:t>
            </w:r>
          </w:p>
        </w:tc>
        <w:tc>
          <w:tcPr>
            <w:tcW w:w="2268" w:type="dxa"/>
            <w:gridSpan w:val="2"/>
            <w:tcBorders>
              <w:top w:val="nil"/>
            </w:tcBorders>
            <w:shd w:val="clear" w:color="auto" w:fill="F2F2F2" w:themeFill="background1" w:themeFillShade="F2"/>
            <w:vAlign w:val="center"/>
          </w:tcPr>
          <w:p w14:paraId="7C3DF4CA" w14:textId="5912C835" w:rsidR="00EC2223" w:rsidRPr="00255081" w:rsidRDefault="00EC2223" w:rsidP="002702EC">
            <w:pPr>
              <w:spacing w:after="120" w:line="240" w:lineRule="auto"/>
              <w:jc w:val="right"/>
              <w:rPr>
                <w:rFonts w:ascii="Montserrat" w:eastAsia="Times New Roman" w:hAnsi="Montserrat" w:cs="Arial"/>
                <w:color w:val="000000"/>
                <w:sz w:val="15"/>
                <w:szCs w:val="15"/>
                <w:lang w:eastAsia="es-MX"/>
              </w:rPr>
            </w:pPr>
            <w:r w:rsidRPr="00255081">
              <w:rPr>
                <w:rFonts w:ascii="Montserrat" w:eastAsia="Times New Roman" w:hAnsi="Montserrat" w:cs="Calibri"/>
                <w:sz w:val="15"/>
                <w:szCs w:val="15"/>
                <w:lang w:val="es-MX" w:eastAsia="es-MX"/>
              </w:rPr>
              <w:t>12,413,884</w:t>
            </w:r>
          </w:p>
        </w:tc>
        <w:tc>
          <w:tcPr>
            <w:tcW w:w="2268" w:type="dxa"/>
            <w:gridSpan w:val="2"/>
            <w:tcBorders>
              <w:top w:val="nil"/>
            </w:tcBorders>
            <w:shd w:val="clear" w:color="auto" w:fill="F2F2F2" w:themeFill="background1" w:themeFillShade="F2"/>
            <w:vAlign w:val="center"/>
          </w:tcPr>
          <w:p w14:paraId="0B17C526" w14:textId="40977A10" w:rsidR="00EC2223" w:rsidRPr="00255081" w:rsidRDefault="00EC2223" w:rsidP="002702EC">
            <w:pPr>
              <w:spacing w:after="120" w:line="240" w:lineRule="auto"/>
              <w:jc w:val="right"/>
              <w:rPr>
                <w:rFonts w:ascii="Montserrat" w:eastAsia="Times New Roman" w:hAnsi="Montserrat" w:cs="Arial"/>
                <w:color w:val="000000"/>
                <w:sz w:val="15"/>
                <w:szCs w:val="15"/>
                <w:lang w:eastAsia="es-MX"/>
              </w:rPr>
            </w:pPr>
            <w:r w:rsidRPr="00255081">
              <w:rPr>
                <w:rFonts w:ascii="Montserrat" w:eastAsia="Times New Roman" w:hAnsi="Montserrat" w:cs="Calibri"/>
                <w:sz w:val="15"/>
                <w:szCs w:val="15"/>
                <w:lang w:val="es-MX" w:eastAsia="es-MX"/>
              </w:rPr>
              <w:t>100%</w:t>
            </w:r>
          </w:p>
        </w:tc>
        <w:tc>
          <w:tcPr>
            <w:tcW w:w="2098" w:type="dxa"/>
            <w:gridSpan w:val="2"/>
            <w:tcBorders>
              <w:top w:val="nil"/>
            </w:tcBorders>
            <w:shd w:val="clear" w:color="auto" w:fill="F2F2F2" w:themeFill="background1" w:themeFillShade="F2"/>
            <w:noWrap/>
            <w:vAlign w:val="center"/>
          </w:tcPr>
          <w:p w14:paraId="1AA667A9" w14:textId="7A4D0434" w:rsidR="00EC2223" w:rsidRPr="00255081" w:rsidRDefault="00EC2223" w:rsidP="002702EC">
            <w:pPr>
              <w:spacing w:after="120" w:line="240" w:lineRule="auto"/>
              <w:jc w:val="right"/>
              <w:rPr>
                <w:rFonts w:ascii="Montserrat" w:eastAsia="Times New Roman" w:hAnsi="Montserrat" w:cs="Arial"/>
                <w:color w:val="000000"/>
                <w:sz w:val="15"/>
                <w:szCs w:val="15"/>
                <w:lang w:eastAsia="es-MX"/>
              </w:rPr>
            </w:pPr>
            <w:r w:rsidRPr="00255081">
              <w:rPr>
                <w:rFonts w:ascii="Montserrat" w:eastAsia="Times New Roman" w:hAnsi="Montserrat" w:cs="Calibri"/>
                <w:sz w:val="15"/>
                <w:szCs w:val="15"/>
                <w:lang w:val="es-MX" w:eastAsia="es-MX"/>
              </w:rPr>
              <w:t>12,413,884</w:t>
            </w:r>
          </w:p>
        </w:tc>
      </w:tr>
      <w:tr w:rsidR="00EC2223" w:rsidRPr="006F0DF1" w14:paraId="28B5BB01" w14:textId="77777777" w:rsidTr="000F0321">
        <w:trPr>
          <w:trHeight w:val="340"/>
        </w:trPr>
        <w:tc>
          <w:tcPr>
            <w:tcW w:w="6095" w:type="dxa"/>
            <w:tcBorders>
              <w:top w:val="nil"/>
            </w:tcBorders>
            <w:shd w:val="clear" w:color="auto" w:fill="F2F2F2" w:themeFill="background1" w:themeFillShade="F2"/>
            <w:vAlign w:val="center"/>
          </w:tcPr>
          <w:p w14:paraId="3C7A6AD9" w14:textId="26605772" w:rsidR="00EC2223" w:rsidRPr="00255081" w:rsidRDefault="00EC2223" w:rsidP="004B170A">
            <w:pPr>
              <w:spacing w:after="120" w:line="240" w:lineRule="auto"/>
              <w:jc w:val="both"/>
              <w:rPr>
                <w:rFonts w:ascii="Montserrat" w:eastAsia="Times New Roman" w:hAnsi="Montserrat" w:cs="Arial"/>
                <w:color w:val="000000"/>
                <w:sz w:val="15"/>
                <w:szCs w:val="15"/>
                <w:lang w:eastAsia="es-MX"/>
              </w:rPr>
            </w:pPr>
            <w:r w:rsidRPr="00255081">
              <w:rPr>
                <w:rFonts w:ascii="Montserrat" w:eastAsia="Times New Roman" w:hAnsi="Montserrat" w:cs="Calibri"/>
                <w:sz w:val="15"/>
                <w:szCs w:val="15"/>
                <w:lang w:val="es-MX" w:eastAsia="es-MX"/>
              </w:rPr>
              <w:t>Fondo de Reconstrucción de Entidades</w:t>
            </w:r>
          </w:p>
        </w:tc>
        <w:tc>
          <w:tcPr>
            <w:tcW w:w="2268" w:type="dxa"/>
            <w:gridSpan w:val="2"/>
            <w:tcBorders>
              <w:top w:val="nil"/>
            </w:tcBorders>
            <w:shd w:val="clear" w:color="auto" w:fill="F2F2F2" w:themeFill="background1" w:themeFillShade="F2"/>
            <w:vAlign w:val="center"/>
          </w:tcPr>
          <w:p w14:paraId="38A056BF" w14:textId="1A8E5DEE" w:rsidR="00EC2223" w:rsidRPr="00255081" w:rsidRDefault="00EC2223" w:rsidP="002702EC">
            <w:pPr>
              <w:spacing w:after="120" w:line="240" w:lineRule="auto"/>
              <w:jc w:val="right"/>
              <w:rPr>
                <w:rFonts w:ascii="Montserrat" w:eastAsia="Times New Roman" w:hAnsi="Montserrat" w:cs="Arial"/>
                <w:color w:val="000000"/>
                <w:sz w:val="15"/>
                <w:szCs w:val="15"/>
                <w:lang w:eastAsia="es-MX"/>
              </w:rPr>
            </w:pPr>
            <w:r w:rsidRPr="00255081">
              <w:rPr>
                <w:rFonts w:ascii="Montserrat" w:eastAsia="Times New Roman" w:hAnsi="Montserrat" w:cs="Calibri"/>
                <w:sz w:val="15"/>
                <w:szCs w:val="15"/>
                <w:lang w:val="es-MX" w:eastAsia="es-MX"/>
              </w:rPr>
              <w:t>8,277,261,968</w:t>
            </w:r>
          </w:p>
        </w:tc>
        <w:tc>
          <w:tcPr>
            <w:tcW w:w="2268" w:type="dxa"/>
            <w:gridSpan w:val="2"/>
            <w:tcBorders>
              <w:top w:val="nil"/>
            </w:tcBorders>
            <w:shd w:val="clear" w:color="auto" w:fill="F2F2F2" w:themeFill="background1" w:themeFillShade="F2"/>
            <w:vAlign w:val="center"/>
          </w:tcPr>
          <w:p w14:paraId="67DC4577" w14:textId="62B62A9B" w:rsidR="00EC2223" w:rsidRPr="00255081" w:rsidRDefault="00EC2223" w:rsidP="002702EC">
            <w:pPr>
              <w:spacing w:after="120" w:line="240" w:lineRule="auto"/>
              <w:jc w:val="right"/>
              <w:rPr>
                <w:rFonts w:ascii="Montserrat" w:eastAsia="Times New Roman" w:hAnsi="Montserrat" w:cs="Arial"/>
                <w:color w:val="000000"/>
                <w:sz w:val="15"/>
                <w:szCs w:val="15"/>
                <w:lang w:eastAsia="es-MX"/>
              </w:rPr>
            </w:pPr>
            <w:r w:rsidRPr="00255081">
              <w:rPr>
                <w:rFonts w:ascii="Montserrat" w:eastAsia="Times New Roman" w:hAnsi="Montserrat" w:cs="Calibri"/>
                <w:sz w:val="15"/>
                <w:szCs w:val="15"/>
                <w:lang w:val="es-MX" w:eastAsia="es-MX"/>
              </w:rPr>
              <w:t>100%</w:t>
            </w:r>
          </w:p>
        </w:tc>
        <w:tc>
          <w:tcPr>
            <w:tcW w:w="2098" w:type="dxa"/>
            <w:gridSpan w:val="2"/>
            <w:tcBorders>
              <w:top w:val="nil"/>
            </w:tcBorders>
            <w:shd w:val="clear" w:color="auto" w:fill="F2F2F2" w:themeFill="background1" w:themeFillShade="F2"/>
            <w:noWrap/>
            <w:vAlign w:val="center"/>
          </w:tcPr>
          <w:p w14:paraId="3F61DF06" w14:textId="6443A373" w:rsidR="00EC2223" w:rsidRPr="00255081" w:rsidRDefault="00EC2223" w:rsidP="002702EC">
            <w:pPr>
              <w:spacing w:after="120" w:line="240" w:lineRule="auto"/>
              <w:jc w:val="right"/>
              <w:rPr>
                <w:rFonts w:ascii="Montserrat" w:eastAsia="Times New Roman" w:hAnsi="Montserrat" w:cs="Arial"/>
                <w:color w:val="000000"/>
                <w:sz w:val="15"/>
                <w:szCs w:val="15"/>
                <w:lang w:eastAsia="es-MX"/>
              </w:rPr>
            </w:pPr>
            <w:r w:rsidRPr="00255081">
              <w:rPr>
                <w:rFonts w:ascii="Montserrat" w:eastAsia="Times New Roman" w:hAnsi="Montserrat" w:cs="Calibri"/>
                <w:sz w:val="15"/>
                <w:szCs w:val="15"/>
                <w:lang w:val="es-MX" w:eastAsia="es-MX"/>
              </w:rPr>
              <w:t>8,277,261,968</w:t>
            </w:r>
          </w:p>
        </w:tc>
      </w:tr>
      <w:tr w:rsidR="00EC2223" w:rsidRPr="006F0DF1" w14:paraId="3A4F6D01" w14:textId="77777777" w:rsidTr="000F0321">
        <w:trPr>
          <w:trHeight w:val="397"/>
        </w:trPr>
        <w:tc>
          <w:tcPr>
            <w:tcW w:w="6095" w:type="dxa"/>
            <w:tcBorders>
              <w:top w:val="nil"/>
            </w:tcBorders>
            <w:shd w:val="clear" w:color="auto" w:fill="F2F2F2" w:themeFill="background1" w:themeFillShade="F2"/>
            <w:vAlign w:val="center"/>
          </w:tcPr>
          <w:p w14:paraId="19EEFFCD" w14:textId="77777777" w:rsidR="000A1B05" w:rsidRDefault="000A1B05" w:rsidP="004B170A">
            <w:pPr>
              <w:spacing w:after="120" w:line="240" w:lineRule="auto"/>
              <w:jc w:val="both"/>
              <w:rPr>
                <w:rFonts w:ascii="Montserrat" w:eastAsia="Times New Roman" w:hAnsi="Montserrat" w:cs="Calibri"/>
                <w:sz w:val="15"/>
                <w:szCs w:val="15"/>
                <w:lang w:val="es-MX" w:eastAsia="es-MX"/>
              </w:rPr>
            </w:pPr>
          </w:p>
          <w:p w14:paraId="5ED3D653" w14:textId="59076949" w:rsidR="00EC2223" w:rsidRPr="00255081" w:rsidRDefault="00EC2223" w:rsidP="004B170A">
            <w:pPr>
              <w:spacing w:after="120" w:line="240" w:lineRule="auto"/>
              <w:jc w:val="both"/>
              <w:rPr>
                <w:rFonts w:ascii="Montserrat" w:eastAsia="Times New Roman" w:hAnsi="Montserrat" w:cs="Arial"/>
                <w:color w:val="000000"/>
                <w:sz w:val="15"/>
                <w:szCs w:val="15"/>
                <w:lang w:eastAsia="es-MX"/>
              </w:rPr>
            </w:pPr>
            <w:r w:rsidRPr="00255081">
              <w:rPr>
                <w:rFonts w:ascii="Montserrat" w:eastAsia="Times New Roman" w:hAnsi="Montserrat" w:cs="Calibri"/>
                <w:sz w:val="15"/>
                <w:szCs w:val="15"/>
                <w:lang w:val="es-MX" w:eastAsia="es-MX"/>
              </w:rPr>
              <w:t>Fondo de Apoyo para la Infraestructura y Seguridad</w:t>
            </w:r>
          </w:p>
        </w:tc>
        <w:tc>
          <w:tcPr>
            <w:tcW w:w="2268" w:type="dxa"/>
            <w:gridSpan w:val="2"/>
            <w:tcBorders>
              <w:top w:val="nil"/>
            </w:tcBorders>
            <w:shd w:val="clear" w:color="auto" w:fill="F2F2F2" w:themeFill="background1" w:themeFillShade="F2"/>
            <w:vAlign w:val="center"/>
          </w:tcPr>
          <w:p w14:paraId="00D80CB4" w14:textId="77777777" w:rsidR="000A1B05" w:rsidRDefault="000A1B05" w:rsidP="002702EC">
            <w:pPr>
              <w:spacing w:after="120" w:line="240" w:lineRule="auto"/>
              <w:jc w:val="right"/>
              <w:rPr>
                <w:rFonts w:ascii="Montserrat" w:eastAsia="Times New Roman" w:hAnsi="Montserrat" w:cs="Calibri"/>
                <w:sz w:val="15"/>
                <w:szCs w:val="15"/>
                <w:lang w:val="es-MX" w:eastAsia="es-MX"/>
              </w:rPr>
            </w:pPr>
          </w:p>
          <w:p w14:paraId="1C9B6A7E" w14:textId="0B92D83A" w:rsidR="00EC2223" w:rsidRPr="00255081" w:rsidRDefault="00EC2223" w:rsidP="002702EC">
            <w:pPr>
              <w:spacing w:after="120" w:line="240" w:lineRule="auto"/>
              <w:jc w:val="right"/>
              <w:rPr>
                <w:rFonts w:ascii="Montserrat" w:eastAsia="Times New Roman" w:hAnsi="Montserrat" w:cs="Arial"/>
                <w:color w:val="000000"/>
                <w:sz w:val="15"/>
                <w:szCs w:val="15"/>
                <w:lang w:eastAsia="es-MX"/>
              </w:rPr>
            </w:pPr>
            <w:r w:rsidRPr="00255081">
              <w:rPr>
                <w:rFonts w:ascii="Montserrat" w:eastAsia="Times New Roman" w:hAnsi="Montserrat" w:cs="Calibri"/>
                <w:sz w:val="15"/>
                <w:szCs w:val="15"/>
                <w:lang w:val="es-MX" w:eastAsia="es-MX"/>
              </w:rPr>
              <w:t>6,055,890,293</w:t>
            </w:r>
          </w:p>
        </w:tc>
        <w:tc>
          <w:tcPr>
            <w:tcW w:w="2268" w:type="dxa"/>
            <w:gridSpan w:val="2"/>
            <w:tcBorders>
              <w:top w:val="nil"/>
            </w:tcBorders>
            <w:shd w:val="clear" w:color="auto" w:fill="F2F2F2" w:themeFill="background1" w:themeFillShade="F2"/>
            <w:vAlign w:val="center"/>
          </w:tcPr>
          <w:p w14:paraId="7B6C15D3" w14:textId="77777777" w:rsidR="000A1B05" w:rsidRDefault="000A1B05" w:rsidP="002702EC">
            <w:pPr>
              <w:spacing w:after="120" w:line="240" w:lineRule="auto"/>
              <w:jc w:val="right"/>
              <w:rPr>
                <w:rFonts w:ascii="Montserrat" w:eastAsia="Times New Roman" w:hAnsi="Montserrat" w:cs="Calibri"/>
                <w:sz w:val="15"/>
                <w:szCs w:val="15"/>
                <w:lang w:val="es-MX" w:eastAsia="es-MX"/>
              </w:rPr>
            </w:pPr>
          </w:p>
          <w:p w14:paraId="2CD818C2" w14:textId="1B7DED38" w:rsidR="00EC2223" w:rsidRPr="00255081" w:rsidRDefault="00EC2223" w:rsidP="002702EC">
            <w:pPr>
              <w:spacing w:after="120" w:line="240" w:lineRule="auto"/>
              <w:jc w:val="right"/>
              <w:rPr>
                <w:rFonts w:ascii="Montserrat" w:eastAsia="Times New Roman" w:hAnsi="Montserrat" w:cs="Arial"/>
                <w:color w:val="000000"/>
                <w:sz w:val="15"/>
                <w:szCs w:val="15"/>
                <w:lang w:eastAsia="es-MX"/>
              </w:rPr>
            </w:pPr>
            <w:r w:rsidRPr="00255081">
              <w:rPr>
                <w:rFonts w:ascii="Montserrat" w:eastAsia="Times New Roman" w:hAnsi="Montserrat" w:cs="Calibri"/>
                <w:sz w:val="15"/>
                <w:szCs w:val="15"/>
                <w:lang w:val="es-MX" w:eastAsia="es-MX"/>
              </w:rPr>
              <w:t>100%</w:t>
            </w:r>
          </w:p>
        </w:tc>
        <w:tc>
          <w:tcPr>
            <w:tcW w:w="2098" w:type="dxa"/>
            <w:gridSpan w:val="2"/>
            <w:tcBorders>
              <w:top w:val="nil"/>
            </w:tcBorders>
            <w:shd w:val="clear" w:color="auto" w:fill="F2F2F2" w:themeFill="background1" w:themeFillShade="F2"/>
            <w:noWrap/>
            <w:vAlign w:val="center"/>
          </w:tcPr>
          <w:p w14:paraId="7C8E47F2" w14:textId="77777777" w:rsidR="000A1B05" w:rsidRDefault="000A1B05" w:rsidP="002702EC">
            <w:pPr>
              <w:spacing w:after="120" w:line="240" w:lineRule="auto"/>
              <w:jc w:val="right"/>
              <w:rPr>
                <w:rFonts w:ascii="Montserrat" w:eastAsia="Times New Roman" w:hAnsi="Montserrat" w:cs="Calibri"/>
                <w:sz w:val="15"/>
                <w:szCs w:val="15"/>
                <w:lang w:val="es-MX" w:eastAsia="es-MX"/>
              </w:rPr>
            </w:pPr>
          </w:p>
          <w:p w14:paraId="7FD21A7F" w14:textId="54052EA8" w:rsidR="00EC2223" w:rsidRPr="00255081" w:rsidRDefault="00EC2223" w:rsidP="002702EC">
            <w:pPr>
              <w:spacing w:after="120" w:line="240" w:lineRule="auto"/>
              <w:jc w:val="right"/>
              <w:rPr>
                <w:rFonts w:ascii="Montserrat" w:eastAsia="Times New Roman" w:hAnsi="Montserrat" w:cs="Arial"/>
                <w:color w:val="000000"/>
                <w:sz w:val="15"/>
                <w:szCs w:val="15"/>
                <w:lang w:eastAsia="es-MX"/>
              </w:rPr>
            </w:pPr>
            <w:r w:rsidRPr="00255081">
              <w:rPr>
                <w:rFonts w:ascii="Montserrat" w:eastAsia="Times New Roman" w:hAnsi="Montserrat" w:cs="Calibri"/>
                <w:sz w:val="15"/>
                <w:szCs w:val="15"/>
                <w:lang w:val="es-MX" w:eastAsia="es-MX"/>
              </w:rPr>
              <w:t>6,055,890,293</w:t>
            </w:r>
          </w:p>
        </w:tc>
      </w:tr>
      <w:tr w:rsidR="00EC2223" w:rsidRPr="006F0DF1" w14:paraId="1E3A3D1A" w14:textId="77777777" w:rsidTr="000F0321">
        <w:trPr>
          <w:trHeight w:val="340"/>
        </w:trPr>
        <w:tc>
          <w:tcPr>
            <w:tcW w:w="6095" w:type="dxa"/>
            <w:tcBorders>
              <w:top w:val="nil"/>
            </w:tcBorders>
            <w:shd w:val="clear" w:color="auto" w:fill="F2F2F2" w:themeFill="background1" w:themeFillShade="F2"/>
            <w:vAlign w:val="center"/>
          </w:tcPr>
          <w:p w14:paraId="14158460" w14:textId="4EAC8EB4" w:rsidR="00EC2223" w:rsidRPr="00255081" w:rsidRDefault="00EC2223" w:rsidP="004B170A">
            <w:pPr>
              <w:spacing w:after="120" w:line="240" w:lineRule="auto"/>
              <w:jc w:val="both"/>
              <w:rPr>
                <w:rFonts w:ascii="Montserrat" w:eastAsia="Times New Roman" w:hAnsi="Montserrat" w:cs="Arial"/>
                <w:color w:val="000000"/>
                <w:sz w:val="15"/>
                <w:szCs w:val="15"/>
                <w:lang w:eastAsia="es-MX"/>
              </w:rPr>
            </w:pPr>
            <w:r w:rsidRPr="00255081">
              <w:rPr>
                <w:rFonts w:ascii="Montserrat" w:eastAsia="Times New Roman" w:hAnsi="Montserrat" w:cs="Calibri"/>
                <w:sz w:val="15"/>
                <w:szCs w:val="15"/>
                <w:lang w:val="es-MX" w:eastAsia="es-MX"/>
              </w:rPr>
              <w:t xml:space="preserve">Mandato Fiduciario de Inversión y Admón. Apoyo Financiero a favor del Fideicomiso Sindicatura de Promotora del Valle de Morelia </w:t>
            </w:r>
          </w:p>
        </w:tc>
        <w:tc>
          <w:tcPr>
            <w:tcW w:w="2268" w:type="dxa"/>
            <w:gridSpan w:val="2"/>
            <w:tcBorders>
              <w:top w:val="nil"/>
            </w:tcBorders>
            <w:shd w:val="clear" w:color="auto" w:fill="F2F2F2" w:themeFill="background1" w:themeFillShade="F2"/>
            <w:vAlign w:val="center"/>
          </w:tcPr>
          <w:p w14:paraId="6FDBB993" w14:textId="29279F6A" w:rsidR="00EC2223" w:rsidRPr="00255081" w:rsidRDefault="00EC2223" w:rsidP="002702EC">
            <w:pPr>
              <w:spacing w:after="120" w:line="240" w:lineRule="auto"/>
              <w:jc w:val="right"/>
              <w:rPr>
                <w:rFonts w:ascii="Montserrat" w:eastAsia="Times New Roman" w:hAnsi="Montserrat" w:cs="Arial"/>
                <w:color w:val="000000"/>
                <w:sz w:val="15"/>
                <w:szCs w:val="15"/>
                <w:lang w:eastAsia="es-MX"/>
              </w:rPr>
            </w:pPr>
            <w:r w:rsidRPr="00255081">
              <w:rPr>
                <w:rFonts w:ascii="Montserrat" w:eastAsia="Times New Roman" w:hAnsi="Montserrat" w:cs="Calibri"/>
                <w:sz w:val="15"/>
                <w:szCs w:val="15"/>
                <w:lang w:val="es-MX" w:eastAsia="es-MX"/>
              </w:rPr>
              <w:t>6,630,224</w:t>
            </w:r>
          </w:p>
        </w:tc>
        <w:tc>
          <w:tcPr>
            <w:tcW w:w="2268" w:type="dxa"/>
            <w:gridSpan w:val="2"/>
            <w:tcBorders>
              <w:top w:val="nil"/>
            </w:tcBorders>
            <w:shd w:val="clear" w:color="auto" w:fill="F2F2F2" w:themeFill="background1" w:themeFillShade="F2"/>
            <w:vAlign w:val="center"/>
          </w:tcPr>
          <w:p w14:paraId="59235014" w14:textId="701B70A9" w:rsidR="00EC2223" w:rsidRPr="00255081" w:rsidRDefault="00EC2223" w:rsidP="002702EC">
            <w:pPr>
              <w:spacing w:after="120" w:line="240" w:lineRule="auto"/>
              <w:jc w:val="right"/>
              <w:rPr>
                <w:rFonts w:ascii="Montserrat" w:eastAsia="Times New Roman" w:hAnsi="Montserrat" w:cs="Arial"/>
                <w:color w:val="000000"/>
                <w:sz w:val="15"/>
                <w:szCs w:val="15"/>
                <w:lang w:eastAsia="es-MX"/>
              </w:rPr>
            </w:pPr>
            <w:r w:rsidRPr="00255081">
              <w:rPr>
                <w:rFonts w:ascii="Montserrat" w:eastAsia="Times New Roman" w:hAnsi="Montserrat" w:cs="Calibri"/>
                <w:sz w:val="15"/>
                <w:szCs w:val="15"/>
                <w:lang w:val="es-MX" w:eastAsia="es-MX"/>
              </w:rPr>
              <w:t>100%</w:t>
            </w:r>
          </w:p>
        </w:tc>
        <w:tc>
          <w:tcPr>
            <w:tcW w:w="2098" w:type="dxa"/>
            <w:gridSpan w:val="2"/>
            <w:tcBorders>
              <w:top w:val="nil"/>
            </w:tcBorders>
            <w:shd w:val="clear" w:color="auto" w:fill="F2F2F2" w:themeFill="background1" w:themeFillShade="F2"/>
            <w:noWrap/>
            <w:vAlign w:val="center"/>
          </w:tcPr>
          <w:p w14:paraId="18841585" w14:textId="3923319C" w:rsidR="00EC2223" w:rsidRPr="00255081" w:rsidRDefault="00EC2223" w:rsidP="002702EC">
            <w:pPr>
              <w:spacing w:after="120" w:line="240" w:lineRule="auto"/>
              <w:jc w:val="right"/>
              <w:rPr>
                <w:rFonts w:ascii="Montserrat" w:eastAsia="Times New Roman" w:hAnsi="Montserrat" w:cs="Arial"/>
                <w:color w:val="000000"/>
                <w:sz w:val="15"/>
                <w:szCs w:val="15"/>
                <w:lang w:eastAsia="es-MX"/>
              </w:rPr>
            </w:pPr>
            <w:r w:rsidRPr="00255081">
              <w:rPr>
                <w:rFonts w:ascii="Montserrat" w:eastAsia="Times New Roman" w:hAnsi="Montserrat" w:cs="Calibri"/>
                <w:sz w:val="15"/>
                <w:szCs w:val="15"/>
                <w:lang w:val="es-MX" w:eastAsia="es-MX"/>
              </w:rPr>
              <w:t>6,630,224</w:t>
            </w:r>
          </w:p>
        </w:tc>
      </w:tr>
      <w:tr w:rsidR="00EC2223" w:rsidRPr="006F0DF1" w14:paraId="08285229" w14:textId="77777777" w:rsidTr="000F0321">
        <w:trPr>
          <w:trHeight w:val="340"/>
        </w:trPr>
        <w:tc>
          <w:tcPr>
            <w:tcW w:w="6095" w:type="dxa"/>
            <w:tcBorders>
              <w:top w:val="nil"/>
            </w:tcBorders>
            <w:shd w:val="clear" w:color="auto" w:fill="F2F2F2" w:themeFill="background1" w:themeFillShade="F2"/>
            <w:vAlign w:val="center"/>
          </w:tcPr>
          <w:p w14:paraId="3B46C13F" w14:textId="0C5EEA31" w:rsidR="00EC2223" w:rsidRPr="000F0321" w:rsidRDefault="00EC2223" w:rsidP="004B170A">
            <w:pPr>
              <w:spacing w:after="120" w:line="240" w:lineRule="auto"/>
              <w:jc w:val="both"/>
              <w:rPr>
                <w:rFonts w:ascii="Montserrat" w:eastAsia="Times New Roman" w:hAnsi="Montserrat" w:cs="Arial"/>
                <w:color w:val="000000"/>
                <w:sz w:val="15"/>
                <w:szCs w:val="15"/>
                <w:lang w:val="en-US" w:eastAsia="es-MX"/>
              </w:rPr>
            </w:pPr>
            <w:r w:rsidRPr="000F0321">
              <w:rPr>
                <w:rFonts w:ascii="Montserrat" w:eastAsia="Times New Roman" w:hAnsi="Montserrat" w:cs="Calibri"/>
                <w:sz w:val="15"/>
                <w:szCs w:val="15"/>
                <w:lang w:val="en-US" w:eastAsia="es-MX"/>
              </w:rPr>
              <w:t>Mandato SHCP Mex. Tex. Development Corp</w:t>
            </w:r>
          </w:p>
        </w:tc>
        <w:tc>
          <w:tcPr>
            <w:tcW w:w="2268" w:type="dxa"/>
            <w:gridSpan w:val="2"/>
            <w:tcBorders>
              <w:top w:val="nil"/>
            </w:tcBorders>
            <w:shd w:val="clear" w:color="auto" w:fill="F2F2F2" w:themeFill="background1" w:themeFillShade="F2"/>
            <w:vAlign w:val="center"/>
          </w:tcPr>
          <w:p w14:paraId="3885C026" w14:textId="1E279857" w:rsidR="00EC2223" w:rsidRPr="00255081" w:rsidRDefault="00EC2223" w:rsidP="002702EC">
            <w:pPr>
              <w:spacing w:after="120" w:line="240" w:lineRule="auto"/>
              <w:jc w:val="right"/>
              <w:rPr>
                <w:rFonts w:ascii="Montserrat" w:eastAsia="Times New Roman" w:hAnsi="Montserrat" w:cs="Arial"/>
                <w:color w:val="000000"/>
                <w:sz w:val="15"/>
                <w:szCs w:val="15"/>
                <w:lang w:eastAsia="es-MX"/>
              </w:rPr>
            </w:pPr>
            <w:r w:rsidRPr="00255081">
              <w:rPr>
                <w:rFonts w:ascii="Montserrat" w:eastAsia="Times New Roman" w:hAnsi="Montserrat" w:cs="Calibri"/>
                <w:sz w:val="15"/>
                <w:szCs w:val="15"/>
                <w:lang w:val="es-MX" w:eastAsia="es-MX"/>
              </w:rPr>
              <w:t>504,897</w:t>
            </w:r>
          </w:p>
        </w:tc>
        <w:tc>
          <w:tcPr>
            <w:tcW w:w="2268" w:type="dxa"/>
            <w:gridSpan w:val="2"/>
            <w:tcBorders>
              <w:top w:val="nil"/>
            </w:tcBorders>
            <w:shd w:val="clear" w:color="auto" w:fill="F2F2F2" w:themeFill="background1" w:themeFillShade="F2"/>
            <w:vAlign w:val="center"/>
          </w:tcPr>
          <w:p w14:paraId="0D5BCE3C" w14:textId="700C04F7" w:rsidR="00EC2223" w:rsidRPr="00255081" w:rsidRDefault="00EC2223" w:rsidP="002702EC">
            <w:pPr>
              <w:spacing w:after="120" w:line="240" w:lineRule="auto"/>
              <w:jc w:val="right"/>
              <w:rPr>
                <w:rFonts w:ascii="Montserrat" w:eastAsia="Times New Roman" w:hAnsi="Montserrat" w:cs="Arial"/>
                <w:color w:val="000000"/>
                <w:sz w:val="15"/>
                <w:szCs w:val="15"/>
                <w:lang w:eastAsia="es-MX"/>
              </w:rPr>
            </w:pPr>
            <w:r w:rsidRPr="00255081">
              <w:rPr>
                <w:rFonts w:ascii="Montserrat" w:eastAsia="Times New Roman" w:hAnsi="Montserrat" w:cs="Calibri"/>
                <w:sz w:val="15"/>
                <w:szCs w:val="15"/>
                <w:lang w:val="es-MX" w:eastAsia="es-MX"/>
              </w:rPr>
              <w:t>100%</w:t>
            </w:r>
          </w:p>
        </w:tc>
        <w:tc>
          <w:tcPr>
            <w:tcW w:w="2098" w:type="dxa"/>
            <w:gridSpan w:val="2"/>
            <w:tcBorders>
              <w:top w:val="nil"/>
            </w:tcBorders>
            <w:shd w:val="clear" w:color="auto" w:fill="F2F2F2" w:themeFill="background1" w:themeFillShade="F2"/>
            <w:noWrap/>
            <w:vAlign w:val="center"/>
          </w:tcPr>
          <w:p w14:paraId="24706D92" w14:textId="5BBD2D4B" w:rsidR="00EC2223" w:rsidRPr="00255081" w:rsidRDefault="00EC2223" w:rsidP="002702EC">
            <w:pPr>
              <w:spacing w:after="120" w:line="240" w:lineRule="auto"/>
              <w:jc w:val="right"/>
              <w:rPr>
                <w:rFonts w:ascii="Montserrat" w:eastAsia="Times New Roman" w:hAnsi="Montserrat" w:cs="Arial"/>
                <w:color w:val="000000"/>
                <w:sz w:val="15"/>
                <w:szCs w:val="15"/>
                <w:lang w:eastAsia="es-MX"/>
              </w:rPr>
            </w:pPr>
            <w:r w:rsidRPr="00255081">
              <w:rPr>
                <w:rFonts w:ascii="Montserrat" w:eastAsia="Times New Roman" w:hAnsi="Montserrat" w:cs="Calibri"/>
                <w:sz w:val="15"/>
                <w:szCs w:val="15"/>
                <w:lang w:val="es-MX" w:eastAsia="es-MX"/>
              </w:rPr>
              <w:t>504,897</w:t>
            </w:r>
          </w:p>
        </w:tc>
      </w:tr>
      <w:tr w:rsidR="00EC2223" w:rsidRPr="006F0DF1" w14:paraId="63167254" w14:textId="77777777" w:rsidTr="000F0321">
        <w:trPr>
          <w:trHeight w:val="340"/>
        </w:trPr>
        <w:tc>
          <w:tcPr>
            <w:tcW w:w="6095" w:type="dxa"/>
            <w:shd w:val="clear" w:color="auto" w:fill="F2F2F2" w:themeFill="background1" w:themeFillShade="F2"/>
            <w:vAlign w:val="center"/>
          </w:tcPr>
          <w:p w14:paraId="0DE49363" w14:textId="4BBEDDA7" w:rsidR="00EC2223" w:rsidRPr="00255081" w:rsidRDefault="00EC2223" w:rsidP="004B170A">
            <w:pPr>
              <w:spacing w:after="120" w:line="240" w:lineRule="auto"/>
              <w:jc w:val="both"/>
              <w:rPr>
                <w:rFonts w:ascii="Montserrat" w:eastAsia="Times New Roman" w:hAnsi="Montserrat" w:cs="Arial"/>
                <w:color w:val="000000"/>
                <w:sz w:val="15"/>
                <w:szCs w:val="15"/>
                <w:lang w:eastAsia="es-MX"/>
              </w:rPr>
            </w:pPr>
            <w:r w:rsidRPr="00255081">
              <w:rPr>
                <w:rFonts w:ascii="Montserrat" w:eastAsia="Times New Roman" w:hAnsi="Montserrat" w:cs="Calibri"/>
                <w:sz w:val="15"/>
                <w:szCs w:val="15"/>
                <w:lang w:val="es-MX" w:eastAsia="es-MX"/>
              </w:rPr>
              <w:t>Fideicomiso Fondo de Estabilización de los Ingresos Presupuestarios</w:t>
            </w:r>
          </w:p>
        </w:tc>
        <w:tc>
          <w:tcPr>
            <w:tcW w:w="2268" w:type="dxa"/>
            <w:gridSpan w:val="2"/>
            <w:shd w:val="clear" w:color="auto" w:fill="F2F2F2" w:themeFill="background1" w:themeFillShade="F2"/>
            <w:vAlign w:val="center"/>
          </w:tcPr>
          <w:p w14:paraId="0E3CCDAA" w14:textId="156897BE" w:rsidR="00EC2223" w:rsidRPr="00255081" w:rsidRDefault="00EC2223" w:rsidP="002702EC">
            <w:pPr>
              <w:spacing w:after="120" w:line="240" w:lineRule="auto"/>
              <w:jc w:val="right"/>
              <w:rPr>
                <w:rFonts w:ascii="Montserrat" w:eastAsia="Times New Roman" w:hAnsi="Montserrat" w:cs="Arial"/>
                <w:color w:val="000000"/>
                <w:sz w:val="15"/>
                <w:szCs w:val="15"/>
                <w:lang w:eastAsia="es-MX"/>
              </w:rPr>
            </w:pPr>
            <w:r w:rsidRPr="00255081">
              <w:rPr>
                <w:rFonts w:ascii="Montserrat" w:eastAsia="Times New Roman" w:hAnsi="Montserrat" w:cs="Calibri"/>
                <w:sz w:val="15"/>
                <w:szCs w:val="15"/>
                <w:lang w:val="es-MX" w:eastAsia="es-MX"/>
              </w:rPr>
              <w:t>159,618,616,010</w:t>
            </w:r>
          </w:p>
        </w:tc>
        <w:tc>
          <w:tcPr>
            <w:tcW w:w="2268" w:type="dxa"/>
            <w:gridSpan w:val="2"/>
            <w:shd w:val="clear" w:color="auto" w:fill="F2F2F2" w:themeFill="background1" w:themeFillShade="F2"/>
            <w:vAlign w:val="center"/>
          </w:tcPr>
          <w:p w14:paraId="23CD730C" w14:textId="689205D9" w:rsidR="00EC2223" w:rsidRPr="00255081" w:rsidRDefault="00EC2223" w:rsidP="002702EC">
            <w:pPr>
              <w:spacing w:after="120" w:line="240" w:lineRule="auto"/>
              <w:jc w:val="right"/>
              <w:rPr>
                <w:rFonts w:ascii="Montserrat" w:eastAsia="Times New Roman" w:hAnsi="Montserrat" w:cs="Arial"/>
                <w:color w:val="000000"/>
                <w:sz w:val="15"/>
                <w:szCs w:val="15"/>
                <w:lang w:eastAsia="es-MX"/>
              </w:rPr>
            </w:pPr>
            <w:r w:rsidRPr="00255081">
              <w:rPr>
                <w:rFonts w:ascii="Montserrat" w:eastAsia="Times New Roman" w:hAnsi="Montserrat" w:cs="Calibri"/>
                <w:sz w:val="15"/>
                <w:szCs w:val="15"/>
                <w:lang w:val="es-MX" w:eastAsia="es-MX"/>
              </w:rPr>
              <w:t>100%</w:t>
            </w:r>
          </w:p>
        </w:tc>
        <w:tc>
          <w:tcPr>
            <w:tcW w:w="2098" w:type="dxa"/>
            <w:gridSpan w:val="2"/>
            <w:shd w:val="clear" w:color="auto" w:fill="F2F2F2" w:themeFill="background1" w:themeFillShade="F2"/>
            <w:noWrap/>
            <w:vAlign w:val="center"/>
          </w:tcPr>
          <w:p w14:paraId="14F7020D" w14:textId="4F00DF5D" w:rsidR="00EC2223" w:rsidRPr="00255081" w:rsidRDefault="00EC2223" w:rsidP="002702EC">
            <w:pPr>
              <w:spacing w:after="120" w:line="240" w:lineRule="auto"/>
              <w:jc w:val="right"/>
              <w:rPr>
                <w:rFonts w:ascii="Montserrat" w:eastAsia="Times New Roman" w:hAnsi="Montserrat" w:cs="Arial"/>
                <w:color w:val="000000"/>
                <w:sz w:val="15"/>
                <w:szCs w:val="15"/>
                <w:lang w:eastAsia="es-MX"/>
              </w:rPr>
            </w:pPr>
            <w:r w:rsidRPr="00255081">
              <w:rPr>
                <w:rFonts w:ascii="Montserrat" w:eastAsia="Times New Roman" w:hAnsi="Montserrat" w:cs="Calibri"/>
                <w:sz w:val="15"/>
                <w:szCs w:val="15"/>
                <w:lang w:val="es-MX" w:eastAsia="es-MX"/>
              </w:rPr>
              <w:t>159,618,616,010</w:t>
            </w:r>
          </w:p>
        </w:tc>
      </w:tr>
      <w:tr w:rsidR="00EC2223" w:rsidRPr="006F0DF1" w14:paraId="0CF1C5BE" w14:textId="77777777" w:rsidTr="000F0321">
        <w:trPr>
          <w:trHeight w:val="340"/>
        </w:trPr>
        <w:tc>
          <w:tcPr>
            <w:tcW w:w="6095" w:type="dxa"/>
            <w:tcBorders>
              <w:top w:val="nil"/>
            </w:tcBorders>
            <w:shd w:val="clear" w:color="auto" w:fill="F2F2F2" w:themeFill="background1" w:themeFillShade="F2"/>
            <w:vAlign w:val="center"/>
          </w:tcPr>
          <w:p w14:paraId="6F2CF6E6" w14:textId="4CEB6C9A" w:rsidR="00EC2223" w:rsidRPr="00255081" w:rsidRDefault="00EC2223" w:rsidP="004B170A">
            <w:pPr>
              <w:spacing w:after="120" w:line="240" w:lineRule="auto"/>
              <w:jc w:val="both"/>
              <w:rPr>
                <w:rFonts w:ascii="Montserrat" w:eastAsia="Times New Roman" w:hAnsi="Montserrat" w:cs="Arial"/>
                <w:color w:val="000000"/>
                <w:sz w:val="15"/>
                <w:szCs w:val="15"/>
                <w:lang w:eastAsia="es-MX"/>
              </w:rPr>
            </w:pPr>
            <w:r w:rsidRPr="00255081">
              <w:rPr>
                <w:rFonts w:ascii="Montserrat" w:eastAsia="Times New Roman" w:hAnsi="Montserrat" w:cs="Calibri"/>
                <w:sz w:val="15"/>
                <w:szCs w:val="15"/>
                <w:lang w:val="es-MX" w:eastAsia="es-MX"/>
              </w:rPr>
              <w:t xml:space="preserve">Fondo de Desincorporación de Entidades </w:t>
            </w:r>
          </w:p>
        </w:tc>
        <w:tc>
          <w:tcPr>
            <w:tcW w:w="2268" w:type="dxa"/>
            <w:gridSpan w:val="2"/>
            <w:tcBorders>
              <w:top w:val="nil"/>
            </w:tcBorders>
            <w:shd w:val="clear" w:color="auto" w:fill="F2F2F2" w:themeFill="background1" w:themeFillShade="F2"/>
            <w:vAlign w:val="center"/>
          </w:tcPr>
          <w:p w14:paraId="274D96BF" w14:textId="5CD47CA3" w:rsidR="00EC2223" w:rsidRPr="00255081" w:rsidRDefault="00EC2223" w:rsidP="002702EC">
            <w:pPr>
              <w:spacing w:after="120" w:line="240" w:lineRule="auto"/>
              <w:jc w:val="right"/>
              <w:rPr>
                <w:rFonts w:ascii="Montserrat" w:eastAsia="Times New Roman" w:hAnsi="Montserrat" w:cs="Arial"/>
                <w:color w:val="000000"/>
                <w:sz w:val="15"/>
                <w:szCs w:val="15"/>
                <w:lang w:eastAsia="es-MX"/>
              </w:rPr>
            </w:pPr>
            <w:r w:rsidRPr="00255081">
              <w:rPr>
                <w:rFonts w:ascii="Montserrat" w:eastAsia="Times New Roman" w:hAnsi="Montserrat" w:cs="Calibri"/>
                <w:sz w:val="15"/>
                <w:szCs w:val="15"/>
                <w:lang w:val="es-MX" w:eastAsia="es-MX"/>
              </w:rPr>
              <w:t>4,533,593,917</w:t>
            </w:r>
          </w:p>
        </w:tc>
        <w:tc>
          <w:tcPr>
            <w:tcW w:w="2268" w:type="dxa"/>
            <w:gridSpan w:val="2"/>
            <w:tcBorders>
              <w:top w:val="nil"/>
            </w:tcBorders>
            <w:shd w:val="clear" w:color="auto" w:fill="F2F2F2" w:themeFill="background1" w:themeFillShade="F2"/>
            <w:vAlign w:val="center"/>
          </w:tcPr>
          <w:p w14:paraId="30A62D34" w14:textId="5EBE6C14" w:rsidR="00EC2223" w:rsidRPr="00255081" w:rsidRDefault="00EC2223" w:rsidP="002702EC">
            <w:pPr>
              <w:spacing w:after="120" w:line="240" w:lineRule="auto"/>
              <w:jc w:val="right"/>
              <w:rPr>
                <w:rFonts w:ascii="Montserrat" w:eastAsia="Times New Roman" w:hAnsi="Montserrat" w:cs="Arial"/>
                <w:color w:val="000000"/>
                <w:sz w:val="15"/>
                <w:szCs w:val="15"/>
                <w:lang w:eastAsia="es-MX"/>
              </w:rPr>
            </w:pPr>
            <w:r w:rsidRPr="00255081">
              <w:rPr>
                <w:rFonts w:ascii="Montserrat" w:eastAsia="Times New Roman" w:hAnsi="Montserrat" w:cs="Calibri"/>
                <w:sz w:val="15"/>
                <w:szCs w:val="15"/>
                <w:lang w:val="es-MX" w:eastAsia="es-MX"/>
              </w:rPr>
              <w:t>100%</w:t>
            </w:r>
          </w:p>
        </w:tc>
        <w:tc>
          <w:tcPr>
            <w:tcW w:w="2098" w:type="dxa"/>
            <w:gridSpan w:val="2"/>
            <w:tcBorders>
              <w:top w:val="nil"/>
            </w:tcBorders>
            <w:shd w:val="clear" w:color="auto" w:fill="F2F2F2" w:themeFill="background1" w:themeFillShade="F2"/>
            <w:noWrap/>
            <w:vAlign w:val="center"/>
          </w:tcPr>
          <w:p w14:paraId="2B08D575" w14:textId="7E15C49E" w:rsidR="00EC2223" w:rsidRPr="00255081" w:rsidRDefault="00EC2223" w:rsidP="002702EC">
            <w:pPr>
              <w:spacing w:after="120" w:line="240" w:lineRule="auto"/>
              <w:jc w:val="right"/>
              <w:rPr>
                <w:rFonts w:ascii="Montserrat" w:eastAsia="Times New Roman" w:hAnsi="Montserrat" w:cs="Arial"/>
                <w:color w:val="000000"/>
                <w:sz w:val="15"/>
                <w:szCs w:val="15"/>
                <w:lang w:eastAsia="es-MX"/>
              </w:rPr>
            </w:pPr>
            <w:r w:rsidRPr="00255081">
              <w:rPr>
                <w:rFonts w:ascii="Montserrat" w:eastAsia="Times New Roman" w:hAnsi="Montserrat" w:cs="Calibri"/>
                <w:sz w:val="15"/>
                <w:szCs w:val="15"/>
                <w:lang w:val="es-MX" w:eastAsia="es-MX"/>
              </w:rPr>
              <w:t>4,533,593,917</w:t>
            </w:r>
          </w:p>
        </w:tc>
      </w:tr>
      <w:tr w:rsidR="00EC2223" w:rsidRPr="006F0DF1" w14:paraId="0294D2D0" w14:textId="77777777" w:rsidTr="000F0321">
        <w:trPr>
          <w:trHeight w:val="340"/>
        </w:trPr>
        <w:tc>
          <w:tcPr>
            <w:tcW w:w="6095" w:type="dxa"/>
            <w:tcBorders>
              <w:top w:val="nil"/>
            </w:tcBorders>
            <w:shd w:val="clear" w:color="auto" w:fill="F2F2F2" w:themeFill="background1" w:themeFillShade="F2"/>
            <w:vAlign w:val="center"/>
          </w:tcPr>
          <w:p w14:paraId="323BD481" w14:textId="744A2A67" w:rsidR="00EC2223" w:rsidRPr="00255081" w:rsidRDefault="00EC2223" w:rsidP="004B170A">
            <w:pPr>
              <w:spacing w:after="120" w:line="240" w:lineRule="auto"/>
              <w:jc w:val="both"/>
              <w:rPr>
                <w:rFonts w:ascii="Montserrat" w:eastAsia="Times New Roman" w:hAnsi="Montserrat" w:cs="Arial"/>
                <w:color w:val="000000"/>
                <w:sz w:val="15"/>
                <w:szCs w:val="15"/>
                <w:lang w:eastAsia="es-MX"/>
              </w:rPr>
            </w:pPr>
            <w:r w:rsidRPr="00255081">
              <w:rPr>
                <w:rFonts w:ascii="Montserrat" w:eastAsia="Times New Roman" w:hAnsi="Montserrat" w:cs="Calibri"/>
                <w:sz w:val="15"/>
                <w:szCs w:val="15"/>
                <w:lang w:val="es-MX" w:eastAsia="es-MX"/>
              </w:rPr>
              <w:t>Fideicomiso 1327.- Gobierno Federal, Programa de Vivienda para Magistrados y Jueces del Poder Judicial Federal</w:t>
            </w:r>
          </w:p>
        </w:tc>
        <w:tc>
          <w:tcPr>
            <w:tcW w:w="2268" w:type="dxa"/>
            <w:gridSpan w:val="2"/>
            <w:tcBorders>
              <w:top w:val="nil"/>
            </w:tcBorders>
            <w:shd w:val="clear" w:color="auto" w:fill="F2F2F2" w:themeFill="background1" w:themeFillShade="F2"/>
            <w:vAlign w:val="center"/>
          </w:tcPr>
          <w:p w14:paraId="2B55A551" w14:textId="4AE26E99" w:rsidR="00EC2223" w:rsidRPr="00255081" w:rsidRDefault="00EC2223" w:rsidP="002702EC">
            <w:pPr>
              <w:spacing w:after="120" w:line="240" w:lineRule="auto"/>
              <w:jc w:val="right"/>
              <w:rPr>
                <w:rFonts w:ascii="Montserrat" w:eastAsia="Times New Roman" w:hAnsi="Montserrat" w:cs="Arial"/>
                <w:color w:val="000000"/>
                <w:sz w:val="15"/>
                <w:szCs w:val="15"/>
                <w:lang w:eastAsia="es-MX"/>
              </w:rPr>
            </w:pPr>
            <w:r w:rsidRPr="00255081">
              <w:rPr>
                <w:rFonts w:ascii="Montserrat" w:eastAsia="Times New Roman" w:hAnsi="Montserrat" w:cs="Calibri"/>
                <w:sz w:val="15"/>
                <w:szCs w:val="15"/>
                <w:lang w:val="es-MX" w:eastAsia="es-MX"/>
              </w:rPr>
              <w:t>2,659,486</w:t>
            </w:r>
          </w:p>
        </w:tc>
        <w:tc>
          <w:tcPr>
            <w:tcW w:w="2268" w:type="dxa"/>
            <w:gridSpan w:val="2"/>
            <w:tcBorders>
              <w:top w:val="nil"/>
            </w:tcBorders>
            <w:shd w:val="clear" w:color="auto" w:fill="F2F2F2" w:themeFill="background1" w:themeFillShade="F2"/>
            <w:vAlign w:val="center"/>
          </w:tcPr>
          <w:p w14:paraId="762E868D" w14:textId="6BB9BC5F" w:rsidR="00EC2223" w:rsidRPr="00255081" w:rsidRDefault="00EC2223" w:rsidP="002702EC">
            <w:pPr>
              <w:spacing w:after="120" w:line="240" w:lineRule="auto"/>
              <w:jc w:val="right"/>
              <w:rPr>
                <w:rFonts w:ascii="Montserrat" w:eastAsia="Times New Roman" w:hAnsi="Montserrat" w:cs="Arial"/>
                <w:color w:val="000000"/>
                <w:sz w:val="15"/>
                <w:szCs w:val="15"/>
                <w:lang w:eastAsia="es-MX"/>
              </w:rPr>
            </w:pPr>
            <w:r w:rsidRPr="00255081">
              <w:rPr>
                <w:rFonts w:ascii="Montserrat" w:eastAsia="Times New Roman" w:hAnsi="Montserrat" w:cs="Calibri"/>
                <w:sz w:val="15"/>
                <w:szCs w:val="15"/>
                <w:lang w:val="es-MX" w:eastAsia="es-MX"/>
              </w:rPr>
              <w:t>100%</w:t>
            </w:r>
          </w:p>
        </w:tc>
        <w:tc>
          <w:tcPr>
            <w:tcW w:w="2098" w:type="dxa"/>
            <w:gridSpan w:val="2"/>
            <w:tcBorders>
              <w:top w:val="nil"/>
            </w:tcBorders>
            <w:shd w:val="clear" w:color="auto" w:fill="F2F2F2" w:themeFill="background1" w:themeFillShade="F2"/>
            <w:noWrap/>
            <w:vAlign w:val="center"/>
          </w:tcPr>
          <w:p w14:paraId="3C542178" w14:textId="34A231B2" w:rsidR="00EC2223" w:rsidRPr="00255081" w:rsidRDefault="00EC2223" w:rsidP="002702EC">
            <w:pPr>
              <w:spacing w:after="120" w:line="240" w:lineRule="auto"/>
              <w:jc w:val="right"/>
              <w:rPr>
                <w:rFonts w:ascii="Montserrat" w:eastAsia="Times New Roman" w:hAnsi="Montserrat" w:cs="Arial"/>
                <w:color w:val="000000"/>
                <w:sz w:val="15"/>
                <w:szCs w:val="15"/>
                <w:lang w:eastAsia="es-MX"/>
              </w:rPr>
            </w:pPr>
            <w:r w:rsidRPr="00255081">
              <w:rPr>
                <w:rFonts w:ascii="Montserrat" w:eastAsia="Times New Roman" w:hAnsi="Montserrat" w:cs="Calibri"/>
                <w:sz w:val="15"/>
                <w:szCs w:val="15"/>
                <w:lang w:val="es-MX" w:eastAsia="es-MX"/>
              </w:rPr>
              <w:t>2,659,486</w:t>
            </w:r>
          </w:p>
        </w:tc>
      </w:tr>
      <w:tr w:rsidR="00EC2223" w:rsidRPr="006F0DF1" w14:paraId="5D76B7C9" w14:textId="77777777" w:rsidTr="000F0321">
        <w:trPr>
          <w:trHeight w:val="567"/>
        </w:trPr>
        <w:tc>
          <w:tcPr>
            <w:tcW w:w="6095" w:type="dxa"/>
            <w:tcBorders>
              <w:top w:val="nil"/>
            </w:tcBorders>
            <w:shd w:val="clear" w:color="auto" w:fill="F2F2F2" w:themeFill="background1" w:themeFillShade="F2"/>
            <w:vAlign w:val="center"/>
          </w:tcPr>
          <w:p w14:paraId="22681D5A" w14:textId="5C49B058" w:rsidR="00EC2223" w:rsidRPr="00255081" w:rsidRDefault="00EC2223" w:rsidP="004B170A">
            <w:pPr>
              <w:spacing w:after="120" w:line="240" w:lineRule="auto"/>
              <w:jc w:val="both"/>
              <w:rPr>
                <w:rFonts w:ascii="Montserrat" w:eastAsia="Times New Roman" w:hAnsi="Montserrat" w:cs="Arial"/>
                <w:color w:val="000000"/>
                <w:sz w:val="15"/>
                <w:szCs w:val="15"/>
                <w:lang w:eastAsia="es-MX"/>
              </w:rPr>
            </w:pPr>
            <w:r w:rsidRPr="00255081">
              <w:rPr>
                <w:rFonts w:ascii="Montserrat" w:eastAsia="Times New Roman" w:hAnsi="Montserrat" w:cs="Calibri"/>
                <w:sz w:val="15"/>
                <w:szCs w:val="15"/>
                <w:lang w:val="es-MX" w:eastAsia="es-MX"/>
              </w:rPr>
              <w:t>Mandato 1312.- Juicio promovido por ICA vs INECEL de la República de Ecuador</w:t>
            </w:r>
          </w:p>
        </w:tc>
        <w:tc>
          <w:tcPr>
            <w:tcW w:w="2268" w:type="dxa"/>
            <w:gridSpan w:val="2"/>
            <w:tcBorders>
              <w:top w:val="nil"/>
            </w:tcBorders>
            <w:shd w:val="clear" w:color="auto" w:fill="F2F2F2" w:themeFill="background1" w:themeFillShade="F2"/>
            <w:vAlign w:val="center"/>
          </w:tcPr>
          <w:p w14:paraId="03F981B1" w14:textId="0EA1EBE0" w:rsidR="00EC2223" w:rsidRPr="00255081" w:rsidRDefault="00EC2223" w:rsidP="002702EC">
            <w:pPr>
              <w:spacing w:after="120" w:line="240" w:lineRule="auto"/>
              <w:jc w:val="right"/>
              <w:rPr>
                <w:rFonts w:ascii="Montserrat" w:eastAsia="Times New Roman" w:hAnsi="Montserrat" w:cs="Arial"/>
                <w:color w:val="000000"/>
                <w:sz w:val="15"/>
                <w:szCs w:val="15"/>
                <w:lang w:eastAsia="es-MX"/>
              </w:rPr>
            </w:pPr>
            <w:r w:rsidRPr="00255081">
              <w:rPr>
                <w:rFonts w:ascii="Montserrat" w:eastAsia="Times New Roman" w:hAnsi="Montserrat" w:cs="Calibri"/>
                <w:sz w:val="15"/>
                <w:szCs w:val="15"/>
                <w:lang w:val="es-MX" w:eastAsia="es-MX"/>
              </w:rPr>
              <w:t>0</w:t>
            </w:r>
          </w:p>
        </w:tc>
        <w:tc>
          <w:tcPr>
            <w:tcW w:w="2268" w:type="dxa"/>
            <w:gridSpan w:val="2"/>
            <w:tcBorders>
              <w:top w:val="nil"/>
            </w:tcBorders>
            <w:shd w:val="clear" w:color="auto" w:fill="F2F2F2" w:themeFill="background1" w:themeFillShade="F2"/>
            <w:vAlign w:val="center"/>
          </w:tcPr>
          <w:p w14:paraId="2476DF01" w14:textId="74E2A0DA" w:rsidR="00EC2223" w:rsidRPr="00255081" w:rsidRDefault="00EC2223" w:rsidP="002702EC">
            <w:pPr>
              <w:spacing w:after="120" w:line="240" w:lineRule="auto"/>
              <w:jc w:val="right"/>
              <w:rPr>
                <w:rFonts w:ascii="Montserrat" w:eastAsia="Times New Roman" w:hAnsi="Montserrat" w:cs="Arial"/>
                <w:color w:val="000000"/>
                <w:sz w:val="15"/>
                <w:szCs w:val="15"/>
                <w:lang w:eastAsia="es-MX"/>
              </w:rPr>
            </w:pPr>
            <w:r w:rsidRPr="00255081">
              <w:rPr>
                <w:rFonts w:ascii="Montserrat" w:eastAsia="Times New Roman" w:hAnsi="Montserrat" w:cs="Calibri"/>
                <w:sz w:val="15"/>
                <w:szCs w:val="15"/>
                <w:lang w:val="es-MX" w:eastAsia="es-MX"/>
              </w:rPr>
              <w:t>0%</w:t>
            </w:r>
          </w:p>
        </w:tc>
        <w:tc>
          <w:tcPr>
            <w:tcW w:w="2098" w:type="dxa"/>
            <w:gridSpan w:val="2"/>
            <w:tcBorders>
              <w:top w:val="nil"/>
            </w:tcBorders>
            <w:shd w:val="clear" w:color="auto" w:fill="F2F2F2" w:themeFill="background1" w:themeFillShade="F2"/>
            <w:noWrap/>
            <w:vAlign w:val="center"/>
          </w:tcPr>
          <w:p w14:paraId="0F3ACA7C" w14:textId="12246ECD" w:rsidR="00EC2223" w:rsidRPr="00255081" w:rsidRDefault="00EC2223" w:rsidP="002702EC">
            <w:pPr>
              <w:spacing w:after="120" w:line="240" w:lineRule="auto"/>
              <w:jc w:val="right"/>
              <w:rPr>
                <w:rFonts w:ascii="Montserrat" w:eastAsia="Times New Roman" w:hAnsi="Montserrat" w:cs="Arial"/>
                <w:color w:val="000000"/>
                <w:sz w:val="15"/>
                <w:szCs w:val="15"/>
                <w:lang w:eastAsia="es-MX"/>
              </w:rPr>
            </w:pPr>
            <w:r w:rsidRPr="00255081">
              <w:rPr>
                <w:rFonts w:ascii="Montserrat" w:eastAsia="Times New Roman" w:hAnsi="Montserrat" w:cs="Calibri"/>
                <w:sz w:val="15"/>
                <w:szCs w:val="15"/>
                <w:lang w:val="es-MX" w:eastAsia="es-MX"/>
              </w:rPr>
              <w:t>0</w:t>
            </w:r>
          </w:p>
        </w:tc>
      </w:tr>
      <w:tr w:rsidR="00EC2223" w:rsidRPr="006F0DF1" w14:paraId="7AECB41B" w14:textId="77777777" w:rsidTr="000F0321">
        <w:trPr>
          <w:trHeight w:val="510"/>
        </w:trPr>
        <w:tc>
          <w:tcPr>
            <w:tcW w:w="6095" w:type="dxa"/>
            <w:shd w:val="clear" w:color="auto" w:fill="F2F2F2" w:themeFill="background1" w:themeFillShade="F2"/>
            <w:vAlign w:val="center"/>
          </w:tcPr>
          <w:p w14:paraId="2E757176" w14:textId="11FF14C9" w:rsidR="00EC2223" w:rsidRPr="00255081" w:rsidRDefault="00EC2223" w:rsidP="004B170A">
            <w:pPr>
              <w:spacing w:after="120" w:line="240" w:lineRule="auto"/>
              <w:jc w:val="both"/>
              <w:rPr>
                <w:rFonts w:ascii="Montserrat" w:eastAsia="Times New Roman" w:hAnsi="Montserrat" w:cs="Arial"/>
                <w:color w:val="000000"/>
                <w:sz w:val="15"/>
                <w:szCs w:val="15"/>
                <w:lang w:eastAsia="es-MX"/>
              </w:rPr>
            </w:pPr>
            <w:r w:rsidRPr="00255081">
              <w:rPr>
                <w:rFonts w:ascii="Montserrat" w:eastAsia="Times New Roman" w:hAnsi="Montserrat" w:cs="Calibri"/>
                <w:sz w:val="15"/>
                <w:szCs w:val="15"/>
                <w:lang w:val="es-MX" w:eastAsia="es-MX"/>
              </w:rPr>
              <w:t>Fideicomiso que Administrará el Fondo para el Fortalecimiento de Sociedades y Cooperativas de Ahorro y Préstamo</w:t>
            </w:r>
          </w:p>
        </w:tc>
        <w:tc>
          <w:tcPr>
            <w:tcW w:w="2268" w:type="dxa"/>
            <w:gridSpan w:val="2"/>
            <w:shd w:val="clear" w:color="auto" w:fill="F2F2F2" w:themeFill="background1" w:themeFillShade="F2"/>
            <w:vAlign w:val="center"/>
          </w:tcPr>
          <w:p w14:paraId="5B6B7454" w14:textId="6F63F67C" w:rsidR="00EC2223" w:rsidRPr="00255081" w:rsidRDefault="00EC2223" w:rsidP="002702EC">
            <w:pPr>
              <w:spacing w:after="120" w:line="240" w:lineRule="auto"/>
              <w:jc w:val="right"/>
              <w:rPr>
                <w:rFonts w:ascii="Montserrat" w:eastAsia="Times New Roman" w:hAnsi="Montserrat" w:cs="Arial"/>
                <w:color w:val="000000"/>
                <w:sz w:val="15"/>
                <w:szCs w:val="15"/>
                <w:lang w:eastAsia="es-MX"/>
              </w:rPr>
            </w:pPr>
            <w:r w:rsidRPr="00255081">
              <w:rPr>
                <w:rFonts w:ascii="Montserrat" w:eastAsia="Times New Roman" w:hAnsi="Montserrat" w:cs="Calibri"/>
                <w:sz w:val="15"/>
                <w:szCs w:val="15"/>
                <w:lang w:val="es-MX" w:eastAsia="es-MX"/>
              </w:rPr>
              <w:t>1,058,664,756</w:t>
            </w:r>
          </w:p>
        </w:tc>
        <w:tc>
          <w:tcPr>
            <w:tcW w:w="2268" w:type="dxa"/>
            <w:gridSpan w:val="2"/>
            <w:shd w:val="clear" w:color="auto" w:fill="F2F2F2" w:themeFill="background1" w:themeFillShade="F2"/>
            <w:vAlign w:val="center"/>
          </w:tcPr>
          <w:p w14:paraId="1C3F7331" w14:textId="68F3F6B2" w:rsidR="00EC2223" w:rsidRPr="00255081" w:rsidRDefault="00EC2223" w:rsidP="002702EC">
            <w:pPr>
              <w:spacing w:after="120" w:line="240" w:lineRule="auto"/>
              <w:jc w:val="right"/>
              <w:rPr>
                <w:rFonts w:ascii="Montserrat" w:eastAsia="Times New Roman" w:hAnsi="Montserrat" w:cs="Arial"/>
                <w:color w:val="000000"/>
                <w:sz w:val="15"/>
                <w:szCs w:val="15"/>
                <w:lang w:eastAsia="es-MX"/>
              </w:rPr>
            </w:pPr>
            <w:r w:rsidRPr="00255081">
              <w:rPr>
                <w:rFonts w:ascii="Montserrat" w:eastAsia="Times New Roman" w:hAnsi="Montserrat" w:cs="Calibri"/>
                <w:sz w:val="15"/>
                <w:szCs w:val="15"/>
                <w:lang w:val="es-MX" w:eastAsia="es-MX"/>
              </w:rPr>
              <w:t>100%</w:t>
            </w:r>
          </w:p>
        </w:tc>
        <w:tc>
          <w:tcPr>
            <w:tcW w:w="2098" w:type="dxa"/>
            <w:gridSpan w:val="2"/>
            <w:shd w:val="clear" w:color="auto" w:fill="F2F2F2" w:themeFill="background1" w:themeFillShade="F2"/>
            <w:noWrap/>
            <w:vAlign w:val="center"/>
          </w:tcPr>
          <w:p w14:paraId="6A8E94BB" w14:textId="0B5E8C8C" w:rsidR="00EC2223" w:rsidRPr="00255081" w:rsidRDefault="00EC2223" w:rsidP="002702EC">
            <w:pPr>
              <w:spacing w:after="120" w:line="240" w:lineRule="auto"/>
              <w:jc w:val="right"/>
              <w:rPr>
                <w:rFonts w:ascii="Montserrat" w:eastAsia="Times New Roman" w:hAnsi="Montserrat" w:cs="Arial"/>
                <w:color w:val="000000"/>
                <w:sz w:val="15"/>
                <w:szCs w:val="15"/>
                <w:lang w:eastAsia="es-MX"/>
              </w:rPr>
            </w:pPr>
            <w:r w:rsidRPr="00255081">
              <w:rPr>
                <w:rFonts w:ascii="Montserrat" w:eastAsia="Times New Roman" w:hAnsi="Montserrat" w:cs="Calibri"/>
                <w:sz w:val="15"/>
                <w:szCs w:val="15"/>
                <w:lang w:val="es-MX" w:eastAsia="es-MX"/>
              </w:rPr>
              <w:t>1,058,664,756</w:t>
            </w:r>
          </w:p>
        </w:tc>
      </w:tr>
      <w:tr w:rsidR="00EC2223" w:rsidRPr="006F0DF1" w14:paraId="2FED6AAC" w14:textId="77777777" w:rsidTr="000F0321">
        <w:trPr>
          <w:trHeight w:val="389"/>
        </w:trPr>
        <w:tc>
          <w:tcPr>
            <w:tcW w:w="6095" w:type="dxa"/>
            <w:tcBorders>
              <w:top w:val="nil"/>
            </w:tcBorders>
            <w:shd w:val="clear" w:color="auto" w:fill="F2F2F2" w:themeFill="background1" w:themeFillShade="F2"/>
            <w:vAlign w:val="center"/>
          </w:tcPr>
          <w:p w14:paraId="593D6C06" w14:textId="77777777" w:rsidR="005A30B5" w:rsidRDefault="005A30B5" w:rsidP="004B170A">
            <w:pPr>
              <w:spacing w:after="120" w:line="240" w:lineRule="auto"/>
              <w:jc w:val="both"/>
              <w:rPr>
                <w:rFonts w:ascii="Montserrat" w:eastAsia="Times New Roman" w:hAnsi="Montserrat" w:cs="Calibri"/>
                <w:sz w:val="15"/>
                <w:szCs w:val="15"/>
                <w:lang w:val="es-MX" w:eastAsia="es-MX"/>
              </w:rPr>
            </w:pPr>
          </w:p>
          <w:p w14:paraId="65C65868" w14:textId="01CD1D51" w:rsidR="00EC2223" w:rsidRPr="00255081" w:rsidRDefault="00EC2223" w:rsidP="004B170A">
            <w:pPr>
              <w:spacing w:after="120" w:line="240" w:lineRule="auto"/>
              <w:jc w:val="both"/>
              <w:rPr>
                <w:rFonts w:ascii="Montserrat" w:eastAsia="Times New Roman" w:hAnsi="Montserrat" w:cs="Arial"/>
                <w:color w:val="000000"/>
                <w:sz w:val="15"/>
                <w:szCs w:val="15"/>
                <w:lang w:eastAsia="es-MX"/>
              </w:rPr>
            </w:pPr>
            <w:r w:rsidRPr="00255081">
              <w:rPr>
                <w:rFonts w:ascii="Montserrat" w:eastAsia="Times New Roman" w:hAnsi="Montserrat" w:cs="Calibri"/>
                <w:sz w:val="15"/>
                <w:szCs w:val="15"/>
                <w:lang w:val="es-MX" w:eastAsia="es-MX"/>
              </w:rPr>
              <w:t>Mandato Seranor Jubilados</w:t>
            </w:r>
          </w:p>
        </w:tc>
        <w:tc>
          <w:tcPr>
            <w:tcW w:w="2268" w:type="dxa"/>
            <w:gridSpan w:val="2"/>
            <w:tcBorders>
              <w:top w:val="nil"/>
            </w:tcBorders>
            <w:shd w:val="clear" w:color="auto" w:fill="F2F2F2" w:themeFill="background1" w:themeFillShade="F2"/>
            <w:vAlign w:val="center"/>
          </w:tcPr>
          <w:p w14:paraId="246607C9" w14:textId="77777777" w:rsidR="005A30B5" w:rsidRDefault="005A30B5" w:rsidP="002702EC">
            <w:pPr>
              <w:spacing w:after="120" w:line="240" w:lineRule="auto"/>
              <w:jc w:val="right"/>
              <w:rPr>
                <w:rFonts w:ascii="Montserrat" w:eastAsia="Times New Roman" w:hAnsi="Montserrat" w:cs="Calibri"/>
                <w:sz w:val="15"/>
                <w:szCs w:val="15"/>
                <w:lang w:val="es-MX" w:eastAsia="es-MX"/>
              </w:rPr>
            </w:pPr>
          </w:p>
          <w:p w14:paraId="635EA8B1" w14:textId="7CB7CF11" w:rsidR="00EC2223" w:rsidRPr="00255081" w:rsidRDefault="00EC2223" w:rsidP="002702EC">
            <w:pPr>
              <w:spacing w:after="120" w:line="240" w:lineRule="auto"/>
              <w:jc w:val="right"/>
              <w:rPr>
                <w:rFonts w:ascii="Montserrat" w:eastAsia="Times New Roman" w:hAnsi="Montserrat" w:cs="Arial"/>
                <w:color w:val="000000"/>
                <w:sz w:val="15"/>
                <w:szCs w:val="15"/>
                <w:lang w:eastAsia="es-MX"/>
              </w:rPr>
            </w:pPr>
            <w:r w:rsidRPr="00255081">
              <w:rPr>
                <w:rFonts w:ascii="Montserrat" w:eastAsia="Times New Roman" w:hAnsi="Montserrat" w:cs="Calibri"/>
                <w:sz w:val="15"/>
                <w:szCs w:val="15"/>
                <w:lang w:val="es-MX" w:eastAsia="es-MX"/>
              </w:rPr>
              <w:t>364,279,512</w:t>
            </w:r>
          </w:p>
        </w:tc>
        <w:tc>
          <w:tcPr>
            <w:tcW w:w="2268" w:type="dxa"/>
            <w:gridSpan w:val="2"/>
            <w:tcBorders>
              <w:top w:val="nil"/>
            </w:tcBorders>
            <w:shd w:val="clear" w:color="auto" w:fill="F2F2F2" w:themeFill="background1" w:themeFillShade="F2"/>
            <w:vAlign w:val="center"/>
          </w:tcPr>
          <w:p w14:paraId="7945692E" w14:textId="77777777" w:rsidR="005A30B5" w:rsidRDefault="005A30B5" w:rsidP="002702EC">
            <w:pPr>
              <w:spacing w:after="120" w:line="240" w:lineRule="auto"/>
              <w:jc w:val="right"/>
              <w:rPr>
                <w:rFonts w:ascii="Montserrat" w:eastAsia="Times New Roman" w:hAnsi="Montserrat" w:cs="Calibri"/>
                <w:sz w:val="15"/>
                <w:szCs w:val="15"/>
                <w:lang w:val="es-MX" w:eastAsia="es-MX"/>
              </w:rPr>
            </w:pPr>
          </w:p>
          <w:p w14:paraId="42938799" w14:textId="328FA920" w:rsidR="00EC2223" w:rsidRPr="00255081" w:rsidRDefault="00EC2223" w:rsidP="002702EC">
            <w:pPr>
              <w:spacing w:after="120" w:line="240" w:lineRule="auto"/>
              <w:jc w:val="right"/>
              <w:rPr>
                <w:rFonts w:ascii="Montserrat" w:eastAsia="Times New Roman" w:hAnsi="Montserrat" w:cs="Arial"/>
                <w:color w:val="000000"/>
                <w:sz w:val="15"/>
                <w:szCs w:val="15"/>
                <w:lang w:eastAsia="es-MX"/>
              </w:rPr>
            </w:pPr>
            <w:r w:rsidRPr="00255081">
              <w:rPr>
                <w:rFonts w:ascii="Montserrat" w:eastAsia="Times New Roman" w:hAnsi="Montserrat" w:cs="Calibri"/>
                <w:sz w:val="15"/>
                <w:szCs w:val="15"/>
                <w:lang w:val="es-MX" w:eastAsia="es-MX"/>
              </w:rPr>
              <w:t>100%</w:t>
            </w:r>
          </w:p>
        </w:tc>
        <w:tc>
          <w:tcPr>
            <w:tcW w:w="2098" w:type="dxa"/>
            <w:gridSpan w:val="2"/>
            <w:tcBorders>
              <w:top w:val="nil"/>
            </w:tcBorders>
            <w:shd w:val="clear" w:color="auto" w:fill="F2F2F2" w:themeFill="background1" w:themeFillShade="F2"/>
            <w:noWrap/>
            <w:vAlign w:val="center"/>
          </w:tcPr>
          <w:p w14:paraId="76E10EA1" w14:textId="77777777" w:rsidR="005A30B5" w:rsidRDefault="005A30B5" w:rsidP="002702EC">
            <w:pPr>
              <w:spacing w:after="120" w:line="240" w:lineRule="auto"/>
              <w:jc w:val="right"/>
              <w:rPr>
                <w:rFonts w:ascii="Montserrat" w:eastAsia="Times New Roman" w:hAnsi="Montserrat" w:cs="Calibri"/>
                <w:sz w:val="15"/>
                <w:szCs w:val="15"/>
                <w:lang w:val="es-MX" w:eastAsia="es-MX"/>
              </w:rPr>
            </w:pPr>
          </w:p>
          <w:p w14:paraId="053A7D81" w14:textId="3BBBFFB8" w:rsidR="00EC2223" w:rsidRPr="00255081" w:rsidRDefault="00EC2223" w:rsidP="002702EC">
            <w:pPr>
              <w:spacing w:after="120" w:line="240" w:lineRule="auto"/>
              <w:jc w:val="right"/>
              <w:rPr>
                <w:rFonts w:ascii="Montserrat" w:eastAsia="Times New Roman" w:hAnsi="Montserrat" w:cs="Arial"/>
                <w:color w:val="000000"/>
                <w:sz w:val="15"/>
                <w:szCs w:val="15"/>
                <w:lang w:eastAsia="es-MX"/>
              </w:rPr>
            </w:pPr>
            <w:r w:rsidRPr="00255081">
              <w:rPr>
                <w:rFonts w:ascii="Montserrat" w:eastAsia="Times New Roman" w:hAnsi="Montserrat" w:cs="Calibri"/>
                <w:sz w:val="15"/>
                <w:szCs w:val="15"/>
                <w:lang w:val="es-MX" w:eastAsia="es-MX"/>
              </w:rPr>
              <w:t>364,279,512</w:t>
            </w:r>
          </w:p>
        </w:tc>
      </w:tr>
      <w:tr w:rsidR="00EC2223" w:rsidRPr="006F0DF1" w14:paraId="1F898841" w14:textId="77777777" w:rsidTr="000F0321">
        <w:trPr>
          <w:trHeight w:val="567"/>
        </w:trPr>
        <w:tc>
          <w:tcPr>
            <w:tcW w:w="6095" w:type="dxa"/>
            <w:tcBorders>
              <w:top w:val="nil"/>
            </w:tcBorders>
            <w:shd w:val="clear" w:color="auto" w:fill="F2F2F2" w:themeFill="background1" w:themeFillShade="F2"/>
            <w:vAlign w:val="center"/>
          </w:tcPr>
          <w:p w14:paraId="422213CA" w14:textId="34EA6C0A" w:rsidR="00EC2223" w:rsidRPr="00255081" w:rsidRDefault="00EC2223" w:rsidP="004B170A">
            <w:pPr>
              <w:spacing w:after="120" w:line="240" w:lineRule="auto"/>
              <w:jc w:val="both"/>
              <w:rPr>
                <w:rFonts w:ascii="Montserrat" w:eastAsia="Times New Roman" w:hAnsi="Montserrat" w:cs="Arial"/>
                <w:color w:val="000000"/>
                <w:sz w:val="15"/>
                <w:szCs w:val="15"/>
                <w:lang w:eastAsia="es-MX"/>
              </w:rPr>
            </w:pPr>
            <w:r w:rsidRPr="00255081">
              <w:rPr>
                <w:rFonts w:ascii="Montserrat" w:eastAsia="Times New Roman" w:hAnsi="Montserrat" w:cs="Calibri"/>
                <w:sz w:val="15"/>
                <w:szCs w:val="15"/>
                <w:lang w:val="es-MX" w:eastAsia="es-MX"/>
              </w:rPr>
              <w:t>Fondo de Infraestructura para Países de Mesoamérica y el Caribe</w:t>
            </w:r>
          </w:p>
        </w:tc>
        <w:tc>
          <w:tcPr>
            <w:tcW w:w="2268" w:type="dxa"/>
            <w:gridSpan w:val="2"/>
            <w:tcBorders>
              <w:top w:val="nil"/>
            </w:tcBorders>
            <w:shd w:val="clear" w:color="auto" w:fill="F2F2F2" w:themeFill="background1" w:themeFillShade="F2"/>
            <w:vAlign w:val="center"/>
          </w:tcPr>
          <w:p w14:paraId="13D11286" w14:textId="7276880D" w:rsidR="00EC2223" w:rsidRPr="00255081" w:rsidRDefault="00EC2223" w:rsidP="002702EC">
            <w:pPr>
              <w:spacing w:after="120" w:line="240" w:lineRule="auto"/>
              <w:jc w:val="right"/>
              <w:rPr>
                <w:rFonts w:ascii="Montserrat" w:eastAsia="Times New Roman" w:hAnsi="Montserrat" w:cs="Arial"/>
                <w:color w:val="000000"/>
                <w:sz w:val="15"/>
                <w:szCs w:val="15"/>
                <w:lang w:eastAsia="es-MX"/>
              </w:rPr>
            </w:pPr>
            <w:r w:rsidRPr="00255081">
              <w:rPr>
                <w:rFonts w:ascii="Montserrat" w:eastAsia="Times New Roman" w:hAnsi="Montserrat" w:cs="Calibri"/>
                <w:sz w:val="15"/>
                <w:szCs w:val="15"/>
                <w:lang w:val="es-MX" w:eastAsia="es-MX"/>
              </w:rPr>
              <w:t>0</w:t>
            </w:r>
          </w:p>
        </w:tc>
        <w:tc>
          <w:tcPr>
            <w:tcW w:w="2268" w:type="dxa"/>
            <w:gridSpan w:val="2"/>
            <w:tcBorders>
              <w:top w:val="nil"/>
            </w:tcBorders>
            <w:shd w:val="clear" w:color="auto" w:fill="F2F2F2" w:themeFill="background1" w:themeFillShade="F2"/>
            <w:vAlign w:val="center"/>
          </w:tcPr>
          <w:p w14:paraId="2DBF2695" w14:textId="484E57B4" w:rsidR="00EC2223" w:rsidRPr="00255081" w:rsidRDefault="00EC2223" w:rsidP="002702EC">
            <w:pPr>
              <w:spacing w:after="120" w:line="240" w:lineRule="auto"/>
              <w:jc w:val="right"/>
              <w:rPr>
                <w:rFonts w:ascii="Montserrat" w:eastAsia="Times New Roman" w:hAnsi="Montserrat" w:cs="Arial"/>
                <w:color w:val="000000"/>
                <w:sz w:val="15"/>
                <w:szCs w:val="15"/>
                <w:lang w:eastAsia="es-MX"/>
              </w:rPr>
            </w:pPr>
            <w:r w:rsidRPr="00255081">
              <w:rPr>
                <w:rFonts w:ascii="Montserrat" w:eastAsia="Times New Roman" w:hAnsi="Montserrat" w:cs="Calibri"/>
                <w:sz w:val="15"/>
                <w:szCs w:val="15"/>
                <w:lang w:val="es-MX" w:eastAsia="es-MX"/>
              </w:rPr>
              <w:t>0%</w:t>
            </w:r>
          </w:p>
        </w:tc>
        <w:tc>
          <w:tcPr>
            <w:tcW w:w="2098" w:type="dxa"/>
            <w:gridSpan w:val="2"/>
            <w:tcBorders>
              <w:top w:val="nil"/>
            </w:tcBorders>
            <w:shd w:val="clear" w:color="auto" w:fill="F2F2F2" w:themeFill="background1" w:themeFillShade="F2"/>
            <w:noWrap/>
            <w:vAlign w:val="center"/>
          </w:tcPr>
          <w:p w14:paraId="305DF4EA" w14:textId="101C37DE" w:rsidR="00EC2223" w:rsidRPr="00255081" w:rsidRDefault="00EC2223" w:rsidP="002702EC">
            <w:pPr>
              <w:spacing w:after="120" w:line="240" w:lineRule="auto"/>
              <w:jc w:val="right"/>
              <w:rPr>
                <w:rFonts w:ascii="Montserrat" w:eastAsia="Times New Roman" w:hAnsi="Montserrat" w:cs="Arial"/>
                <w:color w:val="000000"/>
                <w:sz w:val="15"/>
                <w:szCs w:val="15"/>
                <w:lang w:eastAsia="es-MX"/>
              </w:rPr>
            </w:pPr>
            <w:r w:rsidRPr="00255081">
              <w:rPr>
                <w:rFonts w:ascii="Montserrat" w:eastAsia="Times New Roman" w:hAnsi="Montserrat" w:cs="Calibri"/>
                <w:sz w:val="15"/>
                <w:szCs w:val="15"/>
                <w:lang w:val="es-MX" w:eastAsia="es-MX"/>
              </w:rPr>
              <w:t>0</w:t>
            </w:r>
          </w:p>
        </w:tc>
      </w:tr>
      <w:tr w:rsidR="00EC2223" w:rsidRPr="006F0DF1" w14:paraId="3215FC12" w14:textId="77777777" w:rsidTr="000F0321">
        <w:trPr>
          <w:trHeight w:val="340"/>
        </w:trPr>
        <w:tc>
          <w:tcPr>
            <w:tcW w:w="6095" w:type="dxa"/>
            <w:tcBorders>
              <w:top w:val="nil"/>
            </w:tcBorders>
            <w:shd w:val="clear" w:color="auto" w:fill="F2F2F2" w:themeFill="background1" w:themeFillShade="F2"/>
            <w:vAlign w:val="center"/>
          </w:tcPr>
          <w:p w14:paraId="7A3CF7E2" w14:textId="203F9DA5" w:rsidR="00EC2223" w:rsidRPr="00255081" w:rsidRDefault="00EC2223" w:rsidP="004B170A">
            <w:pPr>
              <w:spacing w:after="120" w:line="240" w:lineRule="auto"/>
              <w:jc w:val="both"/>
              <w:rPr>
                <w:rFonts w:ascii="Montserrat" w:eastAsia="Times New Roman" w:hAnsi="Montserrat" w:cs="Arial"/>
                <w:color w:val="000000"/>
                <w:sz w:val="15"/>
                <w:szCs w:val="15"/>
                <w:lang w:eastAsia="es-MX"/>
              </w:rPr>
            </w:pPr>
            <w:r w:rsidRPr="00255081">
              <w:rPr>
                <w:rFonts w:ascii="Montserrat" w:eastAsia="Times New Roman" w:hAnsi="Montserrat" w:cs="Calibri"/>
                <w:sz w:val="15"/>
                <w:szCs w:val="15"/>
                <w:lang w:val="es-MX" w:eastAsia="es-MX"/>
              </w:rPr>
              <w:t>Mandato para la Administración de Recursos del Programa de Cooperación Energética para los Países de Centroamérica y el Caribe</w:t>
            </w:r>
          </w:p>
        </w:tc>
        <w:tc>
          <w:tcPr>
            <w:tcW w:w="2268" w:type="dxa"/>
            <w:gridSpan w:val="2"/>
            <w:tcBorders>
              <w:top w:val="nil"/>
            </w:tcBorders>
            <w:shd w:val="clear" w:color="auto" w:fill="F2F2F2" w:themeFill="background1" w:themeFillShade="F2"/>
            <w:vAlign w:val="center"/>
          </w:tcPr>
          <w:p w14:paraId="2C8C89A7" w14:textId="7643B182" w:rsidR="00EC2223" w:rsidRPr="00255081" w:rsidRDefault="00EC2223" w:rsidP="002702EC">
            <w:pPr>
              <w:spacing w:after="120" w:line="240" w:lineRule="auto"/>
              <w:jc w:val="right"/>
              <w:rPr>
                <w:rFonts w:ascii="Montserrat" w:eastAsia="Times New Roman" w:hAnsi="Montserrat" w:cs="Arial"/>
                <w:color w:val="000000"/>
                <w:sz w:val="15"/>
                <w:szCs w:val="15"/>
                <w:lang w:eastAsia="es-MX"/>
              </w:rPr>
            </w:pPr>
            <w:r w:rsidRPr="00255081">
              <w:rPr>
                <w:rFonts w:ascii="Montserrat" w:eastAsia="Times New Roman" w:hAnsi="Montserrat" w:cs="Calibri"/>
                <w:sz w:val="15"/>
                <w:szCs w:val="15"/>
                <w:lang w:val="es-MX" w:eastAsia="es-MX"/>
              </w:rPr>
              <w:t>3,618,403,476</w:t>
            </w:r>
          </w:p>
        </w:tc>
        <w:tc>
          <w:tcPr>
            <w:tcW w:w="2268" w:type="dxa"/>
            <w:gridSpan w:val="2"/>
            <w:tcBorders>
              <w:top w:val="nil"/>
            </w:tcBorders>
            <w:shd w:val="clear" w:color="auto" w:fill="F2F2F2" w:themeFill="background1" w:themeFillShade="F2"/>
            <w:vAlign w:val="center"/>
          </w:tcPr>
          <w:p w14:paraId="13A7AC52" w14:textId="1DFDC3C9" w:rsidR="00EC2223" w:rsidRPr="00255081" w:rsidRDefault="00EC2223" w:rsidP="002702EC">
            <w:pPr>
              <w:spacing w:after="120" w:line="240" w:lineRule="auto"/>
              <w:jc w:val="right"/>
              <w:rPr>
                <w:rFonts w:ascii="Montserrat" w:eastAsia="Times New Roman" w:hAnsi="Montserrat" w:cs="Arial"/>
                <w:color w:val="000000"/>
                <w:sz w:val="15"/>
                <w:szCs w:val="15"/>
                <w:lang w:eastAsia="es-MX"/>
              </w:rPr>
            </w:pPr>
            <w:r w:rsidRPr="00255081">
              <w:rPr>
                <w:rFonts w:ascii="Montserrat" w:eastAsia="Times New Roman" w:hAnsi="Montserrat" w:cs="Calibri"/>
                <w:sz w:val="15"/>
                <w:szCs w:val="15"/>
                <w:lang w:val="es-MX" w:eastAsia="es-MX"/>
              </w:rPr>
              <w:t>100%</w:t>
            </w:r>
          </w:p>
        </w:tc>
        <w:tc>
          <w:tcPr>
            <w:tcW w:w="2098" w:type="dxa"/>
            <w:gridSpan w:val="2"/>
            <w:tcBorders>
              <w:top w:val="nil"/>
            </w:tcBorders>
            <w:shd w:val="clear" w:color="auto" w:fill="F2F2F2" w:themeFill="background1" w:themeFillShade="F2"/>
            <w:noWrap/>
            <w:vAlign w:val="center"/>
          </w:tcPr>
          <w:p w14:paraId="0FFE83E1" w14:textId="55255874" w:rsidR="00EC2223" w:rsidRPr="00255081" w:rsidRDefault="00EC2223" w:rsidP="002702EC">
            <w:pPr>
              <w:spacing w:after="120" w:line="240" w:lineRule="auto"/>
              <w:jc w:val="right"/>
              <w:rPr>
                <w:rFonts w:ascii="Montserrat" w:eastAsia="Times New Roman" w:hAnsi="Montserrat" w:cs="Arial"/>
                <w:color w:val="000000"/>
                <w:sz w:val="15"/>
                <w:szCs w:val="15"/>
                <w:lang w:eastAsia="es-MX"/>
              </w:rPr>
            </w:pPr>
            <w:r w:rsidRPr="00255081">
              <w:rPr>
                <w:rFonts w:ascii="Montserrat" w:eastAsia="Times New Roman" w:hAnsi="Montserrat" w:cs="Calibri"/>
                <w:sz w:val="15"/>
                <w:szCs w:val="15"/>
                <w:lang w:val="es-MX" w:eastAsia="es-MX"/>
              </w:rPr>
              <w:t>3,618,403,476</w:t>
            </w:r>
          </w:p>
        </w:tc>
      </w:tr>
      <w:tr w:rsidR="00EC2223" w:rsidRPr="006F0DF1" w14:paraId="5B398E0C" w14:textId="77777777" w:rsidTr="000F0321">
        <w:trPr>
          <w:trHeight w:val="340"/>
        </w:trPr>
        <w:tc>
          <w:tcPr>
            <w:tcW w:w="6095" w:type="dxa"/>
            <w:tcBorders>
              <w:top w:val="nil"/>
            </w:tcBorders>
            <w:shd w:val="clear" w:color="auto" w:fill="F2F2F2" w:themeFill="background1" w:themeFillShade="F2"/>
            <w:vAlign w:val="center"/>
          </w:tcPr>
          <w:p w14:paraId="10741443" w14:textId="438F7D89" w:rsidR="00EC2223" w:rsidRPr="00255081" w:rsidRDefault="00EC2223" w:rsidP="004B170A">
            <w:pPr>
              <w:spacing w:after="120" w:line="240" w:lineRule="auto"/>
              <w:jc w:val="both"/>
              <w:rPr>
                <w:rFonts w:ascii="Montserrat" w:eastAsia="Times New Roman" w:hAnsi="Montserrat" w:cs="Arial"/>
                <w:color w:val="000000"/>
                <w:sz w:val="15"/>
                <w:szCs w:val="15"/>
                <w:lang w:eastAsia="es-MX"/>
              </w:rPr>
            </w:pPr>
            <w:r w:rsidRPr="00255081">
              <w:rPr>
                <w:rFonts w:ascii="Montserrat" w:eastAsia="Times New Roman" w:hAnsi="Montserrat" w:cs="Calibri"/>
                <w:sz w:val="15"/>
                <w:szCs w:val="15"/>
                <w:lang w:val="es-MX" w:eastAsia="es-MX"/>
              </w:rPr>
              <w:t>Centro de Estudios para la Preparación y Evaluación Socioeconómica de Proyectos</w:t>
            </w:r>
          </w:p>
        </w:tc>
        <w:tc>
          <w:tcPr>
            <w:tcW w:w="2268" w:type="dxa"/>
            <w:gridSpan w:val="2"/>
            <w:tcBorders>
              <w:top w:val="nil"/>
            </w:tcBorders>
            <w:shd w:val="clear" w:color="auto" w:fill="F2F2F2" w:themeFill="background1" w:themeFillShade="F2"/>
            <w:vAlign w:val="center"/>
          </w:tcPr>
          <w:p w14:paraId="053E3057" w14:textId="2D2D1312" w:rsidR="00EC2223" w:rsidRPr="00255081" w:rsidRDefault="00EC2223" w:rsidP="002702EC">
            <w:pPr>
              <w:spacing w:after="120" w:line="240" w:lineRule="auto"/>
              <w:jc w:val="right"/>
              <w:rPr>
                <w:rFonts w:ascii="Montserrat" w:eastAsia="Times New Roman" w:hAnsi="Montserrat" w:cs="Arial"/>
                <w:color w:val="000000"/>
                <w:sz w:val="15"/>
                <w:szCs w:val="15"/>
                <w:lang w:eastAsia="es-MX"/>
              </w:rPr>
            </w:pPr>
            <w:r w:rsidRPr="00255081">
              <w:rPr>
                <w:rFonts w:ascii="Montserrat" w:eastAsia="Times New Roman" w:hAnsi="Montserrat" w:cs="Calibri"/>
                <w:sz w:val="15"/>
                <w:szCs w:val="15"/>
                <w:lang w:val="es-MX" w:eastAsia="es-MX"/>
              </w:rPr>
              <w:t>7,003,693</w:t>
            </w:r>
          </w:p>
        </w:tc>
        <w:tc>
          <w:tcPr>
            <w:tcW w:w="2268" w:type="dxa"/>
            <w:gridSpan w:val="2"/>
            <w:tcBorders>
              <w:top w:val="nil"/>
            </w:tcBorders>
            <w:shd w:val="clear" w:color="auto" w:fill="F2F2F2" w:themeFill="background1" w:themeFillShade="F2"/>
            <w:vAlign w:val="center"/>
          </w:tcPr>
          <w:p w14:paraId="36F32503" w14:textId="354159D4" w:rsidR="00EC2223" w:rsidRPr="00255081" w:rsidRDefault="00EC2223" w:rsidP="002702EC">
            <w:pPr>
              <w:spacing w:after="120" w:line="240" w:lineRule="auto"/>
              <w:jc w:val="right"/>
              <w:rPr>
                <w:rFonts w:ascii="Montserrat" w:eastAsia="Times New Roman" w:hAnsi="Montserrat" w:cs="Arial"/>
                <w:color w:val="000000"/>
                <w:sz w:val="15"/>
                <w:szCs w:val="15"/>
                <w:lang w:eastAsia="es-MX"/>
              </w:rPr>
            </w:pPr>
            <w:r w:rsidRPr="00255081">
              <w:rPr>
                <w:rFonts w:ascii="Montserrat" w:eastAsia="Times New Roman" w:hAnsi="Montserrat" w:cs="Calibri"/>
                <w:sz w:val="15"/>
                <w:szCs w:val="15"/>
                <w:lang w:val="es-MX" w:eastAsia="es-MX"/>
              </w:rPr>
              <w:t>100%</w:t>
            </w:r>
          </w:p>
        </w:tc>
        <w:tc>
          <w:tcPr>
            <w:tcW w:w="2098" w:type="dxa"/>
            <w:gridSpan w:val="2"/>
            <w:tcBorders>
              <w:top w:val="nil"/>
            </w:tcBorders>
            <w:shd w:val="clear" w:color="auto" w:fill="F2F2F2" w:themeFill="background1" w:themeFillShade="F2"/>
            <w:noWrap/>
            <w:vAlign w:val="center"/>
          </w:tcPr>
          <w:p w14:paraId="5039FA06" w14:textId="09842FF7" w:rsidR="00EC2223" w:rsidRPr="00255081" w:rsidRDefault="00EC2223" w:rsidP="002702EC">
            <w:pPr>
              <w:spacing w:after="120" w:line="240" w:lineRule="auto"/>
              <w:jc w:val="right"/>
              <w:rPr>
                <w:rFonts w:ascii="Montserrat" w:eastAsia="Times New Roman" w:hAnsi="Montserrat" w:cs="Arial"/>
                <w:color w:val="000000"/>
                <w:sz w:val="15"/>
                <w:szCs w:val="15"/>
                <w:lang w:eastAsia="es-MX"/>
              </w:rPr>
            </w:pPr>
            <w:r w:rsidRPr="00255081">
              <w:rPr>
                <w:rFonts w:ascii="Montserrat" w:eastAsia="Times New Roman" w:hAnsi="Montserrat" w:cs="Calibri"/>
                <w:sz w:val="15"/>
                <w:szCs w:val="15"/>
                <w:lang w:val="es-MX" w:eastAsia="es-MX"/>
              </w:rPr>
              <w:t>7,003,693</w:t>
            </w:r>
          </w:p>
        </w:tc>
      </w:tr>
      <w:tr w:rsidR="00EC2223" w:rsidRPr="006F0DF1" w14:paraId="7FB362F3" w14:textId="77777777" w:rsidTr="000F0321">
        <w:trPr>
          <w:trHeight w:val="340"/>
        </w:trPr>
        <w:tc>
          <w:tcPr>
            <w:tcW w:w="6095" w:type="dxa"/>
            <w:shd w:val="clear" w:color="auto" w:fill="F2F2F2" w:themeFill="background1" w:themeFillShade="F2"/>
            <w:vAlign w:val="center"/>
          </w:tcPr>
          <w:p w14:paraId="4A0B4258" w14:textId="72CFCC41" w:rsidR="00EC2223" w:rsidRPr="00255081" w:rsidRDefault="00EC2223" w:rsidP="004B170A">
            <w:pPr>
              <w:spacing w:after="120" w:line="240" w:lineRule="auto"/>
              <w:jc w:val="both"/>
              <w:rPr>
                <w:rFonts w:ascii="Montserrat" w:eastAsia="Times New Roman" w:hAnsi="Montserrat" w:cs="Arial"/>
                <w:color w:val="000000"/>
                <w:sz w:val="15"/>
                <w:szCs w:val="15"/>
                <w:lang w:eastAsia="es-MX"/>
              </w:rPr>
            </w:pPr>
            <w:r w:rsidRPr="00255081">
              <w:rPr>
                <w:rFonts w:ascii="Montserrat" w:eastAsia="Times New Roman" w:hAnsi="Montserrat" w:cs="Calibri"/>
                <w:sz w:val="15"/>
                <w:szCs w:val="15"/>
                <w:lang w:val="es-MX" w:eastAsia="es-MX"/>
              </w:rPr>
              <w:t>Fideicomiso para la Evaluación de los Fondos de Aportaciones Federales</w:t>
            </w:r>
          </w:p>
        </w:tc>
        <w:tc>
          <w:tcPr>
            <w:tcW w:w="2268" w:type="dxa"/>
            <w:gridSpan w:val="2"/>
            <w:shd w:val="clear" w:color="auto" w:fill="F2F2F2" w:themeFill="background1" w:themeFillShade="F2"/>
            <w:vAlign w:val="center"/>
          </w:tcPr>
          <w:p w14:paraId="1C0ED810" w14:textId="42E46F5A" w:rsidR="00EC2223" w:rsidRPr="00255081" w:rsidRDefault="00EC2223" w:rsidP="002702EC">
            <w:pPr>
              <w:spacing w:after="120" w:line="240" w:lineRule="auto"/>
              <w:jc w:val="right"/>
              <w:rPr>
                <w:rFonts w:ascii="Montserrat" w:eastAsia="Times New Roman" w:hAnsi="Montserrat" w:cs="Arial"/>
                <w:color w:val="000000"/>
                <w:sz w:val="15"/>
                <w:szCs w:val="15"/>
                <w:lang w:eastAsia="es-MX"/>
              </w:rPr>
            </w:pPr>
            <w:r w:rsidRPr="00255081">
              <w:rPr>
                <w:rFonts w:ascii="Montserrat" w:eastAsia="Times New Roman" w:hAnsi="Montserrat" w:cs="Calibri"/>
                <w:sz w:val="15"/>
                <w:szCs w:val="15"/>
                <w:lang w:val="es-MX" w:eastAsia="es-MX"/>
              </w:rPr>
              <w:t>392,287,117</w:t>
            </w:r>
          </w:p>
        </w:tc>
        <w:tc>
          <w:tcPr>
            <w:tcW w:w="2268" w:type="dxa"/>
            <w:gridSpan w:val="2"/>
            <w:shd w:val="clear" w:color="auto" w:fill="F2F2F2" w:themeFill="background1" w:themeFillShade="F2"/>
            <w:vAlign w:val="center"/>
          </w:tcPr>
          <w:p w14:paraId="28FF36B9" w14:textId="5090A710" w:rsidR="00EC2223" w:rsidRPr="00255081" w:rsidRDefault="00EC2223" w:rsidP="002702EC">
            <w:pPr>
              <w:spacing w:after="120" w:line="240" w:lineRule="auto"/>
              <w:jc w:val="right"/>
              <w:rPr>
                <w:rFonts w:ascii="Montserrat" w:eastAsia="Times New Roman" w:hAnsi="Montserrat" w:cs="Arial"/>
                <w:color w:val="000000"/>
                <w:sz w:val="15"/>
                <w:szCs w:val="15"/>
                <w:lang w:eastAsia="es-MX"/>
              </w:rPr>
            </w:pPr>
            <w:r w:rsidRPr="00255081">
              <w:rPr>
                <w:rFonts w:ascii="Montserrat" w:eastAsia="Times New Roman" w:hAnsi="Montserrat" w:cs="Calibri"/>
                <w:sz w:val="15"/>
                <w:szCs w:val="15"/>
                <w:lang w:val="es-MX" w:eastAsia="es-MX"/>
              </w:rPr>
              <w:t>100%</w:t>
            </w:r>
          </w:p>
        </w:tc>
        <w:tc>
          <w:tcPr>
            <w:tcW w:w="2098" w:type="dxa"/>
            <w:gridSpan w:val="2"/>
            <w:shd w:val="clear" w:color="auto" w:fill="F2F2F2" w:themeFill="background1" w:themeFillShade="F2"/>
            <w:noWrap/>
            <w:vAlign w:val="center"/>
          </w:tcPr>
          <w:p w14:paraId="2CFCF799" w14:textId="00BE22EB" w:rsidR="00EC2223" w:rsidRPr="00255081" w:rsidRDefault="00EC2223" w:rsidP="002702EC">
            <w:pPr>
              <w:spacing w:after="120" w:line="240" w:lineRule="auto"/>
              <w:jc w:val="right"/>
              <w:rPr>
                <w:rFonts w:ascii="Montserrat" w:eastAsia="Times New Roman" w:hAnsi="Montserrat" w:cs="Arial"/>
                <w:color w:val="000000"/>
                <w:sz w:val="15"/>
                <w:szCs w:val="15"/>
                <w:lang w:eastAsia="es-MX"/>
              </w:rPr>
            </w:pPr>
            <w:r w:rsidRPr="00255081">
              <w:rPr>
                <w:rFonts w:ascii="Montserrat" w:eastAsia="Times New Roman" w:hAnsi="Montserrat" w:cs="Calibri"/>
                <w:sz w:val="15"/>
                <w:szCs w:val="15"/>
                <w:lang w:val="es-MX" w:eastAsia="es-MX"/>
              </w:rPr>
              <w:t>392,287,117</w:t>
            </w:r>
          </w:p>
        </w:tc>
      </w:tr>
      <w:tr w:rsidR="00EC2223" w:rsidRPr="006F0DF1" w14:paraId="3869524A" w14:textId="77777777" w:rsidTr="000F0321">
        <w:trPr>
          <w:trHeight w:val="397"/>
        </w:trPr>
        <w:tc>
          <w:tcPr>
            <w:tcW w:w="6095" w:type="dxa"/>
            <w:tcBorders>
              <w:top w:val="nil"/>
            </w:tcBorders>
            <w:shd w:val="clear" w:color="auto" w:fill="F2F2F2" w:themeFill="background1" w:themeFillShade="F2"/>
            <w:vAlign w:val="center"/>
          </w:tcPr>
          <w:p w14:paraId="1FE7F13A" w14:textId="28DBD180" w:rsidR="00EC2223" w:rsidRPr="00255081" w:rsidRDefault="00EC2223" w:rsidP="004B170A">
            <w:pPr>
              <w:spacing w:after="120" w:line="240" w:lineRule="auto"/>
              <w:jc w:val="both"/>
              <w:rPr>
                <w:rFonts w:ascii="Montserrat" w:eastAsia="Times New Roman" w:hAnsi="Montserrat" w:cs="Arial"/>
                <w:color w:val="000000"/>
                <w:sz w:val="15"/>
                <w:szCs w:val="15"/>
                <w:lang w:eastAsia="es-MX"/>
              </w:rPr>
            </w:pPr>
            <w:r w:rsidRPr="00255081">
              <w:rPr>
                <w:rFonts w:ascii="Montserrat" w:eastAsia="Times New Roman" w:hAnsi="Montserrat" w:cs="Calibri"/>
                <w:sz w:val="15"/>
                <w:szCs w:val="15"/>
                <w:lang w:val="es-MX" w:eastAsia="es-MX"/>
              </w:rPr>
              <w:t>Fideicomiso Conservaduría del Palacio Nacional</w:t>
            </w:r>
          </w:p>
        </w:tc>
        <w:tc>
          <w:tcPr>
            <w:tcW w:w="2268" w:type="dxa"/>
            <w:gridSpan w:val="2"/>
            <w:tcBorders>
              <w:top w:val="nil"/>
            </w:tcBorders>
            <w:shd w:val="clear" w:color="auto" w:fill="F2F2F2" w:themeFill="background1" w:themeFillShade="F2"/>
            <w:vAlign w:val="center"/>
          </w:tcPr>
          <w:p w14:paraId="54E7B8D8" w14:textId="28883C96" w:rsidR="00EC2223" w:rsidRPr="00255081" w:rsidRDefault="00EC2223" w:rsidP="002702EC">
            <w:pPr>
              <w:spacing w:after="120" w:line="240" w:lineRule="auto"/>
              <w:jc w:val="right"/>
              <w:rPr>
                <w:rFonts w:ascii="Montserrat" w:eastAsia="Times New Roman" w:hAnsi="Montserrat" w:cs="Arial"/>
                <w:color w:val="000000"/>
                <w:sz w:val="15"/>
                <w:szCs w:val="15"/>
                <w:lang w:eastAsia="es-MX"/>
              </w:rPr>
            </w:pPr>
            <w:r w:rsidRPr="00255081">
              <w:rPr>
                <w:rFonts w:ascii="Montserrat" w:eastAsia="Times New Roman" w:hAnsi="Montserrat" w:cs="Calibri"/>
                <w:sz w:val="15"/>
                <w:szCs w:val="15"/>
                <w:lang w:val="es-MX" w:eastAsia="es-MX"/>
              </w:rPr>
              <w:t>-3,187,726</w:t>
            </w:r>
          </w:p>
        </w:tc>
        <w:tc>
          <w:tcPr>
            <w:tcW w:w="2268" w:type="dxa"/>
            <w:gridSpan w:val="2"/>
            <w:tcBorders>
              <w:top w:val="nil"/>
            </w:tcBorders>
            <w:shd w:val="clear" w:color="auto" w:fill="F2F2F2" w:themeFill="background1" w:themeFillShade="F2"/>
            <w:vAlign w:val="center"/>
          </w:tcPr>
          <w:p w14:paraId="618D45AC" w14:textId="0D89135F" w:rsidR="00EC2223" w:rsidRPr="00255081" w:rsidRDefault="00EC2223" w:rsidP="002702EC">
            <w:pPr>
              <w:spacing w:after="120" w:line="240" w:lineRule="auto"/>
              <w:jc w:val="right"/>
              <w:rPr>
                <w:rFonts w:ascii="Montserrat" w:eastAsia="Times New Roman" w:hAnsi="Montserrat" w:cs="Arial"/>
                <w:color w:val="000000"/>
                <w:sz w:val="15"/>
                <w:szCs w:val="15"/>
                <w:lang w:eastAsia="es-MX"/>
              </w:rPr>
            </w:pPr>
            <w:r w:rsidRPr="00255081">
              <w:rPr>
                <w:rFonts w:ascii="Montserrat" w:eastAsia="Times New Roman" w:hAnsi="Montserrat" w:cs="Calibri"/>
                <w:sz w:val="15"/>
                <w:szCs w:val="15"/>
                <w:lang w:val="es-MX" w:eastAsia="es-MX"/>
              </w:rPr>
              <w:t>100%</w:t>
            </w:r>
          </w:p>
        </w:tc>
        <w:tc>
          <w:tcPr>
            <w:tcW w:w="2098" w:type="dxa"/>
            <w:gridSpan w:val="2"/>
            <w:tcBorders>
              <w:top w:val="nil"/>
            </w:tcBorders>
            <w:shd w:val="clear" w:color="auto" w:fill="F2F2F2" w:themeFill="background1" w:themeFillShade="F2"/>
            <w:noWrap/>
            <w:vAlign w:val="center"/>
          </w:tcPr>
          <w:p w14:paraId="201DF5BF" w14:textId="70E20483" w:rsidR="00EC2223" w:rsidRPr="00255081" w:rsidRDefault="00EC2223" w:rsidP="002702EC">
            <w:pPr>
              <w:spacing w:after="120" w:line="240" w:lineRule="auto"/>
              <w:jc w:val="right"/>
              <w:rPr>
                <w:rFonts w:ascii="Montserrat" w:eastAsia="Times New Roman" w:hAnsi="Montserrat" w:cs="Arial"/>
                <w:color w:val="000000"/>
                <w:sz w:val="15"/>
                <w:szCs w:val="15"/>
                <w:lang w:eastAsia="es-MX"/>
              </w:rPr>
            </w:pPr>
            <w:r w:rsidRPr="00255081">
              <w:rPr>
                <w:rFonts w:ascii="Montserrat" w:eastAsia="Times New Roman" w:hAnsi="Montserrat" w:cs="Calibri"/>
                <w:sz w:val="15"/>
                <w:szCs w:val="15"/>
                <w:lang w:val="es-MX" w:eastAsia="es-MX"/>
              </w:rPr>
              <w:t>0</w:t>
            </w:r>
          </w:p>
        </w:tc>
      </w:tr>
      <w:tr w:rsidR="00EC2223" w:rsidRPr="006F0DF1" w14:paraId="6FA4F2A8" w14:textId="77777777" w:rsidTr="000F0321">
        <w:trPr>
          <w:trHeight w:val="340"/>
        </w:trPr>
        <w:tc>
          <w:tcPr>
            <w:tcW w:w="6095" w:type="dxa"/>
            <w:tcBorders>
              <w:top w:val="nil"/>
            </w:tcBorders>
            <w:shd w:val="clear" w:color="auto" w:fill="F2F2F2" w:themeFill="background1" w:themeFillShade="F2"/>
            <w:vAlign w:val="center"/>
          </w:tcPr>
          <w:p w14:paraId="3B86B9AC" w14:textId="1400E6F5" w:rsidR="00EC2223" w:rsidRPr="00255081" w:rsidRDefault="00EC2223" w:rsidP="004B170A">
            <w:pPr>
              <w:spacing w:after="120" w:line="240" w:lineRule="auto"/>
              <w:jc w:val="both"/>
              <w:rPr>
                <w:rFonts w:ascii="Montserrat" w:eastAsia="Times New Roman" w:hAnsi="Montserrat" w:cs="Arial"/>
                <w:color w:val="000000"/>
                <w:sz w:val="15"/>
                <w:szCs w:val="15"/>
                <w:lang w:eastAsia="es-MX"/>
              </w:rPr>
            </w:pPr>
            <w:r w:rsidRPr="00255081">
              <w:rPr>
                <w:rFonts w:ascii="Montserrat" w:eastAsia="Times New Roman" w:hAnsi="Montserrat" w:cs="Calibri"/>
                <w:sz w:val="15"/>
                <w:szCs w:val="15"/>
                <w:lang w:val="es-MX" w:eastAsia="es-MX"/>
              </w:rPr>
              <w:t>Fideicomiso Público de Administración y Pago de Equipo Militar</w:t>
            </w:r>
          </w:p>
        </w:tc>
        <w:tc>
          <w:tcPr>
            <w:tcW w:w="2268" w:type="dxa"/>
            <w:gridSpan w:val="2"/>
            <w:tcBorders>
              <w:top w:val="nil"/>
            </w:tcBorders>
            <w:shd w:val="clear" w:color="auto" w:fill="F2F2F2" w:themeFill="background1" w:themeFillShade="F2"/>
            <w:vAlign w:val="center"/>
          </w:tcPr>
          <w:p w14:paraId="366C7A86" w14:textId="229A122F" w:rsidR="00EC2223" w:rsidRPr="00255081" w:rsidRDefault="00EC2223" w:rsidP="002702EC">
            <w:pPr>
              <w:spacing w:after="120" w:line="240" w:lineRule="auto"/>
              <w:jc w:val="right"/>
              <w:rPr>
                <w:rFonts w:ascii="Montserrat" w:eastAsia="Times New Roman" w:hAnsi="Montserrat" w:cs="Arial"/>
                <w:color w:val="000000"/>
                <w:sz w:val="15"/>
                <w:szCs w:val="15"/>
                <w:lang w:eastAsia="es-MX"/>
              </w:rPr>
            </w:pPr>
            <w:r w:rsidRPr="00255081">
              <w:rPr>
                <w:rFonts w:ascii="Montserrat" w:eastAsia="Times New Roman" w:hAnsi="Montserrat" w:cs="Calibri"/>
                <w:sz w:val="15"/>
                <w:szCs w:val="15"/>
                <w:lang w:val="es-MX" w:eastAsia="es-MX"/>
              </w:rPr>
              <w:t>30,121,553,166</w:t>
            </w:r>
          </w:p>
        </w:tc>
        <w:tc>
          <w:tcPr>
            <w:tcW w:w="2268" w:type="dxa"/>
            <w:gridSpan w:val="2"/>
            <w:tcBorders>
              <w:top w:val="nil"/>
            </w:tcBorders>
            <w:shd w:val="clear" w:color="auto" w:fill="F2F2F2" w:themeFill="background1" w:themeFillShade="F2"/>
            <w:vAlign w:val="center"/>
          </w:tcPr>
          <w:p w14:paraId="136A0711" w14:textId="0BB85C56" w:rsidR="00EC2223" w:rsidRPr="00255081" w:rsidRDefault="00EC2223" w:rsidP="002702EC">
            <w:pPr>
              <w:spacing w:after="120" w:line="240" w:lineRule="auto"/>
              <w:jc w:val="right"/>
              <w:rPr>
                <w:rFonts w:ascii="Montserrat" w:eastAsia="Times New Roman" w:hAnsi="Montserrat" w:cs="Arial"/>
                <w:color w:val="000000"/>
                <w:sz w:val="15"/>
                <w:szCs w:val="15"/>
                <w:lang w:eastAsia="es-MX"/>
              </w:rPr>
            </w:pPr>
            <w:r w:rsidRPr="00255081">
              <w:rPr>
                <w:rFonts w:ascii="Montserrat" w:eastAsia="Times New Roman" w:hAnsi="Montserrat" w:cs="Calibri"/>
                <w:sz w:val="15"/>
                <w:szCs w:val="15"/>
                <w:lang w:val="es-MX" w:eastAsia="es-MX"/>
              </w:rPr>
              <w:t>100%</w:t>
            </w:r>
          </w:p>
        </w:tc>
        <w:tc>
          <w:tcPr>
            <w:tcW w:w="2098" w:type="dxa"/>
            <w:gridSpan w:val="2"/>
            <w:tcBorders>
              <w:top w:val="nil"/>
            </w:tcBorders>
            <w:shd w:val="clear" w:color="auto" w:fill="F2F2F2" w:themeFill="background1" w:themeFillShade="F2"/>
            <w:noWrap/>
            <w:vAlign w:val="center"/>
          </w:tcPr>
          <w:p w14:paraId="3A8DDEB1" w14:textId="46F34E53" w:rsidR="00EC2223" w:rsidRPr="00255081" w:rsidRDefault="00EC2223" w:rsidP="002702EC">
            <w:pPr>
              <w:spacing w:after="120" w:line="240" w:lineRule="auto"/>
              <w:jc w:val="right"/>
              <w:rPr>
                <w:rFonts w:ascii="Montserrat" w:eastAsia="Times New Roman" w:hAnsi="Montserrat" w:cs="Arial"/>
                <w:color w:val="000000"/>
                <w:sz w:val="15"/>
                <w:szCs w:val="15"/>
                <w:lang w:eastAsia="es-MX"/>
              </w:rPr>
            </w:pPr>
            <w:r w:rsidRPr="00255081">
              <w:rPr>
                <w:rFonts w:ascii="Montserrat" w:eastAsia="Times New Roman" w:hAnsi="Montserrat" w:cs="Calibri"/>
                <w:sz w:val="15"/>
                <w:szCs w:val="15"/>
                <w:lang w:val="es-MX" w:eastAsia="es-MX"/>
              </w:rPr>
              <w:t>30,121,553,166</w:t>
            </w:r>
          </w:p>
        </w:tc>
      </w:tr>
      <w:tr w:rsidR="00EC2223" w:rsidRPr="006F0DF1" w14:paraId="5762C553" w14:textId="77777777" w:rsidTr="000F0321">
        <w:trPr>
          <w:trHeight w:val="340"/>
        </w:trPr>
        <w:tc>
          <w:tcPr>
            <w:tcW w:w="6095" w:type="dxa"/>
            <w:tcBorders>
              <w:top w:val="nil"/>
            </w:tcBorders>
            <w:shd w:val="clear" w:color="auto" w:fill="F2F2F2" w:themeFill="background1" w:themeFillShade="F2"/>
            <w:vAlign w:val="center"/>
          </w:tcPr>
          <w:p w14:paraId="25FE0660" w14:textId="01A8F51D" w:rsidR="00EC2223" w:rsidRPr="00255081" w:rsidRDefault="00EC2223" w:rsidP="004B170A">
            <w:pPr>
              <w:spacing w:after="120" w:line="240" w:lineRule="auto"/>
              <w:jc w:val="both"/>
              <w:rPr>
                <w:rFonts w:ascii="Montserrat" w:eastAsia="Times New Roman" w:hAnsi="Montserrat" w:cs="Arial"/>
                <w:color w:val="000000"/>
                <w:sz w:val="15"/>
                <w:szCs w:val="15"/>
                <w:lang w:eastAsia="es-MX"/>
              </w:rPr>
            </w:pPr>
            <w:r w:rsidRPr="00255081">
              <w:rPr>
                <w:rFonts w:ascii="Montserrat" w:eastAsia="Times New Roman" w:hAnsi="Montserrat" w:cs="Calibri"/>
                <w:sz w:val="15"/>
                <w:szCs w:val="15"/>
                <w:lang w:val="es-MX" w:eastAsia="es-MX"/>
              </w:rPr>
              <w:t>Fideicomiso de Apoyo a deudos de Militares Fallecidos o a Militares que Hayan Adquirido una Inutilidad en Primera Categoría en Actos de Servicios Considerados de Alto Riesgo</w:t>
            </w:r>
          </w:p>
        </w:tc>
        <w:tc>
          <w:tcPr>
            <w:tcW w:w="2268" w:type="dxa"/>
            <w:gridSpan w:val="2"/>
            <w:tcBorders>
              <w:top w:val="nil"/>
            </w:tcBorders>
            <w:shd w:val="clear" w:color="auto" w:fill="F2F2F2" w:themeFill="background1" w:themeFillShade="F2"/>
            <w:vAlign w:val="center"/>
          </w:tcPr>
          <w:p w14:paraId="30EB1D04" w14:textId="585E83E2" w:rsidR="00EC2223" w:rsidRPr="00255081" w:rsidRDefault="00EC2223" w:rsidP="002702EC">
            <w:pPr>
              <w:spacing w:after="120" w:line="240" w:lineRule="auto"/>
              <w:jc w:val="right"/>
              <w:rPr>
                <w:rFonts w:ascii="Montserrat" w:eastAsia="Times New Roman" w:hAnsi="Montserrat" w:cs="Arial"/>
                <w:color w:val="000000"/>
                <w:sz w:val="15"/>
                <w:szCs w:val="15"/>
                <w:lang w:eastAsia="es-MX"/>
              </w:rPr>
            </w:pPr>
            <w:r w:rsidRPr="00255081">
              <w:rPr>
                <w:rFonts w:ascii="Montserrat" w:eastAsia="Times New Roman" w:hAnsi="Montserrat" w:cs="Calibri"/>
                <w:sz w:val="15"/>
                <w:szCs w:val="15"/>
                <w:lang w:val="es-MX" w:eastAsia="es-MX"/>
              </w:rPr>
              <w:t>238,864,289</w:t>
            </w:r>
          </w:p>
        </w:tc>
        <w:tc>
          <w:tcPr>
            <w:tcW w:w="2268" w:type="dxa"/>
            <w:gridSpan w:val="2"/>
            <w:tcBorders>
              <w:top w:val="nil"/>
            </w:tcBorders>
            <w:shd w:val="clear" w:color="auto" w:fill="F2F2F2" w:themeFill="background1" w:themeFillShade="F2"/>
            <w:vAlign w:val="center"/>
          </w:tcPr>
          <w:p w14:paraId="74935662" w14:textId="3CF65E3A" w:rsidR="00EC2223" w:rsidRPr="00255081" w:rsidRDefault="00EC2223" w:rsidP="002702EC">
            <w:pPr>
              <w:spacing w:after="120" w:line="240" w:lineRule="auto"/>
              <w:jc w:val="right"/>
              <w:rPr>
                <w:rFonts w:ascii="Montserrat" w:eastAsia="Times New Roman" w:hAnsi="Montserrat" w:cs="Arial"/>
                <w:color w:val="000000"/>
                <w:sz w:val="15"/>
                <w:szCs w:val="15"/>
                <w:lang w:eastAsia="es-MX"/>
              </w:rPr>
            </w:pPr>
            <w:r w:rsidRPr="00255081">
              <w:rPr>
                <w:rFonts w:ascii="Montserrat" w:eastAsia="Times New Roman" w:hAnsi="Montserrat" w:cs="Calibri"/>
                <w:sz w:val="15"/>
                <w:szCs w:val="15"/>
                <w:lang w:val="es-MX" w:eastAsia="es-MX"/>
              </w:rPr>
              <w:t>100%</w:t>
            </w:r>
          </w:p>
        </w:tc>
        <w:tc>
          <w:tcPr>
            <w:tcW w:w="2098" w:type="dxa"/>
            <w:gridSpan w:val="2"/>
            <w:tcBorders>
              <w:top w:val="nil"/>
            </w:tcBorders>
            <w:shd w:val="clear" w:color="auto" w:fill="F2F2F2" w:themeFill="background1" w:themeFillShade="F2"/>
            <w:noWrap/>
            <w:vAlign w:val="center"/>
          </w:tcPr>
          <w:p w14:paraId="1D4767B8" w14:textId="12D74C1F" w:rsidR="00EC2223" w:rsidRPr="00255081" w:rsidRDefault="00EC2223" w:rsidP="002702EC">
            <w:pPr>
              <w:spacing w:after="120" w:line="240" w:lineRule="auto"/>
              <w:jc w:val="right"/>
              <w:rPr>
                <w:rFonts w:ascii="Montserrat" w:eastAsia="Times New Roman" w:hAnsi="Montserrat" w:cs="Arial"/>
                <w:color w:val="000000"/>
                <w:sz w:val="15"/>
                <w:szCs w:val="15"/>
                <w:lang w:eastAsia="es-MX"/>
              </w:rPr>
            </w:pPr>
            <w:r w:rsidRPr="00255081">
              <w:rPr>
                <w:rFonts w:ascii="Montserrat" w:eastAsia="Times New Roman" w:hAnsi="Montserrat" w:cs="Calibri"/>
                <w:sz w:val="15"/>
                <w:szCs w:val="15"/>
                <w:lang w:val="es-MX" w:eastAsia="es-MX"/>
              </w:rPr>
              <w:t>238,864,289</w:t>
            </w:r>
          </w:p>
        </w:tc>
      </w:tr>
      <w:tr w:rsidR="00EC2223" w:rsidRPr="006F0DF1" w14:paraId="14D06858" w14:textId="77777777" w:rsidTr="000F0321">
        <w:trPr>
          <w:trHeight w:val="340"/>
        </w:trPr>
        <w:tc>
          <w:tcPr>
            <w:tcW w:w="6095" w:type="dxa"/>
            <w:tcBorders>
              <w:top w:val="nil"/>
            </w:tcBorders>
            <w:shd w:val="clear" w:color="auto" w:fill="F2F2F2" w:themeFill="background1" w:themeFillShade="F2"/>
            <w:vAlign w:val="center"/>
          </w:tcPr>
          <w:p w14:paraId="0338E5EF" w14:textId="49CFFE2D" w:rsidR="00EC2223" w:rsidRPr="00255081" w:rsidRDefault="00EC2223" w:rsidP="004B170A">
            <w:pPr>
              <w:spacing w:after="120" w:line="240" w:lineRule="auto"/>
              <w:jc w:val="both"/>
              <w:rPr>
                <w:rFonts w:ascii="Montserrat" w:eastAsia="Times New Roman" w:hAnsi="Montserrat" w:cs="Arial"/>
                <w:color w:val="000000"/>
                <w:sz w:val="15"/>
                <w:szCs w:val="15"/>
                <w:lang w:eastAsia="es-MX"/>
              </w:rPr>
            </w:pPr>
            <w:r w:rsidRPr="00255081">
              <w:rPr>
                <w:rFonts w:ascii="Montserrat" w:eastAsia="Times New Roman" w:hAnsi="Montserrat" w:cs="Calibri"/>
                <w:sz w:val="15"/>
                <w:szCs w:val="15"/>
                <w:lang w:val="es-MX" w:eastAsia="es-MX"/>
              </w:rPr>
              <w:t>Fideicomiso 2059 Fondo de Cobertura Social de Telecomunicaciones</w:t>
            </w:r>
          </w:p>
        </w:tc>
        <w:tc>
          <w:tcPr>
            <w:tcW w:w="2268" w:type="dxa"/>
            <w:gridSpan w:val="2"/>
            <w:tcBorders>
              <w:top w:val="nil"/>
            </w:tcBorders>
            <w:shd w:val="clear" w:color="auto" w:fill="F2F2F2" w:themeFill="background1" w:themeFillShade="F2"/>
            <w:vAlign w:val="center"/>
          </w:tcPr>
          <w:p w14:paraId="0B4C7ABC" w14:textId="721BF7AB" w:rsidR="00EC2223" w:rsidRPr="00255081" w:rsidRDefault="00EC2223" w:rsidP="002702EC">
            <w:pPr>
              <w:spacing w:after="120" w:line="240" w:lineRule="auto"/>
              <w:jc w:val="right"/>
              <w:rPr>
                <w:rFonts w:ascii="Montserrat" w:eastAsia="Times New Roman" w:hAnsi="Montserrat" w:cs="Arial"/>
                <w:color w:val="000000"/>
                <w:sz w:val="15"/>
                <w:szCs w:val="15"/>
                <w:lang w:eastAsia="es-MX"/>
              </w:rPr>
            </w:pPr>
            <w:r w:rsidRPr="00255081">
              <w:rPr>
                <w:rFonts w:ascii="Montserrat" w:eastAsia="Times New Roman" w:hAnsi="Montserrat" w:cs="Calibri"/>
                <w:sz w:val="15"/>
                <w:szCs w:val="15"/>
                <w:lang w:val="es-MX" w:eastAsia="es-MX"/>
              </w:rPr>
              <w:t>21,816,341</w:t>
            </w:r>
          </w:p>
        </w:tc>
        <w:tc>
          <w:tcPr>
            <w:tcW w:w="2268" w:type="dxa"/>
            <w:gridSpan w:val="2"/>
            <w:tcBorders>
              <w:top w:val="nil"/>
            </w:tcBorders>
            <w:shd w:val="clear" w:color="auto" w:fill="F2F2F2" w:themeFill="background1" w:themeFillShade="F2"/>
            <w:vAlign w:val="center"/>
          </w:tcPr>
          <w:p w14:paraId="0918C14F" w14:textId="35F957BA" w:rsidR="00EC2223" w:rsidRPr="00255081" w:rsidRDefault="00EC2223" w:rsidP="002702EC">
            <w:pPr>
              <w:spacing w:after="120" w:line="240" w:lineRule="auto"/>
              <w:jc w:val="right"/>
              <w:rPr>
                <w:rFonts w:ascii="Montserrat" w:eastAsia="Times New Roman" w:hAnsi="Montserrat" w:cs="Arial"/>
                <w:color w:val="000000"/>
                <w:sz w:val="15"/>
                <w:szCs w:val="15"/>
                <w:lang w:eastAsia="es-MX"/>
              </w:rPr>
            </w:pPr>
            <w:r w:rsidRPr="00255081">
              <w:rPr>
                <w:rFonts w:ascii="Montserrat" w:eastAsia="Times New Roman" w:hAnsi="Montserrat" w:cs="Calibri"/>
                <w:sz w:val="15"/>
                <w:szCs w:val="15"/>
                <w:lang w:val="es-MX" w:eastAsia="es-MX"/>
              </w:rPr>
              <w:t>100%</w:t>
            </w:r>
          </w:p>
        </w:tc>
        <w:tc>
          <w:tcPr>
            <w:tcW w:w="2098" w:type="dxa"/>
            <w:gridSpan w:val="2"/>
            <w:tcBorders>
              <w:top w:val="nil"/>
            </w:tcBorders>
            <w:shd w:val="clear" w:color="auto" w:fill="F2F2F2" w:themeFill="background1" w:themeFillShade="F2"/>
            <w:noWrap/>
            <w:vAlign w:val="center"/>
          </w:tcPr>
          <w:p w14:paraId="38D9C111" w14:textId="75032FF6" w:rsidR="00EC2223" w:rsidRPr="00255081" w:rsidRDefault="00EC2223" w:rsidP="002702EC">
            <w:pPr>
              <w:spacing w:after="120" w:line="240" w:lineRule="auto"/>
              <w:jc w:val="right"/>
              <w:rPr>
                <w:rFonts w:ascii="Montserrat" w:eastAsia="Times New Roman" w:hAnsi="Montserrat" w:cs="Arial"/>
                <w:color w:val="000000"/>
                <w:sz w:val="15"/>
                <w:szCs w:val="15"/>
                <w:lang w:eastAsia="es-MX"/>
              </w:rPr>
            </w:pPr>
            <w:r w:rsidRPr="00255081">
              <w:rPr>
                <w:rFonts w:ascii="Montserrat" w:eastAsia="Times New Roman" w:hAnsi="Montserrat" w:cs="Calibri"/>
                <w:sz w:val="15"/>
                <w:szCs w:val="15"/>
                <w:lang w:val="es-MX" w:eastAsia="es-MX"/>
              </w:rPr>
              <w:t>21,816,341</w:t>
            </w:r>
          </w:p>
        </w:tc>
      </w:tr>
      <w:tr w:rsidR="00EC2223" w:rsidRPr="006F0DF1" w14:paraId="79385EED" w14:textId="77777777" w:rsidTr="000F0321">
        <w:trPr>
          <w:trHeight w:val="340"/>
        </w:trPr>
        <w:tc>
          <w:tcPr>
            <w:tcW w:w="6095" w:type="dxa"/>
            <w:tcBorders>
              <w:top w:val="nil"/>
            </w:tcBorders>
            <w:shd w:val="clear" w:color="auto" w:fill="F2F2F2" w:themeFill="background1" w:themeFillShade="F2"/>
            <w:vAlign w:val="center"/>
          </w:tcPr>
          <w:p w14:paraId="1A3FC72C" w14:textId="4B56D75E" w:rsidR="00EC2223" w:rsidRPr="00255081" w:rsidRDefault="00EC2223" w:rsidP="004B170A">
            <w:pPr>
              <w:spacing w:after="120" w:line="240" w:lineRule="auto"/>
              <w:jc w:val="both"/>
              <w:rPr>
                <w:rFonts w:ascii="Montserrat" w:eastAsia="Times New Roman" w:hAnsi="Montserrat" w:cs="Arial"/>
                <w:color w:val="000000"/>
                <w:sz w:val="15"/>
                <w:szCs w:val="15"/>
                <w:lang w:eastAsia="es-MX"/>
              </w:rPr>
            </w:pPr>
            <w:r w:rsidRPr="00255081">
              <w:rPr>
                <w:rFonts w:ascii="Montserrat" w:eastAsia="Times New Roman" w:hAnsi="Montserrat" w:cs="Calibri"/>
                <w:sz w:val="15"/>
                <w:szCs w:val="15"/>
                <w:lang w:val="es-MX" w:eastAsia="es-MX"/>
              </w:rPr>
              <w:t>Fideicomiso 2058 e-México</w:t>
            </w:r>
          </w:p>
        </w:tc>
        <w:tc>
          <w:tcPr>
            <w:tcW w:w="2268" w:type="dxa"/>
            <w:gridSpan w:val="2"/>
            <w:tcBorders>
              <w:top w:val="nil"/>
            </w:tcBorders>
            <w:shd w:val="clear" w:color="auto" w:fill="F2F2F2" w:themeFill="background1" w:themeFillShade="F2"/>
            <w:vAlign w:val="center"/>
          </w:tcPr>
          <w:p w14:paraId="679CAF2F" w14:textId="2CC53C61" w:rsidR="00EC2223" w:rsidRPr="00255081" w:rsidRDefault="00EC2223" w:rsidP="002702EC">
            <w:pPr>
              <w:spacing w:after="120" w:line="240" w:lineRule="auto"/>
              <w:jc w:val="right"/>
              <w:rPr>
                <w:rFonts w:ascii="Montserrat" w:eastAsia="Times New Roman" w:hAnsi="Montserrat" w:cs="Arial"/>
                <w:color w:val="000000"/>
                <w:sz w:val="15"/>
                <w:szCs w:val="15"/>
                <w:lang w:eastAsia="es-MX"/>
              </w:rPr>
            </w:pPr>
            <w:r w:rsidRPr="00255081">
              <w:rPr>
                <w:rFonts w:ascii="Montserrat" w:eastAsia="Times New Roman" w:hAnsi="Montserrat" w:cs="Calibri"/>
                <w:sz w:val="15"/>
                <w:szCs w:val="15"/>
                <w:lang w:val="es-MX" w:eastAsia="es-MX"/>
              </w:rPr>
              <w:t>5,786,435,437</w:t>
            </w:r>
          </w:p>
        </w:tc>
        <w:tc>
          <w:tcPr>
            <w:tcW w:w="2268" w:type="dxa"/>
            <w:gridSpan w:val="2"/>
            <w:tcBorders>
              <w:top w:val="nil"/>
            </w:tcBorders>
            <w:shd w:val="clear" w:color="auto" w:fill="F2F2F2" w:themeFill="background1" w:themeFillShade="F2"/>
            <w:vAlign w:val="center"/>
          </w:tcPr>
          <w:p w14:paraId="0318477F" w14:textId="25AA30F4" w:rsidR="00EC2223" w:rsidRPr="00255081" w:rsidRDefault="00EC2223" w:rsidP="002702EC">
            <w:pPr>
              <w:spacing w:after="120" w:line="240" w:lineRule="auto"/>
              <w:jc w:val="right"/>
              <w:rPr>
                <w:rFonts w:ascii="Montserrat" w:eastAsia="Times New Roman" w:hAnsi="Montserrat" w:cs="Arial"/>
                <w:color w:val="000000"/>
                <w:sz w:val="15"/>
                <w:szCs w:val="15"/>
                <w:lang w:eastAsia="es-MX"/>
              </w:rPr>
            </w:pPr>
            <w:r w:rsidRPr="00255081">
              <w:rPr>
                <w:rFonts w:ascii="Montserrat" w:eastAsia="Times New Roman" w:hAnsi="Montserrat" w:cs="Calibri"/>
                <w:sz w:val="15"/>
                <w:szCs w:val="15"/>
                <w:lang w:val="es-MX" w:eastAsia="es-MX"/>
              </w:rPr>
              <w:t>100%</w:t>
            </w:r>
          </w:p>
        </w:tc>
        <w:tc>
          <w:tcPr>
            <w:tcW w:w="2098" w:type="dxa"/>
            <w:gridSpan w:val="2"/>
            <w:tcBorders>
              <w:top w:val="nil"/>
            </w:tcBorders>
            <w:shd w:val="clear" w:color="auto" w:fill="F2F2F2" w:themeFill="background1" w:themeFillShade="F2"/>
            <w:noWrap/>
            <w:vAlign w:val="center"/>
          </w:tcPr>
          <w:p w14:paraId="1BC8963D" w14:textId="29612F7B" w:rsidR="00EC2223" w:rsidRPr="00255081" w:rsidRDefault="00EC2223" w:rsidP="002702EC">
            <w:pPr>
              <w:spacing w:after="120" w:line="240" w:lineRule="auto"/>
              <w:jc w:val="right"/>
              <w:rPr>
                <w:rFonts w:ascii="Montserrat" w:eastAsia="Times New Roman" w:hAnsi="Montserrat" w:cs="Arial"/>
                <w:color w:val="000000"/>
                <w:sz w:val="15"/>
                <w:szCs w:val="15"/>
                <w:lang w:eastAsia="es-MX"/>
              </w:rPr>
            </w:pPr>
            <w:r w:rsidRPr="00255081">
              <w:rPr>
                <w:rFonts w:ascii="Montserrat" w:eastAsia="Times New Roman" w:hAnsi="Montserrat" w:cs="Calibri"/>
                <w:sz w:val="15"/>
                <w:szCs w:val="15"/>
                <w:lang w:val="es-MX" w:eastAsia="es-MX"/>
              </w:rPr>
              <w:t>5,786,435,437</w:t>
            </w:r>
          </w:p>
        </w:tc>
      </w:tr>
      <w:tr w:rsidR="00EC2223" w:rsidRPr="006F0DF1" w14:paraId="0983D8AD" w14:textId="77777777" w:rsidTr="000F0321">
        <w:trPr>
          <w:trHeight w:val="433"/>
        </w:trPr>
        <w:tc>
          <w:tcPr>
            <w:tcW w:w="6095" w:type="dxa"/>
            <w:tcBorders>
              <w:top w:val="nil"/>
            </w:tcBorders>
            <w:shd w:val="clear" w:color="auto" w:fill="F2F2F2" w:themeFill="background1" w:themeFillShade="F2"/>
            <w:vAlign w:val="center"/>
          </w:tcPr>
          <w:p w14:paraId="796B03E0" w14:textId="77777777" w:rsidR="000A1B05" w:rsidRDefault="000A1B05" w:rsidP="004B170A">
            <w:pPr>
              <w:spacing w:after="120" w:line="240" w:lineRule="auto"/>
              <w:jc w:val="both"/>
              <w:rPr>
                <w:rFonts w:ascii="Montserrat" w:eastAsia="Times New Roman" w:hAnsi="Montserrat" w:cs="Calibri"/>
                <w:sz w:val="15"/>
                <w:szCs w:val="15"/>
                <w:lang w:val="es-MX" w:eastAsia="es-MX"/>
              </w:rPr>
            </w:pPr>
          </w:p>
          <w:p w14:paraId="029E8FDB" w14:textId="5D912057" w:rsidR="00EC2223" w:rsidRPr="00255081" w:rsidRDefault="00EC2223" w:rsidP="004B170A">
            <w:pPr>
              <w:spacing w:after="120" w:line="240" w:lineRule="auto"/>
              <w:jc w:val="both"/>
              <w:rPr>
                <w:rFonts w:ascii="Montserrat" w:eastAsia="Times New Roman" w:hAnsi="Montserrat" w:cs="Arial"/>
                <w:color w:val="000000"/>
                <w:sz w:val="15"/>
                <w:szCs w:val="15"/>
                <w:lang w:eastAsia="es-MX"/>
              </w:rPr>
            </w:pPr>
            <w:r w:rsidRPr="00255081">
              <w:rPr>
                <w:rFonts w:ascii="Montserrat" w:eastAsia="Times New Roman" w:hAnsi="Montserrat" w:cs="Calibri"/>
                <w:sz w:val="15"/>
                <w:szCs w:val="15"/>
                <w:lang w:val="es-MX" w:eastAsia="es-MX"/>
              </w:rPr>
              <w:t>Fondo para el Fortalecimiento a la Infraestructura Portuaria</w:t>
            </w:r>
          </w:p>
        </w:tc>
        <w:tc>
          <w:tcPr>
            <w:tcW w:w="2268" w:type="dxa"/>
            <w:gridSpan w:val="2"/>
            <w:tcBorders>
              <w:top w:val="nil"/>
            </w:tcBorders>
            <w:shd w:val="clear" w:color="auto" w:fill="F2F2F2" w:themeFill="background1" w:themeFillShade="F2"/>
            <w:vAlign w:val="center"/>
          </w:tcPr>
          <w:p w14:paraId="1980970C" w14:textId="77777777" w:rsidR="000A1B05" w:rsidRDefault="000A1B05" w:rsidP="002702EC">
            <w:pPr>
              <w:spacing w:after="120" w:line="240" w:lineRule="auto"/>
              <w:jc w:val="right"/>
              <w:rPr>
                <w:rFonts w:ascii="Montserrat" w:eastAsia="Times New Roman" w:hAnsi="Montserrat" w:cs="Calibri"/>
                <w:sz w:val="15"/>
                <w:szCs w:val="15"/>
                <w:lang w:val="es-MX" w:eastAsia="es-MX"/>
              </w:rPr>
            </w:pPr>
          </w:p>
          <w:p w14:paraId="7EB64F73" w14:textId="17379C10" w:rsidR="00EC2223" w:rsidRPr="00255081" w:rsidRDefault="00EC2223" w:rsidP="002702EC">
            <w:pPr>
              <w:spacing w:after="120" w:line="240" w:lineRule="auto"/>
              <w:jc w:val="right"/>
              <w:rPr>
                <w:rFonts w:ascii="Montserrat" w:eastAsia="Times New Roman" w:hAnsi="Montserrat" w:cs="Arial"/>
                <w:color w:val="000000"/>
                <w:sz w:val="15"/>
                <w:szCs w:val="15"/>
                <w:lang w:eastAsia="es-MX"/>
              </w:rPr>
            </w:pPr>
            <w:r w:rsidRPr="00255081">
              <w:rPr>
                <w:rFonts w:ascii="Montserrat" w:eastAsia="Times New Roman" w:hAnsi="Montserrat" w:cs="Calibri"/>
                <w:sz w:val="15"/>
                <w:szCs w:val="15"/>
                <w:lang w:val="es-MX" w:eastAsia="es-MX"/>
              </w:rPr>
              <w:t>3,904,716,437</w:t>
            </w:r>
          </w:p>
        </w:tc>
        <w:tc>
          <w:tcPr>
            <w:tcW w:w="2268" w:type="dxa"/>
            <w:gridSpan w:val="2"/>
            <w:tcBorders>
              <w:top w:val="nil"/>
            </w:tcBorders>
            <w:shd w:val="clear" w:color="auto" w:fill="F2F2F2" w:themeFill="background1" w:themeFillShade="F2"/>
            <w:vAlign w:val="center"/>
          </w:tcPr>
          <w:p w14:paraId="752F65C6" w14:textId="77777777" w:rsidR="000A1B05" w:rsidRDefault="000A1B05" w:rsidP="002702EC">
            <w:pPr>
              <w:spacing w:after="120" w:line="240" w:lineRule="auto"/>
              <w:jc w:val="right"/>
              <w:rPr>
                <w:rFonts w:ascii="Montserrat" w:eastAsia="Times New Roman" w:hAnsi="Montserrat" w:cs="Calibri"/>
                <w:sz w:val="15"/>
                <w:szCs w:val="15"/>
                <w:lang w:val="es-MX" w:eastAsia="es-MX"/>
              </w:rPr>
            </w:pPr>
          </w:p>
          <w:p w14:paraId="7D91F618" w14:textId="4B6AD240" w:rsidR="00EC2223" w:rsidRPr="00255081" w:rsidRDefault="00EC2223" w:rsidP="002702EC">
            <w:pPr>
              <w:spacing w:after="120" w:line="240" w:lineRule="auto"/>
              <w:jc w:val="right"/>
              <w:rPr>
                <w:rFonts w:ascii="Montserrat" w:eastAsia="Times New Roman" w:hAnsi="Montserrat" w:cs="Arial"/>
                <w:color w:val="000000"/>
                <w:sz w:val="15"/>
                <w:szCs w:val="15"/>
                <w:lang w:eastAsia="es-MX"/>
              </w:rPr>
            </w:pPr>
            <w:r w:rsidRPr="00255081">
              <w:rPr>
                <w:rFonts w:ascii="Montserrat" w:eastAsia="Times New Roman" w:hAnsi="Montserrat" w:cs="Calibri"/>
                <w:sz w:val="15"/>
                <w:szCs w:val="15"/>
                <w:lang w:val="es-MX" w:eastAsia="es-MX"/>
              </w:rPr>
              <w:t>100%</w:t>
            </w:r>
          </w:p>
        </w:tc>
        <w:tc>
          <w:tcPr>
            <w:tcW w:w="2098" w:type="dxa"/>
            <w:gridSpan w:val="2"/>
            <w:tcBorders>
              <w:top w:val="nil"/>
            </w:tcBorders>
            <w:shd w:val="clear" w:color="auto" w:fill="F2F2F2" w:themeFill="background1" w:themeFillShade="F2"/>
            <w:noWrap/>
            <w:vAlign w:val="center"/>
          </w:tcPr>
          <w:p w14:paraId="36604289" w14:textId="77777777" w:rsidR="000A1B05" w:rsidRDefault="000A1B05" w:rsidP="002702EC">
            <w:pPr>
              <w:spacing w:after="120" w:line="240" w:lineRule="auto"/>
              <w:jc w:val="right"/>
              <w:rPr>
                <w:rFonts w:ascii="Montserrat" w:eastAsia="Times New Roman" w:hAnsi="Montserrat" w:cs="Calibri"/>
                <w:sz w:val="15"/>
                <w:szCs w:val="15"/>
                <w:lang w:val="es-MX" w:eastAsia="es-MX"/>
              </w:rPr>
            </w:pPr>
          </w:p>
          <w:p w14:paraId="18016B73" w14:textId="43BCD5FF" w:rsidR="00EC2223" w:rsidRPr="00255081" w:rsidRDefault="00EC2223" w:rsidP="002702EC">
            <w:pPr>
              <w:spacing w:after="120" w:line="240" w:lineRule="auto"/>
              <w:jc w:val="right"/>
              <w:rPr>
                <w:rFonts w:ascii="Montserrat" w:eastAsia="Times New Roman" w:hAnsi="Montserrat" w:cs="Arial"/>
                <w:color w:val="000000"/>
                <w:sz w:val="15"/>
                <w:szCs w:val="15"/>
                <w:lang w:eastAsia="es-MX"/>
              </w:rPr>
            </w:pPr>
            <w:r w:rsidRPr="00255081">
              <w:rPr>
                <w:rFonts w:ascii="Montserrat" w:eastAsia="Times New Roman" w:hAnsi="Montserrat" w:cs="Calibri"/>
                <w:sz w:val="15"/>
                <w:szCs w:val="15"/>
                <w:lang w:val="es-MX" w:eastAsia="es-MX"/>
              </w:rPr>
              <w:t>3,904,716,437</w:t>
            </w:r>
          </w:p>
        </w:tc>
      </w:tr>
      <w:tr w:rsidR="00EC2223" w:rsidRPr="006F0DF1" w14:paraId="1356937E" w14:textId="77777777" w:rsidTr="000F0321">
        <w:trPr>
          <w:trHeight w:val="340"/>
        </w:trPr>
        <w:tc>
          <w:tcPr>
            <w:tcW w:w="6095" w:type="dxa"/>
            <w:tcBorders>
              <w:top w:val="nil"/>
            </w:tcBorders>
            <w:shd w:val="clear" w:color="auto" w:fill="F2F2F2" w:themeFill="background1" w:themeFillShade="F2"/>
            <w:vAlign w:val="center"/>
          </w:tcPr>
          <w:p w14:paraId="221C0A50" w14:textId="239298BA" w:rsidR="00EC2223" w:rsidRPr="00255081" w:rsidRDefault="00EC2223" w:rsidP="004B170A">
            <w:pPr>
              <w:spacing w:after="120" w:line="240" w:lineRule="auto"/>
              <w:jc w:val="both"/>
              <w:rPr>
                <w:rFonts w:ascii="Montserrat" w:eastAsia="Times New Roman" w:hAnsi="Montserrat" w:cs="Arial"/>
                <w:color w:val="000000"/>
                <w:sz w:val="15"/>
                <w:szCs w:val="15"/>
                <w:lang w:eastAsia="es-MX"/>
              </w:rPr>
            </w:pPr>
            <w:r w:rsidRPr="00255081">
              <w:rPr>
                <w:rFonts w:ascii="Montserrat" w:eastAsia="Times New Roman" w:hAnsi="Montserrat" w:cs="Calibri"/>
                <w:sz w:val="15"/>
                <w:szCs w:val="15"/>
                <w:lang w:val="es-MX" w:eastAsia="es-MX"/>
              </w:rPr>
              <w:t>Fondo Nacional de Seguridad para Cruces Viales Ferroviarios</w:t>
            </w:r>
          </w:p>
        </w:tc>
        <w:tc>
          <w:tcPr>
            <w:tcW w:w="2268" w:type="dxa"/>
            <w:gridSpan w:val="2"/>
            <w:tcBorders>
              <w:top w:val="nil"/>
            </w:tcBorders>
            <w:shd w:val="clear" w:color="auto" w:fill="F2F2F2" w:themeFill="background1" w:themeFillShade="F2"/>
            <w:vAlign w:val="center"/>
          </w:tcPr>
          <w:p w14:paraId="7963E516" w14:textId="07F51921" w:rsidR="00EC2223" w:rsidRPr="00255081" w:rsidRDefault="00EC2223" w:rsidP="002702EC">
            <w:pPr>
              <w:spacing w:after="120" w:line="240" w:lineRule="auto"/>
              <w:jc w:val="right"/>
              <w:rPr>
                <w:rFonts w:ascii="Montserrat" w:eastAsia="Times New Roman" w:hAnsi="Montserrat" w:cs="Arial"/>
                <w:color w:val="000000"/>
                <w:sz w:val="15"/>
                <w:szCs w:val="15"/>
                <w:lang w:eastAsia="es-MX"/>
              </w:rPr>
            </w:pPr>
            <w:r w:rsidRPr="00255081">
              <w:rPr>
                <w:rFonts w:ascii="Montserrat" w:eastAsia="Times New Roman" w:hAnsi="Montserrat" w:cs="Calibri"/>
                <w:sz w:val="15"/>
                <w:szCs w:val="15"/>
                <w:lang w:val="es-MX" w:eastAsia="es-MX"/>
              </w:rPr>
              <w:t>137,927,847</w:t>
            </w:r>
          </w:p>
        </w:tc>
        <w:tc>
          <w:tcPr>
            <w:tcW w:w="2268" w:type="dxa"/>
            <w:gridSpan w:val="2"/>
            <w:tcBorders>
              <w:top w:val="nil"/>
            </w:tcBorders>
            <w:shd w:val="clear" w:color="auto" w:fill="F2F2F2" w:themeFill="background1" w:themeFillShade="F2"/>
            <w:vAlign w:val="center"/>
          </w:tcPr>
          <w:p w14:paraId="4D21B4E9" w14:textId="60D1B0F2" w:rsidR="00EC2223" w:rsidRPr="00255081" w:rsidRDefault="00EC2223" w:rsidP="002702EC">
            <w:pPr>
              <w:spacing w:after="120" w:line="240" w:lineRule="auto"/>
              <w:jc w:val="right"/>
              <w:rPr>
                <w:rFonts w:ascii="Montserrat" w:eastAsia="Times New Roman" w:hAnsi="Montserrat" w:cs="Arial"/>
                <w:color w:val="000000"/>
                <w:sz w:val="15"/>
                <w:szCs w:val="15"/>
                <w:lang w:eastAsia="es-MX"/>
              </w:rPr>
            </w:pPr>
            <w:r w:rsidRPr="00255081">
              <w:rPr>
                <w:rFonts w:ascii="Montserrat" w:eastAsia="Times New Roman" w:hAnsi="Montserrat" w:cs="Calibri"/>
                <w:sz w:val="15"/>
                <w:szCs w:val="15"/>
                <w:lang w:val="es-MX" w:eastAsia="es-MX"/>
              </w:rPr>
              <w:t>100%</w:t>
            </w:r>
          </w:p>
        </w:tc>
        <w:tc>
          <w:tcPr>
            <w:tcW w:w="2098" w:type="dxa"/>
            <w:gridSpan w:val="2"/>
            <w:tcBorders>
              <w:top w:val="nil"/>
            </w:tcBorders>
            <w:shd w:val="clear" w:color="auto" w:fill="F2F2F2" w:themeFill="background1" w:themeFillShade="F2"/>
            <w:noWrap/>
            <w:vAlign w:val="center"/>
          </w:tcPr>
          <w:p w14:paraId="28C47203" w14:textId="132BB708" w:rsidR="00EC2223" w:rsidRPr="00255081" w:rsidRDefault="00EC2223" w:rsidP="002702EC">
            <w:pPr>
              <w:spacing w:after="120" w:line="240" w:lineRule="auto"/>
              <w:jc w:val="right"/>
              <w:rPr>
                <w:rFonts w:ascii="Montserrat" w:eastAsia="Times New Roman" w:hAnsi="Montserrat" w:cs="Arial"/>
                <w:color w:val="000000"/>
                <w:sz w:val="15"/>
                <w:szCs w:val="15"/>
                <w:lang w:eastAsia="es-MX"/>
              </w:rPr>
            </w:pPr>
            <w:r w:rsidRPr="00255081">
              <w:rPr>
                <w:rFonts w:ascii="Montserrat" w:eastAsia="Times New Roman" w:hAnsi="Montserrat" w:cs="Calibri"/>
                <w:sz w:val="15"/>
                <w:szCs w:val="15"/>
                <w:lang w:val="es-MX" w:eastAsia="es-MX"/>
              </w:rPr>
              <w:t>137,927,847</w:t>
            </w:r>
          </w:p>
        </w:tc>
      </w:tr>
      <w:tr w:rsidR="00EC2223" w:rsidRPr="006F0DF1" w14:paraId="4BF28E57" w14:textId="77777777" w:rsidTr="000F0321">
        <w:trPr>
          <w:trHeight w:val="340"/>
        </w:trPr>
        <w:tc>
          <w:tcPr>
            <w:tcW w:w="6095" w:type="dxa"/>
            <w:tcBorders>
              <w:top w:val="nil"/>
            </w:tcBorders>
            <w:shd w:val="clear" w:color="auto" w:fill="F2F2F2" w:themeFill="background1" w:themeFillShade="F2"/>
            <w:vAlign w:val="center"/>
          </w:tcPr>
          <w:p w14:paraId="7B64F74D" w14:textId="0F196D39" w:rsidR="00EC2223" w:rsidRPr="00255081" w:rsidRDefault="00EC2223" w:rsidP="004B170A">
            <w:pPr>
              <w:spacing w:after="120" w:line="240" w:lineRule="auto"/>
              <w:jc w:val="both"/>
              <w:rPr>
                <w:rFonts w:ascii="Montserrat" w:eastAsia="Times New Roman" w:hAnsi="Montserrat" w:cs="Arial"/>
                <w:color w:val="000000"/>
                <w:sz w:val="15"/>
                <w:szCs w:val="15"/>
                <w:lang w:eastAsia="es-MX"/>
              </w:rPr>
            </w:pPr>
            <w:r w:rsidRPr="00255081">
              <w:rPr>
                <w:rFonts w:ascii="Montserrat" w:eastAsia="Times New Roman" w:hAnsi="Montserrat" w:cs="Calibri"/>
                <w:sz w:val="15"/>
                <w:szCs w:val="15"/>
                <w:lang w:val="es-MX" w:eastAsia="es-MX"/>
              </w:rPr>
              <w:t>Contrato de Mandato 2263</w:t>
            </w:r>
          </w:p>
        </w:tc>
        <w:tc>
          <w:tcPr>
            <w:tcW w:w="2268" w:type="dxa"/>
            <w:gridSpan w:val="2"/>
            <w:tcBorders>
              <w:top w:val="nil"/>
            </w:tcBorders>
            <w:shd w:val="clear" w:color="auto" w:fill="F2F2F2" w:themeFill="background1" w:themeFillShade="F2"/>
            <w:vAlign w:val="center"/>
          </w:tcPr>
          <w:p w14:paraId="43FEAD66" w14:textId="352C0E2D" w:rsidR="00EC2223" w:rsidRPr="00255081" w:rsidRDefault="00EC2223" w:rsidP="002702EC">
            <w:pPr>
              <w:spacing w:after="120" w:line="240" w:lineRule="auto"/>
              <w:jc w:val="right"/>
              <w:rPr>
                <w:rFonts w:ascii="Montserrat" w:eastAsia="Times New Roman" w:hAnsi="Montserrat" w:cs="Arial"/>
                <w:color w:val="000000"/>
                <w:sz w:val="15"/>
                <w:szCs w:val="15"/>
                <w:lang w:eastAsia="es-MX"/>
              </w:rPr>
            </w:pPr>
            <w:r w:rsidRPr="00255081">
              <w:rPr>
                <w:rFonts w:ascii="Montserrat" w:eastAsia="Times New Roman" w:hAnsi="Montserrat" w:cs="Calibri"/>
                <w:sz w:val="15"/>
                <w:szCs w:val="15"/>
                <w:lang w:val="es-MX" w:eastAsia="es-MX"/>
              </w:rPr>
              <w:t>558,074</w:t>
            </w:r>
          </w:p>
        </w:tc>
        <w:tc>
          <w:tcPr>
            <w:tcW w:w="2268" w:type="dxa"/>
            <w:gridSpan w:val="2"/>
            <w:tcBorders>
              <w:top w:val="nil"/>
            </w:tcBorders>
            <w:shd w:val="clear" w:color="auto" w:fill="F2F2F2" w:themeFill="background1" w:themeFillShade="F2"/>
            <w:vAlign w:val="center"/>
          </w:tcPr>
          <w:p w14:paraId="4E8A5EA0" w14:textId="7628930F" w:rsidR="00EC2223" w:rsidRPr="00255081" w:rsidRDefault="00EC2223" w:rsidP="002702EC">
            <w:pPr>
              <w:spacing w:after="120" w:line="240" w:lineRule="auto"/>
              <w:jc w:val="right"/>
              <w:rPr>
                <w:rFonts w:ascii="Montserrat" w:eastAsia="Times New Roman" w:hAnsi="Montserrat" w:cs="Arial"/>
                <w:color w:val="000000"/>
                <w:sz w:val="15"/>
                <w:szCs w:val="15"/>
                <w:lang w:eastAsia="es-MX"/>
              </w:rPr>
            </w:pPr>
            <w:r w:rsidRPr="00255081">
              <w:rPr>
                <w:rFonts w:ascii="Montserrat" w:eastAsia="Times New Roman" w:hAnsi="Montserrat" w:cs="Calibri"/>
                <w:sz w:val="15"/>
                <w:szCs w:val="15"/>
                <w:lang w:val="es-MX" w:eastAsia="es-MX"/>
              </w:rPr>
              <w:t>100%</w:t>
            </w:r>
          </w:p>
        </w:tc>
        <w:tc>
          <w:tcPr>
            <w:tcW w:w="2098" w:type="dxa"/>
            <w:gridSpan w:val="2"/>
            <w:tcBorders>
              <w:top w:val="nil"/>
            </w:tcBorders>
            <w:shd w:val="clear" w:color="auto" w:fill="F2F2F2" w:themeFill="background1" w:themeFillShade="F2"/>
            <w:noWrap/>
            <w:vAlign w:val="center"/>
          </w:tcPr>
          <w:p w14:paraId="6B703D74" w14:textId="5D7FE9D7" w:rsidR="00EC2223" w:rsidRPr="00255081" w:rsidRDefault="00EC2223" w:rsidP="002702EC">
            <w:pPr>
              <w:spacing w:after="120" w:line="240" w:lineRule="auto"/>
              <w:jc w:val="right"/>
              <w:rPr>
                <w:rFonts w:ascii="Montserrat" w:eastAsia="Times New Roman" w:hAnsi="Montserrat" w:cs="Arial"/>
                <w:color w:val="000000"/>
                <w:sz w:val="15"/>
                <w:szCs w:val="15"/>
                <w:lang w:eastAsia="es-MX"/>
              </w:rPr>
            </w:pPr>
            <w:r w:rsidRPr="00255081">
              <w:rPr>
                <w:rFonts w:ascii="Montserrat" w:eastAsia="Times New Roman" w:hAnsi="Montserrat" w:cs="Calibri"/>
                <w:sz w:val="15"/>
                <w:szCs w:val="15"/>
                <w:lang w:val="es-MX" w:eastAsia="es-MX"/>
              </w:rPr>
              <w:t>558,074</w:t>
            </w:r>
          </w:p>
        </w:tc>
      </w:tr>
      <w:tr w:rsidR="00EC2223" w:rsidRPr="006F0DF1" w14:paraId="3A81A652" w14:textId="77777777" w:rsidTr="000F0321">
        <w:trPr>
          <w:trHeight w:val="340"/>
        </w:trPr>
        <w:tc>
          <w:tcPr>
            <w:tcW w:w="6095" w:type="dxa"/>
            <w:tcBorders>
              <w:top w:val="nil"/>
            </w:tcBorders>
            <w:shd w:val="clear" w:color="auto" w:fill="F2F2F2" w:themeFill="background1" w:themeFillShade="F2"/>
            <w:vAlign w:val="center"/>
          </w:tcPr>
          <w:p w14:paraId="334B7B8B" w14:textId="0F3AB78C" w:rsidR="00EC2223" w:rsidRPr="00255081" w:rsidRDefault="00EC2223" w:rsidP="004B170A">
            <w:pPr>
              <w:spacing w:after="120" w:line="240" w:lineRule="auto"/>
              <w:jc w:val="both"/>
              <w:rPr>
                <w:rFonts w:ascii="Montserrat" w:eastAsia="Times New Roman" w:hAnsi="Montserrat" w:cs="Arial"/>
                <w:sz w:val="15"/>
                <w:szCs w:val="15"/>
                <w:lang w:eastAsia="es-MX"/>
              </w:rPr>
            </w:pPr>
            <w:r w:rsidRPr="00255081">
              <w:rPr>
                <w:rFonts w:ascii="Montserrat" w:eastAsia="Times New Roman" w:hAnsi="Montserrat" w:cs="Calibri"/>
                <w:sz w:val="15"/>
                <w:szCs w:val="15"/>
                <w:lang w:val="es-MX" w:eastAsia="es-MX"/>
              </w:rPr>
              <w:t>Contrato de Mandato 2264</w:t>
            </w:r>
          </w:p>
        </w:tc>
        <w:tc>
          <w:tcPr>
            <w:tcW w:w="2268" w:type="dxa"/>
            <w:gridSpan w:val="2"/>
            <w:tcBorders>
              <w:top w:val="nil"/>
            </w:tcBorders>
            <w:shd w:val="clear" w:color="auto" w:fill="F2F2F2" w:themeFill="background1" w:themeFillShade="F2"/>
            <w:vAlign w:val="center"/>
          </w:tcPr>
          <w:p w14:paraId="1D86ED57" w14:textId="14B4B924" w:rsidR="00EC2223" w:rsidRPr="00255081" w:rsidRDefault="00EC2223" w:rsidP="002702EC">
            <w:pPr>
              <w:spacing w:after="120" w:line="240" w:lineRule="auto"/>
              <w:jc w:val="right"/>
              <w:rPr>
                <w:rFonts w:ascii="Montserrat" w:eastAsia="Times New Roman" w:hAnsi="Montserrat" w:cs="Arial"/>
                <w:color w:val="000000"/>
                <w:sz w:val="15"/>
                <w:szCs w:val="15"/>
                <w:lang w:eastAsia="es-MX"/>
              </w:rPr>
            </w:pPr>
            <w:r w:rsidRPr="00255081">
              <w:rPr>
                <w:rFonts w:ascii="Montserrat" w:eastAsia="Times New Roman" w:hAnsi="Montserrat" w:cs="Calibri"/>
                <w:sz w:val="15"/>
                <w:szCs w:val="15"/>
                <w:lang w:val="es-MX" w:eastAsia="es-MX"/>
              </w:rPr>
              <w:t>2,379,630</w:t>
            </w:r>
          </w:p>
        </w:tc>
        <w:tc>
          <w:tcPr>
            <w:tcW w:w="2268" w:type="dxa"/>
            <w:gridSpan w:val="2"/>
            <w:tcBorders>
              <w:top w:val="nil"/>
            </w:tcBorders>
            <w:shd w:val="clear" w:color="auto" w:fill="F2F2F2" w:themeFill="background1" w:themeFillShade="F2"/>
            <w:vAlign w:val="center"/>
          </w:tcPr>
          <w:p w14:paraId="64165D14" w14:textId="742F484E" w:rsidR="00EC2223" w:rsidRPr="00255081" w:rsidRDefault="00EC2223" w:rsidP="002702EC">
            <w:pPr>
              <w:spacing w:after="120" w:line="240" w:lineRule="auto"/>
              <w:jc w:val="right"/>
              <w:rPr>
                <w:rFonts w:ascii="Montserrat" w:eastAsia="Times New Roman" w:hAnsi="Montserrat" w:cs="Arial"/>
                <w:color w:val="000000"/>
                <w:sz w:val="15"/>
                <w:szCs w:val="15"/>
                <w:lang w:eastAsia="es-MX"/>
              </w:rPr>
            </w:pPr>
            <w:r w:rsidRPr="00255081">
              <w:rPr>
                <w:rFonts w:ascii="Montserrat" w:eastAsia="Times New Roman" w:hAnsi="Montserrat" w:cs="Calibri"/>
                <w:sz w:val="15"/>
                <w:szCs w:val="15"/>
                <w:lang w:val="es-MX" w:eastAsia="es-MX"/>
              </w:rPr>
              <w:t>100%</w:t>
            </w:r>
          </w:p>
        </w:tc>
        <w:tc>
          <w:tcPr>
            <w:tcW w:w="2098" w:type="dxa"/>
            <w:gridSpan w:val="2"/>
            <w:tcBorders>
              <w:top w:val="nil"/>
            </w:tcBorders>
            <w:shd w:val="clear" w:color="auto" w:fill="F2F2F2" w:themeFill="background1" w:themeFillShade="F2"/>
            <w:noWrap/>
            <w:vAlign w:val="center"/>
          </w:tcPr>
          <w:p w14:paraId="71CF5876" w14:textId="5AA0328D" w:rsidR="00EC2223" w:rsidRPr="00255081" w:rsidRDefault="00EC2223" w:rsidP="002702EC">
            <w:pPr>
              <w:spacing w:after="120" w:line="240" w:lineRule="auto"/>
              <w:jc w:val="right"/>
              <w:rPr>
                <w:rFonts w:ascii="Montserrat" w:eastAsia="Times New Roman" w:hAnsi="Montserrat" w:cs="Arial"/>
                <w:color w:val="000000"/>
                <w:sz w:val="15"/>
                <w:szCs w:val="15"/>
                <w:lang w:eastAsia="es-MX"/>
              </w:rPr>
            </w:pPr>
            <w:r w:rsidRPr="00255081">
              <w:rPr>
                <w:rFonts w:ascii="Montserrat" w:eastAsia="Times New Roman" w:hAnsi="Montserrat" w:cs="Calibri"/>
                <w:sz w:val="15"/>
                <w:szCs w:val="15"/>
                <w:lang w:val="es-MX" w:eastAsia="es-MX"/>
              </w:rPr>
              <w:t>2,379,630</w:t>
            </w:r>
          </w:p>
        </w:tc>
      </w:tr>
      <w:tr w:rsidR="00EC2223" w:rsidRPr="006F0DF1" w14:paraId="1E5CD6D1" w14:textId="77777777" w:rsidTr="000F0321">
        <w:trPr>
          <w:trHeight w:val="340"/>
        </w:trPr>
        <w:tc>
          <w:tcPr>
            <w:tcW w:w="6095" w:type="dxa"/>
            <w:tcBorders>
              <w:top w:val="nil"/>
            </w:tcBorders>
            <w:shd w:val="clear" w:color="auto" w:fill="F2F2F2" w:themeFill="background1" w:themeFillShade="F2"/>
            <w:vAlign w:val="center"/>
          </w:tcPr>
          <w:p w14:paraId="1AD67095" w14:textId="49F9D95B" w:rsidR="00EC2223" w:rsidRPr="00255081" w:rsidRDefault="00EC2223" w:rsidP="004B170A">
            <w:pPr>
              <w:spacing w:after="120" w:line="240" w:lineRule="auto"/>
              <w:jc w:val="both"/>
              <w:rPr>
                <w:rFonts w:ascii="Montserrat" w:eastAsia="Times New Roman" w:hAnsi="Montserrat" w:cs="Arial"/>
                <w:sz w:val="15"/>
                <w:szCs w:val="15"/>
                <w:lang w:eastAsia="es-MX"/>
              </w:rPr>
            </w:pPr>
            <w:r w:rsidRPr="00255081">
              <w:rPr>
                <w:rFonts w:ascii="Montserrat" w:eastAsia="Times New Roman" w:hAnsi="Montserrat" w:cs="Calibri"/>
                <w:sz w:val="15"/>
                <w:szCs w:val="15"/>
                <w:lang w:val="es-MX" w:eastAsia="es-MX"/>
              </w:rPr>
              <w:t>Fideicomiso para Promover el Desarrollo de Proveedores y Contratistas Nacionales para la Industria Energética</w:t>
            </w:r>
          </w:p>
        </w:tc>
        <w:tc>
          <w:tcPr>
            <w:tcW w:w="2268" w:type="dxa"/>
            <w:gridSpan w:val="2"/>
            <w:tcBorders>
              <w:top w:val="nil"/>
            </w:tcBorders>
            <w:shd w:val="clear" w:color="auto" w:fill="F2F2F2" w:themeFill="background1" w:themeFillShade="F2"/>
            <w:vAlign w:val="center"/>
          </w:tcPr>
          <w:p w14:paraId="65B1062B" w14:textId="3CDCC12E" w:rsidR="00EC2223" w:rsidRPr="00255081" w:rsidRDefault="00EC2223" w:rsidP="002702EC">
            <w:pPr>
              <w:spacing w:after="120" w:line="240" w:lineRule="auto"/>
              <w:jc w:val="right"/>
              <w:rPr>
                <w:rFonts w:ascii="Montserrat" w:eastAsia="Times New Roman" w:hAnsi="Montserrat" w:cs="Arial"/>
                <w:color w:val="000000"/>
                <w:sz w:val="15"/>
                <w:szCs w:val="15"/>
                <w:lang w:eastAsia="es-MX"/>
              </w:rPr>
            </w:pPr>
            <w:r w:rsidRPr="00255081">
              <w:rPr>
                <w:rFonts w:ascii="Montserrat" w:eastAsia="Times New Roman" w:hAnsi="Montserrat" w:cs="Calibri"/>
                <w:sz w:val="15"/>
                <w:szCs w:val="15"/>
                <w:lang w:val="es-MX" w:eastAsia="es-MX"/>
              </w:rPr>
              <w:t>1,219,030,040</w:t>
            </w:r>
          </w:p>
        </w:tc>
        <w:tc>
          <w:tcPr>
            <w:tcW w:w="2268" w:type="dxa"/>
            <w:gridSpan w:val="2"/>
            <w:tcBorders>
              <w:top w:val="nil"/>
            </w:tcBorders>
            <w:shd w:val="clear" w:color="auto" w:fill="F2F2F2" w:themeFill="background1" w:themeFillShade="F2"/>
            <w:vAlign w:val="center"/>
          </w:tcPr>
          <w:p w14:paraId="4A905A4F" w14:textId="7BEBDDF2" w:rsidR="00EC2223" w:rsidRPr="00255081" w:rsidRDefault="00EC2223" w:rsidP="002702EC">
            <w:pPr>
              <w:spacing w:after="120" w:line="240" w:lineRule="auto"/>
              <w:jc w:val="right"/>
              <w:rPr>
                <w:rFonts w:ascii="Montserrat" w:eastAsia="Times New Roman" w:hAnsi="Montserrat" w:cs="Arial"/>
                <w:color w:val="000000"/>
                <w:sz w:val="15"/>
                <w:szCs w:val="15"/>
                <w:lang w:eastAsia="es-MX"/>
              </w:rPr>
            </w:pPr>
            <w:r w:rsidRPr="00255081">
              <w:rPr>
                <w:rFonts w:ascii="Montserrat" w:eastAsia="Times New Roman" w:hAnsi="Montserrat" w:cs="Calibri"/>
                <w:sz w:val="15"/>
                <w:szCs w:val="15"/>
                <w:lang w:val="es-MX" w:eastAsia="es-MX"/>
              </w:rPr>
              <w:t>100%</w:t>
            </w:r>
          </w:p>
        </w:tc>
        <w:tc>
          <w:tcPr>
            <w:tcW w:w="2098" w:type="dxa"/>
            <w:gridSpan w:val="2"/>
            <w:tcBorders>
              <w:top w:val="nil"/>
            </w:tcBorders>
            <w:shd w:val="clear" w:color="auto" w:fill="F2F2F2" w:themeFill="background1" w:themeFillShade="F2"/>
            <w:noWrap/>
            <w:vAlign w:val="center"/>
          </w:tcPr>
          <w:p w14:paraId="2FA9C0F9" w14:textId="3D185FF3" w:rsidR="00EC2223" w:rsidRPr="00255081" w:rsidRDefault="00EC2223" w:rsidP="002702EC">
            <w:pPr>
              <w:spacing w:after="120" w:line="240" w:lineRule="auto"/>
              <w:jc w:val="right"/>
              <w:rPr>
                <w:rFonts w:ascii="Montserrat" w:eastAsia="Times New Roman" w:hAnsi="Montserrat" w:cs="Arial"/>
                <w:color w:val="000000"/>
                <w:sz w:val="15"/>
                <w:szCs w:val="15"/>
                <w:lang w:eastAsia="es-MX"/>
              </w:rPr>
            </w:pPr>
            <w:r w:rsidRPr="00255081">
              <w:rPr>
                <w:rFonts w:ascii="Montserrat" w:eastAsia="Times New Roman" w:hAnsi="Montserrat" w:cs="Calibri"/>
                <w:sz w:val="15"/>
                <w:szCs w:val="15"/>
                <w:lang w:val="es-MX" w:eastAsia="es-MX"/>
              </w:rPr>
              <w:t>1,219,030,040</w:t>
            </w:r>
          </w:p>
        </w:tc>
      </w:tr>
      <w:tr w:rsidR="00EC2223" w:rsidRPr="006F0DF1" w14:paraId="582BBA5D" w14:textId="77777777" w:rsidTr="000F0321">
        <w:trPr>
          <w:trHeight w:val="340"/>
        </w:trPr>
        <w:tc>
          <w:tcPr>
            <w:tcW w:w="6095" w:type="dxa"/>
            <w:tcBorders>
              <w:top w:val="nil"/>
            </w:tcBorders>
            <w:shd w:val="clear" w:color="auto" w:fill="F2F2F2" w:themeFill="background1" w:themeFillShade="F2"/>
            <w:vAlign w:val="center"/>
          </w:tcPr>
          <w:p w14:paraId="6AA9D8E7" w14:textId="7EB22848" w:rsidR="00EC2223" w:rsidRPr="00255081" w:rsidRDefault="00EC2223" w:rsidP="004B170A">
            <w:pPr>
              <w:spacing w:after="120" w:line="240" w:lineRule="auto"/>
              <w:jc w:val="both"/>
              <w:rPr>
                <w:rFonts w:ascii="Montserrat" w:eastAsia="Times New Roman" w:hAnsi="Montserrat" w:cs="Arial"/>
                <w:color w:val="000000"/>
                <w:sz w:val="15"/>
                <w:szCs w:val="15"/>
                <w:lang w:eastAsia="es-MX"/>
              </w:rPr>
            </w:pPr>
            <w:r w:rsidRPr="00255081">
              <w:rPr>
                <w:rFonts w:ascii="Montserrat" w:eastAsia="Times New Roman" w:hAnsi="Montserrat" w:cs="Calibri"/>
                <w:sz w:val="15"/>
                <w:szCs w:val="15"/>
                <w:lang w:val="es-MX" w:eastAsia="es-MX"/>
              </w:rPr>
              <w:t xml:space="preserve">Fideicomiso de Fomento Industrial </w:t>
            </w:r>
          </w:p>
        </w:tc>
        <w:tc>
          <w:tcPr>
            <w:tcW w:w="2268" w:type="dxa"/>
            <w:gridSpan w:val="2"/>
            <w:tcBorders>
              <w:top w:val="nil"/>
            </w:tcBorders>
            <w:shd w:val="clear" w:color="auto" w:fill="F2F2F2" w:themeFill="background1" w:themeFillShade="F2"/>
            <w:vAlign w:val="center"/>
          </w:tcPr>
          <w:p w14:paraId="541879BC" w14:textId="00157397" w:rsidR="00EC2223" w:rsidRPr="00255081" w:rsidRDefault="00EC2223" w:rsidP="002702EC">
            <w:pPr>
              <w:spacing w:after="120" w:line="240" w:lineRule="auto"/>
              <w:jc w:val="right"/>
              <w:rPr>
                <w:rFonts w:ascii="Montserrat" w:eastAsia="Times New Roman" w:hAnsi="Montserrat" w:cs="Arial"/>
                <w:color w:val="000000"/>
                <w:sz w:val="15"/>
                <w:szCs w:val="15"/>
                <w:lang w:eastAsia="es-MX"/>
              </w:rPr>
            </w:pPr>
            <w:r w:rsidRPr="00255081">
              <w:rPr>
                <w:rFonts w:ascii="Montserrat" w:eastAsia="Times New Roman" w:hAnsi="Montserrat" w:cs="Calibri"/>
                <w:sz w:val="15"/>
                <w:szCs w:val="15"/>
                <w:lang w:val="es-MX" w:eastAsia="es-MX"/>
              </w:rPr>
              <w:t>171,545,964</w:t>
            </w:r>
          </w:p>
        </w:tc>
        <w:tc>
          <w:tcPr>
            <w:tcW w:w="2268" w:type="dxa"/>
            <w:gridSpan w:val="2"/>
            <w:tcBorders>
              <w:top w:val="nil"/>
            </w:tcBorders>
            <w:shd w:val="clear" w:color="auto" w:fill="F2F2F2" w:themeFill="background1" w:themeFillShade="F2"/>
            <w:vAlign w:val="center"/>
          </w:tcPr>
          <w:p w14:paraId="6207AE09" w14:textId="52000766" w:rsidR="00EC2223" w:rsidRPr="00255081" w:rsidRDefault="00EC2223" w:rsidP="002702EC">
            <w:pPr>
              <w:spacing w:after="120" w:line="240" w:lineRule="auto"/>
              <w:jc w:val="right"/>
              <w:rPr>
                <w:rFonts w:ascii="Montserrat" w:eastAsia="Times New Roman" w:hAnsi="Montserrat" w:cs="Arial"/>
                <w:color w:val="000000"/>
                <w:sz w:val="15"/>
                <w:szCs w:val="15"/>
                <w:lang w:eastAsia="es-MX"/>
              </w:rPr>
            </w:pPr>
            <w:r w:rsidRPr="00255081">
              <w:rPr>
                <w:rFonts w:ascii="Montserrat" w:eastAsia="Times New Roman" w:hAnsi="Montserrat" w:cs="Calibri"/>
                <w:sz w:val="15"/>
                <w:szCs w:val="15"/>
                <w:lang w:val="es-MX" w:eastAsia="es-MX"/>
              </w:rPr>
              <w:t>100%</w:t>
            </w:r>
          </w:p>
        </w:tc>
        <w:tc>
          <w:tcPr>
            <w:tcW w:w="2098" w:type="dxa"/>
            <w:gridSpan w:val="2"/>
            <w:tcBorders>
              <w:top w:val="nil"/>
            </w:tcBorders>
            <w:shd w:val="clear" w:color="auto" w:fill="F2F2F2" w:themeFill="background1" w:themeFillShade="F2"/>
            <w:noWrap/>
            <w:vAlign w:val="center"/>
          </w:tcPr>
          <w:p w14:paraId="10F312FA" w14:textId="19938744" w:rsidR="00EC2223" w:rsidRPr="00255081" w:rsidRDefault="00EC2223" w:rsidP="002702EC">
            <w:pPr>
              <w:spacing w:after="120" w:line="240" w:lineRule="auto"/>
              <w:jc w:val="right"/>
              <w:rPr>
                <w:rFonts w:ascii="Montserrat" w:eastAsia="Times New Roman" w:hAnsi="Montserrat" w:cs="Arial"/>
                <w:color w:val="000000"/>
                <w:sz w:val="15"/>
                <w:szCs w:val="15"/>
                <w:lang w:eastAsia="es-MX"/>
              </w:rPr>
            </w:pPr>
            <w:r w:rsidRPr="00255081">
              <w:rPr>
                <w:rFonts w:ascii="Montserrat" w:eastAsia="Times New Roman" w:hAnsi="Montserrat" w:cs="Calibri"/>
                <w:sz w:val="15"/>
                <w:szCs w:val="15"/>
                <w:lang w:val="es-MX" w:eastAsia="es-MX"/>
              </w:rPr>
              <w:t>171,545,964</w:t>
            </w:r>
          </w:p>
        </w:tc>
      </w:tr>
      <w:tr w:rsidR="00EC2223" w:rsidRPr="006F0DF1" w14:paraId="69AC8182" w14:textId="77777777" w:rsidTr="000F0321">
        <w:trPr>
          <w:trHeight w:val="340"/>
        </w:trPr>
        <w:tc>
          <w:tcPr>
            <w:tcW w:w="6095" w:type="dxa"/>
            <w:tcBorders>
              <w:top w:val="nil"/>
            </w:tcBorders>
            <w:shd w:val="clear" w:color="auto" w:fill="F2F2F2" w:themeFill="background1" w:themeFillShade="F2"/>
            <w:vAlign w:val="center"/>
          </w:tcPr>
          <w:p w14:paraId="20996ECF" w14:textId="5659D669" w:rsidR="00EC2223" w:rsidRPr="00255081" w:rsidRDefault="00EC2223" w:rsidP="004B170A">
            <w:pPr>
              <w:spacing w:after="120" w:line="240" w:lineRule="auto"/>
              <w:jc w:val="both"/>
              <w:rPr>
                <w:rFonts w:ascii="Montserrat" w:eastAsia="Times New Roman" w:hAnsi="Montserrat" w:cs="Arial"/>
                <w:color w:val="000000"/>
                <w:sz w:val="15"/>
                <w:szCs w:val="15"/>
                <w:lang w:eastAsia="es-MX"/>
              </w:rPr>
            </w:pPr>
            <w:r w:rsidRPr="00255081">
              <w:rPr>
                <w:rFonts w:ascii="Montserrat" w:eastAsia="Times New Roman" w:hAnsi="Montserrat" w:cs="Calibri"/>
                <w:sz w:val="15"/>
                <w:szCs w:val="15"/>
                <w:lang w:val="es-MX" w:eastAsia="es-MX"/>
              </w:rPr>
              <w:t>Fideicomiso para Promover el Acceso al Financiamiento de MIPYMES y Emprendedores</w:t>
            </w:r>
          </w:p>
        </w:tc>
        <w:tc>
          <w:tcPr>
            <w:tcW w:w="2268" w:type="dxa"/>
            <w:gridSpan w:val="2"/>
            <w:tcBorders>
              <w:top w:val="nil"/>
            </w:tcBorders>
            <w:shd w:val="clear" w:color="auto" w:fill="F2F2F2" w:themeFill="background1" w:themeFillShade="F2"/>
            <w:vAlign w:val="center"/>
          </w:tcPr>
          <w:p w14:paraId="6ECB267F" w14:textId="1D56FECA" w:rsidR="00EC2223" w:rsidRPr="00255081" w:rsidRDefault="00EC2223" w:rsidP="002702EC">
            <w:pPr>
              <w:spacing w:after="120" w:line="240" w:lineRule="auto"/>
              <w:jc w:val="right"/>
              <w:rPr>
                <w:rFonts w:ascii="Montserrat" w:eastAsia="Times New Roman" w:hAnsi="Montserrat" w:cs="Arial"/>
                <w:color w:val="000000"/>
                <w:sz w:val="15"/>
                <w:szCs w:val="15"/>
                <w:lang w:eastAsia="es-MX"/>
              </w:rPr>
            </w:pPr>
            <w:r w:rsidRPr="00255081">
              <w:rPr>
                <w:rFonts w:ascii="Montserrat" w:eastAsia="Times New Roman" w:hAnsi="Montserrat" w:cs="Calibri"/>
                <w:sz w:val="15"/>
                <w:szCs w:val="15"/>
                <w:lang w:val="es-MX" w:eastAsia="es-MX"/>
              </w:rPr>
              <w:t>623,316,253</w:t>
            </w:r>
          </w:p>
        </w:tc>
        <w:tc>
          <w:tcPr>
            <w:tcW w:w="2268" w:type="dxa"/>
            <w:gridSpan w:val="2"/>
            <w:tcBorders>
              <w:top w:val="nil"/>
            </w:tcBorders>
            <w:shd w:val="clear" w:color="auto" w:fill="F2F2F2" w:themeFill="background1" w:themeFillShade="F2"/>
            <w:vAlign w:val="center"/>
          </w:tcPr>
          <w:p w14:paraId="01827AC0" w14:textId="2D79520B" w:rsidR="00EC2223" w:rsidRPr="00255081" w:rsidRDefault="00EC2223" w:rsidP="002702EC">
            <w:pPr>
              <w:spacing w:after="120" w:line="240" w:lineRule="auto"/>
              <w:jc w:val="right"/>
              <w:rPr>
                <w:rFonts w:ascii="Montserrat" w:eastAsia="Times New Roman" w:hAnsi="Montserrat" w:cs="Arial"/>
                <w:color w:val="000000"/>
                <w:sz w:val="15"/>
                <w:szCs w:val="15"/>
                <w:lang w:eastAsia="es-MX"/>
              </w:rPr>
            </w:pPr>
            <w:r w:rsidRPr="00255081">
              <w:rPr>
                <w:rFonts w:ascii="Montserrat" w:eastAsia="Times New Roman" w:hAnsi="Montserrat" w:cs="Calibri"/>
                <w:sz w:val="15"/>
                <w:szCs w:val="15"/>
                <w:lang w:val="es-MX" w:eastAsia="es-MX"/>
              </w:rPr>
              <w:t>100%</w:t>
            </w:r>
          </w:p>
        </w:tc>
        <w:tc>
          <w:tcPr>
            <w:tcW w:w="2098" w:type="dxa"/>
            <w:gridSpan w:val="2"/>
            <w:tcBorders>
              <w:top w:val="nil"/>
            </w:tcBorders>
            <w:shd w:val="clear" w:color="auto" w:fill="F2F2F2" w:themeFill="background1" w:themeFillShade="F2"/>
            <w:noWrap/>
            <w:vAlign w:val="center"/>
          </w:tcPr>
          <w:p w14:paraId="393CB9B1" w14:textId="13EA04C9" w:rsidR="00EC2223" w:rsidRPr="00255081" w:rsidRDefault="00EC2223" w:rsidP="002702EC">
            <w:pPr>
              <w:spacing w:after="120" w:line="240" w:lineRule="auto"/>
              <w:jc w:val="right"/>
              <w:rPr>
                <w:rFonts w:ascii="Montserrat" w:eastAsia="Times New Roman" w:hAnsi="Montserrat" w:cs="Arial"/>
                <w:color w:val="000000"/>
                <w:sz w:val="15"/>
                <w:szCs w:val="15"/>
                <w:lang w:eastAsia="es-MX"/>
              </w:rPr>
            </w:pPr>
            <w:r w:rsidRPr="00255081">
              <w:rPr>
                <w:rFonts w:ascii="Montserrat" w:eastAsia="Times New Roman" w:hAnsi="Montserrat" w:cs="Calibri"/>
                <w:sz w:val="15"/>
                <w:szCs w:val="15"/>
                <w:lang w:val="es-MX" w:eastAsia="es-MX"/>
              </w:rPr>
              <w:t>623,316,253</w:t>
            </w:r>
          </w:p>
        </w:tc>
      </w:tr>
      <w:tr w:rsidR="00EC2223" w:rsidRPr="006F0DF1" w14:paraId="77A2302D" w14:textId="77777777" w:rsidTr="000F0321">
        <w:trPr>
          <w:trHeight w:val="340"/>
        </w:trPr>
        <w:tc>
          <w:tcPr>
            <w:tcW w:w="6095" w:type="dxa"/>
            <w:shd w:val="clear" w:color="auto" w:fill="F2F2F2" w:themeFill="background1" w:themeFillShade="F2"/>
            <w:vAlign w:val="center"/>
          </w:tcPr>
          <w:p w14:paraId="19F139A3" w14:textId="4F836990" w:rsidR="00EC2223" w:rsidRPr="00255081" w:rsidRDefault="00EC2223" w:rsidP="004B170A">
            <w:pPr>
              <w:spacing w:after="120" w:line="240" w:lineRule="auto"/>
              <w:jc w:val="both"/>
              <w:rPr>
                <w:rFonts w:ascii="Montserrat" w:eastAsia="Times New Roman" w:hAnsi="Montserrat" w:cs="Arial"/>
                <w:color w:val="000000"/>
                <w:sz w:val="15"/>
                <w:szCs w:val="15"/>
                <w:lang w:eastAsia="es-MX"/>
              </w:rPr>
            </w:pPr>
            <w:r w:rsidRPr="00255081">
              <w:rPr>
                <w:rFonts w:ascii="Montserrat" w:eastAsia="Times New Roman" w:hAnsi="Montserrat" w:cs="Calibri"/>
                <w:sz w:val="15"/>
                <w:szCs w:val="15"/>
                <w:lang w:val="es-MX" w:eastAsia="es-MX"/>
              </w:rPr>
              <w:t>Fondo para el Desarrollo de Zonas de Producción Minera</w:t>
            </w:r>
          </w:p>
        </w:tc>
        <w:tc>
          <w:tcPr>
            <w:tcW w:w="2268" w:type="dxa"/>
            <w:gridSpan w:val="2"/>
            <w:shd w:val="clear" w:color="auto" w:fill="F2F2F2" w:themeFill="background1" w:themeFillShade="F2"/>
            <w:vAlign w:val="center"/>
          </w:tcPr>
          <w:p w14:paraId="08E34049" w14:textId="5E4B89CE" w:rsidR="00EC2223" w:rsidRPr="00255081" w:rsidRDefault="00EC2223" w:rsidP="002702EC">
            <w:pPr>
              <w:spacing w:after="120" w:line="240" w:lineRule="auto"/>
              <w:jc w:val="right"/>
              <w:rPr>
                <w:rFonts w:ascii="Montserrat" w:eastAsia="Times New Roman" w:hAnsi="Montserrat" w:cs="Arial"/>
                <w:color w:val="000000"/>
                <w:sz w:val="15"/>
                <w:szCs w:val="15"/>
                <w:lang w:eastAsia="es-MX"/>
              </w:rPr>
            </w:pPr>
            <w:r w:rsidRPr="00255081">
              <w:rPr>
                <w:rFonts w:ascii="Montserrat" w:eastAsia="Times New Roman" w:hAnsi="Montserrat" w:cs="Calibri"/>
                <w:sz w:val="15"/>
                <w:szCs w:val="15"/>
                <w:lang w:val="es-MX" w:eastAsia="es-MX"/>
              </w:rPr>
              <w:t>7,446,160,891</w:t>
            </w:r>
          </w:p>
        </w:tc>
        <w:tc>
          <w:tcPr>
            <w:tcW w:w="2268" w:type="dxa"/>
            <w:gridSpan w:val="2"/>
            <w:shd w:val="clear" w:color="auto" w:fill="F2F2F2" w:themeFill="background1" w:themeFillShade="F2"/>
            <w:vAlign w:val="center"/>
          </w:tcPr>
          <w:p w14:paraId="2C3B4F40" w14:textId="12F282C6" w:rsidR="00EC2223" w:rsidRPr="00255081" w:rsidRDefault="00EC2223" w:rsidP="002702EC">
            <w:pPr>
              <w:spacing w:after="120" w:line="240" w:lineRule="auto"/>
              <w:jc w:val="right"/>
              <w:rPr>
                <w:rFonts w:ascii="Montserrat" w:eastAsia="Times New Roman" w:hAnsi="Montserrat" w:cs="Arial"/>
                <w:color w:val="000000"/>
                <w:sz w:val="15"/>
                <w:szCs w:val="15"/>
                <w:lang w:eastAsia="es-MX"/>
              </w:rPr>
            </w:pPr>
            <w:r w:rsidRPr="00255081">
              <w:rPr>
                <w:rFonts w:ascii="Montserrat" w:eastAsia="Times New Roman" w:hAnsi="Montserrat" w:cs="Calibri"/>
                <w:sz w:val="15"/>
                <w:szCs w:val="15"/>
                <w:lang w:val="es-MX" w:eastAsia="es-MX"/>
              </w:rPr>
              <w:t>100%</w:t>
            </w:r>
          </w:p>
        </w:tc>
        <w:tc>
          <w:tcPr>
            <w:tcW w:w="2098" w:type="dxa"/>
            <w:gridSpan w:val="2"/>
            <w:shd w:val="clear" w:color="auto" w:fill="F2F2F2" w:themeFill="background1" w:themeFillShade="F2"/>
            <w:noWrap/>
            <w:vAlign w:val="center"/>
          </w:tcPr>
          <w:p w14:paraId="563CDAC9" w14:textId="3BEC80E2" w:rsidR="00EC2223" w:rsidRPr="00255081" w:rsidRDefault="00EC2223" w:rsidP="002702EC">
            <w:pPr>
              <w:spacing w:after="120" w:line="240" w:lineRule="auto"/>
              <w:jc w:val="right"/>
              <w:rPr>
                <w:rFonts w:ascii="Montserrat" w:eastAsia="Times New Roman" w:hAnsi="Montserrat" w:cs="Arial"/>
                <w:color w:val="000000"/>
                <w:sz w:val="15"/>
                <w:szCs w:val="15"/>
                <w:lang w:eastAsia="es-MX"/>
              </w:rPr>
            </w:pPr>
            <w:r w:rsidRPr="00255081">
              <w:rPr>
                <w:rFonts w:ascii="Montserrat" w:eastAsia="Times New Roman" w:hAnsi="Montserrat" w:cs="Calibri"/>
                <w:sz w:val="15"/>
                <w:szCs w:val="15"/>
                <w:lang w:val="es-MX" w:eastAsia="es-MX"/>
              </w:rPr>
              <w:t>7,446,160,891</w:t>
            </w:r>
          </w:p>
        </w:tc>
      </w:tr>
      <w:tr w:rsidR="00EC2223" w:rsidRPr="006F0DF1" w14:paraId="6B551029" w14:textId="77777777" w:rsidTr="000F0321">
        <w:trPr>
          <w:trHeight w:val="340"/>
        </w:trPr>
        <w:tc>
          <w:tcPr>
            <w:tcW w:w="6095" w:type="dxa"/>
            <w:tcBorders>
              <w:top w:val="nil"/>
            </w:tcBorders>
            <w:shd w:val="clear" w:color="auto" w:fill="F2F2F2" w:themeFill="background1" w:themeFillShade="F2"/>
            <w:vAlign w:val="center"/>
          </w:tcPr>
          <w:p w14:paraId="241F226A" w14:textId="0F87211E" w:rsidR="00EC2223" w:rsidRPr="00255081" w:rsidRDefault="00EC2223" w:rsidP="004B170A">
            <w:pPr>
              <w:spacing w:after="120" w:line="240" w:lineRule="auto"/>
              <w:jc w:val="both"/>
              <w:rPr>
                <w:rFonts w:ascii="Montserrat" w:eastAsia="Times New Roman" w:hAnsi="Montserrat" w:cs="Arial"/>
                <w:color w:val="000000"/>
                <w:sz w:val="15"/>
                <w:szCs w:val="15"/>
                <w:lang w:eastAsia="es-MX"/>
              </w:rPr>
            </w:pPr>
            <w:r w:rsidRPr="00255081">
              <w:rPr>
                <w:rFonts w:ascii="Montserrat" w:eastAsia="Times New Roman" w:hAnsi="Montserrat" w:cs="Calibri"/>
                <w:sz w:val="15"/>
                <w:szCs w:val="15"/>
                <w:lang w:val="es-MX" w:eastAsia="es-MX"/>
              </w:rPr>
              <w:t>Fondo de la Amistad MÉXICO-JAPÓN</w:t>
            </w:r>
          </w:p>
        </w:tc>
        <w:tc>
          <w:tcPr>
            <w:tcW w:w="2268" w:type="dxa"/>
            <w:gridSpan w:val="2"/>
            <w:tcBorders>
              <w:top w:val="nil"/>
            </w:tcBorders>
            <w:shd w:val="clear" w:color="auto" w:fill="F2F2F2" w:themeFill="background1" w:themeFillShade="F2"/>
            <w:vAlign w:val="center"/>
          </w:tcPr>
          <w:p w14:paraId="75EAB353" w14:textId="38F525D8" w:rsidR="00EC2223" w:rsidRPr="00255081" w:rsidRDefault="00EC2223" w:rsidP="002702EC">
            <w:pPr>
              <w:spacing w:after="120" w:line="240" w:lineRule="auto"/>
              <w:jc w:val="right"/>
              <w:rPr>
                <w:rFonts w:ascii="Montserrat" w:eastAsia="Times New Roman" w:hAnsi="Montserrat" w:cs="Arial"/>
                <w:color w:val="000000"/>
                <w:sz w:val="15"/>
                <w:szCs w:val="15"/>
                <w:lang w:eastAsia="es-MX"/>
              </w:rPr>
            </w:pPr>
            <w:r w:rsidRPr="00255081">
              <w:rPr>
                <w:rFonts w:ascii="Montserrat" w:eastAsia="Times New Roman" w:hAnsi="Montserrat" w:cs="Calibri"/>
                <w:sz w:val="15"/>
                <w:szCs w:val="15"/>
                <w:lang w:val="es-MX" w:eastAsia="es-MX"/>
              </w:rPr>
              <w:t>0</w:t>
            </w:r>
          </w:p>
        </w:tc>
        <w:tc>
          <w:tcPr>
            <w:tcW w:w="2268" w:type="dxa"/>
            <w:gridSpan w:val="2"/>
            <w:tcBorders>
              <w:top w:val="nil"/>
            </w:tcBorders>
            <w:shd w:val="clear" w:color="auto" w:fill="F2F2F2" w:themeFill="background1" w:themeFillShade="F2"/>
            <w:vAlign w:val="center"/>
          </w:tcPr>
          <w:p w14:paraId="3B755EDF" w14:textId="2FB998E6" w:rsidR="00EC2223" w:rsidRPr="00255081" w:rsidRDefault="00EC2223" w:rsidP="002702EC">
            <w:pPr>
              <w:spacing w:after="120" w:line="240" w:lineRule="auto"/>
              <w:jc w:val="right"/>
              <w:rPr>
                <w:rFonts w:ascii="Montserrat" w:eastAsia="Times New Roman" w:hAnsi="Montserrat" w:cs="Arial"/>
                <w:color w:val="000000"/>
                <w:sz w:val="15"/>
                <w:szCs w:val="15"/>
                <w:lang w:eastAsia="es-MX"/>
              </w:rPr>
            </w:pPr>
            <w:r w:rsidRPr="00255081">
              <w:rPr>
                <w:rFonts w:ascii="Montserrat" w:eastAsia="Times New Roman" w:hAnsi="Montserrat" w:cs="Calibri"/>
                <w:sz w:val="15"/>
                <w:szCs w:val="15"/>
                <w:lang w:val="es-MX" w:eastAsia="es-MX"/>
              </w:rPr>
              <w:t>0%</w:t>
            </w:r>
          </w:p>
        </w:tc>
        <w:tc>
          <w:tcPr>
            <w:tcW w:w="2098" w:type="dxa"/>
            <w:gridSpan w:val="2"/>
            <w:tcBorders>
              <w:top w:val="nil"/>
            </w:tcBorders>
            <w:shd w:val="clear" w:color="auto" w:fill="F2F2F2" w:themeFill="background1" w:themeFillShade="F2"/>
            <w:noWrap/>
            <w:vAlign w:val="center"/>
          </w:tcPr>
          <w:p w14:paraId="5977FDEB" w14:textId="4E0E2F86" w:rsidR="00EC2223" w:rsidRPr="00255081" w:rsidRDefault="00EC2223" w:rsidP="002702EC">
            <w:pPr>
              <w:spacing w:after="120" w:line="240" w:lineRule="auto"/>
              <w:jc w:val="right"/>
              <w:rPr>
                <w:rFonts w:ascii="Montserrat" w:eastAsia="Times New Roman" w:hAnsi="Montserrat" w:cs="Arial"/>
                <w:color w:val="000000"/>
                <w:sz w:val="15"/>
                <w:szCs w:val="15"/>
                <w:lang w:eastAsia="es-MX"/>
              </w:rPr>
            </w:pPr>
            <w:r w:rsidRPr="00255081">
              <w:rPr>
                <w:rFonts w:ascii="Montserrat" w:eastAsia="Times New Roman" w:hAnsi="Montserrat" w:cs="Calibri"/>
                <w:sz w:val="15"/>
                <w:szCs w:val="15"/>
                <w:lang w:val="es-MX" w:eastAsia="es-MX"/>
              </w:rPr>
              <w:t>0</w:t>
            </w:r>
          </w:p>
        </w:tc>
      </w:tr>
      <w:tr w:rsidR="00EC2223" w:rsidRPr="006F0DF1" w14:paraId="5B2CF9EF" w14:textId="77777777" w:rsidTr="000F0321">
        <w:trPr>
          <w:trHeight w:val="340"/>
        </w:trPr>
        <w:tc>
          <w:tcPr>
            <w:tcW w:w="6095" w:type="dxa"/>
            <w:tcBorders>
              <w:top w:val="nil"/>
            </w:tcBorders>
            <w:shd w:val="clear" w:color="auto" w:fill="F2F2F2" w:themeFill="background1" w:themeFillShade="F2"/>
            <w:vAlign w:val="center"/>
          </w:tcPr>
          <w:p w14:paraId="3959F566" w14:textId="1142074B" w:rsidR="00EC2223" w:rsidRPr="00255081" w:rsidRDefault="00EC2223" w:rsidP="004B170A">
            <w:pPr>
              <w:spacing w:after="120" w:line="240" w:lineRule="auto"/>
              <w:jc w:val="both"/>
              <w:rPr>
                <w:rFonts w:ascii="Montserrat" w:eastAsia="Times New Roman" w:hAnsi="Montserrat" w:cs="Arial"/>
                <w:color w:val="000000"/>
                <w:sz w:val="15"/>
                <w:szCs w:val="15"/>
                <w:lang w:eastAsia="es-MX"/>
              </w:rPr>
            </w:pPr>
            <w:r w:rsidRPr="00255081">
              <w:rPr>
                <w:rFonts w:ascii="Montserrat" w:eastAsia="Times New Roman" w:hAnsi="Montserrat" w:cs="Calibri"/>
                <w:sz w:val="15"/>
                <w:szCs w:val="15"/>
                <w:lang w:val="es-MX" w:eastAsia="es-MX"/>
              </w:rPr>
              <w:t>Fideicomiso para la Comisión MÉXICO-ESTADOS UNIDOS F-22927-8</w:t>
            </w:r>
          </w:p>
        </w:tc>
        <w:tc>
          <w:tcPr>
            <w:tcW w:w="2268" w:type="dxa"/>
            <w:gridSpan w:val="2"/>
            <w:tcBorders>
              <w:top w:val="nil"/>
            </w:tcBorders>
            <w:shd w:val="clear" w:color="auto" w:fill="F2F2F2" w:themeFill="background1" w:themeFillShade="F2"/>
            <w:vAlign w:val="center"/>
          </w:tcPr>
          <w:p w14:paraId="21BAA777" w14:textId="3EE7A5E3" w:rsidR="00EC2223" w:rsidRPr="00255081" w:rsidRDefault="00EC2223" w:rsidP="002702EC">
            <w:pPr>
              <w:spacing w:after="120" w:line="240" w:lineRule="auto"/>
              <w:jc w:val="right"/>
              <w:rPr>
                <w:rFonts w:ascii="Montserrat" w:eastAsia="Times New Roman" w:hAnsi="Montserrat" w:cs="Arial"/>
                <w:color w:val="000000"/>
                <w:sz w:val="15"/>
                <w:szCs w:val="15"/>
                <w:lang w:eastAsia="es-MX"/>
              </w:rPr>
            </w:pPr>
            <w:r w:rsidRPr="00255081">
              <w:rPr>
                <w:rFonts w:ascii="Montserrat" w:eastAsia="Times New Roman" w:hAnsi="Montserrat" w:cs="Calibri"/>
                <w:sz w:val="15"/>
                <w:szCs w:val="15"/>
                <w:lang w:val="es-MX" w:eastAsia="es-MX"/>
              </w:rPr>
              <w:t>0</w:t>
            </w:r>
          </w:p>
        </w:tc>
        <w:tc>
          <w:tcPr>
            <w:tcW w:w="2268" w:type="dxa"/>
            <w:gridSpan w:val="2"/>
            <w:tcBorders>
              <w:top w:val="nil"/>
            </w:tcBorders>
            <w:shd w:val="clear" w:color="auto" w:fill="F2F2F2" w:themeFill="background1" w:themeFillShade="F2"/>
            <w:vAlign w:val="center"/>
          </w:tcPr>
          <w:p w14:paraId="50957F62" w14:textId="57D3D320" w:rsidR="00EC2223" w:rsidRPr="00255081" w:rsidRDefault="00EC2223" w:rsidP="002702EC">
            <w:pPr>
              <w:spacing w:after="120" w:line="240" w:lineRule="auto"/>
              <w:jc w:val="right"/>
              <w:rPr>
                <w:rFonts w:ascii="Montserrat" w:eastAsia="Times New Roman" w:hAnsi="Montserrat" w:cs="Arial"/>
                <w:color w:val="000000"/>
                <w:sz w:val="15"/>
                <w:szCs w:val="15"/>
                <w:lang w:eastAsia="es-MX"/>
              </w:rPr>
            </w:pPr>
            <w:r w:rsidRPr="00255081">
              <w:rPr>
                <w:rFonts w:ascii="Montserrat" w:eastAsia="Times New Roman" w:hAnsi="Montserrat" w:cs="Calibri"/>
                <w:sz w:val="15"/>
                <w:szCs w:val="15"/>
                <w:lang w:val="es-MX" w:eastAsia="es-MX"/>
              </w:rPr>
              <w:t>0%</w:t>
            </w:r>
          </w:p>
        </w:tc>
        <w:tc>
          <w:tcPr>
            <w:tcW w:w="2098" w:type="dxa"/>
            <w:gridSpan w:val="2"/>
            <w:tcBorders>
              <w:top w:val="nil"/>
            </w:tcBorders>
            <w:shd w:val="clear" w:color="auto" w:fill="F2F2F2" w:themeFill="background1" w:themeFillShade="F2"/>
            <w:noWrap/>
            <w:vAlign w:val="center"/>
          </w:tcPr>
          <w:p w14:paraId="4B281150" w14:textId="2D1E7308" w:rsidR="00EC2223" w:rsidRPr="00255081" w:rsidRDefault="00EC2223" w:rsidP="002702EC">
            <w:pPr>
              <w:spacing w:after="120" w:line="240" w:lineRule="auto"/>
              <w:jc w:val="right"/>
              <w:rPr>
                <w:rFonts w:ascii="Montserrat" w:eastAsia="Times New Roman" w:hAnsi="Montserrat" w:cs="Arial"/>
                <w:color w:val="000000"/>
                <w:sz w:val="15"/>
                <w:szCs w:val="15"/>
                <w:lang w:eastAsia="es-MX"/>
              </w:rPr>
            </w:pPr>
            <w:r w:rsidRPr="00255081">
              <w:rPr>
                <w:rFonts w:ascii="Montserrat" w:eastAsia="Times New Roman" w:hAnsi="Montserrat" w:cs="Calibri"/>
                <w:sz w:val="15"/>
                <w:szCs w:val="15"/>
                <w:lang w:val="es-MX" w:eastAsia="es-MX"/>
              </w:rPr>
              <w:t>0</w:t>
            </w:r>
          </w:p>
        </w:tc>
      </w:tr>
      <w:tr w:rsidR="00EC2223" w:rsidRPr="006F0DF1" w14:paraId="53768B36" w14:textId="77777777" w:rsidTr="000F0321">
        <w:trPr>
          <w:trHeight w:val="340"/>
        </w:trPr>
        <w:tc>
          <w:tcPr>
            <w:tcW w:w="6095" w:type="dxa"/>
            <w:tcBorders>
              <w:top w:val="nil"/>
            </w:tcBorders>
            <w:shd w:val="clear" w:color="auto" w:fill="F2F2F2" w:themeFill="background1" w:themeFillShade="F2"/>
            <w:vAlign w:val="center"/>
          </w:tcPr>
          <w:p w14:paraId="677D37CA" w14:textId="042FC8E2" w:rsidR="00EC2223" w:rsidRPr="00255081" w:rsidRDefault="00EC2223" w:rsidP="004B170A">
            <w:pPr>
              <w:spacing w:after="120" w:line="240" w:lineRule="auto"/>
              <w:jc w:val="both"/>
              <w:rPr>
                <w:rFonts w:ascii="Montserrat" w:eastAsia="Times New Roman" w:hAnsi="Montserrat" w:cs="Arial"/>
                <w:color w:val="000000"/>
                <w:sz w:val="15"/>
                <w:szCs w:val="15"/>
                <w:lang w:eastAsia="es-MX"/>
              </w:rPr>
            </w:pPr>
            <w:r w:rsidRPr="00255081">
              <w:rPr>
                <w:rFonts w:ascii="Montserrat" w:eastAsia="Times New Roman" w:hAnsi="Montserrat" w:cs="Calibri"/>
                <w:sz w:val="15"/>
                <w:szCs w:val="15"/>
                <w:lang w:val="es-MX" w:eastAsia="es-MX"/>
              </w:rPr>
              <w:t>Fideicomiso 14780-8 Fondo Nacional para Escuelas de Calidad</w:t>
            </w:r>
          </w:p>
        </w:tc>
        <w:tc>
          <w:tcPr>
            <w:tcW w:w="2268" w:type="dxa"/>
            <w:gridSpan w:val="2"/>
            <w:tcBorders>
              <w:top w:val="nil"/>
            </w:tcBorders>
            <w:shd w:val="clear" w:color="auto" w:fill="F2F2F2" w:themeFill="background1" w:themeFillShade="F2"/>
            <w:vAlign w:val="center"/>
          </w:tcPr>
          <w:p w14:paraId="61FC3942" w14:textId="34C33277" w:rsidR="00EC2223" w:rsidRPr="00255081" w:rsidRDefault="00EC2223" w:rsidP="002702EC">
            <w:pPr>
              <w:spacing w:after="120" w:line="240" w:lineRule="auto"/>
              <w:jc w:val="right"/>
              <w:rPr>
                <w:rFonts w:ascii="Montserrat" w:eastAsia="Times New Roman" w:hAnsi="Montserrat" w:cs="Arial"/>
                <w:color w:val="000000"/>
                <w:sz w:val="15"/>
                <w:szCs w:val="15"/>
                <w:lang w:eastAsia="es-MX"/>
              </w:rPr>
            </w:pPr>
            <w:r w:rsidRPr="00255081">
              <w:rPr>
                <w:rFonts w:ascii="Montserrat" w:eastAsia="Times New Roman" w:hAnsi="Montserrat" w:cs="Calibri"/>
                <w:sz w:val="15"/>
                <w:szCs w:val="15"/>
                <w:lang w:val="es-MX" w:eastAsia="es-MX"/>
              </w:rPr>
              <w:t>17,589,560</w:t>
            </w:r>
          </w:p>
        </w:tc>
        <w:tc>
          <w:tcPr>
            <w:tcW w:w="2268" w:type="dxa"/>
            <w:gridSpan w:val="2"/>
            <w:tcBorders>
              <w:top w:val="nil"/>
            </w:tcBorders>
            <w:shd w:val="clear" w:color="auto" w:fill="F2F2F2" w:themeFill="background1" w:themeFillShade="F2"/>
            <w:vAlign w:val="center"/>
          </w:tcPr>
          <w:p w14:paraId="71FF610B" w14:textId="3F73D732" w:rsidR="00EC2223" w:rsidRPr="00255081" w:rsidRDefault="00EC2223" w:rsidP="002702EC">
            <w:pPr>
              <w:spacing w:after="120" w:line="240" w:lineRule="auto"/>
              <w:jc w:val="right"/>
              <w:rPr>
                <w:rFonts w:ascii="Montserrat" w:eastAsia="Times New Roman" w:hAnsi="Montserrat" w:cs="Arial"/>
                <w:color w:val="000000"/>
                <w:sz w:val="15"/>
                <w:szCs w:val="15"/>
                <w:lang w:eastAsia="es-MX"/>
              </w:rPr>
            </w:pPr>
            <w:r w:rsidRPr="00255081">
              <w:rPr>
                <w:rFonts w:ascii="Montserrat" w:eastAsia="Times New Roman" w:hAnsi="Montserrat" w:cs="Calibri"/>
                <w:sz w:val="15"/>
                <w:szCs w:val="15"/>
                <w:lang w:val="es-MX" w:eastAsia="es-MX"/>
              </w:rPr>
              <w:t>96%</w:t>
            </w:r>
          </w:p>
        </w:tc>
        <w:tc>
          <w:tcPr>
            <w:tcW w:w="2098" w:type="dxa"/>
            <w:gridSpan w:val="2"/>
            <w:tcBorders>
              <w:top w:val="nil"/>
            </w:tcBorders>
            <w:shd w:val="clear" w:color="auto" w:fill="F2F2F2" w:themeFill="background1" w:themeFillShade="F2"/>
            <w:noWrap/>
            <w:vAlign w:val="center"/>
          </w:tcPr>
          <w:p w14:paraId="1DDA1C25" w14:textId="2F54D6B2" w:rsidR="00EC2223" w:rsidRPr="00255081" w:rsidRDefault="00EC2223" w:rsidP="002702EC">
            <w:pPr>
              <w:spacing w:after="120" w:line="240" w:lineRule="auto"/>
              <w:jc w:val="right"/>
              <w:rPr>
                <w:rFonts w:ascii="Montserrat" w:eastAsia="Times New Roman" w:hAnsi="Montserrat" w:cs="Arial"/>
                <w:color w:val="000000"/>
                <w:sz w:val="15"/>
                <w:szCs w:val="15"/>
                <w:lang w:eastAsia="es-MX"/>
              </w:rPr>
            </w:pPr>
            <w:r w:rsidRPr="00255081">
              <w:rPr>
                <w:rFonts w:ascii="Montserrat" w:eastAsia="Times New Roman" w:hAnsi="Montserrat" w:cs="Calibri"/>
                <w:sz w:val="15"/>
                <w:szCs w:val="15"/>
                <w:lang w:val="es-MX" w:eastAsia="es-MX"/>
              </w:rPr>
              <w:t>16,885,977</w:t>
            </w:r>
          </w:p>
        </w:tc>
      </w:tr>
      <w:tr w:rsidR="00EC2223" w:rsidRPr="006F0DF1" w14:paraId="2C30F195" w14:textId="77777777" w:rsidTr="000F0321">
        <w:trPr>
          <w:trHeight w:val="340"/>
        </w:trPr>
        <w:tc>
          <w:tcPr>
            <w:tcW w:w="6095" w:type="dxa"/>
            <w:tcBorders>
              <w:top w:val="nil"/>
            </w:tcBorders>
            <w:shd w:val="clear" w:color="auto" w:fill="F2F2F2" w:themeFill="background1" w:themeFillShade="F2"/>
            <w:vAlign w:val="center"/>
          </w:tcPr>
          <w:p w14:paraId="05C7734F" w14:textId="47D80A20" w:rsidR="00EC2223" w:rsidRPr="00255081" w:rsidRDefault="00EC2223" w:rsidP="004B170A">
            <w:pPr>
              <w:spacing w:after="120" w:line="240" w:lineRule="auto"/>
              <w:jc w:val="both"/>
              <w:rPr>
                <w:rFonts w:ascii="Montserrat" w:eastAsia="Times New Roman" w:hAnsi="Montserrat" w:cs="Arial"/>
                <w:color w:val="000000"/>
                <w:sz w:val="15"/>
                <w:szCs w:val="15"/>
                <w:lang w:eastAsia="es-MX"/>
              </w:rPr>
            </w:pPr>
            <w:r w:rsidRPr="00255081">
              <w:rPr>
                <w:rFonts w:ascii="Montserrat" w:eastAsia="Times New Roman" w:hAnsi="Montserrat" w:cs="Calibri"/>
                <w:sz w:val="15"/>
                <w:szCs w:val="15"/>
                <w:lang w:val="es-MX" w:eastAsia="es-MX"/>
              </w:rPr>
              <w:t>Fideicomiso del Programa de Escuelas de Excelencia para Abatir el Rezago Educativo</w:t>
            </w:r>
          </w:p>
        </w:tc>
        <w:tc>
          <w:tcPr>
            <w:tcW w:w="2268" w:type="dxa"/>
            <w:gridSpan w:val="2"/>
            <w:tcBorders>
              <w:top w:val="nil"/>
            </w:tcBorders>
            <w:shd w:val="clear" w:color="auto" w:fill="F2F2F2" w:themeFill="background1" w:themeFillShade="F2"/>
            <w:vAlign w:val="center"/>
          </w:tcPr>
          <w:p w14:paraId="7F2D2700" w14:textId="0468B3E3" w:rsidR="00EC2223" w:rsidRPr="00255081" w:rsidRDefault="00EC2223" w:rsidP="002702EC">
            <w:pPr>
              <w:spacing w:after="120" w:line="240" w:lineRule="auto"/>
              <w:jc w:val="right"/>
              <w:rPr>
                <w:rFonts w:ascii="Montserrat" w:eastAsia="Times New Roman" w:hAnsi="Montserrat" w:cs="Arial"/>
                <w:color w:val="000000"/>
                <w:sz w:val="15"/>
                <w:szCs w:val="15"/>
                <w:lang w:eastAsia="es-MX"/>
              </w:rPr>
            </w:pPr>
            <w:r w:rsidRPr="00255081">
              <w:rPr>
                <w:rFonts w:ascii="Montserrat" w:eastAsia="Times New Roman" w:hAnsi="Montserrat" w:cs="Calibri"/>
                <w:sz w:val="15"/>
                <w:szCs w:val="15"/>
                <w:lang w:val="es-MX" w:eastAsia="es-MX"/>
              </w:rPr>
              <w:t>3,907,026,900</w:t>
            </w:r>
          </w:p>
        </w:tc>
        <w:tc>
          <w:tcPr>
            <w:tcW w:w="2268" w:type="dxa"/>
            <w:gridSpan w:val="2"/>
            <w:tcBorders>
              <w:top w:val="nil"/>
            </w:tcBorders>
            <w:shd w:val="clear" w:color="auto" w:fill="F2F2F2" w:themeFill="background1" w:themeFillShade="F2"/>
            <w:vAlign w:val="center"/>
          </w:tcPr>
          <w:p w14:paraId="072AED47" w14:textId="3FC9BC2B" w:rsidR="00EC2223" w:rsidRPr="00255081" w:rsidRDefault="00EC2223" w:rsidP="002702EC">
            <w:pPr>
              <w:spacing w:after="120" w:line="240" w:lineRule="auto"/>
              <w:jc w:val="right"/>
              <w:rPr>
                <w:rFonts w:ascii="Montserrat" w:eastAsia="Times New Roman" w:hAnsi="Montserrat" w:cs="Arial"/>
                <w:color w:val="000000"/>
                <w:sz w:val="15"/>
                <w:szCs w:val="15"/>
                <w:lang w:eastAsia="es-MX"/>
              </w:rPr>
            </w:pPr>
            <w:r w:rsidRPr="00255081">
              <w:rPr>
                <w:rFonts w:ascii="Montserrat" w:eastAsia="Times New Roman" w:hAnsi="Montserrat" w:cs="Calibri"/>
                <w:sz w:val="15"/>
                <w:szCs w:val="15"/>
                <w:lang w:val="es-MX" w:eastAsia="es-MX"/>
              </w:rPr>
              <w:t>100%</w:t>
            </w:r>
          </w:p>
        </w:tc>
        <w:tc>
          <w:tcPr>
            <w:tcW w:w="2098" w:type="dxa"/>
            <w:gridSpan w:val="2"/>
            <w:tcBorders>
              <w:top w:val="nil"/>
            </w:tcBorders>
            <w:shd w:val="clear" w:color="auto" w:fill="F2F2F2" w:themeFill="background1" w:themeFillShade="F2"/>
            <w:noWrap/>
            <w:vAlign w:val="center"/>
          </w:tcPr>
          <w:p w14:paraId="4F9F4543" w14:textId="46095B65" w:rsidR="00EC2223" w:rsidRPr="00255081" w:rsidRDefault="00EC2223" w:rsidP="002702EC">
            <w:pPr>
              <w:spacing w:after="120" w:line="240" w:lineRule="auto"/>
              <w:jc w:val="right"/>
              <w:rPr>
                <w:rFonts w:ascii="Montserrat" w:eastAsia="Times New Roman" w:hAnsi="Montserrat" w:cs="Arial"/>
                <w:color w:val="000000"/>
                <w:sz w:val="15"/>
                <w:szCs w:val="15"/>
                <w:lang w:eastAsia="es-MX"/>
              </w:rPr>
            </w:pPr>
            <w:r w:rsidRPr="00255081">
              <w:rPr>
                <w:rFonts w:ascii="Montserrat" w:eastAsia="Times New Roman" w:hAnsi="Montserrat" w:cs="Calibri"/>
                <w:sz w:val="15"/>
                <w:szCs w:val="15"/>
                <w:lang w:val="es-MX" w:eastAsia="es-MX"/>
              </w:rPr>
              <w:t>3,907,026,900</w:t>
            </w:r>
          </w:p>
        </w:tc>
      </w:tr>
      <w:tr w:rsidR="00EC2223" w:rsidRPr="006F0DF1" w14:paraId="1148EBD8" w14:textId="77777777" w:rsidTr="000F0321">
        <w:trPr>
          <w:trHeight w:val="340"/>
        </w:trPr>
        <w:tc>
          <w:tcPr>
            <w:tcW w:w="6095" w:type="dxa"/>
            <w:tcBorders>
              <w:top w:val="nil"/>
            </w:tcBorders>
            <w:shd w:val="clear" w:color="auto" w:fill="F2F2F2" w:themeFill="background1" w:themeFillShade="F2"/>
            <w:vAlign w:val="center"/>
          </w:tcPr>
          <w:p w14:paraId="32FB3FAF" w14:textId="77777777" w:rsidR="005A30B5" w:rsidRDefault="005A30B5" w:rsidP="004B170A">
            <w:pPr>
              <w:spacing w:after="120" w:line="240" w:lineRule="auto"/>
              <w:jc w:val="both"/>
              <w:rPr>
                <w:rFonts w:ascii="Montserrat" w:eastAsia="Times New Roman" w:hAnsi="Montserrat" w:cs="Calibri"/>
                <w:sz w:val="15"/>
                <w:szCs w:val="15"/>
                <w:lang w:val="es-MX" w:eastAsia="es-MX"/>
              </w:rPr>
            </w:pPr>
          </w:p>
          <w:p w14:paraId="6CB0BD97" w14:textId="70040F80" w:rsidR="00EC2223" w:rsidRPr="00255081" w:rsidRDefault="00EC2223" w:rsidP="004B170A">
            <w:pPr>
              <w:spacing w:after="120" w:line="240" w:lineRule="auto"/>
              <w:jc w:val="both"/>
              <w:rPr>
                <w:rFonts w:ascii="Montserrat" w:eastAsia="Times New Roman" w:hAnsi="Montserrat" w:cs="Arial"/>
                <w:color w:val="000000"/>
                <w:sz w:val="15"/>
                <w:szCs w:val="15"/>
                <w:lang w:eastAsia="es-MX"/>
              </w:rPr>
            </w:pPr>
            <w:r w:rsidRPr="00255081">
              <w:rPr>
                <w:rFonts w:ascii="Montserrat" w:eastAsia="Times New Roman" w:hAnsi="Montserrat" w:cs="Calibri"/>
                <w:sz w:val="15"/>
                <w:szCs w:val="15"/>
                <w:lang w:val="es-MX" w:eastAsia="es-MX"/>
              </w:rPr>
              <w:t>Bachillerato General en sus Modalidades No Escolarizada y Mixta</w:t>
            </w:r>
          </w:p>
        </w:tc>
        <w:tc>
          <w:tcPr>
            <w:tcW w:w="2268" w:type="dxa"/>
            <w:gridSpan w:val="2"/>
            <w:tcBorders>
              <w:top w:val="nil"/>
            </w:tcBorders>
            <w:shd w:val="clear" w:color="auto" w:fill="F2F2F2" w:themeFill="background1" w:themeFillShade="F2"/>
            <w:vAlign w:val="center"/>
          </w:tcPr>
          <w:p w14:paraId="6BC6E687" w14:textId="77777777" w:rsidR="005A30B5" w:rsidRDefault="005A30B5" w:rsidP="002702EC">
            <w:pPr>
              <w:spacing w:after="120" w:line="240" w:lineRule="auto"/>
              <w:jc w:val="right"/>
              <w:rPr>
                <w:rFonts w:ascii="Montserrat" w:eastAsia="Times New Roman" w:hAnsi="Montserrat" w:cs="Calibri"/>
                <w:sz w:val="15"/>
                <w:szCs w:val="15"/>
                <w:lang w:val="es-MX" w:eastAsia="es-MX"/>
              </w:rPr>
            </w:pPr>
          </w:p>
          <w:p w14:paraId="233ABC06" w14:textId="64E5A6CE" w:rsidR="00EC2223" w:rsidRPr="00255081" w:rsidRDefault="00EC2223" w:rsidP="002702EC">
            <w:pPr>
              <w:spacing w:after="120" w:line="240" w:lineRule="auto"/>
              <w:jc w:val="right"/>
              <w:rPr>
                <w:rFonts w:ascii="Montserrat" w:eastAsia="Times New Roman" w:hAnsi="Montserrat" w:cs="Arial"/>
                <w:color w:val="000000"/>
                <w:sz w:val="15"/>
                <w:szCs w:val="15"/>
                <w:lang w:eastAsia="es-MX"/>
              </w:rPr>
            </w:pPr>
            <w:r w:rsidRPr="00255081">
              <w:rPr>
                <w:rFonts w:ascii="Montserrat" w:eastAsia="Times New Roman" w:hAnsi="Montserrat" w:cs="Calibri"/>
                <w:sz w:val="15"/>
                <w:szCs w:val="15"/>
                <w:lang w:val="es-MX" w:eastAsia="es-MX"/>
              </w:rPr>
              <w:t>144,979,583</w:t>
            </w:r>
          </w:p>
        </w:tc>
        <w:tc>
          <w:tcPr>
            <w:tcW w:w="2268" w:type="dxa"/>
            <w:gridSpan w:val="2"/>
            <w:tcBorders>
              <w:top w:val="nil"/>
            </w:tcBorders>
            <w:shd w:val="clear" w:color="auto" w:fill="F2F2F2" w:themeFill="background1" w:themeFillShade="F2"/>
            <w:vAlign w:val="center"/>
          </w:tcPr>
          <w:p w14:paraId="4886AD99" w14:textId="77777777" w:rsidR="005A30B5" w:rsidRDefault="005A30B5" w:rsidP="002702EC">
            <w:pPr>
              <w:spacing w:after="120" w:line="240" w:lineRule="auto"/>
              <w:jc w:val="right"/>
              <w:rPr>
                <w:rFonts w:ascii="Montserrat" w:eastAsia="Times New Roman" w:hAnsi="Montserrat" w:cs="Calibri"/>
                <w:sz w:val="15"/>
                <w:szCs w:val="15"/>
                <w:lang w:val="es-MX" w:eastAsia="es-MX"/>
              </w:rPr>
            </w:pPr>
          </w:p>
          <w:p w14:paraId="0F25CD5C" w14:textId="593D07CC" w:rsidR="00EC2223" w:rsidRPr="00255081" w:rsidRDefault="00EC2223" w:rsidP="002702EC">
            <w:pPr>
              <w:spacing w:after="120" w:line="240" w:lineRule="auto"/>
              <w:jc w:val="right"/>
              <w:rPr>
                <w:rFonts w:ascii="Montserrat" w:eastAsia="Times New Roman" w:hAnsi="Montserrat" w:cs="Arial"/>
                <w:color w:val="000000"/>
                <w:sz w:val="15"/>
                <w:szCs w:val="15"/>
                <w:lang w:eastAsia="es-MX"/>
              </w:rPr>
            </w:pPr>
            <w:r w:rsidRPr="00255081">
              <w:rPr>
                <w:rFonts w:ascii="Montserrat" w:eastAsia="Times New Roman" w:hAnsi="Montserrat" w:cs="Calibri"/>
                <w:sz w:val="15"/>
                <w:szCs w:val="15"/>
                <w:lang w:val="es-MX" w:eastAsia="es-MX"/>
              </w:rPr>
              <w:t>100%</w:t>
            </w:r>
          </w:p>
        </w:tc>
        <w:tc>
          <w:tcPr>
            <w:tcW w:w="2098" w:type="dxa"/>
            <w:gridSpan w:val="2"/>
            <w:tcBorders>
              <w:top w:val="nil"/>
            </w:tcBorders>
            <w:shd w:val="clear" w:color="auto" w:fill="F2F2F2" w:themeFill="background1" w:themeFillShade="F2"/>
            <w:noWrap/>
            <w:vAlign w:val="center"/>
          </w:tcPr>
          <w:p w14:paraId="71BE976D" w14:textId="77777777" w:rsidR="005A30B5" w:rsidRDefault="005A30B5" w:rsidP="002702EC">
            <w:pPr>
              <w:spacing w:after="120" w:line="240" w:lineRule="auto"/>
              <w:jc w:val="right"/>
              <w:rPr>
                <w:rFonts w:ascii="Montserrat" w:eastAsia="Times New Roman" w:hAnsi="Montserrat" w:cs="Calibri"/>
                <w:sz w:val="15"/>
                <w:szCs w:val="15"/>
                <w:lang w:val="es-MX" w:eastAsia="es-MX"/>
              </w:rPr>
            </w:pPr>
          </w:p>
          <w:p w14:paraId="5366293D" w14:textId="66D38B39" w:rsidR="00EC2223" w:rsidRPr="00255081" w:rsidRDefault="00EC2223" w:rsidP="002702EC">
            <w:pPr>
              <w:spacing w:after="120" w:line="240" w:lineRule="auto"/>
              <w:jc w:val="right"/>
              <w:rPr>
                <w:rFonts w:ascii="Montserrat" w:eastAsia="Times New Roman" w:hAnsi="Montserrat" w:cs="Arial"/>
                <w:color w:val="000000"/>
                <w:sz w:val="15"/>
                <w:szCs w:val="15"/>
                <w:lang w:eastAsia="es-MX"/>
              </w:rPr>
            </w:pPr>
            <w:r w:rsidRPr="00255081">
              <w:rPr>
                <w:rFonts w:ascii="Montserrat" w:eastAsia="Times New Roman" w:hAnsi="Montserrat" w:cs="Calibri"/>
                <w:sz w:val="15"/>
                <w:szCs w:val="15"/>
                <w:lang w:val="es-MX" w:eastAsia="es-MX"/>
              </w:rPr>
              <w:t>144,979,583</w:t>
            </w:r>
          </w:p>
        </w:tc>
      </w:tr>
      <w:tr w:rsidR="00EC2223" w:rsidRPr="006F0DF1" w14:paraId="3C1EA287" w14:textId="77777777" w:rsidTr="000F0321">
        <w:trPr>
          <w:trHeight w:val="340"/>
        </w:trPr>
        <w:tc>
          <w:tcPr>
            <w:tcW w:w="6095" w:type="dxa"/>
            <w:tcBorders>
              <w:top w:val="nil"/>
            </w:tcBorders>
            <w:shd w:val="clear" w:color="auto" w:fill="F2F2F2" w:themeFill="background1" w:themeFillShade="F2"/>
            <w:vAlign w:val="center"/>
          </w:tcPr>
          <w:p w14:paraId="358C796A" w14:textId="13C05848" w:rsidR="00EC2223" w:rsidRPr="00255081" w:rsidRDefault="00EC2223" w:rsidP="004B170A">
            <w:pPr>
              <w:spacing w:after="120" w:line="240" w:lineRule="auto"/>
              <w:jc w:val="both"/>
              <w:rPr>
                <w:rFonts w:ascii="Montserrat" w:eastAsia="Times New Roman" w:hAnsi="Montserrat" w:cs="Arial"/>
                <w:color w:val="000000"/>
                <w:sz w:val="15"/>
                <w:szCs w:val="15"/>
                <w:lang w:eastAsia="es-MX"/>
              </w:rPr>
            </w:pPr>
            <w:r w:rsidRPr="00255081">
              <w:rPr>
                <w:rFonts w:ascii="Montserrat" w:eastAsia="Times New Roman" w:hAnsi="Montserrat" w:cs="Calibri"/>
                <w:sz w:val="15"/>
                <w:szCs w:val="15"/>
                <w:lang w:val="es-MX" w:eastAsia="es-MX"/>
              </w:rPr>
              <w:t xml:space="preserve">Fondo de Retiro de los Trabajadores de la SEP </w:t>
            </w:r>
          </w:p>
        </w:tc>
        <w:tc>
          <w:tcPr>
            <w:tcW w:w="2268" w:type="dxa"/>
            <w:gridSpan w:val="2"/>
            <w:tcBorders>
              <w:top w:val="nil"/>
            </w:tcBorders>
            <w:shd w:val="clear" w:color="auto" w:fill="F2F2F2" w:themeFill="background1" w:themeFillShade="F2"/>
            <w:vAlign w:val="center"/>
          </w:tcPr>
          <w:p w14:paraId="432E27B9" w14:textId="0FA53806" w:rsidR="00EC2223" w:rsidRPr="00255081" w:rsidRDefault="00EC2223" w:rsidP="002702EC">
            <w:pPr>
              <w:spacing w:after="120" w:line="240" w:lineRule="auto"/>
              <w:jc w:val="right"/>
              <w:rPr>
                <w:rFonts w:ascii="Montserrat" w:eastAsia="Times New Roman" w:hAnsi="Montserrat" w:cs="Arial"/>
                <w:color w:val="000000"/>
                <w:sz w:val="15"/>
                <w:szCs w:val="15"/>
                <w:lang w:eastAsia="es-MX"/>
              </w:rPr>
            </w:pPr>
            <w:r w:rsidRPr="00255081">
              <w:rPr>
                <w:rFonts w:ascii="Montserrat" w:eastAsia="Times New Roman" w:hAnsi="Montserrat" w:cs="Calibri"/>
                <w:sz w:val="15"/>
                <w:szCs w:val="15"/>
                <w:lang w:val="es-MX" w:eastAsia="es-MX"/>
              </w:rPr>
              <w:t>17,155,755,066</w:t>
            </w:r>
          </w:p>
        </w:tc>
        <w:tc>
          <w:tcPr>
            <w:tcW w:w="2268" w:type="dxa"/>
            <w:gridSpan w:val="2"/>
            <w:tcBorders>
              <w:top w:val="nil"/>
            </w:tcBorders>
            <w:shd w:val="clear" w:color="auto" w:fill="F2F2F2" w:themeFill="background1" w:themeFillShade="F2"/>
            <w:vAlign w:val="center"/>
          </w:tcPr>
          <w:p w14:paraId="2550E6CB" w14:textId="5062FB78" w:rsidR="00EC2223" w:rsidRPr="00255081" w:rsidRDefault="00EC2223" w:rsidP="002702EC">
            <w:pPr>
              <w:spacing w:after="120" w:line="240" w:lineRule="auto"/>
              <w:jc w:val="right"/>
              <w:rPr>
                <w:rFonts w:ascii="Montserrat" w:eastAsia="Times New Roman" w:hAnsi="Montserrat" w:cs="Arial"/>
                <w:color w:val="000000"/>
                <w:sz w:val="15"/>
                <w:szCs w:val="15"/>
                <w:lang w:eastAsia="es-MX"/>
              </w:rPr>
            </w:pPr>
            <w:r w:rsidRPr="00255081">
              <w:rPr>
                <w:rFonts w:ascii="Montserrat" w:eastAsia="Times New Roman" w:hAnsi="Montserrat" w:cs="Calibri"/>
                <w:sz w:val="15"/>
                <w:szCs w:val="15"/>
                <w:lang w:val="es-MX" w:eastAsia="es-MX"/>
              </w:rPr>
              <w:t>100%</w:t>
            </w:r>
          </w:p>
        </w:tc>
        <w:tc>
          <w:tcPr>
            <w:tcW w:w="2098" w:type="dxa"/>
            <w:gridSpan w:val="2"/>
            <w:tcBorders>
              <w:top w:val="nil"/>
            </w:tcBorders>
            <w:shd w:val="clear" w:color="auto" w:fill="F2F2F2" w:themeFill="background1" w:themeFillShade="F2"/>
            <w:noWrap/>
            <w:vAlign w:val="center"/>
          </w:tcPr>
          <w:p w14:paraId="691A96F8" w14:textId="3F2B2FE0" w:rsidR="00EC2223" w:rsidRPr="00255081" w:rsidRDefault="00EC2223" w:rsidP="002702EC">
            <w:pPr>
              <w:spacing w:after="120" w:line="240" w:lineRule="auto"/>
              <w:jc w:val="right"/>
              <w:rPr>
                <w:rFonts w:ascii="Montserrat" w:eastAsia="Times New Roman" w:hAnsi="Montserrat" w:cs="Arial"/>
                <w:color w:val="000000"/>
                <w:sz w:val="15"/>
                <w:szCs w:val="15"/>
                <w:lang w:eastAsia="es-MX"/>
              </w:rPr>
            </w:pPr>
            <w:r w:rsidRPr="00255081">
              <w:rPr>
                <w:rFonts w:ascii="Montserrat" w:eastAsia="Times New Roman" w:hAnsi="Montserrat" w:cs="Calibri"/>
                <w:sz w:val="15"/>
                <w:szCs w:val="15"/>
                <w:lang w:val="es-MX" w:eastAsia="es-MX"/>
              </w:rPr>
              <w:t>17,155,755,066</w:t>
            </w:r>
          </w:p>
        </w:tc>
      </w:tr>
      <w:tr w:rsidR="00EC2223" w:rsidRPr="006F0DF1" w14:paraId="3EF1C579" w14:textId="77777777" w:rsidTr="000F0321">
        <w:trPr>
          <w:trHeight w:val="340"/>
        </w:trPr>
        <w:tc>
          <w:tcPr>
            <w:tcW w:w="6095" w:type="dxa"/>
            <w:tcBorders>
              <w:top w:val="nil"/>
            </w:tcBorders>
            <w:shd w:val="clear" w:color="auto" w:fill="F2F2F2" w:themeFill="background1" w:themeFillShade="F2"/>
            <w:vAlign w:val="center"/>
          </w:tcPr>
          <w:p w14:paraId="7E4DE73C" w14:textId="76D8712C" w:rsidR="00EC2223" w:rsidRPr="00255081" w:rsidRDefault="00EC2223" w:rsidP="004B170A">
            <w:pPr>
              <w:spacing w:after="120" w:line="240" w:lineRule="auto"/>
              <w:jc w:val="both"/>
              <w:rPr>
                <w:rFonts w:ascii="Montserrat" w:eastAsia="Times New Roman" w:hAnsi="Montserrat" w:cs="Arial"/>
                <w:color w:val="000000"/>
                <w:sz w:val="15"/>
                <w:szCs w:val="15"/>
                <w:lang w:eastAsia="es-MX"/>
              </w:rPr>
            </w:pPr>
            <w:r w:rsidRPr="00255081">
              <w:rPr>
                <w:rFonts w:ascii="Montserrat" w:eastAsia="Times New Roman" w:hAnsi="Montserrat" w:cs="Calibri"/>
                <w:sz w:val="15"/>
                <w:szCs w:val="15"/>
                <w:lang w:val="es-MX" w:eastAsia="es-MX"/>
              </w:rPr>
              <w:t>Fideicomiso para el Programa Especial de Financiamiento a la Vivienda para el Magisterio</w:t>
            </w:r>
          </w:p>
        </w:tc>
        <w:tc>
          <w:tcPr>
            <w:tcW w:w="2268" w:type="dxa"/>
            <w:gridSpan w:val="2"/>
            <w:tcBorders>
              <w:top w:val="nil"/>
            </w:tcBorders>
            <w:shd w:val="clear" w:color="auto" w:fill="F2F2F2" w:themeFill="background1" w:themeFillShade="F2"/>
            <w:vAlign w:val="center"/>
          </w:tcPr>
          <w:p w14:paraId="6C29870F" w14:textId="726C3E71" w:rsidR="00EC2223" w:rsidRPr="00255081" w:rsidRDefault="00EC2223" w:rsidP="002702EC">
            <w:pPr>
              <w:spacing w:after="120" w:line="240" w:lineRule="auto"/>
              <w:jc w:val="right"/>
              <w:rPr>
                <w:rFonts w:ascii="Montserrat" w:eastAsia="Times New Roman" w:hAnsi="Montserrat" w:cs="Arial"/>
                <w:color w:val="000000"/>
                <w:sz w:val="15"/>
                <w:szCs w:val="15"/>
                <w:lang w:eastAsia="es-MX"/>
              </w:rPr>
            </w:pPr>
            <w:r w:rsidRPr="00255081">
              <w:rPr>
                <w:rFonts w:ascii="Montserrat" w:eastAsia="Times New Roman" w:hAnsi="Montserrat" w:cs="Calibri"/>
                <w:sz w:val="15"/>
                <w:szCs w:val="15"/>
                <w:lang w:val="es-MX" w:eastAsia="es-MX"/>
              </w:rPr>
              <w:t>1,170,206,549</w:t>
            </w:r>
          </w:p>
        </w:tc>
        <w:tc>
          <w:tcPr>
            <w:tcW w:w="2268" w:type="dxa"/>
            <w:gridSpan w:val="2"/>
            <w:tcBorders>
              <w:top w:val="nil"/>
            </w:tcBorders>
            <w:shd w:val="clear" w:color="auto" w:fill="F2F2F2" w:themeFill="background1" w:themeFillShade="F2"/>
            <w:vAlign w:val="center"/>
          </w:tcPr>
          <w:p w14:paraId="03DC90A8" w14:textId="3DA47491" w:rsidR="00EC2223" w:rsidRPr="00255081" w:rsidRDefault="00EC2223" w:rsidP="002702EC">
            <w:pPr>
              <w:spacing w:after="120" w:line="240" w:lineRule="auto"/>
              <w:jc w:val="right"/>
              <w:rPr>
                <w:rFonts w:ascii="Montserrat" w:eastAsia="Times New Roman" w:hAnsi="Montserrat" w:cs="Arial"/>
                <w:color w:val="000000"/>
                <w:sz w:val="15"/>
                <w:szCs w:val="15"/>
                <w:lang w:eastAsia="es-MX"/>
              </w:rPr>
            </w:pPr>
            <w:r w:rsidRPr="00255081">
              <w:rPr>
                <w:rFonts w:ascii="Montserrat" w:eastAsia="Times New Roman" w:hAnsi="Montserrat" w:cs="Calibri"/>
                <w:sz w:val="15"/>
                <w:szCs w:val="15"/>
                <w:lang w:val="es-MX" w:eastAsia="es-MX"/>
              </w:rPr>
              <w:t>99%</w:t>
            </w:r>
          </w:p>
        </w:tc>
        <w:tc>
          <w:tcPr>
            <w:tcW w:w="2098" w:type="dxa"/>
            <w:gridSpan w:val="2"/>
            <w:tcBorders>
              <w:top w:val="nil"/>
            </w:tcBorders>
            <w:shd w:val="clear" w:color="auto" w:fill="F2F2F2" w:themeFill="background1" w:themeFillShade="F2"/>
            <w:noWrap/>
            <w:vAlign w:val="center"/>
          </w:tcPr>
          <w:p w14:paraId="0DACF2F8" w14:textId="687AAC27" w:rsidR="00EC2223" w:rsidRPr="00255081" w:rsidRDefault="00EC2223" w:rsidP="002702EC">
            <w:pPr>
              <w:spacing w:after="120" w:line="240" w:lineRule="auto"/>
              <w:jc w:val="right"/>
              <w:rPr>
                <w:rFonts w:ascii="Montserrat" w:eastAsia="Times New Roman" w:hAnsi="Montserrat" w:cs="Arial"/>
                <w:color w:val="000000"/>
                <w:sz w:val="15"/>
                <w:szCs w:val="15"/>
                <w:lang w:eastAsia="es-MX"/>
              </w:rPr>
            </w:pPr>
            <w:r w:rsidRPr="00255081">
              <w:rPr>
                <w:rFonts w:ascii="Montserrat" w:eastAsia="Times New Roman" w:hAnsi="Montserrat" w:cs="Calibri"/>
                <w:sz w:val="15"/>
                <w:szCs w:val="15"/>
                <w:lang w:val="es-MX" w:eastAsia="es-MX"/>
              </w:rPr>
              <w:t>1,158,504,484</w:t>
            </w:r>
          </w:p>
        </w:tc>
      </w:tr>
      <w:tr w:rsidR="00EC2223" w:rsidRPr="006F0DF1" w14:paraId="6DCD6BC6" w14:textId="77777777" w:rsidTr="000F0321">
        <w:trPr>
          <w:trHeight w:val="340"/>
        </w:trPr>
        <w:tc>
          <w:tcPr>
            <w:tcW w:w="6095" w:type="dxa"/>
            <w:tcBorders>
              <w:top w:val="nil"/>
            </w:tcBorders>
            <w:shd w:val="clear" w:color="auto" w:fill="F2F2F2" w:themeFill="background1" w:themeFillShade="F2"/>
            <w:vAlign w:val="center"/>
          </w:tcPr>
          <w:p w14:paraId="5C318155" w14:textId="28792765" w:rsidR="00EC2223" w:rsidRPr="00255081" w:rsidRDefault="00EC2223" w:rsidP="004B170A">
            <w:pPr>
              <w:spacing w:after="120" w:line="240" w:lineRule="auto"/>
              <w:jc w:val="both"/>
              <w:rPr>
                <w:rFonts w:ascii="Montserrat" w:eastAsia="Times New Roman" w:hAnsi="Montserrat" w:cs="Arial"/>
                <w:color w:val="000000"/>
                <w:sz w:val="15"/>
                <w:szCs w:val="15"/>
                <w:lang w:eastAsia="es-MX"/>
              </w:rPr>
            </w:pPr>
            <w:r w:rsidRPr="00255081">
              <w:rPr>
                <w:rFonts w:ascii="Montserrat" w:eastAsia="Times New Roman" w:hAnsi="Montserrat" w:cs="Calibri"/>
                <w:sz w:val="15"/>
                <w:szCs w:val="15"/>
                <w:lang w:val="es-MX" w:eastAsia="es-MX"/>
              </w:rPr>
              <w:t>Mandato para el Fondo de Apoyo al Proyecto en el Distrito Federal</w:t>
            </w:r>
          </w:p>
        </w:tc>
        <w:tc>
          <w:tcPr>
            <w:tcW w:w="2268" w:type="dxa"/>
            <w:gridSpan w:val="2"/>
            <w:tcBorders>
              <w:top w:val="nil"/>
            </w:tcBorders>
            <w:shd w:val="clear" w:color="auto" w:fill="F2F2F2" w:themeFill="background1" w:themeFillShade="F2"/>
            <w:vAlign w:val="center"/>
          </w:tcPr>
          <w:p w14:paraId="00E27F55" w14:textId="4EF3F7C4" w:rsidR="00EC2223" w:rsidRPr="00255081" w:rsidRDefault="00EC2223" w:rsidP="002702EC">
            <w:pPr>
              <w:spacing w:after="120" w:line="240" w:lineRule="auto"/>
              <w:jc w:val="right"/>
              <w:rPr>
                <w:rFonts w:ascii="Montserrat" w:eastAsia="Times New Roman" w:hAnsi="Montserrat" w:cs="Arial"/>
                <w:color w:val="000000"/>
                <w:sz w:val="15"/>
                <w:szCs w:val="15"/>
                <w:lang w:eastAsia="es-MX"/>
              </w:rPr>
            </w:pPr>
            <w:r w:rsidRPr="00255081">
              <w:rPr>
                <w:rFonts w:ascii="Montserrat" w:eastAsia="Times New Roman" w:hAnsi="Montserrat" w:cs="Calibri"/>
                <w:sz w:val="15"/>
                <w:szCs w:val="15"/>
                <w:lang w:val="es-MX" w:eastAsia="es-MX"/>
              </w:rPr>
              <w:t>42,070,545</w:t>
            </w:r>
          </w:p>
        </w:tc>
        <w:tc>
          <w:tcPr>
            <w:tcW w:w="2268" w:type="dxa"/>
            <w:gridSpan w:val="2"/>
            <w:tcBorders>
              <w:top w:val="nil"/>
            </w:tcBorders>
            <w:shd w:val="clear" w:color="auto" w:fill="F2F2F2" w:themeFill="background1" w:themeFillShade="F2"/>
            <w:vAlign w:val="center"/>
          </w:tcPr>
          <w:p w14:paraId="62A31F4C" w14:textId="0075067B" w:rsidR="00EC2223" w:rsidRPr="00255081" w:rsidRDefault="00EC2223" w:rsidP="002702EC">
            <w:pPr>
              <w:spacing w:after="120" w:line="240" w:lineRule="auto"/>
              <w:jc w:val="right"/>
              <w:rPr>
                <w:rFonts w:ascii="Montserrat" w:eastAsia="Times New Roman" w:hAnsi="Montserrat" w:cs="Arial"/>
                <w:color w:val="000000"/>
                <w:sz w:val="15"/>
                <w:szCs w:val="15"/>
                <w:lang w:eastAsia="es-MX"/>
              </w:rPr>
            </w:pPr>
            <w:r w:rsidRPr="00255081">
              <w:rPr>
                <w:rFonts w:ascii="Montserrat" w:eastAsia="Times New Roman" w:hAnsi="Montserrat" w:cs="Calibri"/>
                <w:sz w:val="15"/>
                <w:szCs w:val="15"/>
                <w:lang w:val="es-MX" w:eastAsia="es-MX"/>
              </w:rPr>
              <w:t>100%</w:t>
            </w:r>
          </w:p>
        </w:tc>
        <w:tc>
          <w:tcPr>
            <w:tcW w:w="2098" w:type="dxa"/>
            <w:gridSpan w:val="2"/>
            <w:tcBorders>
              <w:top w:val="nil"/>
            </w:tcBorders>
            <w:shd w:val="clear" w:color="auto" w:fill="F2F2F2" w:themeFill="background1" w:themeFillShade="F2"/>
            <w:noWrap/>
            <w:vAlign w:val="center"/>
          </w:tcPr>
          <w:p w14:paraId="723B7391" w14:textId="4AE91865" w:rsidR="00EC2223" w:rsidRPr="00255081" w:rsidRDefault="00EC2223" w:rsidP="002702EC">
            <w:pPr>
              <w:spacing w:after="120" w:line="240" w:lineRule="auto"/>
              <w:jc w:val="right"/>
              <w:rPr>
                <w:rFonts w:ascii="Montserrat" w:eastAsia="Times New Roman" w:hAnsi="Montserrat" w:cs="Arial"/>
                <w:color w:val="000000"/>
                <w:sz w:val="15"/>
                <w:szCs w:val="15"/>
                <w:lang w:eastAsia="es-MX"/>
              </w:rPr>
            </w:pPr>
            <w:r w:rsidRPr="00255081">
              <w:rPr>
                <w:rFonts w:ascii="Montserrat" w:eastAsia="Times New Roman" w:hAnsi="Montserrat" w:cs="Calibri"/>
                <w:sz w:val="15"/>
                <w:szCs w:val="15"/>
                <w:lang w:val="es-MX" w:eastAsia="es-MX"/>
              </w:rPr>
              <w:t>42,070,545</w:t>
            </w:r>
          </w:p>
        </w:tc>
      </w:tr>
      <w:tr w:rsidR="00EC2223" w:rsidRPr="006F0DF1" w14:paraId="542E0120" w14:textId="77777777" w:rsidTr="000F0321">
        <w:trPr>
          <w:trHeight w:val="340"/>
        </w:trPr>
        <w:tc>
          <w:tcPr>
            <w:tcW w:w="6095" w:type="dxa"/>
            <w:tcBorders>
              <w:top w:val="nil"/>
            </w:tcBorders>
            <w:shd w:val="clear" w:color="auto" w:fill="F2F2F2" w:themeFill="background1" w:themeFillShade="F2"/>
            <w:vAlign w:val="center"/>
          </w:tcPr>
          <w:p w14:paraId="7CAC6C8F" w14:textId="6BFC70BD" w:rsidR="00EC2223" w:rsidRPr="00255081" w:rsidRDefault="00EC2223" w:rsidP="004B170A">
            <w:pPr>
              <w:spacing w:after="120" w:line="240" w:lineRule="auto"/>
              <w:jc w:val="both"/>
              <w:rPr>
                <w:rFonts w:ascii="Montserrat" w:eastAsia="Times New Roman" w:hAnsi="Montserrat" w:cs="Arial"/>
                <w:color w:val="000000"/>
                <w:sz w:val="15"/>
                <w:szCs w:val="15"/>
                <w:lang w:eastAsia="es-MX"/>
              </w:rPr>
            </w:pPr>
            <w:r w:rsidRPr="00255081">
              <w:rPr>
                <w:rFonts w:ascii="Montserrat" w:eastAsia="Times New Roman" w:hAnsi="Montserrat" w:cs="Calibri"/>
                <w:sz w:val="15"/>
                <w:szCs w:val="15"/>
                <w:lang w:val="es-MX" w:eastAsia="es-MX"/>
              </w:rPr>
              <w:t>Fondo de Fomento para la Investigación Científica y el Desarrollo Tecnológico de la Universidad Pedagógica Nacional</w:t>
            </w:r>
          </w:p>
        </w:tc>
        <w:tc>
          <w:tcPr>
            <w:tcW w:w="2268" w:type="dxa"/>
            <w:gridSpan w:val="2"/>
            <w:tcBorders>
              <w:top w:val="nil"/>
            </w:tcBorders>
            <w:shd w:val="clear" w:color="auto" w:fill="F2F2F2" w:themeFill="background1" w:themeFillShade="F2"/>
            <w:vAlign w:val="center"/>
          </w:tcPr>
          <w:p w14:paraId="6603AB0C" w14:textId="0B84B533" w:rsidR="00EC2223" w:rsidRPr="00255081" w:rsidRDefault="00EC2223" w:rsidP="002702EC">
            <w:pPr>
              <w:spacing w:after="120" w:line="240" w:lineRule="auto"/>
              <w:jc w:val="right"/>
              <w:rPr>
                <w:rFonts w:ascii="Montserrat" w:eastAsia="Times New Roman" w:hAnsi="Montserrat" w:cs="Arial"/>
                <w:color w:val="000000"/>
                <w:sz w:val="15"/>
                <w:szCs w:val="15"/>
                <w:lang w:eastAsia="es-MX"/>
              </w:rPr>
            </w:pPr>
            <w:r w:rsidRPr="00255081">
              <w:rPr>
                <w:rFonts w:ascii="Montserrat" w:eastAsia="Times New Roman" w:hAnsi="Montserrat" w:cs="Calibri"/>
                <w:sz w:val="15"/>
                <w:szCs w:val="15"/>
                <w:lang w:val="es-MX" w:eastAsia="es-MX"/>
              </w:rPr>
              <w:t>43,614,661</w:t>
            </w:r>
          </w:p>
        </w:tc>
        <w:tc>
          <w:tcPr>
            <w:tcW w:w="2268" w:type="dxa"/>
            <w:gridSpan w:val="2"/>
            <w:tcBorders>
              <w:top w:val="nil"/>
            </w:tcBorders>
            <w:shd w:val="clear" w:color="auto" w:fill="F2F2F2" w:themeFill="background1" w:themeFillShade="F2"/>
            <w:vAlign w:val="center"/>
          </w:tcPr>
          <w:p w14:paraId="102C6835" w14:textId="7D28298F" w:rsidR="00EC2223" w:rsidRPr="00255081" w:rsidRDefault="00EC2223" w:rsidP="002702EC">
            <w:pPr>
              <w:spacing w:after="120" w:line="240" w:lineRule="auto"/>
              <w:jc w:val="right"/>
              <w:rPr>
                <w:rFonts w:ascii="Montserrat" w:eastAsia="Times New Roman" w:hAnsi="Montserrat" w:cs="Arial"/>
                <w:color w:val="000000"/>
                <w:sz w:val="15"/>
                <w:szCs w:val="15"/>
                <w:lang w:eastAsia="es-MX"/>
              </w:rPr>
            </w:pPr>
            <w:r w:rsidRPr="00255081">
              <w:rPr>
                <w:rFonts w:ascii="Montserrat" w:eastAsia="Times New Roman" w:hAnsi="Montserrat" w:cs="Calibri"/>
                <w:sz w:val="15"/>
                <w:szCs w:val="15"/>
                <w:lang w:val="es-MX" w:eastAsia="es-MX"/>
              </w:rPr>
              <w:t>100%</w:t>
            </w:r>
          </w:p>
        </w:tc>
        <w:tc>
          <w:tcPr>
            <w:tcW w:w="2098" w:type="dxa"/>
            <w:gridSpan w:val="2"/>
            <w:tcBorders>
              <w:top w:val="nil"/>
            </w:tcBorders>
            <w:shd w:val="clear" w:color="auto" w:fill="F2F2F2" w:themeFill="background1" w:themeFillShade="F2"/>
            <w:noWrap/>
            <w:vAlign w:val="center"/>
          </w:tcPr>
          <w:p w14:paraId="7DCD9DDC" w14:textId="4E7DF85F" w:rsidR="00EC2223" w:rsidRPr="00255081" w:rsidRDefault="00EC2223" w:rsidP="002702EC">
            <w:pPr>
              <w:spacing w:after="120" w:line="240" w:lineRule="auto"/>
              <w:jc w:val="right"/>
              <w:rPr>
                <w:rFonts w:ascii="Montserrat" w:eastAsia="Times New Roman" w:hAnsi="Montserrat" w:cs="Arial"/>
                <w:color w:val="000000"/>
                <w:sz w:val="15"/>
                <w:szCs w:val="15"/>
                <w:lang w:eastAsia="es-MX"/>
              </w:rPr>
            </w:pPr>
            <w:r w:rsidRPr="00255081">
              <w:rPr>
                <w:rFonts w:ascii="Montserrat" w:eastAsia="Times New Roman" w:hAnsi="Montserrat" w:cs="Calibri"/>
                <w:sz w:val="15"/>
                <w:szCs w:val="15"/>
                <w:lang w:val="es-MX" w:eastAsia="es-MX"/>
              </w:rPr>
              <w:t>43,614,661</w:t>
            </w:r>
          </w:p>
        </w:tc>
      </w:tr>
      <w:tr w:rsidR="00EC2223" w:rsidRPr="006F0DF1" w14:paraId="479AAB1E" w14:textId="77777777" w:rsidTr="000F0321">
        <w:trPr>
          <w:trHeight w:val="340"/>
        </w:trPr>
        <w:tc>
          <w:tcPr>
            <w:tcW w:w="6095" w:type="dxa"/>
            <w:tcBorders>
              <w:top w:val="nil"/>
            </w:tcBorders>
            <w:shd w:val="clear" w:color="auto" w:fill="F2F2F2" w:themeFill="background1" w:themeFillShade="F2"/>
            <w:vAlign w:val="center"/>
          </w:tcPr>
          <w:p w14:paraId="03EDFA60" w14:textId="51AE3C23" w:rsidR="00EC2223" w:rsidRPr="00255081" w:rsidRDefault="00EC2223" w:rsidP="004B170A">
            <w:pPr>
              <w:spacing w:after="120" w:line="240" w:lineRule="auto"/>
              <w:jc w:val="both"/>
              <w:rPr>
                <w:rFonts w:ascii="Montserrat" w:eastAsia="Times New Roman" w:hAnsi="Montserrat" w:cs="Arial"/>
                <w:color w:val="000000"/>
                <w:sz w:val="15"/>
                <w:szCs w:val="15"/>
                <w:lang w:eastAsia="es-MX"/>
              </w:rPr>
            </w:pPr>
            <w:r w:rsidRPr="00255081">
              <w:rPr>
                <w:rFonts w:ascii="Montserrat" w:eastAsia="Times New Roman" w:hAnsi="Montserrat" w:cs="Calibri"/>
                <w:sz w:val="15"/>
                <w:szCs w:val="15"/>
                <w:lang w:val="es-MX" w:eastAsia="es-MX"/>
              </w:rPr>
              <w:t>Fondo de Investigación Científica y Desarrollo Tecnológico del IPN</w:t>
            </w:r>
          </w:p>
        </w:tc>
        <w:tc>
          <w:tcPr>
            <w:tcW w:w="2268" w:type="dxa"/>
            <w:gridSpan w:val="2"/>
            <w:tcBorders>
              <w:top w:val="nil"/>
            </w:tcBorders>
            <w:shd w:val="clear" w:color="auto" w:fill="F2F2F2" w:themeFill="background1" w:themeFillShade="F2"/>
            <w:vAlign w:val="center"/>
          </w:tcPr>
          <w:p w14:paraId="01A4DAA6" w14:textId="1C359D4E" w:rsidR="00EC2223" w:rsidRPr="00255081" w:rsidRDefault="00EC2223" w:rsidP="002702EC">
            <w:pPr>
              <w:spacing w:after="120" w:line="240" w:lineRule="auto"/>
              <w:jc w:val="right"/>
              <w:rPr>
                <w:rFonts w:ascii="Montserrat" w:eastAsia="Times New Roman" w:hAnsi="Montserrat" w:cs="Arial"/>
                <w:color w:val="000000"/>
                <w:sz w:val="15"/>
                <w:szCs w:val="15"/>
                <w:lang w:eastAsia="es-MX"/>
              </w:rPr>
            </w:pPr>
            <w:r w:rsidRPr="00255081">
              <w:rPr>
                <w:rFonts w:ascii="Montserrat" w:eastAsia="Times New Roman" w:hAnsi="Montserrat" w:cs="Calibri"/>
                <w:sz w:val="15"/>
                <w:szCs w:val="15"/>
                <w:lang w:val="es-MX" w:eastAsia="es-MX"/>
              </w:rPr>
              <w:t>938,222,945</w:t>
            </w:r>
          </w:p>
        </w:tc>
        <w:tc>
          <w:tcPr>
            <w:tcW w:w="2268" w:type="dxa"/>
            <w:gridSpan w:val="2"/>
            <w:tcBorders>
              <w:top w:val="nil"/>
            </w:tcBorders>
            <w:shd w:val="clear" w:color="auto" w:fill="F2F2F2" w:themeFill="background1" w:themeFillShade="F2"/>
            <w:vAlign w:val="center"/>
          </w:tcPr>
          <w:p w14:paraId="15F0D03F" w14:textId="4FE075F4" w:rsidR="00EC2223" w:rsidRPr="00255081" w:rsidRDefault="00EC2223" w:rsidP="002702EC">
            <w:pPr>
              <w:spacing w:after="120" w:line="240" w:lineRule="auto"/>
              <w:jc w:val="right"/>
              <w:rPr>
                <w:rFonts w:ascii="Montserrat" w:eastAsia="Times New Roman" w:hAnsi="Montserrat" w:cs="Arial"/>
                <w:color w:val="000000"/>
                <w:sz w:val="15"/>
                <w:szCs w:val="15"/>
                <w:lang w:eastAsia="es-MX"/>
              </w:rPr>
            </w:pPr>
            <w:r w:rsidRPr="00255081">
              <w:rPr>
                <w:rFonts w:ascii="Montserrat" w:eastAsia="Times New Roman" w:hAnsi="Montserrat" w:cs="Calibri"/>
                <w:sz w:val="15"/>
                <w:szCs w:val="15"/>
                <w:lang w:val="es-MX" w:eastAsia="es-MX"/>
              </w:rPr>
              <w:t>100%</w:t>
            </w:r>
          </w:p>
        </w:tc>
        <w:tc>
          <w:tcPr>
            <w:tcW w:w="2098" w:type="dxa"/>
            <w:gridSpan w:val="2"/>
            <w:tcBorders>
              <w:top w:val="nil"/>
            </w:tcBorders>
            <w:shd w:val="clear" w:color="auto" w:fill="F2F2F2" w:themeFill="background1" w:themeFillShade="F2"/>
            <w:noWrap/>
            <w:vAlign w:val="center"/>
          </w:tcPr>
          <w:p w14:paraId="5BAAEEDE" w14:textId="2445EC93" w:rsidR="00EC2223" w:rsidRPr="00255081" w:rsidRDefault="00EC2223" w:rsidP="002702EC">
            <w:pPr>
              <w:spacing w:after="120" w:line="240" w:lineRule="auto"/>
              <w:jc w:val="right"/>
              <w:rPr>
                <w:rFonts w:ascii="Montserrat" w:eastAsia="Times New Roman" w:hAnsi="Montserrat" w:cs="Arial"/>
                <w:color w:val="000000"/>
                <w:sz w:val="15"/>
                <w:szCs w:val="15"/>
                <w:lang w:eastAsia="es-MX"/>
              </w:rPr>
            </w:pPr>
            <w:r w:rsidRPr="00255081">
              <w:rPr>
                <w:rFonts w:ascii="Montserrat" w:eastAsia="Times New Roman" w:hAnsi="Montserrat" w:cs="Calibri"/>
                <w:sz w:val="15"/>
                <w:szCs w:val="15"/>
                <w:lang w:val="es-MX" w:eastAsia="es-MX"/>
              </w:rPr>
              <w:t>938,222,945</w:t>
            </w:r>
          </w:p>
        </w:tc>
      </w:tr>
      <w:tr w:rsidR="00EC2223" w:rsidRPr="006F0DF1" w14:paraId="23416747" w14:textId="77777777" w:rsidTr="000F0321">
        <w:trPr>
          <w:trHeight w:val="340"/>
        </w:trPr>
        <w:tc>
          <w:tcPr>
            <w:tcW w:w="6095" w:type="dxa"/>
            <w:tcBorders>
              <w:top w:val="nil"/>
            </w:tcBorders>
            <w:shd w:val="clear" w:color="auto" w:fill="F2F2F2" w:themeFill="background1" w:themeFillShade="F2"/>
            <w:vAlign w:val="center"/>
          </w:tcPr>
          <w:p w14:paraId="13A36A07" w14:textId="7F7596F8" w:rsidR="00EC2223" w:rsidRPr="00255081" w:rsidRDefault="00EC2223" w:rsidP="004B170A">
            <w:pPr>
              <w:spacing w:after="120" w:line="240" w:lineRule="auto"/>
              <w:jc w:val="both"/>
              <w:rPr>
                <w:rFonts w:ascii="Montserrat" w:eastAsia="Times New Roman" w:hAnsi="Montserrat" w:cs="Arial"/>
                <w:color w:val="000000"/>
                <w:sz w:val="15"/>
                <w:szCs w:val="15"/>
                <w:lang w:eastAsia="es-MX"/>
              </w:rPr>
            </w:pPr>
            <w:r w:rsidRPr="00255081">
              <w:rPr>
                <w:rFonts w:ascii="Montserrat" w:eastAsia="Times New Roman" w:hAnsi="Montserrat" w:cs="Calibri"/>
                <w:sz w:val="15"/>
                <w:szCs w:val="15"/>
                <w:lang w:val="es-MX" w:eastAsia="es-MX"/>
              </w:rPr>
              <w:t>Fideicomiso del Sistema de Protección Social en Salud</w:t>
            </w:r>
          </w:p>
        </w:tc>
        <w:tc>
          <w:tcPr>
            <w:tcW w:w="2268" w:type="dxa"/>
            <w:gridSpan w:val="2"/>
            <w:tcBorders>
              <w:top w:val="nil"/>
            </w:tcBorders>
            <w:shd w:val="clear" w:color="auto" w:fill="F2F2F2" w:themeFill="background1" w:themeFillShade="F2"/>
            <w:vAlign w:val="center"/>
          </w:tcPr>
          <w:p w14:paraId="323ACD5D" w14:textId="3C60147A" w:rsidR="00EC2223" w:rsidRPr="00255081" w:rsidRDefault="00EC2223" w:rsidP="002702EC">
            <w:pPr>
              <w:spacing w:after="120" w:line="240" w:lineRule="auto"/>
              <w:jc w:val="right"/>
              <w:rPr>
                <w:rFonts w:ascii="Montserrat" w:eastAsia="Times New Roman" w:hAnsi="Montserrat" w:cs="Arial"/>
                <w:color w:val="000000"/>
                <w:sz w:val="15"/>
                <w:szCs w:val="15"/>
                <w:lang w:eastAsia="es-MX"/>
              </w:rPr>
            </w:pPr>
            <w:r w:rsidRPr="00255081">
              <w:rPr>
                <w:rFonts w:ascii="Montserrat" w:eastAsia="Times New Roman" w:hAnsi="Montserrat" w:cs="Calibri"/>
                <w:sz w:val="15"/>
                <w:szCs w:val="15"/>
                <w:lang w:val="es-MX" w:eastAsia="es-MX"/>
              </w:rPr>
              <w:t>105,833,070,159</w:t>
            </w:r>
          </w:p>
        </w:tc>
        <w:tc>
          <w:tcPr>
            <w:tcW w:w="2268" w:type="dxa"/>
            <w:gridSpan w:val="2"/>
            <w:tcBorders>
              <w:top w:val="nil"/>
            </w:tcBorders>
            <w:shd w:val="clear" w:color="auto" w:fill="F2F2F2" w:themeFill="background1" w:themeFillShade="F2"/>
            <w:vAlign w:val="center"/>
          </w:tcPr>
          <w:p w14:paraId="70409886" w14:textId="4CFE5766" w:rsidR="00EC2223" w:rsidRPr="00255081" w:rsidRDefault="00EC2223" w:rsidP="002702EC">
            <w:pPr>
              <w:spacing w:after="120" w:line="240" w:lineRule="auto"/>
              <w:jc w:val="right"/>
              <w:rPr>
                <w:rFonts w:ascii="Montserrat" w:eastAsia="Times New Roman" w:hAnsi="Montserrat" w:cs="Arial"/>
                <w:color w:val="000000"/>
                <w:sz w:val="15"/>
                <w:szCs w:val="15"/>
                <w:lang w:eastAsia="es-MX"/>
              </w:rPr>
            </w:pPr>
            <w:r w:rsidRPr="00255081">
              <w:rPr>
                <w:rFonts w:ascii="Montserrat" w:eastAsia="Times New Roman" w:hAnsi="Montserrat" w:cs="Calibri"/>
                <w:sz w:val="15"/>
                <w:szCs w:val="15"/>
                <w:lang w:val="es-MX" w:eastAsia="es-MX"/>
              </w:rPr>
              <w:t>100%</w:t>
            </w:r>
          </w:p>
        </w:tc>
        <w:tc>
          <w:tcPr>
            <w:tcW w:w="2098" w:type="dxa"/>
            <w:gridSpan w:val="2"/>
            <w:tcBorders>
              <w:top w:val="nil"/>
            </w:tcBorders>
            <w:shd w:val="clear" w:color="auto" w:fill="F2F2F2" w:themeFill="background1" w:themeFillShade="F2"/>
            <w:noWrap/>
            <w:vAlign w:val="center"/>
          </w:tcPr>
          <w:p w14:paraId="7F2756FF" w14:textId="4DD218AB" w:rsidR="00EC2223" w:rsidRPr="00255081" w:rsidRDefault="00EC2223" w:rsidP="002702EC">
            <w:pPr>
              <w:spacing w:after="120" w:line="240" w:lineRule="auto"/>
              <w:jc w:val="right"/>
              <w:rPr>
                <w:rFonts w:ascii="Montserrat" w:eastAsia="Times New Roman" w:hAnsi="Montserrat" w:cs="Arial"/>
                <w:color w:val="000000"/>
                <w:sz w:val="15"/>
                <w:szCs w:val="15"/>
                <w:lang w:eastAsia="es-MX"/>
              </w:rPr>
            </w:pPr>
            <w:r w:rsidRPr="00255081">
              <w:rPr>
                <w:rFonts w:ascii="Montserrat" w:eastAsia="Times New Roman" w:hAnsi="Montserrat" w:cs="Calibri"/>
                <w:sz w:val="15"/>
                <w:szCs w:val="15"/>
                <w:lang w:val="es-MX" w:eastAsia="es-MX"/>
              </w:rPr>
              <w:t>105,833,070,159</w:t>
            </w:r>
          </w:p>
        </w:tc>
      </w:tr>
      <w:tr w:rsidR="00EC2223" w:rsidRPr="006F0DF1" w14:paraId="12899AE2" w14:textId="77777777" w:rsidTr="000F0321">
        <w:trPr>
          <w:trHeight w:val="340"/>
        </w:trPr>
        <w:tc>
          <w:tcPr>
            <w:tcW w:w="6095" w:type="dxa"/>
            <w:tcBorders>
              <w:top w:val="nil"/>
            </w:tcBorders>
            <w:shd w:val="clear" w:color="auto" w:fill="F2F2F2" w:themeFill="background1" w:themeFillShade="F2"/>
            <w:vAlign w:val="center"/>
          </w:tcPr>
          <w:p w14:paraId="1F23E556" w14:textId="5D2DAA3E" w:rsidR="00EC2223" w:rsidRPr="00255081" w:rsidRDefault="00EC2223" w:rsidP="004B170A">
            <w:pPr>
              <w:spacing w:after="120" w:line="240" w:lineRule="auto"/>
              <w:jc w:val="both"/>
              <w:rPr>
                <w:rFonts w:ascii="Montserrat" w:eastAsia="Times New Roman" w:hAnsi="Montserrat" w:cs="Arial"/>
                <w:color w:val="000000"/>
                <w:sz w:val="15"/>
                <w:szCs w:val="15"/>
                <w:lang w:eastAsia="es-MX"/>
              </w:rPr>
            </w:pPr>
            <w:r w:rsidRPr="00255081">
              <w:rPr>
                <w:rFonts w:ascii="Montserrat" w:eastAsia="Times New Roman" w:hAnsi="Montserrat" w:cs="Calibri"/>
                <w:sz w:val="15"/>
                <w:szCs w:val="15"/>
                <w:lang w:val="es-MX" w:eastAsia="es-MX"/>
              </w:rPr>
              <w:t>Fideicomiso de Administración y Garantía Complementaria (Fondo 95)</w:t>
            </w:r>
          </w:p>
        </w:tc>
        <w:tc>
          <w:tcPr>
            <w:tcW w:w="2268" w:type="dxa"/>
            <w:gridSpan w:val="2"/>
            <w:tcBorders>
              <w:top w:val="nil"/>
            </w:tcBorders>
            <w:shd w:val="clear" w:color="auto" w:fill="F2F2F2" w:themeFill="background1" w:themeFillShade="F2"/>
            <w:vAlign w:val="center"/>
          </w:tcPr>
          <w:p w14:paraId="386C6A8E" w14:textId="2D068A75" w:rsidR="00EC2223" w:rsidRPr="00255081" w:rsidRDefault="00EC2223" w:rsidP="002702EC">
            <w:pPr>
              <w:spacing w:after="120" w:line="240" w:lineRule="auto"/>
              <w:jc w:val="right"/>
              <w:rPr>
                <w:rFonts w:ascii="Montserrat" w:eastAsia="Times New Roman" w:hAnsi="Montserrat" w:cs="Arial"/>
                <w:color w:val="000000"/>
                <w:sz w:val="15"/>
                <w:szCs w:val="15"/>
                <w:lang w:eastAsia="es-MX"/>
              </w:rPr>
            </w:pPr>
            <w:r w:rsidRPr="00255081">
              <w:rPr>
                <w:rFonts w:ascii="Montserrat" w:eastAsia="Times New Roman" w:hAnsi="Montserrat" w:cs="Calibri"/>
                <w:sz w:val="15"/>
                <w:szCs w:val="15"/>
                <w:lang w:val="es-MX" w:eastAsia="es-MX"/>
              </w:rPr>
              <w:t>968,036,552</w:t>
            </w:r>
          </w:p>
        </w:tc>
        <w:tc>
          <w:tcPr>
            <w:tcW w:w="2268" w:type="dxa"/>
            <w:gridSpan w:val="2"/>
            <w:tcBorders>
              <w:top w:val="nil"/>
            </w:tcBorders>
            <w:shd w:val="clear" w:color="auto" w:fill="F2F2F2" w:themeFill="background1" w:themeFillShade="F2"/>
            <w:vAlign w:val="center"/>
          </w:tcPr>
          <w:p w14:paraId="15C4BDC5" w14:textId="6EFA797A" w:rsidR="00EC2223" w:rsidRPr="00255081" w:rsidRDefault="00EC2223" w:rsidP="002702EC">
            <w:pPr>
              <w:spacing w:after="120" w:line="240" w:lineRule="auto"/>
              <w:jc w:val="right"/>
              <w:rPr>
                <w:rFonts w:ascii="Montserrat" w:eastAsia="Times New Roman" w:hAnsi="Montserrat" w:cs="Arial"/>
                <w:color w:val="000000"/>
                <w:sz w:val="15"/>
                <w:szCs w:val="15"/>
                <w:lang w:eastAsia="es-MX"/>
              </w:rPr>
            </w:pPr>
            <w:r w:rsidRPr="00255081">
              <w:rPr>
                <w:rFonts w:ascii="Montserrat" w:eastAsia="Times New Roman" w:hAnsi="Montserrat" w:cs="Calibri"/>
                <w:sz w:val="15"/>
                <w:szCs w:val="15"/>
                <w:lang w:val="es-MX" w:eastAsia="es-MX"/>
              </w:rPr>
              <w:t>100%</w:t>
            </w:r>
          </w:p>
        </w:tc>
        <w:tc>
          <w:tcPr>
            <w:tcW w:w="2098" w:type="dxa"/>
            <w:gridSpan w:val="2"/>
            <w:tcBorders>
              <w:top w:val="nil"/>
            </w:tcBorders>
            <w:shd w:val="clear" w:color="auto" w:fill="F2F2F2" w:themeFill="background1" w:themeFillShade="F2"/>
            <w:noWrap/>
            <w:vAlign w:val="center"/>
          </w:tcPr>
          <w:p w14:paraId="3F21E637" w14:textId="4A530D1C" w:rsidR="00EC2223" w:rsidRPr="00255081" w:rsidRDefault="00EC2223" w:rsidP="002702EC">
            <w:pPr>
              <w:spacing w:after="120" w:line="240" w:lineRule="auto"/>
              <w:jc w:val="right"/>
              <w:rPr>
                <w:rFonts w:ascii="Montserrat" w:eastAsia="Times New Roman" w:hAnsi="Montserrat" w:cs="Arial"/>
                <w:color w:val="000000"/>
                <w:sz w:val="15"/>
                <w:szCs w:val="15"/>
                <w:lang w:eastAsia="es-MX"/>
              </w:rPr>
            </w:pPr>
            <w:r w:rsidRPr="00255081">
              <w:rPr>
                <w:rFonts w:ascii="Montserrat" w:eastAsia="Times New Roman" w:hAnsi="Montserrat" w:cs="Calibri"/>
                <w:sz w:val="15"/>
                <w:szCs w:val="15"/>
                <w:lang w:val="es-MX" w:eastAsia="es-MX"/>
              </w:rPr>
              <w:t>968,036,552</w:t>
            </w:r>
          </w:p>
        </w:tc>
      </w:tr>
      <w:tr w:rsidR="00EC2223" w:rsidRPr="006F0DF1" w14:paraId="5EF9CB19" w14:textId="77777777" w:rsidTr="000F0321">
        <w:trPr>
          <w:trHeight w:val="340"/>
        </w:trPr>
        <w:tc>
          <w:tcPr>
            <w:tcW w:w="6095" w:type="dxa"/>
            <w:shd w:val="clear" w:color="auto" w:fill="F2F2F2" w:themeFill="background1" w:themeFillShade="F2"/>
            <w:vAlign w:val="center"/>
          </w:tcPr>
          <w:p w14:paraId="25E540F0" w14:textId="77777777" w:rsidR="000A1B05" w:rsidRDefault="000A1B05" w:rsidP="004B170A">
            <w:pPr>
              <w:spacing w:after="120" w:line="240" w:lineRule="auto"/>
              <w:jc w:val="both"/>
              <w:rPr>
                <w:rFonts w:ascii="Montserrat" w:eastAsia="Times New Roman" w:hAnsi="Montserrat" w:cs="Calibri"/>
                <w:sz w:val="15"/>
                <w:szCs w:val="15"/>
                <w:lang w:val="es-MX" w:eastAsia="es-MX"/>
              </w:rPr>
            </w:pPr>
          </w:p>
          <w:p w14:paraId="44078DD8" w14:textId="55077B07" w:rsidR="00EC2223" w:rsidRPr="00255081" w:rsidRDefault="00EC2223" w:rsidP="004B170A">
            <w:pPr>
              <w:spacing w:after="120" w:line="240" w:lineRule="auto"/>
              <w:jc w:val="both"/>
              <w:rPr>
                <w:rFonts w:ascii="Montserrat" w:eastAsia="Times New Roman" w:hAnsi="Montserrat" w:cs="Arial"/>
                <w:color w:val="000000"/>
                <w:sz w:val="15"/>
                <w:szCs w:val="15"/>
                <w:lang w:eastAsia="es-MX"/>
              </w:rPr>
            </w:pPr>
            <w:r w:rsidRPr="00255081">
              <w:rPr>
                <w:rFonts w:ascii="Montserrat" w:eastAsia="Times New Roman" w:hAnsi="Montserrat" w:cs="Calibri"/>
                <w:sz w:val="15"/>
                <w:szCs w:val="15"/>
                <w:lang w:val="es-MX" w:eastAsia="es-MX"/>
              </w:rPr>
              <w:t xml:space="preserve">Fideicomiso de Apoyo a los Propietarios Rurales en Chiapas </w:t>
            </w:r>
          </w:p>
        </w:tc>
        <w:tc>
          <w:tcPr>
            <w:tcW w:w="2268" w:type="dxa"/>
            <w:gridSpan w:val="2"/>
            <w:shd w:val="clear" w:color="auto" w:fill="F2F2F2" w:themeFill="background1" w:themeFillShade="F2"/>
            <w:vAlign w:val="center"/>
          </w:tcPr>
          <w:p w14:paraId="66F8EF62" w14:textId="77777777" w:rsidR="000A1B05" w:rsidRDefault="000A1B05" w:rsidP="002702EC">
            <w:pPr>
              <w:spacing w:after="120" w:line="240" w:lineRule="auto"/>
              <w:jc w:val="right"/>
              <w:rPr>
                <w:rFonts w:ascii="Montserrat" w:eastAsia="Times New Roman" w:hAnsi="Montserrat" w:cs="Calibri"/>
                <w:sz w:val="15"/>
                <w:szCs w:val="15"/>
                <w:lang w:val="es-MX" w:eastAsia="es-MX"/>
              </w:rPr>
            </w:pPr>
          </w:p>
          <w:p w14:paraId="733C4037" w14:textId="0EC803CB" w:rsidR="00EC2223" w:rsidRPr="00255081" w:rsidRDefault="00EC2223" w:rsidP="002702EC">
            <w:pPr>
              <w:spacing w:after="120" w:line="240" w:lineRule="auto"/>
              <w:jc w:val="right"/>
              <w:rPr>
                <w:rFonts w:ascii="Montserrat" w:eastAsia="Times New Roman" w:hAnsi="Montserrat" w:cs="Arial"/>
                <w:color w:val="000000"/>
                <w:sz w:val="15"/>
                <w:szCs w:val="15"/>
                <w:lang w:eastAsia="es-MX"/>
              </w:rPr>
            </w:pPr>
            <w:r w:rsidRPr="00255081">
              <w:rPr>
                <w:rFonts w:ascii="Montserrat" w:eastAsia="Times New Roman" w:hAnsi="Montserrat" w:cs="Calibri"/>
                <w:sz w:val="15"/>
                <w:szCs w:val="15"/>
                <w:lang w:val="es-MX" w:eastAsia="es-MX"/>
              </w:rPr>
              <w:t>16,761,102</w:t>
            </w:r>
          </w:p>
        </w:tc>
        <w:tc>
          <w:tcPr>
            <w:tcW w:w="2268" w:type="dxa"/>
            <w:gridSpan w:val="2"/>
            <w:shd w:val="clear" w:color="auto" w:fill="F2F2F2" w:themeFill="background1" w:themeFillShade="F2"/>
            <w:vAlign w:val="center"/>
          </w:tcPr>
          <w:p w14:paraId="77046547" w14:textId="77777777" w:rsidR="000A1B05" w:rsidRDefault="000A1B05" w:rsidP="002702EC">
            <w:pPr>
              <w:spacing w:after="120" w:line="240" w:lineRule="auto"/>
              <w:jc w:val="right"/>
              <w:rPr>
                <w:rFonts w:ascii="Montserrat" w:eastAsia="Times New Roman" w:hAnsi="Montserrat" w:cs="Calibri"/>
                <w:sz w:val="15"/>
                <w:szCs w:val="15"/>
                <w:lang w:val="es-MX" w:eastAsia="es-MX"/>
              </w:rPr>
            </w:pPr>
          </w:p>
          <w:p w14:paraId="1B85A783" w14:textId="2A462FEE" w:rsidR="00EC2223" w:rsidRPr="00255081" w:rsidRDefault="00EC2223" w:rsidP="002702EC">
            <w:pPr>
              <w:spacing w:after="120" w:line="240" w:lineRule="auto"/>
              <w:jc w:val="right"/>
              <w:rPr>
                <w:rFonts w:ascii="Montserrat" w:eastAsia="Times New Roman" w:hAnsi="Montserrat" w:cs="Arial"/>
                <w:color w:val="000000"/>
                <w:sz w:val="15"/>
                <w:szCs w:val="15"/>
                <w:lang w:eastAsia="es-MX"/>
              </w:rPr>
            </w:pPr>
            <w:r w:rsidRPr="00255081">
              <w:rPr>
                <w:rFonts w:ascii="Montserrat" w:eastAsia="Times New Roman" w:hAnsi="Montserrat" w:cs="Calibri"/>
                <w:sz w:val="15"/>
                <w:szCs w:val="15"/>
                <w:lang w:val="es-MX" w:eastAsia="es-MX"/>
              </w:rPr>
              <w:t>100%</w:t>
            </w:r>
          </w:p>
        </w:tc>
        <w:tc>
          <w:tcPr>
            <w:tcW w:w="2098" w:type="dxa"/>
            <w:gridSpan w:val="2"/>
            <w:shd w:val="clear" w:color="auto" w:fill="F2F2F2" w:themeFill="background1" w:themeFillShade="F2"/>
            <w:noWrap/>
            <w:vAlign w:val="center"/>
          </w:tcPr>
          <w:p w14:paraId="7EAE5D75" w14:textId="77777777" w:rsidR="000A1B05" w:rsidRDefault="000A1B05" w:rsidP="002702EC">
            <w:pPr>
              <w:spacing w:after="120" w:line="240" w:lineRule="auto"/>
              <w:jc w:val="right"/>
              <w:rPr>
                <w:rFonts w:ascii="Montserrat" w:eastAsia="Times New Roman" w:hAnsi="Montserrat" w:cs="Calibri"/>
                <w:sz w:val="15"/>
                <w:szCs w:val="15"/>
                <w:lang w:val="es-MX" w:eastAsia="es-MX"/>
              </w:rPr>
            </w:pPr>
          </w:p>
          <w:p w14:paraId="70D964B8" w14:textId="49C105D3" w:rsidR="00EC2223" w:rsidRPr="00255081" w:rsidRDefault="00EC2223" w:rsidP="002702EC">
            <w:pPr>
              <w:spacing w:after="120" w:line="240" w:lineRule="auto"/>
              <w:jc w:val="right"/>
              <w:rPr>
                <w:rFonts w:ascii="Montserrat" w:eastAsia="Times New Roman" w:hAnsi="Montserrat" w:cs="Arial"/>
                <w:color w:val="000000"/>
                <w:sz w:val="15"/>
                <w:szCs w:val="15"/>
                <w:lang w:eastAsia="es-MX"/>
              </w:rPr>
            </w:pPr>
            <w:r w:rsidRPr="00255081">
              <w:rPr>
                <w:rFonts w:ascii="Montserrat" w:eastAsia="Times New Roman" w:hAnsi="Montserrat" w:cs="Calibri"/>
                <w:sz w:val="15"/>
                <w:szCs w:val="15"/>
                <w:lang w:val="es-MX" w:eastAsia="es-MX"/>
              </w:rPr>
              <w:t>16,761,102</w:t>
            </w:r>
          </w:p>
        </w:tc>
      </w:tr>
      <w:tr w:rsidR="00EC2223" w:rsidRPr="006F0DF1" w14:paraId="7AD016FB" w14:textId="77777777" w:rsidTr="000F0321">
        <w:trPr>
          <w:trHeight w:val="340"/>
        </w:trPr>
        <w:tc>
          <w:tcPr>
            <w:tcW w:w="6095" w:type="dxa"/>
            <w:tcBorders>
              <w:top w:val="nil"/>
            </w:tcBorders>
            <w:shd w:val="clear" w:color="auto" w:fill="F2F2F2" w:themeFill="background1" w:themeFillShade="F2"/>
            <w:vAlign w:val="center"/>
          </w:tcPr>
          <w:p w14:paraId="2FF1596C" w14:textId="0D095E1A" w:rsidR="00EC2223" w:rsidRPr="00255081" w:rsidRDefault="00EC2223" w:rsidP="004B170A">
            <w:pPr>
              <w:spacing w:after="120" w:line="240" w:lineRule="auto"/>
              <w:jc w:val="both"/>
              <w:rPr>
                <w:rFonts w:ascii="Montserrat" w:eastAsia="Times New Roman" w:hAnsi="Montserrat" w:cs="Arial"/>
                <w:color w:val="000000"/>
                <w:sz w:val="15"/>
                <w:szCs w:val="15"/>
                <w:lang w:eastAsia="es-MX"/>
              </w:rPr>
            </w:pPr>
            <w:r w:rsidRPr="00255081">
              <w:rPr>
                <w:rFonts w:ascii="Montserrat" w:eastAsia="Times New Roman" w:hAnsi="Montserrat" w:cs="Calibri"/>
                <w:sz w:val="15"/>
                <w:szCs w:val="15"/>
                <w:lang w:val="es-MX" w:eastAsia="es-MX"/>
              </w:rPr>
              <w:t>Fondo de Desarrollo Regional Sustentable de Estados y Municipios Mineros</w:t>
            </w:r>
          </w:p>
        </w:tc>
        <w:tc>
          <w:tcPr>
            <w:tcW w:w="2268" w:type="dxa"/>
            <w:gridSpan w:val="2"/>
            <w:tcBorders>
              <w:top w:val="nil"/>
            </w:tcBorders>
            <w:shd w:val="clear" w:color="auto" w:fill="F2F2F2" w:themeFill="background1" w:themeFillShade="F2"/>
            <w:vAlign w:val="center"/>
          </w:tcPr>
          <w:p w14:paraId="4E4E65AA" w14:textId="4BD981AE" w:rsidR="00EC2223" w:rsidRPr="00255081" w:rsidRDefault="00EC2223" w:rsidP="002702EC">
            <w:pPr>
              <w:spacing w:after="120" w:line="240" w:lineRule="auto"/>
              <w:jc w:val="right"/>
              <w:rPr>
                <w:rFonts w:ascii="Montserrat" w:eastAsia="Times New Roman" w:hAnsi="Montserrat" w:cs="Arial"/>
                <w:color w:val="000000"/>
                <w:sz w:val="15"/>
                <w:szCs w:val="15"/>
                <w:lang w:eastAsia="es-MX"/>
              </w:rPr>
            </w:pPr>
            <w:r w:rsidRPr="00255081">
              <w:rPr>
                <w:rFonts w:ascii="Montserrat" w:eastAsia="Times New Roman" w:hAnsi="Montserrat" w:cs="Calibri"/>
                <w:sz w:val="15"/>
                <w:szCs w:val="15"/>
                <w:lang w:val="es-MX" w:eastAsia="es-MX"/>
              </w:rPr>
              <w:t>3,990,045,640</w:t>
            </w:r>
          </w:p>
        </w:tc>
        <w:tc>
          <w:tcPr>
            <w:tcW w:w="2268" w:type="dxa"/>
            <w:gridSpan w:val="2"/>
            <w:tcBorders>
              <w:top w:val="nil"/>
            </w:tcBorders>
            <w:shd w:val="clear" w:color="auto" w:fill="F2F2F2" w:themeFill="background1" w:themeFillShade="F2"/>
            <w:vAlign w:val="center"/>
          </w:tcPr>
          <w:p w14:paraId="23795FEB" w14:textId="7250D73C" w:rsidR="00EC2223" w:rsidRPr="00255081" w:rsidRDefault="00EC2223" w:rsidP="002702EC">
            <w:pPr>
              <w:spacing w:after="120" w:line="240" w:lineRule="auto"/>
              <w:jc w:val="right"/>
              <w:rPr>
                <w:rFonts w:ascii="Montserrat" w:eastAsia="Times New Roman" w:hAnsi="Montserrat" w:cs="Arial"/>
                <w:color w:val="000000"/>
                <w:sz w:val="15"/>
                <w:szCs w:val="15"/>
                <w:lang w:eastAsia="es-MX"/>
              </w:rPr>
            </w:pPr>
            <w:r w:rsidRPr="00255081">
              <w:rPr>
                <w:rFonts w:ascii="Montserrat" w:eastAsia="Times New Roman" w:hAnsi="Montserrat" w:cs="Calibri"/>
                <w:sz w:val="15"/>
                <w:szCs w:val="15"/>
                <w:lang w:val="es-MX" w:eastAsia="es-MX"/>
              </w:rPr>
              <w:t>100%</w:t>
            </w:r>
          </w:p>
        </w:tc>
        <w:tc>
          <w:tcPr>
            <w:tcW w:w="2098" w:type="dxa"/>
            <w:gridSpan w:val="2"/>
            <w:tcBorders>
              <w:top w:val="nil"/>
            </w:tcBorders>
            <w:shd w:val="clear" w:color="auto" w:fill="F2F2F2" w:themeFill="background1" w:themeFillShade="F2"/>
            <w:noWrap/>
            <w:vAlign w:val="center"/>
          </w:tcPr>
          <w:p w14:paraId="590047D2" w14:textId="3B6BB4E2" w:rsidR="00EC2223" w:rsidRPr="00255081" w:rsidRDefault="00EC2223" w:rsidP="002702EC">
            <w:pPr>
              <w:spacing w:after="120" w:line="240" w:lineRule="auto"/>
              <w:jc w:val="right"/>
              <w:rPr>
                <w:rFonts w:ascii="Montserrat" w:eastAsia="Times New Roman" w:hAnsi="Montserrat" w:cs="Arial"/>
                <w:color w:val="000000"/>
                <w:sz w:val="15"/>
                <w:szCs w:val="15"/>
                <w:lang w:eastAsia="es-MX"/>
              </w:rPr>
            </w:pPr>
            <w:r w:rsidRPr="00255081">
              <w:rPr>
                <w:rFonts w:ascii="Montserrat" w:eastAsia="Times New Roman" w:hAnsi="Montserrat" w:cs="Calibri"/>
                <w:sz w:val="15"/>
                <w:szCs w:val="15"/>
                <w:lang w:val="es-MX" w:eastAsia="es-MX"/>
              </w:rPr>
              <w:t>3,990,045,640</w:t>
            </w:r>
          </w:p>
        </w:tc>
      </w:tr>
      <w:tr w:rsidR="00EC2223" w:rsidRPr="006F0DF1" w14:paraId="52C0E49E" w14:textId="77777777" w:rsidTr="000F0321">
        <w:trPr>
          <w:trHeight w:val="340"/>
        </w:trPr>
        <w:tc>
          <w:tcPr>
            <w:tcW w:w="6095" w:type="dxa"/>
            <w:tcBorders>
              <w:top w:val="nil"/>
            </w:tcBorders>
            <w:shd w:val="clear" w:color="auto" w:fill="F2F2F2" w:themeFill="background1" w:themeFillShade="F2"/>
            <w:vAlign w:val="center"/>
          </w:tcPr>
          <w:p w14:paraId="1C0E9744" w14:textId="1E3C1887" w:rsidR="00EC2223" w:rsidRPr="00255081" w:rsidRDefault="00EC2223" w:rsidP="004B170A">
            <w:pPr>
              <w:spacing w:after="120" w:line="240" w:lineRule="auto"/>
              <w:jc w:val="both"/>
              <w:rPr>
                <w:rFonts w:ascii="Montserrat" w:eastAsia="Times New Roman" w:hAnsi="Montserrat" w:cs="Arial"/>
                <w:color w:val="000000"/>
                <w:sz w:val="15"/>
                <w:szCs w:val="15"/>
                <w:lang w:eastAsia="es-MX"/>
              </w:rPr>
            </w:pPr>
            <w:r w:rsidRPr="00255081">
              <w:rPr>
                <w:rFonts w:ascii="Montserrat" w:eastAsia="Times New Roman" w:hAnsi="Montserrat" w:cs="Calibri"/>
                <w:sz w:val="15"/>
                <w:szCs w:val="15"/>
                <w:lang w:val="es-MX" w:eastAsia="es-MX"/>
              </w:rPr>
              <w:t>Fondo para el Ord</w:t>
            </w:r>
            <w:r w:rsidR="004B170A">
              <w:rPr>
                <w:rFonts w:ascii="Montserrat" w:eastAsia="Times New Roman" w:hAnsi="Montserrat" w:cs="Calibri"/>
                <w:sz w:val="15"/>
                <w:szCs w:val="15"/>
                <w:lang w:val="es-MX" w:eastAsia="es-MX"/>
              </w:rPr>
              <w:t>enamiento de la Propiedad Rural</w:t>
            </w:r>
          </w:p>
        </w:tc>
        <w:tc>
          <w:tcPr>
            <w:tcW w:w="2268" w:type="dxa"/>
            <w:gridSpan w:val="2"/>
            <w:tcBorders>
              <w:top w:val="nil"/>
            </w:tcBorders>
            <w:shd w:val="clear" w:color="auto" w:fill="F2F2F2" w:themeFill="background1" w:themeFillShade="F2"/>
            <w:vAlign w:val="center"/>
          </w:tcPr>
          <w:p w14:paraId="6290EFF2" w14:textId="18CF3949" w:rsidR="00EC2223" w:rsidRPr="00255081" w:rsidRDefault="00EC2223" w:rsidP="002702EC">
            <w:pPr>
              <w:spacing w:after="120" w:line="240" w:lineRule="auto"/>
              <w:jc w:val="right"/>
              <w:rPr>
                <w:rFonts w:ascii="Montserrat" w:eastAsia="Times New Roman" w:hAnsi="Montserrat" w:cs="Arial"/>
                <w:color w:val="000000"/>
                <w:sz w:val="15"/>
                <w:szCs w:val="15"/>
                <w:lang w:eastAsia="es-MX"/>
              </w:rPr>
            </w:pPr>
            <w:r w:rsidRPr="00255081">
              <w:rPr>
                <w:rFonts w:ascii="Montserrat" w:eastAsia="Times New Roman" w:hAnsi="Montserrat" w:cs="Calibri"/>
                <w:sz w:val="15"/>
                <w:szCs w:val="15"/>
                <w:lang w:val="es-MX" w:eastAsia="es-MX"/>
              </w:rPr>
              <w:t>66,102,602</w:t>
            </w:r>
          </w:p>
        </w:tc>
        <w:tc>
          <w:tcPr>
            <w:tcW w:w="2268" w:type="dxa"/>
            <w:gridSpan w:val="2"/>
            <w:tcBorders>
              <w:top w:val="nil"/>
            </w:tcBorders>
            <w:shd w:val="clear" w:color="auto" w:fill="F2F2F2" w:themeFill="background1" w:themeFillShade="F2"/>
            <w:vAlign w:val="center"/>
          </w:tcPr>
          <w:p w14:paraId="72D6406D" w14:textId="60D56309" w:rsidR="00EC2223" w:rsidRPr="00255081" w:rsidRDefault="00EC2223" w:rsidP="002702EC">
            <w:pPr>
              <w:spacing w:after="120" w:line="240" w:lineRule="auto"/>
              <w:jc w:val="right"/>
              <w:rPr>
                <w:rFonts w:ascii="Montserrat" w:eastAsia="Times New Roman" w:hAnsi="Montserrat" w:cs="Arial"/>
                <w:color w:val="000000"/>
                <w:sz w:val="15"/>
                <w:szCs w:val="15"/>
                <w:lang w:eastAsia="es-MX"/>
              </w:rPr>
            </w:pPr>
            <w:r w:rsidRPr="00255081">
              <w:rPr>
                <w:rFonts w:ascii="Montserrat" w:eastAsia="Times New Roman" w:hAnsi="Montserrat" w:cs="Calibri"/>
                <w:sz w:val="15"/>
                <w:szCs w:val="15"/>
                <w:lang w:val="es-MX" w:eastAsia="es-MX"/>
              </w:rPr>
              <w:t>100%</w:t>
            </w:r>
          </w:p>
        </w:tc>
        <w:tc>
          <w:tcPr>
            <w:tcW w:w="2098" w:type="dxa"/>
            <w:gridSpan w:val="2"/>
            <w:tcBorders>
              <w:top w:val="nil"/>
            </w:tcBorders>
            <w:shd w:val="clear" w:color="auto" w:fill="F2F2F2" w:themeFill="background1" w:themeFillShade="F2"/>
            <w:noWrap/>
            <w:vAlign w:val="center"/>
          </w:tcPr>
          <w:p w14:paraId="76CDDDBF" w14:textId="5E9A42D2" w:rsidR="00EC2223" w:rsidRPr="00255081" w:rsidRDefault="00EC2223" w:rsidP="002702EC">
            <w:pPr>
              <w:spacing w:after="120" w:line="240" w:lineRule="auto"/>
              <w:jc w:val="right"/>
              <w:rPr>
                <w:rFonts w:ascii="Montserrat" w:eastAsia="Times New Roman" w:hAnsi="Montserrat" w:cs="Arial"/>
                <w:color w:val="000000"/>
                <w:sz w:val="15"/>
                <w:szCs w:val="15"/>
                <w:lang w:eastAsia="es-MX"/>
              </w:rPr>
            </w:pPr>
            <w:r w:rsidRPr="00255081">
              <w:rPr>
                <w:rFonts w:ascii="Montserrat" w:eastAsia="Times New Roman" w:hAnsi="Montserrat" w:cs="Calibri"/>
                <w:sz w:val="15"/>
                <w:szCs w:val="15"/>
                <w:lang w:val="es-MX" w:eastAsia="es-MX"/>
              </w:rPr>
              <w:t>66,102,602</w:t>
            </w:r>
          </w:p>
        </w:tc>
      </w:tr>
      <w:tr w:rsidR="00EC2223" w:rsidRPr="006F0DF1" w14:paraId="1FDCF796" w14:textId="77777777" w:rsidTr="000F0321">
        <w:trPr>
          <w:trHeight w:val="340"/>
        </w:trPr>
        <w:tc>
          <w:tcPr>
            <w:tcW w:w="6095" w:type="dxa"/>
            <w:tcBorders>
              <w:top w:val="nil"/>
            </w:tcBorders>
            <w:shd w:val="clear" w:color="auto" w:fill="F2F2F2" w:themeFill="background1" w:themeFillShade="F2"/>
            <w:vAlign w:val="center"/>
          </w:tcPr>
          <w:p w14:paraId="4D0F6188" w14:textId="786B65EC" w:rsidR="00EC2223" w:rsidRPr="00255081" w:rsidRDefault="00EC2223" w:rsidP="004B170A">
            <w:pPr>
              <w:spacing w:after="120" w:line="240" w:lineRule="auto"/>
              <w:jc w:val="both"/>
              <w:rPr>
                <w:rFonts w:ascii="Montserrat" w:eastAsia="Times New Roman" w:hAnsi="Montserrat" w:cs="Arial"/>
                <w:color w:val="000000"/>
                <w:sz w:val="15"/>
                <w:szCs w:val="15"/>
                <w:lang w:eastAsia="es-MX"/>
              </w:rPr>
            </w:pPr>
            <w:r w:rsidRPr="00255081">
              <w:rPr>
                <w:rFonts w:ascii="Montserrat" w:eastAsia="Times New Roman" w:hAnsi="Montserrat" w:cs="Calibri"/>
                <w:sz w:val="15"/>
                <w:szCs w:val="15"/>
                <w:lang w:val="es-MX" w:eastAsia="es-MX"/>
              </w:rPr>
              <w:t>Fideicomiso Fondo de Mejoramiento Urbano</w:t>
            </w:r>
          </w:p>
        </w:tc>
        <w:tc>
          <w:tcPr>
            <w:tcW w:w="2268" w:type="dxa"/>
            <w:gridSpan w:val="2"/>
            <w:tcBorders>
              <w:top w:val="nil"/>
            </w:tcBorders>
            <w:shd w:val="clear" w:color="auto" w:fill="F2F2F2" w:themeFill="background1" w:themeFillShade="F2"/>
            <w:vAlign w:val="center"/>
          </w:tcPr>
          <w:p w14:paraId="7F5C61F1" w14:textId="6FFE2BD3" w:rsidR="00EC2223" w:rsidRPr="00255081" w:rsidRDefault="00EC2223" w:rsidP="002702EC">
            <w:pPr>
              <w:spacing w:after="120" w:line="240" w:lineRule="auto"/>
              <w:jc w:val="right"/>
              <w:rPr>
                <w:rFonts w:ascii="Montserrat" w:eastAsia="Times New Roman" w:hAnsi="Montserrat" w:cs="Arial"/>
                <w:color w:val="000000"/>
                <w:sz w:val="15"/>
                <w:szCs w:val="15"/>
                <w:lang w:eastAsia="es-MX"/>
              </w:rPr>
            </w:pPr>
            <w:r w:rsidRPr="00255081">
              <w:rPr>
                <w:rFonts w:ascii="Montserrat" w:eastAsia="Times New Roman" w:hAnsi="Montserrat" w:cs="Calibri"/>
                <w:sz w:val="15"/>
                <w:szCs w:val="15"/>
                <w:lang w:val="es-MX" w:eastAsia="es-MX"/>
              </w:rPr>
              <w:t>4,464,716,841</w:t>
            </w:r>
          </w:p>
        </w:tc>
        <w:tc>
          <w:tcPr>
            <w:tcW w:w="2268" w:type="dxa"/>
            <w:gridSpan w:val="2"/>
            <w:tcBorders>
              <w:top w:val="nil"/>
            </w:tcBorders>
            <w:shd w:val="clear" w:color="auto" w:fill="F2F2F2" w:themeFill="background1" w:themeFillShade="F2"/>
            <w:vAlign w:val="center"/>
          </w:tcPr>
          <w:p w14:paraId="664309A5" w14:textId="04E42B47" w:rsidR="00EC2223" w:rsidRPr="00255081" w:rsidRDefault="00EC2223" w:rsidP="002702EC">
            <w:pPr>
              <w:spacing w:after="120" w:line="240" w:lineRule="auto"/>
              <w:jc w:val="right"/>
              <w:rPr>
                <w:rFonts w:ascii="Montserrat" w:eastAsia="Times New Roman" w:hAnsi="Montserrat" w:cs="Arial"/>
                <w:color w:val="000000"/>
                <w:sz w:val="15"/>
                <w:szCs w:val="15"/>
                <w:lang w:eastAsia="es-MX"/>
              </w:rPr>
            </w:pPr>
            <w:r w:rsidRPr="00255081">
              <w:rPr>
                <w:rFonts w:ascii="Montserrat" w:eastAsia="Times New Roman" w:hAnsi="Montserrat" w:cs="Calibri"/>
                <w:sz w:val="15"/>
                <w:szCs w:val="15"/>
                <w:lang w:val="es-MX" w:eastAsia="es-MX"/>
              </w:rPr>
              <w:t>100%</w:t>
            </w:r>
          </w:p>
        </w:tc>
        <w:tc>
          <w:tcPr>
            <w:tcW w:w="2098" w:type="dxa"/>
            <w:gridSpan w:val="2"/>
            <w:tcBorders>
              <w:top w:val="nil"/>
            </w:tcBorders>
            <w:shd w:val="clear" w:color="auto" w:fill="F2F2F2" w:themeFill="background1" w:themeFillShade="F2"/>
            <w:noWrap/>
            <w:vAlign w:val="center"/>
          </w:tcPr>
          <w:p w14:paraId="621D79F8" w14:textId="4B320007" w:rsidR="00EC2223" w:rsidRPr="00255081" w:rsidRDefault="00EC2223" w:rsidP="002702EC">
            <w:pPr>
              <w:spacing w:after="120" w:line="240" w:lineRule="auto"/>
              <w:jc w:val="right"/>
              <w:rPr>
                <w:rFonts w:ascii="Montserrat" w:eastAsia="Times New Roman" w:hAnsi="Montserrat" w:cs="Arial"/>
                <w:color w:val="000000"/>
                <w:sz w:val="15"/>
                <w:szCs w:val="15"/>
                <w:lang w:eastAsia="es-MX"/>
              </w:rPr>
            </w:pPr>
            <w:r w:rsidRPr="00255081">
              <w:rPr>
                <w:rFonts w:ascii="Montserrat" w:eastAsia="Times New Roman" w:hAnsi="Montserrat" w:cs="Calibri"/>
                <w:sz w:val="15"/>
                <w:szCs w:val="15"/>
                <w:lang w:val="es-MX" w:eastAsia="es-MX"/>
              </w:rPr>
              <w:t>4,464,716,841</w:t>
            </w:r>
          </w:p>
        </w:tc>
      </w:tr>
      <w:tr w:rsidR="00EC2223" w:rsidRPr="006F0DF1" w14:paraId="3D982CB2" w14:textId="77777777" w:rsidTr="000F0321">
        <w:trPr>
          <w:trHeight w:val="575"/>
        </w:trPr>
        <w:tc>
          <w:tcPr>
            <w:tcW w:w="6095" w:type="dxa"/>
            <w:tcBorders>
              <w:top w:val="nil"/>
            </w:tcBorders>
            <w:shd w:val="clear" w:color="auto" w:fill="F2F2F2" w:themeFill="background1" w:themeFillShade="F2"/>
            <w:vAlign w:val="center"/>
          </w:tcPr>
          <w:p w14:paraId="7B12FCD2" w14:textId="106F27C2" w:rsidR="00EC2223" w:rsidRPr="00255081" w:rsidRDefault="00EC2223" w:rsidP="004B170A">
            <w:pPr>
              <w:spacing w:after="120" w:line="240" w:lineRule="auto"/>
              <w:jc w:val="both"/>
              <w:rPr>
                <w:rFonts w:ascii="Montserrat" w:eastAsia="Times New Roman" w:hAnsi="Montserrat" w:cs="Arial"/>
                <w:color w:val="000000"/>
                <w:sz w:val="15"/>
                <w:szCs w:val="15"/>
                <w:lang w:eastAsia="es-MX"/>
              </w:rPr>
            </w:pPr>
            <w:r w:rsidRPr="00255081">
              <w:rPr>
                <w:rFonts w:ascii="Montserrat" w:eastAsia="Times New Roman" w:hAnsi="Montserrat" w:cs="Calibri"/>
                <w:sz w:val="15"/>
                <w:szCs w:val="15"/>
                <w:lang w:val="es-MX" w:eastAsia="es-MX"/>
              </w:rPr>
              <w:t xml:space="preserve">Fideicomiso para el Desarrollo de la </w:t>
            </w:r>
            <w:r w:rsidR="004B170A">
              <w:rPr>
                <w:rFonts w:ascii="Montserrat" w:eastAsia="Times New Roman" w:hAnsi="Montserrat" w:cs="Calibri"/>
                <w:sz w:val="15"/>
                <w:szCs w:val="15"/>
                <w:lang w:val="es-MX" w:eastAsia="es-MX"/>
              </w:rPr>
              <w:t>Región sur-sureste</w:t>
            </w:r>
          </w:p>
        </w:tc>
        <w:tc>
          <w:tcPr>
            <w:tcW w:w="2268" w:type="dxa"/>
            <w:gridSpan w:val="2"/>
            <w:tcBorders>
              <w:top w:val="nil"/>
            </w:tcBorders>
            <w:shd w:val="clear" w:color="auto" w:fill="F2F2F2" w:themeFill="background1" w:themeFillShade="F2"/>
            <w:vAlign w:val="center"/>
          </w:tcPr>
          <w:p w14:paraId="5601CC0D" w14:textId="3ACF407C" w:rsidR="00EC2223" w:rsidRPr="00255081" w:rsidRDefault="00EC2223" w:rsidP="002702EC">
            <w:pPr>
              <w:spacing w:after="120" w:line="240" w:lineRule="auto"/>
              <w:jc w:val="right"/>
              <w:rPr>
                <w:rFonts w:ascii="Montserrat" w:eastAsia="Times New Roman" w:hAnsi="Montserrat" w:cs="Arial"/>
                <w:color w:val="000000"/>
                <w:sz w:val="15"/>
                <w:szCs w:val="15"/>
                <w:lang w:eastAsia="es-MX"/>
              </w:rPr>
            </w:pPr>
            <w:r w:rsidRPr="00255081">
              <w:rPr>
                <w:rFonts w:ascii="Montserrat" w:eastAsia="Times New Roman" w:hAnsi="Montserrat" w:cs="Calibri"/>
                <w:sz w:val="15"/>
                <w:szCs w:val="15"/>
                <w:lang w:val="es-MX" w:eastAsia="es-MX"/>
              </w:rPr>
              <w:t>13,279,115</w:t>
            </w:r>
          </w:p>
        </w:tc>
        <w:tc>
          <w:tcPr>
            <w:tcW w:w="2268" w:type="dxa"/>
            <w:gridSpan w:val="2"/>
            <w:tcBorders>
              <w:top w:val="nil"/>
            </w:tcBorders>
            <w:shd w:val="clear" w:color="auto" w:fill="F2F2F2" w:themeFill="background1" w:themeFillShade="F2"/>
            <w:vAlign w:val="center"/>
          </w:tcPr>
          <w:p w14:paraId="10902148" w14:textId="3BE9982F" w:rsidR="00EC2223" w:rsidRPr="00255081" w:rsidRDefault="00EC2223" w:rsidP="002702EC">
            <w:pPr>
              <w:spacing w:after="120" w:line="240" w:lineRule="auto"/>
              <w:jc w:val="right"/>
              <w:rPr>
                <w:rFonts w:ascii="Montserrat" w:eastAsia="Times New Roman" w:hAnsi="Montserrat" w:cs="Arial"/>
                <w:color w:val="000000"/>
                <w:sz w:val="15"/>
                <w:szCs w:val="15"/>
                <w:lang w:eastAsia="es-MX"/>
              </w:rPr>
            </w:pPr>
            <w:r w:rsidRPr="00255081">
              <w:rPr>
                <w:rFonts w:ascii="Montserrat" w:eastAsia="Times New Roman" w:hAnsi="Montserrat" w:cs="Calibri"/>
                <w:sz w:val="15"/>
                <w:szCs w:val="15"/>
                <w:lang w:val="es-MX" w:eastAsia="es-MX"/>
              </w:rPr>
              <w:t>16.75%</w:t>
            </w:r>
          </w:p>
        </w:tc>
        <w:tc>
          <w:tcPr>
            <w:tcW w:w="2098" w:type="dxa"/>
            <w:gridSpan w:val="2"/>
            <w:tcBorders>
              <w:top w:val="nil"/>
            </w:tcBorders>
            <w:shd w:val="clear" w:color="auto" w:fill="F2F2F2" w:themeFill="background1" w:themeFillShade="F2"/>
            <w:noWrap/>
            <w:vAlign w:val="center"/>
          </w:tcPr>
          <w:p w14:paraId="227A017F" w14:textId="717D2711" w:rsidR="00EC2223" w:rsidRPr="00255081" w:rsidRDefault="00EC2223" w:rsidP="002702EC">
            <w:pPr>
              <w:spacing w:after="120" w:line="240" w:lineRule="auto"/>
              <w:jc w:val="right"/>
              <w:rPr>
                <w:rFonts w:ascii="Montserrat" w:eastAsia="Times New Roman" w:hAnsi="Montserrat" w:cs="Arial"/>
                <w:color w:val="000000"/>
                <w:sz w:val="15"/>
                <w:szCs w:val="15"/>
                <w:lang w:eastAsia="es-MX"/>
              </w:rPr>
            </w:pPr>
            <w:r w:rsidRPr="00255081">
              <w:rPr>
                <w:rFonts w:ascii="Montserrat" w:eastAsia="Times New Roman" w:hAnsi="Montserrat" w:cs="Calibri"/>
                <w:sz w:val="15"/>
                <w:szCs w:val="15"/>
                <w:lang w:val="es-MX" w:eastAsia="es-MX"/>
              </w:rPr>
              <w:t>2,223,925</w:t>
            </w:r>
          </w:p>
        </w:tc>
      </w:tr>
      <w:tr w:rsidR="00EC2223" w:rsidRPr="006F0DF1" w14:paraId="76AB5501" w14:textId="77777777" w:rsidTr="000F0321">
        <w:trPr>
          <w:trHeight w:val="340"/>
        </w:trPr>
        <w:tc>
          <w:tcPr>
            <w:tcW w:w="6095" w:type="dxa"/>
            <w:tcBorders>
              <w:top w:val="nil"/>
            </w:tcBorders>
            <w:shd w:val="clear" w:color="auto" w:fill="F2F2F2" w:themeFill="background1" w:themeFillShade="F2"/>
            <w:vAlign w:val="center"/>
          </w:tcPr>
          <w:p w14:paraId="11F76E0D" w14:textId="3C6D6387" w:rsidR="00EC2223" w:rsidRPr="00255081" w:rsidRDefault="00EC2223" w:rsidP="004B170A">
            <w:pPr>
              <w:spacing w:after="120" w:line="240" w:lineRule="auto"/>
              <w:jc w:val="both"/>
              <w:rPr>
                <w:rFonts w:ascii="Montserrat" w:eastAsia="Times New Roman" w:hAnsi="Montserrat" w:cs="Arial"/>
                <w:color w:val="000000"/>
                <w:sz w:val="15"/>
                <w:szCs w:val="15"/>
                <w:lang w:eastAsia="es-MX"/>
              </w:rPr>
            </w:pPr>
            <w:r w:rsidRPr="00255081">
              <w:rPr>
                <w:rFonts w:ascii="Montserrat" w:eastAsia="Times New Roman" w:hAnsi="Montserrat" w:cs="Calibri"/>
                <w:sz w:val="15"/>
                <w:szCs w:val="15"/>
                <w:lang w:val="es-MX" w:eastAsia="es-MX"/>
              </w:rPr>
              <w:t xml:space="preserve">Fideicomiso para el Desarrollo Regional Noreste </w:t>
            </w:r>
          </w:p>
        </w:tc>
        <w:tc>
          <w:tcPr>
            <w:tcW w:w="2268" w:type="dxa"/>
            <w:gridSpan w:val="2"/>
            <w:tcBorders>
              <w:top w:val="nil"/>
            </w:tcBorders>
            <w:shd w:val="clear" w:color="auto" w:fill="F2F2F2" w:themeFill="background1" w:themeFillShade="F2"/>
            <w:vAlign w:val="center"/>
          </w:tcPr>
          <w:p w14:paraId="3430E70F" w14:textId="74251098" w:rsidR="00EC2223" w:rsidRPr="00255081" w:rsidRDefault="00EC2223" w:rsidP="002702EC">
            <w:pPr>
              <w:spacing w:after="120" w:line="240" w:lineRule="auto"/>
              <w:jc w:val="right"/>
              <w:rPr>
                <w:rFonts w:ascii="Montserrat" w:eastAsia="Times New Roman" w:hAnsi="Montserrat" w:cs="Arial"/>
                <w:color w:val="000000"/>
                <w:sz w:val="15"/>
                <w:szCs w:val="15"/>
                <w:lang w:eastAsia="es-MX"/>
              </w:rPr>
            </w:pPr>
            <w:r w:rsidRPr="00255081">
              <w:rPr>
                <w:rFonts w:ascii="Montserrat" w:eastAsia="Times New Roman" w:hAnsi="Montserrat" w:cs="Calibri"/>
                <w:sz w:val="15"/>
                <w:szCs w:val="15"/>
                <w:lang w:val="es-MX" w:eastAsia="es-MX"/>
              </w:rPr>
              <w:t>2,186,496</w:t>
            </w:r>
          </w:p>
        </w:tc>
        <w:tc>
          <w:tcPr>
            <w:tcW w:w="2268" w:type="dxa"/>
            <w:gridSpan w:val="2"/>
            <w:tcBorders>
              <w:top w:val="nil"/>
            </w:tcBorders>
            <w:shd w:val="clear" w:color="auto" w:fill="F2F2F2" w:themeFill="background1" w:themeFillShade="F2"/>
            <w:vAlign w:val="center"/>
          </w:tcPr>
          <w:p w14:paraId="77804D7F" w14:textId="4CFA8237" w:rsidR="00EC2223" w:rsidRPr="00255081" w:rsidRDefault="00EC2223" w:rsidP="002702EC">
            <w:pPr>
              <w:spacing w:after="120" w:line="240" w:lineRule="auto"/>
              <w:jc w:val="right"/>
              <w:rPr>
                <w:rFonts w:ascii="Montserrat" w:eastAsia="Times New Roman" w:hAnsi="Montserrat" w:cs="Arial"/>
                <w:color w:val="000000"/>
                <w:sz w:val="15"/>
                <w:szCs w:val="15"/>
                <w:lang w:eastAsia="es-MX"/>
              </w:rPr>
            </w:pPr>
            <w:r w:rsidRPr="00255081">
              <w:rPr>
                <w:rFonts w:ascii="Montserrat" w:eastAsia="Times New Roman" w:hAnsi="Montserrat" w:cs="Calibri"/>
                <w:sz w:val="15"/>
                <w:szCs w:val="15"/>
                <w:lang w:val="es-MX" w:eastAsia="es-MX"/>
              </w:rPr>
              <w:t>57.95%</w:t>
            </w:r>
          </w:p>
        </w:tc>
        <w:tc>
          <w:tcPr>
            <w:tcW w:w="2098" w:type="dxa"/>
            <w:gridSpan w:val="2"/>
            <w:tcBorders>
              <w:top w:val="nil"/>
            </w:tcBorders>
            <w:shd w:val="clear" w:color="auto" w:fill="F2F2F2" w:themeFill="background1" w:themeFillShade="F2"/>
            <w:noWrap/>
            <w:vAlign w:val="center"/>
          </w:tcPr>
          <w:p w14:paraId="5C45A3D7" w14:textId="572DA647" w:rsidR="00EC2223" w:rsidRPr="00255081" w:rsidRDefault="00EC2223" w:rsidP="002702EC">
            <w:pPr>
              <w:spacing w:after="120" w:line="240" w:lineRule="auto"/>
              <w:jc w:val="right"/>
              <w:rPr>
                <w:rFonts w:ascii="Montserrat" w:eastAsia="Times New Roman" w:hAnsi="Montserrat" w:cs="Arial"/>
                <w:color w:val="000000"/>
                <w:sz w:val="15"/>
                <w:szCs w:val="15"/>
                <w:lang w:eastAsia="es-MX"/>
              </w:rPr>
            </w:pPr>
            <w:r w:rsidRPr="00255081">
              <w:rPr>
                <w:rFonts w:ascii="Montserrat" w:eastAsia="Times New Roman" w:hAnsi="Montserrat" w:cs="Calibri"/>
                <w:sz w:val="15"/>
                <w:szCs w:val="15"/>
                <w:lang w:val="es-MX" w:eastAsia="es-MX"/>
              </w:rPr>
              <w:t>1,267,006</w:t>
            </w:r>
          </w:p>
        </w:tc>
      </w:tr>
      <w:tr w:rsidR="00EC2223" w:rsidRPr="006F0DF1" w14:paraId="02FA08D9" w14:textId="77777777" w:rsidTr="000F0321">
        <w:trPr>
          <w:trHeight w:val="340"/>
        </w:trPr>
        <w:tc>
          <w:tcPr>
            <w:tcW w:w="6095" w:type="dxa"/>
            <w:tcBorders>
              <w:top w:val="nil"/>
            </w:tcBorders>
            <w:shd w:val="clear" w:color="auto" w:fill="F2F2F2" w:themeFill="background1" w:themeFillShade="F2"/>
            <w:vAlign w:val="center"/>
          </w:tcPr>
          <w:p w14:paraId="25E908C4" w14:textId="38E7162C" w:rsidR="00EC2223" w:rsidRPr="00255081" w:rsidRDefault="00EC2223" w:rsidP="004B170A">
            <w:pPr>
              <w:spacing w:after="120" w:line="240" w:lineRule="auto"/>
              <w:jc w:val="both"/>
              <w:rPr>
                <w:rFonts w:ascii="Montserrat" w:eastAsia="Times New Roman" w:hAnsi="Montserrat" w:cs="Arial"/>
                <w:color w:val="000000"/>
                <w:sz w:val="15"/>
                <w:szCs w:val="15"/>
                <w:lang w:eastAsia="es-MX"/>
              </w:rPr>
            </w:pPr>
            <w:r w:rsidRPr="00255081">
              <w:rPr>
                <w:rFonts w:ascii="Montserrat" w:eastAsia="Times New Roman" w:hAnsi="Montserrat" w:cs="Calibri"/>
                <w:sz w:val="15"/>
                <w:szCs w:val="15"/>
                <w:lang w:val="es-MX" w:eastAsia="es-MX"/>
              </w:rPr>
              <w:t>Fondo para el Cambio Climático</w:t>
            </w:r>
          </w:p>
        </w:tc>
        <w:tc>
          <w:tcPr>
            <w:tcW w:w="2268" w:type="dxa"/>
            <w:gridSpan w:val="2"/>
            <w:tcBorders>
              <w:top w:val="nil"/>
            </w:tcBorders>
            <w:shd w:val="clear" w:color="auto" w:fill="F2F2F2" w:themeFill="background1" w:themeFillShade="F2"/>
            <w:vAlign w:val="center"/>
          </w:tcPr>
          <w:p w14:paraId="193D9373" w14:textId="5605E753" w:rsidR="00EC2223" w:rsidRPr="00255081" w:rsidRDefault="00EC2223" w:rsidP="002702EC">
            <w:pPr>
              <w:spacing w:after="120" w:line="240" w:lineRule="auto"/>
              <w:jc w:val="right"/>
              <w:rPr>
                <w:rFonts w:ascii="Montserrat" w:eastAsia="Times New Roman" w:hAnsi="Montserrat" w:cs="Arial"/>
                <w:color w:val="000000"/>
                <w:sz w:val="15"/>
                <w:szCs w:val="15"/>
                <w:lang w:eastAsia="es-MX"/>
              </w:rPr>
            </w:pPr>
            <w:r w:rsidRPr="00255081">
              <w:rPr>
                <w:rFonts w:ascii="Montserrat" w:eastAsia="Times New Roman" w:hAnsi="Montserrat" w:cs="Calibri"/>
                <w:sz w:val="15"/>
                <w:szCs w:val="15"/>
                <w:lang w:val="es-MX" w:eastAsia="es-MX"/>
              </w:rPr>
              <w:t>87,204,371</w:t>
            </w:r>
          </w:p>
        </w:tc>
        <w:tc>
          <w:tcPr>
            <w:tcW w:w="2268" w:type="dxa"/>
            <w:gridSpan w:val="2"/>
            <w:tcBorders>
              <w:top w:val="nil"/>
            </w:tcBorders>
            <w:shd w:val="clear" w:color="auto" w:fill="F2F2F2" w:themeFill="background1" w:themeFillShade="F2"/>
            <w:vAlign w:val="center"/>
          </w:tcPr>
          <w:p w14:paraId="3365FC40" w14:textId="3B884C85" w:rsidR="00EC2223" w:rsidRPr="00255081" w:rsidRDefault="00EC2223" w:rsidP="002702EC">
            <w:pPr>
              <w:spacing w:after="120" w:line="240" w:lineRule="auto"/>
              <w:jc w:val="right"/>
              <w:rPr>
                <w:rFonts w:ascii="Montserrat" w:eastAsia="Times New Roman" w:hAnsi="Montserrat" w:cs="Arial"/>
                <w:color w:val="000000"/>
                <w:sz w:val="15"/>
                <w:szCs w:val="15"/>
                <w:lang w:eastAsia="es-MX"/>
              </w:rPr>
            </w:pPr>
            <w:r w:rsidRPr="00255081">
              <w:rPr>
                <w:rFonts w:ascii="Montserrat" w:eastAsia="Times New Roman" w:hAnsi="Montserrat" w:cs="Calibri"/>
                <w:sz w:val="15"/>
                <w:szCs w:val="15"/>
                <w:lang w:val="es-MX" w:eastAsia="es-MX"/>
              </w:rPr>
              <w:t>100%</w:t>
            </w:r>
          </w:p>
        </w:tc>
        <w:tc>
          <w:tcPr>
            <w:tcW w:w="2098" w:type="dxa"/>
            <w:gridSpan w:val="2"/>
            <w:tcBorders>
              <w:top w:val="nil"/>
            </w:tcBorders>
            <w:shd w:val="clear" w:color="auto" w:fill="F2F2F2" w:themeFill="background1" w:themeFillShade="F2"/>
            <w:noWrap/>
            <w:vAlign w:val="center"/>
          </w:tcPr>
          <w:p w14:paraId="7802155A" w14:textId="09C45B9A" w:rsidR="00EC2223" w:rsidRPr="00255081" w:rsidRDefault="00EC2223" w:rsidP="002702EC">
            <w:pPr>
              <w:spacing w:after="120" w:line="240" w:lineRule="auto"/>
              <w:jc w:val="right"/>
              <w:rPr>
                <w:rFonts w:ascii="Montserrat" w:eastAsia="Times New Roman" w:hAnsi="Montserrat" w:cs="Arial"/>
                <w:color w:val="000000"/>
                <w:sz w:val="15"/>
                <w:szCs w:val="15"/>
                <w:lang w:eastAsia="es-MX"/>
              </w:rPr>
            </w:pPr>
            <w:r w:rsidRPr="00255081">
              <w:rPr>
                <w:rFonts w:ascii="Montserrat" w:eastAsia="Times New Roman" w:hAnsi="Montserrat" w:cs="Calibri"/>
                <w:sz w:val="15"/>
                <w:szCs w:val="15"/>
                <w:lang w:val="es-MX" w:eastAsia="es-MX"/>
              </w:rPr>
              <w:t>87,204,371</w:t>
            </w:r>
          </w:p>
        </w:tc>
      </w:tr>
      <w:tr w:rsidR="00EC2223" w:rsidRPr="006F0DF1" w14:paraId="76C662E5" w14:textId="77777777" w:rsidTr="000F0321">
        <w:trPr>
          <w:trHeight w:val="340"/>
        </w:trPr>
        <w:tc>
          <w:tcPr>
            <w:tcW w:w="6095" w:type="dxa"/>
            <w:tcBorders>
              <w:top w:val="nil"/>
            </w:tcBorders>
            <w:shd w:val="clear" w:color="auto" w:fill="F2F2F2" w:themeFill="background1" w:themeFillShade="F2"/>
            <w:vAlign w:val="center"/>
          </w:tcPr>
          <w:p w14:paraId="4D3216B7" w14:textId="144A687C" w:rsidR="00EC2223" w:rsidRPr="00255081" w:rsidRDefault="00EC2223" w:rsidP="004B170A">
            <w:pPr>
              <w:spacing w:after="120" w:line="240" w:lineRule="auto"/>
              <w:jc w:val="both"/>
              <w:rPr>
                <w:rFonts w:ascii="Montserrat" w:eastAsia="Times New Roman" w:hAnsi="Montserrat" w:cs="Arial"/>
                <w:color w:val="000000"/>
                <w:sz w:val="15"/>
                <w:szCs w:val="15"/>
                <w:lang w:eastAsia="es-MX"/>
              </w:rPr>
            </w:pPr>
            <w:r w:rsidRPr="00255081">
              <w:rPr>
                <w:rFonts w:ascii="Montserrat" w:eastAsia="Times New Roman" w:hAnsi="Montserrat" w:cs="Calibri"/>
                <w:sz w:val="15"/>
                <w:szCs w:val="15"/>
                <w:lang w:val="es-MX" w:eastAsia="es-MX"/>
              </w:rPr>
              <w:t>Mandato para la Remediación Ambiental</w:t>
            </w:r>
          </w:p>
        </w:tc>
        <w:tc>
          <w:tcPr>
            <w:tcW w:w="2268" w:type="dxa"/>
            <w:gridSpan w:val="2"/>
            <w:tcBorders>
              <w:top w:val="nil"/>
            </w:tcBorders>
            <w:shd w:val="clear" w:color="auto" w:fill="F2F2F2" w:themeFill="background1" w:themeFillShade="F2"/>
            <w:vAlign w:val="center"/>
          </w:tcPr>
          <w:p w14:paraId="5A52AD28" w14:textId="0A31144F" w:rsidR="00EC2223" w:rsidRPr="00255081" w:rsidRDefault="00EC2223" w:rsidP="002702EC">
            <w:pPr>
              <w:spacing w:after="120" w:line="240" w:lineRule="auto"/>
              <w:jc w:val="right"/>
              <w:rPr>
                <w:rFonts w:ascii="Montserrat" w:eastAsia="Times New Roman" w:hAnsi="Montserrat" w:cs="Arial"/>
                <w:color w:val="000000"/>
                <w:sz w:val="15"/>
                <w:szCs w:val="15"/>
                <w:lang w:eastAsia="es-MX"/>
              </w:rPr>
            </w:pPr>
            <w:r w:rsidRPr="00255081">
              <w:rPr>
                <w:rFonts w:ascii="Montserrat" w:eastAsia="Times New Roman" w:hAnsi="Montserrat" w:cs="Calibri"/>
                <w:sz w:val="15"/>
                <w:szCs w:val="15"/>
                <w:lang w:val="es-MX" w:eastAsia="es-MX"/>
              </w:rPr>
              <w:t>69,985,403</w:t>
            </w:r>
          </w:p>
        </w:tc>
        <w:tc>
          <w:tcPr>
            <w:tcW w:w="2268" w:type="dxa"/>
            <w:gridSpan w:val="2"/>
            <w:tcBorders>
              <w:top w:val="nil"/>
            </w:tcBorders>
            <w:shd w:val="clear" w:color="auto" w:fill="F2F2F2" w:themeFill="background1" w:themeFillShade="F2"/>
            <w:vAlign w:val="center"/>
          </w:tcPr>
          <w:p w14:paraId="71BA45E9" w14:textId="17E4CDCE" w:rsidR="00EC2223" w:rsidRPr="00255081" w:rsidRDefault="00EC2223" w:rsidP="002702EC">
            <w:pPr>
              <w:spacing w:after="120" w:line="240" w:lineRule="auto"/>
              <w:jc w:val="right"/>
              <w:rPr>
                <w:rFonts w:ascii="Montserrat" w:eastAsia="Times New Roman" w:hAnsi="Montserrat" w:cs="Arial"/>
                <w:color w:val="000000"/>
                <w:sz w:val="15"/>
                <w:szCs w:val="15"/>
                <w:lang w:eastAsia="es-MX"/>
              </w:rPr>
            </w:pPr>
            <w:r w:rsidRPr="00255081">
              <w:rPr>
                <w:rFonts w:ascii="Montserrat" w:eastAsia="Times New Roman" w:hAnsi="Montserrat" w:cs="Calibri"/>
                <w:sz w:val="15"/>
                <w:szCs w:val="15"/>
                <w:lang w:val="es-MX" w:eastAsia="es-MX"/>
              </w:rPr>
              <w:t>100%</w:t>
            </w:r>
          </w:p>
        </w:tc>
        <w:tc>
          <w:tcPr>
            <w:tcW w:w="2098" w:type="dxa"/>
            <w:gridSpan w:val="2"/>
            <w:tcBorders>
              <w:top w:val="nil"/>
            </w:tcBorders>
            <w:shd w:val="clear" w:color="auto" w:fill="F2F2F2" w:themeFill="background1" w:themeFillShade="F2"/>
            <w:noWrap/>
            <w:vAlign w:val="center"/>
          </w:tcPr>
          <w:p w14:paraId="159E58EE" w14:textId="4F4E2FE7" w:rsidR="00EC2223" w:rsidRPr="00255081" w:rsidRDefault="00EC2223" w:rsidP="002702EC">
            <w:pPr>
              <w:spacing w:after="120" w:line="240" w:lineRule="auto"/>
              <w:jc w:val="right"/>
              <w:rPr>
                <w:rFonts w:ascii="Montserrat" w:eastAsia="Times New Roman" w:hAnsi="Montserrat" w:cs="Arial"/>
                <w:color w:val="000000"/>
                <w:sz w:val="15"/>
                <w:szCs w:val="15"/>
                <w:lang w:eastAsia="es-MX"/>
              </w:rPr>
            </w:pPr>
            <w:r w:rsidRPr="00255081">
              <w:rPr>
                <w:rFonts w:ascii="Montserrat" w:eastAsia="Times New Roman" w:hAnsi="Montserrat" w:cs="Calibri"/>
                <w:sz w:val="15"/>
                <w:szCs w:val="15"/>
                <w:lang w:val="es-MX" w:eastAsia="es-MX"/>
              </w:rPr>
              <w:t>69,985,403</w:t>
            </w:r>
          </w:p>
        </w:tc>
      </w:tr>
      <w:tr w:rsidR="00EC2223" w:rsidRPr="006F0DF1" w14:paraId="6A957C3C" w14:textId="77777777" w:rsidTr="000F0321">
        <w:trPr>
          <w:trHeight w:val="340"/>
        </w:trPr>
        <w:tc>
          <w:tcPr>
            <w:tcW w:w="6095" w:type="dxa"/>
            <w:tcBorders>
              <w:top w:val="nil"/>
            </w:tcBorders>
            <w:shd w:val="clear" w:color="auto" w:fill="F2F2F2" w:themeFill="background1" w:themeFillShade="F2"/>
            <w:vAlign w:val="center"/>
          </w:tcPr>
          <w:p w14:paraId="33CCF37D" w14:textId="05971001" w:rsidR="00EC2223" w:rsidRPr="00255081" w:rsidRDefault="00EC2223" w:rsidP="004B170A">
            <w:pPr>
              <w:spacing w:after="120" w:line="240" w:lineRule="auto"/>
              <w:jc w:val="both"/>
              <w:rPr>
                <w:rFonts w:ascii="Montserrat" w:eastAsia="Times New Roman" w:hAnsi="Montserrat" w:cs="Arial"/>
                <w:color w:val="000000"/>
                <w:sz w:val="15"/>
                <w:szCs w:val="15"/>
                <w:lang w:eastAsia="es-MX"/>
              </w:rPr>
            </w:pPr>
            <w:r w:rsidRPr="00255081">
              <w:rPr>
                <w:rFonts w:ascii="Montserrat" w:eastAsia="Times New Roman" w:hAnsi="Montserrat" w:cs="Calibri"/>
                <w:sz w:val="15"/>
                <w:szCs w:val="15"/>
                <w:lang w:val="es-MX" w:eastAsia="es-MX"/>
              </w:rPr>
              <w:t>Fideicomiso para Apoyar los Programas, Proyectos y Acciones Ambientales de la Megalópolis</w:t>
            </w:r>
          </w:p>
        </w:tc>
        <w:tc>
          <w:tcPr>
            <w:tcW w:w="2268" w:type="dxa"/>
            <w:gridSpan w:val="2"/>
            <w:tcBorders>
              <w:top w:val="nil"/>
            </w:tcBorders>
            <w:shd w:val="clear" w:color="auto" w:fill="F2F2F2" w:themeFill="background1" w:themeFillShade="F2"/>
            <w:vAlign w:val="center"/>
          </w:tcPr>
          <w:p w14:paraId="43F70313" w14:textId="0951D978" w:rsidR="00EC2223" w:rsidRPr="00255081" w:rsidRDefault="00EC2223" w:rsidP="002702EC">
            <w:pPr>
              <w:spacing w:after="120" w:line="240" w:lineRule="auto"/>
              <w:jc w:val="right"/>
              <w:rPr>
                <w:rFonts w:ascii="Montserrat" w:eastAsia="Times New Roman" w:hAnsi="Montserrat" w:cs="Arial"/>
                <w:color w:val="000000"/>
                <w:sz w:val="15"/>
                <w:szCs w:val="15"/>
                <w:lang w:eastAsia="es-MX"/>
              </w:rPr>
            </w:pPr>
            <w:r w:rsidRPr="00255081">
              <w:rPr>
                <w:rFonts w:ascii="Montserrat" w:eastAsia="Times New Roman" w:hAnsi="Montserrat" w:cs="Calibri"/>
                <w:sz w:val="15"/>
                <w:szCs w:val="15"/>
                <w:lang w:val="es-MX" w:eastAsia="es-MX"/>
              </w:rPr>
              <w:t>145,434,835</w:t>
            </w:r>
          </w:p>
        </w:tc>
        <w:tc>
          <w:tcPr>
            <w:tcW w:w="2268" w:type="dxa"/>
            <w:gridSpan w:val="2"/>
            <w:tcBorders>
              <w:top w:val="nil"/>
            </w:tcBorders>
            <w:shd w:val="clear" w:color="auto" w:fill="F2F2F2" w:themeFill="background1" w:themeFillShade="F2"/>
            <w:vAlign w:val="center"/>
          </w:tcPr>
          <w:p w14:paraId="63F86033" w14:textId="24108798" w:rsidR="00EC2223" w:rsidRPr="00255081" w:rsidRDefault="00EC2223" w:rsidP="002702EC">
            <w:pPr>
              <w:spacing w:after="120" w:line="240" w:lineRule="auto"/>
              <w:jc w:val="right"/>
              <w:rPr>
                <w:rFonts w:ascii="Montserrat" w:eastAsia="Times New Roman" w:hAnsi="Montserrat" w:cs="Arial"/>
                <w:color w:val="000000"/>
                <w:sz w:val="15"/>
                <w:szCs w:val="15"/>
                <w:lang w:eastAsia="es-MX"/>
              </w:rPr>
            </w:pPr>
            <w:r w:rsidRPr="00255081">
              <w:rPr>
                <w:rFonts w:ascii="Montserrat" w:eastAsia="Times New Roman" w:hAnsi="Montserrat" w:cs="Calibri"/>
                <w:sz w:val="15"/>
                <w:szCs w:val="15"/>
                <w:lang w:val="es-MX" w:eastAsia="es-MX"/>
              </w:rPr>
              <w:t>27%</w:t>
            </w:r>
          </w:p>
        </w:tc>
        <w:tc>
          <w:tcPr>
            <w:tcW w:w="2098" w:type="dxa"/>
            <w:gridSpan w:val="2"/>
            <w:tcBorders>
              <w:top w:val="nil"/>
            </w:tcBorders>
            <w:shd w:val="clear" w:color="auto" w:fill="F2F2F2" w:themeFill="background1" w:themeFillShade="F2"/>
            <w:noWrap/>
            <w:vAlign w:val="center"/>
          </w:tcPr>
          <w:p w14:paraId="58A5C578" w14:textId="1830233C" w:rsidR="00EC2223" w:rsidRPr="00255081" w:rsidRDefault="00EC2223" w:rsidP="002702EC">
            <w:pPr>
              <w:spacing w:after="120" w:line="240" w:lineRule="auto"/>
              <w:jc w:val="right"/>
              <w:rPr>
                <w:rFonts w:ascii="Montserrat" w:eastAsia="Times New Roman" w:hAnsi="Montserrat" w:cs="Arial"/>
                <w:color w:val="000000"/>
                <w:sz w:val="15"/>
                <w:szCs w:val="15"/>
                <w:lang w:eastAsia="es-MX"/>
              </w:rPr>
            </w:pPr>
            <w:r w:rsidRPr="00255081">
              <w:rPr>
                <w:rFonts w:ascii="Montserrat" w:eastAsia="Times New Roman" w:hAnsi="Montserrat" w:cs="Calibri"/>
                <w:sz w:val="15"/>
                <w:szCs w:val="15"/>
                <w:lang w:val="es-MX" w:eastAsia="es-MX"/>
              </w:rPr>
              <w:t>39,267,405</w:t>
            </w:r>
          </w:p>
        </w:tc>
      </w:tr>
      <w:tr w:rsidR="00EC2223" w:rsidRPr="006F0DF1" w14:paraId="045B1EC7" w14:textId="77777777" w:rsidTr="000F0321">
        <w:trPr>
          <w:trHeight w:val="340"/>
        </w:trPr>
        <w:tc>
          <w:tcPr>
            <w:tcW w:w="6095" w:type="dxa"/>
            <w:tcBorders>
              <w:top w:val="nil"/>
            </w:tcBorders>
            <w:shd w:val="clear" w:color="auto" w:fill="F2F2F2" w:themeFill="background1" w:themeFillShade="F2"/>
            <w:vAlign w:val="center"/>
          </w:tcPr>
          <w:p w14:paraId="03CBFC5E" w14:textId="0F4D9743" w:rsidR="00EC2223" w:rsidRPr="00255081" w:rsidRDefault="00EC2223" w:rsidP="004B170A">
            <w:pPr>
              <w:spacing w:after="120" w:line="240" w:lineRule="auto"/>
              <w:jc w:val="both"/>
              <w:rPr>
                <w:rFonts w:ascii="Montserrat" w:eastAsia="Times New Roman" w:hAnsi="Montserrat" w:cs="Arial"/>
                <w:color w:val="000000"/>
                <w:sz w:val="15"/>
                <w:szCs w:val="15"/>
                <w:lang w:eastAsia="es-MX"/>
              </w:rPr>
            </w:pPr>
            <w:r w:rsidRPr="00255081">
              <w:rPr>
                <w:rFonts w:ascii="Montserrat" w:eastAsia="Times New Roman" w:hAnsi="Montserrat" w:cs="Calibri"/>
                <w:sz w:val="15"/>
                <w:szCs w:val="15"/>
                <w:lang w:val="es-MX" w:eastAsia="es-MX"/>
              </w:rPr>
              <w:t>Mandato del Túnel Emisor Oriente</w:t>
            </w:r>
          </w:p>
        </w:tc>
        <w:tc>
          <w:tcPr>
            <w:tcW w:w="2268" w:type="dxa"/>
            <w:gridSpan w:val="2"/>
            <w:tcBorders>
              <w:top w:val="nil"/>
            </w:tcBorders>
            <w:shd w:val="clear" w:color="auto" w:fill="F2F2F2" w:themeFill="background1" w:themeFillShade="F2"/>
            <w:vAlign w:val="center"/>
          </w:tcPr>
          <w:p w14:paraId="38CDCE16" w14:textId="3F86997B" w:rsidR="00EC2223" w:rsidRPr="00255081" w:rsidRDefault="00EC2223" w:rsidP="002702EC">
            <w:pPr>
              <w:spacing w:after="120" w:line="240" w:lineRule="auto"/>
              <w:jc w:val="right"/>
              <w:rPr>
                <w:rFonts w:ascii="Montserrat" w:eastAsia="Times New Roman" w:hAnsi="Montserrat" w:cs="Arial"/>
                <w:color w:val="000000"/>
                <w:sz w:val="15"/>
                <w:szCs w:val="15"/>
                <w:lang w:eastAsia="es-MX"/>
              </w:rPr>
            </w:pPr>
            <w:r w:rsidRPr="00255081">
              <w:rPr>
                <w:rFonts w:ascii="Montserrat" w:eastAsia="Times New Roman" w:hAnsi="Montserrat" w:cs="Calibri"/>
                <w:sz w:val="15"/>
                <w:szCs w:val="15"/>
                <w:lang w:val="es-MX" w:eastAsia="es-MX"/>
              </w:rPr>
              <w:t>386,993,620</w:t>
            </w:r>
          </w:p>
        </w:tc>
        <w:tc>
          <w:tcPr>
            <w:tcW w:w="2268" w:type="dxa"/>
            <w:gridSpan w:val="2"/>
            <w:tcBorders>
              <w:top w:val="nil"/>
            </w:tcBorders>
            <w:shd w:val="clear" w:color="auto" w:fill="F2F2F2" w:themeFill="background1" w:themeFillShade="F2"/>
            <w:vAlign w:val="center"/>
          </w:tcPr>
          <w:p w14:paraId="7C7F8726" w14:textId="29BAE9D0" w:rsidR="00EC2223" w:rsidRPr="00255081" w:rsidRDefault="00EC2223" w:rsidP="002702EC">
            <w:pPr>
              <w:spacing w:after="120" w:line="240" w:lineRule="auto"/>
              <w:jc w:val="right"/>
              <w:rPr>
                <w:rFonts w:ascii="Montserrat" w:eastAsia="Times New Roman" w:hAnsi="Montserrat" w:cs="Arial"/>
                <w:color w:val="000000"/>
                <w:sz w:val="15"/>
                <w:szCs w:val="15"/>
                <w:lang w:eastAsia="es-MX"/>
              </w:rPr>
            </w:pPr>
            <w:r w:rsidRPr="00255081">
              <w:rPr>
                <w:rFonts w:ascii="Montserrat" w:eastAsia="Times New Roman" w:hAnsi="Montserrat" w:cs="Calibri"/>
                <w:sz w:val="15"/>
                <w:szCs w:val="15"/>
                <w:lang w:val="es-MX" w:eastAsia="es-MX"/>
              </w:rPr>
              <w:t>100%</w:t>
            </w:r>
          </w:p>
        </w:tc>
        <w:tc>
          <w:tcPr>
            <w:tcW w:w="2098" w:type="dxa"/>
            <w:gridSpan w:val="2"/>
            <w:tcBorders>
              <w:top w:val="nil"/>
            </w:tcBorders>
            <w:shd w:val="clear" w:color="auto" w:fill="F2F2F2" w:themeFill="background1" w:themeFillShade="F2"/>
            <w:noWrap/>
            <w:vAlign w:val="center"/>
          </w:tcPr>
          <w:p w14:paraId="439D4B36" w14:textId="4ECA1823" w:rsidR="00EC2223" w:rsidRPr="00255081" w:rsidRDefault="00EC2223" w:rsidP="002702EC">
            <w:pPr>
              <w:spacing w:after="120" w:line="240" w:lineRule="auto"/>
              <w:jc w:val="right"/>
              <w:rPr>
                <w:rFonts w:ascii="Montserrat" w:eastAsia="Times New Roman" w:hAnsi="Montserrat" w:cs="Arial"/>
                <w:color w:val="000000"/>
                <w:sz w:val="15"/>
                <w:szCs w:val="15"/>
                <w:lang w:eastAsia="es-MX"/>
              </w:rPr>
            </w:pPr>
            <w:r w:rsidRPr="00255081">
              <w:rPr>
                <w:rFonts w:ascii="Montserrat" w:eastAsia="Times New Roman" w:hAnsi="Montserrat" w:cs="Calibri"/>
                <w:sz w:val="15"/>
                <w:szCs w:val="15"/>
                <w:lang w:val="es-MX" w:eastAsia="es-MX"/>
              </w:rPr>
              <w:t>386,993,620</w:t>
            </w:r>
          </w:p>
        </w:tc>
      </w:tr>
      <w:tr w:rsidR="00EC2223" w:rsidRPr="006F0DF1" w14:paraId="0BE5A609" w14:textId="77777777" w:rsidTr="000F0321">
        <w:trPr>
          <w:trHeight w:val="340"/>
        </w:trPr>
        <w:tc>
          <w:tcPr>
            <w:tcW w:w="6095" w:type="dxa"/>
            <w:tcBorders>
              <w:top w:val="nil"/>
            </w:tcBorders>
            <w:shd w:val="clear" w:color="auto" w:fill="F2F2F2" w:themeFill="background1" w:themeFillShade="F2"/>
            <w:vAlign w:val="center"/>
          </w:tcPr>
          <w:p w14:paraId="36B868B3" w14:textId="2EB08EDA" w:rsidR="00EC2223" w:rsidRPr="00255081" w:rsidRDefault="00EC2223" w:rsidP="004B170A">
            <w:pPr>
              <w:spacing w:after="120" w:line="240" w:lineRule="auto"/>
              <w:jc w:val="both"/>
              <w:rPr>
                <w:rFonts w:ascii="Montserrat" w:eastAsia="Times New Roman" w:hAnsi="Montserrat" w:cs="Arial"/>
                <w:color w:val="000000"/>
                <w:sz w:val="15"/>
                <w:szCs w:val="15"/>
                <w:lang w:eastAsia="es-MX"/>
              </w:rPr>
            </w:pPr>
            <w:r w:rsidRPr="00255081">
              <w:rPr>
                <w:rFonts w:ascii="Montserrat" w:eastAsia="Times New Roman" w:hAnsi="Montserrat" w:cs="Calibri"/>
                <w:sz w:val="15"/>
                <w:szCs w:val="15"/>
                <w:lang w:val="es-MX" w:eastAsia="es-MX"/>
              </w:rPr>
              <w:t>Fideicomiso Público de Administración de Pago</w:t>
            </w:r>
          </w:p>
        </w:tc>
        <w:tc>
          <w:tcPr>
            <w:tcW w:w="2268" w:type="dxa"/>
            <w:gridSpan w:val="2"/>
            <w:tcBorders>
              <w:top w:val="nil"/>
            </w:tcBorders>
            <w:shd w:val="clear" w:color="auto" w:fill="F2F2F2" w:themeFill="background1" w:themeFillShade="F2"/>
            <w:vAlign w:val="center"/>
          </w:tcPr>
          <w:p w14:paraId="138DDC89" w14:textId="1E39A07A" w:rsidR="00EC2223" w:rsidRPr="00255081" w:rsidRDefault="00EC2223" w:rsidP="002702EC">
            <w:pPr>
              <w:spacing w:after="120" w:line="240" w:lineRule="auto"/>
              <w:jc w:val="right"/>
              <w:rPr>
                <w:rFonts w:ascii="Montserrat" w:eastAsia="Times New Roman" w:hAnsi="Montserrat" w:cs="Arial"/>
                <w:color w:val="000000"/>
                <w:sz w:val="15"/>
                <w:szCs w:val="15"/>
                <w:lang w:eastAsia="es-MX"/>
              </w:rPr>
            </w:pPr>
            <w:r w:rsidRPr="00255081">
              <w:rPr>
                <w:rFonts w:ascii="Montserrat" w:eastAsia="Times New Roman" w:hAnsi="Montserrat" w:cs="Calibri"/>
                <w:sz w:val="15"/>
                <w:szCs w:val="15"/>
                <w:lang w:val="es-MX" w:eastAsia="es-MX"/>
              </w:rPr>
              <w:t>138,321,841</w:t>
            </w:r>
          </w:p>
        </w:tc>
        <w:tc>
          <w:tcPr>
            <w:tcW w:w="2268" w:type="dxa"/>
            <w:gridSpan w:val="2"/>
            <w:tcBorders>
              <w:top w:val="nil"/>
            </w:tcBorders>
            <w:shd w:val="clear" w:color="auto" w:fill="F2F2F2" w:themeFill="background1" w:themeFillShade="F2"/>
            <w:vAlign w:val="center"/>
          </w:tcPr>
          <w:p w14:paraId="564F3010" w14:textId="23CE229E" w:rsidR="00EC2223" w:rsidRPr="00255081" w:rsidRDefault="00EC2223" w:rsidP="002702EC">
            <w:pPr>
              <w:spacing w:after="120" w:line="240" w:lineRule="auto"/>
              <w:jc w:val="right"/>
              <w:rPr>
                <w:rFonts w:ascii="Montserrat" w:eastAsia="Times New Roman" w:hAnsi="Montserrat" w:cs="Arial"/>
                <w:color w:val="000000"/>
                <w:sz w:val="15"/>
                <w:szCs w:val="15"/>
                <w:lang w:eastAsia="es-MX"/>
              </w:rPr>
            </w:pPr>
            <w:r w:rsidRPr="00255081">
              <w:rPr>
                <w:rFonts w:ascii="Montserrat" w:eastAsia="Times New Roman" w:hAnsi="Montserrat" w:cs="Calibri"/>
                <w:sz w:val="15"/>
                <w:szCs w:val="15"/>
                <w:lang w:val="es-MX" w:eastAsia="es-MX"/>
              </w:rPr>
              <w:t>100%</w:t>
            </w:r>
          </w:p>
        </w:tc>
        <w:tc>
          <w:tcPr>
            <w:tcW w:w="2098" w:type="dxa"/>
            <w:gridSpan w:val="2"/>
            <w:tcBorders>
              <w:top w:val="nil"/>
            </w:tcBorders>
            <w:shd w:val="clear" w:color="auto" w:fill="F2F2F2" w:themeFill="background1" w:themeFillShade="F2"/>
            <w:noWrap/>
            <w:vAlign w:val="center"/>
          </w:tcPr>
          <w:p w14:paraId="5B955B8A" w14:textId="17C97359" w:rsidR="00EC2223" w:rsidRPr="00255081" w:rsidRDefault="00EC2223" w:rsidP="002702EC">
            <w:pPr>
              <w:spacing w:after="120" w:line="240" w:lineRule="auto"/>
              <w:jc w:val="right"/>
              <w:rPr>
                <w:rFonts w:ascii="Montserrat" w:eastAsia="Times New Roman" w:hAnsi="Montserrat" w:cs="Arial"/>
                <w:color w:val="000000"/>
                <w:sz w:val="15"/>
                <w:szCs w:val="15"/>
                <w:lang w:eastAsia="es-MX"/>
              </w:rPr>
            </w:pPr>
            <w:r w:rsidRPr="00255081">
              <w:rPr>
                <w:rFonts w:ascii="Montserrat" w:eastAsia="Times New Roman" w:hAnsi="Montserrat" w:cs="Calibri"/>
                <w:sz w:val="15"/>
                <w:szCs w:val="15"/>
                <w:lang w:val="es-MX" w:eastAsia="es-MX"/>
              </w:rPr>
              <w:t>138,321,841</w:t>
            </w:r>
          </w:p>
        </w:tc>
      </w:tr>
      <w:tr w:rsidR="00EC2223" w:rsidRPr="006F0DF1" w14:paraId="21C1AF39" w14:textId="77777777" w:rsidTr="000F0321">
        <w:trPr>
          <w:trHeight w:val="340"/>
        </w:trPr>
        <w:tc>
          <w:tcPr>
            <w:tcW w:w="6095" w:type="dxa"/>
            <w:tcBorders>
              <w:top w:val="nil"/>
            </w:tcBorders>
            <w:shd w:val="clear" w:color="auto" w:fill="F2F2F2" w:themeFill="background1" w:themeFillShade="F2"/>
            <w:vAlign w:val="center"/>
          </w:tcPr>
          <w:p w14:paraId="041F6623" w14:textId="46650CCC" w:rsidR="00EC2223" w:rsidRPr="00255081" w:rsidRDefault="00EC2223" w:rsidP="004B170A">
            <w:pPr>
              <w:spacing w:after="120" w:line="240" w:lineRule="auto"/>
              <w:jc w:val="both"/>
              <w:rPr>
                <w:rFonts w:ascii="Montserrat" w:eastAsia="Times New Roman" w:hAnsi="Montserrat" w:cs="Arial"/>
                <w:color w:val="000000"/>
                <w:sz w:val="15"/>
                <w:szCs w:val="15"/>
                <w:lang w:eastAsia="es-MX"/>
              </w:rPr>
            </w:pPr>
            <w:r w:rsidRPr="00255081">
              <w:rPr>
                <w:rFonts w:ascii="Montserrat" w:eastAsia="Times New Roman" w:hAnsi="Montserrat" w:cs="Calibri"/>
                <w:sz w:val="15"/>
                <w:szCs w:val="15"/>
                <w:lang w:val="es-MX" w:eastAsia="es-MX"/>
              </w:rPr>
              <w:t>Fondo de Auxilio Económico a Familiares de las Víctimas de Feminicidio en el Municipio de Juárez Chihuahua</w:t>
            </w:r>
          </w:p>
        </w:tc>
        <w:tc>
          <w:tcPr>
            <w:tcW w:w="2268" w:type="dxa"/>
            <w:gridSpan w:val="2"/>
            <w:tcBorders>
              <w:top w:val="nil"/>
            </w:tcBorders>
            <w:shd w:val="clear" w:color="auto" w:fill="F2F2F2" w:themeFill="background1" w:themeFillShade="F2"/>
            <w:vAlign w:val="center"/>
          </w:tcPr>
          <w:p w14:paraId="1F482718" w14:textId="342FA90A" w:rsidR="00EC2223" w:rsidRPr="00255081" w:rsidRDefault="00EC2223" w:rsidP="002702EC">
            <w:pPr>
              <w:spacing w:after="120" w:line="240" w:lineRule="auto"/>
              <w:jc w:val="right"/>
              <w:rPr>
                <w:rFonts w:ascii="Montserrat" w:eastAsia="Times New Roman" w:hAnsi="Montserrat" w:cs="Arial"/>
                <w:color w:val="000000"/>
                <w:sz w:val="15"/>
                <w:szCs w:val="15"/>
                <w:lang w:eastAsia="es-MX"/>
              </w:rPr>
            </w:pPr>
            <w:r w:rsidRPr="00255081">
              <w:rPr>
                <w:rFonts w:ascii="Montserrat" w:eastAsia="Times New Roman" w:hAnsi="Montserrat" w:cs="Calibri"/>
                <w:sz w:val="15"/>
                <w:szCs w:val="15"/>
                <w:lang w:val="es-MX" w:eastAsia="es-MX"/>
              </w:rPr>
              <w:t>4,379,975</w:t>
            </w:r>
          </w:p>
        </w:tc>
        <w:tc>
          <w:tcPr>
            <w:tcW w:w="2268" w:type="dxa"/>
            <w:gridSpan w:val="2"/>
            <w:tcBorders>
              <w:top w:val="nil"/>
            </w:tcBorders>
            <w:shd w:val="clear" w:color="auto" w:fill="F2F2F2" w:themeFill="background1" w:themeFillShade="F2"/>
            <w:vAlign w:val="center"/>
          </w:tcPr>
          <w:p w14:paraId="3EB77F0E" w14:textId="2374A2D3" w:rsidR="00EC2223" w:rsidRPr="00255081" w:rsidRDefault="00EC2223" w:rsidP="002702EC">
            <w:pPr>
              <w:spacing w:after="120" w:line="240" w:lineRule="auto"/>
              <w:jc w:val="right"/>
              <w:rPr>
                <w:rFonts w:ascii="Montserrat" w:eastAsia="Times New Roman" w:hAnsi="Montserrat" w:cs="Arial"/>
                <w:color w:val="000000"/>
                <w:sz w:val="15"/>
                <w:szCs w:val="15"/>
                <w:lang w:eastAsia="es-MX"/>
              </w:rPr>
            </w:pPr>
            <w:r w:rsidRPr="00255081">
              <w:rPr>
                <w:rFonts w:ascii="Montserrat" w:eastAsia="Times New Roman" w:hAnsi="Montserrat" w:cs="Calibri"/>
                <w:sz w:val="15"/>
                <w:szCs w:val="15"/>
                <w:lang w:val="es-MX" w:eastAsia="es-MX"/>
              </w:rPr>
              <w:t>100%</w:t>
            </w:r>
          </w:p>
        </w:tc>
        <w:tc>
          <w:tcPr>
            <w:tcW w:w="2098" w:type="dxa"/>
            <w:gridSpan w:val="2"/>
            <w:tcBorders>
              <w:top w:val="nil"/>
            </w:tcBorders>
            <w:shd w:val="clear" w:color="auto" w:fill="F2F2F2" w:themeFill="background1" w:themeFillShade="F2"/>
            <w:noWrap/>
            <w:vAlign w:val="center"/>
          </w:tcPr>
          <w:p w14:paraId="439E0F67" w14:textId="0725CE90" w:rsidR="00EC2223" w:rsidRPr="00255081" w:rsidRDefault="00EC2223" w:rsidP="002702EC">
            <w:pPr>
              <w:spacing w:after="120" w:line="240" w:lineRule="auto"/>
              <w:jc w:val="right"/>
              <w:rPr>
                <w:rFonts w:ascii="Montserrat" w:eastAsia="Times New Roman" w:hAnsi="Montserrat" w:cs="Arial"/>
                <w:color w:val="000000"/>
                <w:sz w:val="15"/>
                <w:szCs w:val="15"/>
                <w:lang w:eastAsia="es-MX"/>
              </w:rPr>
            </w:pPr>
            <w:r w:rsidRPr="00255081">
              <w:rPr>
                <w:rFonts w:ascii="Montserrat" w:eastAsia="Times New Roman" w:hAnsi="Montserrat" w:cs="Calibri"/>
                <w:sz w:val="15"/>
                <w:szCs w:val="15"/>
                <w:lang w:val="es-MX" w:eastAsia="es-MX"/>
              </w:rPr>
              <w:t>4,379,975</w:t>
            </w:r>
          </w:p>
        </w:tc>
      </w:tr>
      <w:tr w:rsidR="00EC2223" w:rsidRPr="006F0DF1" w14:paraId="5E90F59B" w14:textId="77777777" w:rsidTr="000F0321">
        <w:trPr>
          <w:trHeight w:val="340"/>
        </w:trPr>
        <w:tc>
          <w:tcPr>
            <w:tcW w:w="6095" w:type="dxa"/>
            <w:shd w:val="clear" w:color="auto" w:fill="F2F2F2" w:themeFill="background1" w:themeFillShade="F2"/>
            <w:vAlign w:val="center"/>
          </w:tcPr>
          <w:p w14:paraId="1E6BD827" w14:textId="2DA8D284" w:rsidR="00EC2223" w:rsidRPr="00255081" w:rsidRDefault="00EC2223" w:rsidP="004B170A">
            <w:pPr>
              <w:spacing w:after="120" w:line="240" w:lineRule="auto"/>
              <w:jc w:val="both"/>
              <w:rPr>
                <w:rFonts w:ascii="Montserrat" w:eastAsia="Times New Roman" w:hAnsi="Montserrat" w:cs="Arial"/>
                <w:color w:val="000000"/>
                <w:sz w:val="15"/>
                <w:szCs w:val="15"/>
                <w:lang w:eastAsia="es-MX"/>
              </w:rPr>
            </w:pPr>
            <w:r w:rsidRPr="00255081">
              <w:rPr>
                <w:rFonts w:ascii="Montserrat" w:eastAsia="Times New Roman" w:hAnsi="Montserrat" w:cs="Calibri"/>
                <w:sz w:val="15"/>
                <w:szCs w:val="15"/>
                <w:lang w:val="es-MX" w:eastAsia="es-MX"/>
              </w:rPr>
              <w:t>Mandato de Administración para Recompensas de la PGR</w:t>
            </w:r>
          </w:p>
        </w:tc>
        <w:tc>
          <w:tcPr>
            <w:tcW w:w="2268" w:type="dxa"/>
            <w:gridSpan w:val="2"/>
            <w:shd w:val="clear" w:color="auto" w:fill="F2F2F2" w:themeFill="background1" w:themeFillShade="F2"/>
            <w:vAlign w:val="center"/>
          </w:tcPr>
          <w:p w14:paraId="4C45E1F8" w14:textId="24FEE125" w:rsidR="00EC2223" w:rsidRPr="00255081" w:rsidRDefault="00EC2223" w:rsidP="002702EC">
            <w:pPr>
              <w:spacing w:after="120" w:line="240" w:lineRule="auto"/>
              <w:jc w:val="right"/>
              <w:rPr>
                <w:rFonts w:ascii="Montserrat" w:eastAsia="Times New Roman" w:hAnsi="Montserrat" w:cs="Arial"/>
                <w:color w:val="000000"/>
                <w:sz w:val="15"/>
                <w:szCs w:val="15"/>
                <w:lang w:eastAsia="es-MX"/>
              </w:rPr>
            </w:pPr>
            <w:r w:rsidRPr="00255081">
              <w:rPr>
                <w:rFonts w:ascii="Montserrat" w:eastAsia="Times New Roman" w:hAnsi="Montserrat" w:cs="Calibri"/>
                <w:sz w:val="15"/>
                <w:szCs w:val="15"/>
                <w:lang w:val="es-MX" w:eastAsia="es-MX"/>
              </w:rPr>
              <w:t>287,047,464</w:t>
            </w:r>
          </w:p>
        </w:tc>
        <w:tc>
          <w:tcPr>
            <w:tcW w:w="2268" w:type="dxa"/>
            <w:gridSpan w:val="2"/>
            <w:shd w:val="clear" w:color="auto" w:fill="F2F2F2" w:themeFill="background1" w:themeFillShade="F2"/>
            <w:vAlign w:val="center"/>
          </w:tcPr>
          <w:p w14:paraId="1E20E521" w14:textId="61100F52" w:rsidR="00EC2223" w:rsidRPr="00255081" w:rsidRDefault="00EC2223" w:rsidP="002702EC">
            <w:pPr>
              <w:spacing w:after="120" w:line="240" w:lineRule="auto"/>
              <w:jc w:val="right"/>
              <w:rPr>
                <w:rFonts w:ascii="Montserrat" w:eastAsia="Times New Roman" w:hAnsi="Montserrat" w:cs="Arial"/>
                <w:color w:val="000000"/>
                <w:sz w:val="15"/>
                <w:szCs w:val="15"/>
                <w:lang w:eastAsia="es-MX"/>
              </w:rPr>
            </w:pPr>
            <w:r w:rsidRPr="00255081">
              <w:rPr>
                <w:rFonts w:ascii="Montserrat" w:eastAsia="Times New Roman" w:hAnsi="Montserrat" w:cs="Calibri"/>
                <w:sz w:val="15"/>
                <w:szCs w:val="15"/>
                <w:lang w:val="es-MX" w:eastAsia="es-MX"/>
              </w:rPr>
              <w:t>100%</w:t>
            </w:r>
          </w:p>
        </w:tc>
        <w:tc>
          <w:tcPr>
            <w:tcW w:w="2098" w:type="dxa"/>
            <w:gridSpan w:val="2"/>
            <w:shd w:val="clear" w:color="auto" w:fill="F2F2F2" w:themeFill="background1" w:themeFillShade="F2"/>
            <w:noWrap/>
            <w:vAlign w:val="center"/>
          </w:tcPr>
          <w:p w14:paraId="2A501DB8" w14:textId="41FA3A11" w:rsidR="00EC2223" w:rsidRPr="00255081" w:rsidRDefault="00EC2223" w:rsidP="002702EC">
            <w:pPr>
              <w:spacing w:after="120" w:line="240" w:lineRule="auto"/>
              <w:jc w:val="right"/>
              <w:rPr>
                <w:rFonts w:ascii="Montserrat" w:eastAsia="Times New Roman" w:hAnsi="Montserrat" w:cs="Arial"/>
                <w:color w:val="000000"/>
                <w:sz w:val="15"/>
                <w:szCs w:val="15"/>
                <w:lang w:eastAsia="es-MX"/>
              </w:rPr>
            </w:pPr>
            <w:r w:rsidRPr="00255081">
              <w:rPr>
                <w:rFonts w:ascii="Montserrat" w:eastAsia="Times New Roman" w:hAnsi="Montserrat" w:cs="Calibri"/>
                <w:sz w:val="15"/>
                <w:szCs w:val="15"/>
                <w:lang w:val="es-MX" w:eastAsia="es-MX"/>
              </w:rPr>
              <w:t>287,047,464</w:t>
            </w:r>
          </w:p>
        </w:tc>
      </w:tr>
      <w:tr w:rsidR="00EC2223" w:rsidRPr="006F0DF1" w14:paraId="1EE36FD1" w14:textId="77777777" w:rsidTr="000F0321">
        <w:trPr>
          <w:trHeight w:val="340"/>
        </w:trPr>
        <w:tc>
          <w:tcPr>
            <w:tcW w:w="6095" w:type="dxa"/>
            <w:tcBorders>
              <w:top w:val="nil"/>
            </w:tcBorders>
            <w:shd w:val="clear" w:color="auto" w:fill="F2F2F2" w:themeFill="background1" w:themeFillShade="F2"/>
            <w:vAlign w:val="center"/>
          </w:tcPr>
          <w:p w14:paraId="7A2B2C5F" w14:textId="37926B0E" w:rsidR="00EC2223" w:rsidRPr="00255081" w:rsidRDefault="00EC2223" w:rsidP="004B170A">
            <w:pPr>
              <w:spacing w:after="120" w:line="240" w:lineRule="auto"/>
              <w:jc w:val="both"/>
              <w:rPr>
                <w:rFonts w:ascii="Montserrat" w:eastAsia="Times New Roman" w:hAnsi="Montserrat" w:cs="Arial"/>
                <w:color w:val="000000"/>
                <w:sz w:val="15"/>
                <w:szCs w:val="15"/>
                <w:lang w:eastAsia="es-MX"/>
              </w:rPr>
            </w:pPr>
            <w:r w:rsidRPr="00255081">
              <w:rPr>
                <w:rFonts w:ascii="Montserrat" w:eastAsia="Times New Roman" w:hAnsi="Montserrat" w:cs="Calibri"/>
                <w:sz w:val="15"/>
                <w:szCs w:val="15"/>
                <w:lang w:val="es-MX" w:eastAsia="es-MX"/>
              </w:rPr>
              <w:t>Fondo para la Transición Energética y el Aprovechamiento Sustentable de la Energía</w:t>
            </w:r>
          </w:p>
        </w:tc>
        <w:tc>
          <w:tcPr>
            <w:tcW w:w="2268" w:type="dxa"/>
            <w:gridSpan w:val="2"/>
            <w:tcBorders>
              <w:top w:val="nil"/>
            </w:tcBorders>
            <w:shd w:val="clear" w:color="auto" w:fill="F2F2F2" w:themeFill="background1" w:themeFillShade="F2"/>
            <w:vAlign w:val="center"/>
          </w:tcPr>
          <w:p w14:paraId="42079FA7" w14:textId="3532E3B5" w:rsidR="00EC2223" w:rsidRPr="00255081" w:rsidRDefault="00EC2223" w:rsidP="002702EC">
            <w:pPr>
              <w:spacing w:after="120" w:line="240" w:lineRule="auto"/>
              <w:jc w:val="right"/>
              <w:rPr>
                <w:rFonts w:ascii="Montserrat" w:eastAsia="Times New Roman" w:hAnsi="Montserrat" w:cs="Arial"/>
                <w:color w:val="000000"/>
                <w:sz w:val="15"/>
                <w:szCs w:val="15"/>
                <w:lang w:eastAsia="es-MX"/>
              </w:rPr>
            </w:pPr>
            <w:r w:rsidRPr="00255081">
              <w:rPr>
                <w:rFonts w:ascii="Montserrat" w:eastAsia="Times New Roman" w:hAnsi="Montserrat" w:cs="Calibri"/>
                <w:sz w:val="15"/>
                <w:szCs w:val="15"/>
                <w:lang w:val="es-MX" w:eastAsia="es-MX"/>
              </w:rPr>
              <w:t>1,204,233,548</w:t>
            </w:r>
          </w:p>
        </w:tc>
        <w:tc>
          <w:tcPr>
            <w:tcW w:w="2268" w:type="dxa"/>
            <w:gridSpan w:val="2"/>
            <w:tcBorders>
              <w:top w:val="nil"/>
            </w:tcBorders>
            <w:shd w:val="clear" w:color="auto" w:fill="F2F2F2" w:themeFill="background1" w:themeFillShade="F2"/>
            <w:vAlign w:val="center"/>
          </w:tcPr>
          <w:p w14:paraId="5A690AB8" w14:textId="7C566B32" w:rsidR="00EC2223" w:rsidRPr="00255081" w:rsidRDefault="00EC2223" w:rsidP="002702EC">
            <w:pPr>
              <w:spacing w:after="120" w:line="240" w:lineRule="auto"/>
              <w:jc w:val="right"/>
              <w:rPr>
                <w:rFonts w:ascii="Montserrat" w:eastAsia="Times New Roman" w:hAnsi="Montserrat" w:cs="Arial"/>
                <w:color w:val="000000"/>
                <w:sz w:val="15"/>
                <w:szCs w:val="15"/>
                <w:lang w:eastAsia="es-MX"/>
              </w:rPr>
            </w:pPr>
            <w:r w:rsidRPr="00255081">
              <w:rPr>
                <w:rFonts w:ascii="Montserrat" w:eastAsia="Times New Roman" w:hAnsi="Montserrat" w:cs="Calibri"/>
                <w:sz w:val="15"/>
                <w:szCs w:val="15"/>
                <w:lang w:val="es-MX" w:eastAsia="es-MX"/>
              </w:rPr>
              <w:t>100%</w:t>
            </w:r>
          </w:p>
        </w:tc>
        <w:tc>
          <w:tcPr>
            <w:tcW w:w="2098" w:type="dxa"/>
            <w:gridSpan w:val="2"/>
            <w:tcBorders>
              <w:top w:val="nil"/>
            </w:tcBorders>
            <w:shd w:val="clear" w:color="auto" w:fill="F2F2F2" w:themeFill="background1" w:themeFillShade="F2"/>
            <w:noWrap/>
            <w:vAlign w:val="center"/>
          </w:tcPr>
          <w:p w14:paraId="65523C62" w14:textId="0721B981" w:rsidR="00EC2223" w:rsidRPr="00255081" w:rsidRDefault="00EC2223" w:rsidP="002702EC">
            <w:pPr>
              <w:spacing w:after="120" w:line="240" w:lineRule="auto"/>
              <w:jc w:val="right"/>
              <w:rPr>
                <w:rFonts w:ascii="Montserrat" w:eastAsia="Times New Roman" w:hAnsi="Montserrat" w:cs="Arial"/>
                <w:color w:val="000000"/>
                <w:sz w:val="15"/>
                <w:szCs w:val="15"/>
                <w:lang w:eastAsia="es-MX"/>
              </w:rPr>
            </w:pPr>
            <w:r w:rsidRPr="00255081">
              <w:rPr>
                <w:rFonts w:ascii="Montserrat" w:eastAsia="Times New Roman" w:hAnsi="Montserrat" w:cs="Calibri"/>
                <w:sz w:val="15"/>
                <w:szCs w:val="15"/>
                <w:lang w:val="es-MX" w:eastAsia="es-MX"/>
              </w:rPr>
              <w:t>1,204,233,548</w:t>
            </w:r>
          </w:p>
        </w:tc>
      </w:tr>
      <w:tr w:rsidR="00EC2223" w:rsidRPr="006F0DF1" w14:paraId="4C6F762E" w14:textId="77777777" w:rsidTr="000F0321">
        <w:trPr>
          <w:trHeight w:val="340"/>
        </w:trPr>
        <w:tc>
          <w:tcPr>
            <w:tcW w:w="6095" w:type="dxa"/>
            <w:tcBorders>
              <w:top w:val="nil"/>
            </w:tcBorders>
            <w:shd w:val="clear" w:color="auto" w:fill="F2F2F2" w:themeFill="background1" w:themeFillShade="F2"/>
            <w:vAlign w:val="center"/>
          </w:tcPr>
          <w:p w14:paraId="16457434" w14:textId="40A0D4B7" w:rsidR="00EC2223" w:rsidRPr="00255081" w:rsidRDefault="00EC2223" w:rsidP="004B170A">
            <w:pPr>
              <w:spacing w:after="120" w:line="240" w:lineRule="auto"/>
              <w:jc w:val="both"/>
              <w:rPr>
                <w:rFonts w:ascii="Montserrat" w:eastAsia="Times New Roman" w:hAnsi="Montserrat" w:cs="Arial"/>
                <w:color w:val="000000"/>
                <w:sz w:val="15"/>
                <w:szCs w:val="15"/>
                <w:lang w:eastAsia="es-MX"/>
              </w:rPr>
            </w:pPr>
            <w:r w:rsidRPr="00255081">
              <w:rPr>
                <w:rFonts w:ascii="Montserrat" w:eastAsia="Times New Roman" w:hAnsi="Montserrat" w:cs="Calibri"/>
                <w:sz w:val="15"/>
                <w:szCs w:val="15"/>
                <w:lang w:val="es-MX" w:eastAsia="es-MX"/>
              </w:rPr>
              <w:t>Fondo de Servicio Universal Eléctrico</w:t>
            </w:r>
          </w:p>
        </w:tc>
        <w:tc>
          <w:tcPr>
            <w:tcW w:w="2268" w:type="dxa"/>
            <w:gridSpan w:val="2"/>
            <w:tcBorders>
              <w:top w:val="nil"/>
            </w:tcBorders>
            <w:shd w:val="clear" w:color="auto" w:fill="F2F2F2" w:themeFill="background1" w:themeFillShade="F2"/>
            <w:vAlign w:val="center"/>
          </w:tcPr>
          <w:p w14:paraId="2E599CBB" w14:textId="4BAB5FB6" w:rsidR="00EC2223" w:rsidRPr="00255081" w:rsidRDefault="00EC2223" w:rsidP="002702EC">
            <w:pPr>
              <w:spacing w:after="120" w:line="240" w:lineRule="auto"/>
              <w:jc w:val="right"/>
              <w:rPr>
                <w:rFonts w:ascii="Montserrat" w:eastAsia="Times New Roman" w:hAnsi="Montserrat" w:cs="Arial"/>
                <w:color w:val="000000"/>
                <w:sz w:val="15"/>
                <w:szCs w:val="15"/>
                <w:lang w:eastAsia="es-MX"/>
              </w:rPr>
            </w:pPr>
            <w:r w:rsidRPr="00255081">
              <w:rPr>
                <w:rFonts w:ascii="Montserrat" w:eastAsia="Times New Roman" w:hAnsi="Montserrat" w:cs="Calibri"/>
                <w:sz w:val="15"/>
                <w:szCs w:val="15"/>
                <w:lang w:val="es-MX" w:eastAsia="es-MX"/>
              </w:rPr>
              <w:t>1,284,929,895</w:t>
            </w:r>
          </w:p>
        </w:tc>
        <w:tc>
          <w:tcPr>
            <w:tcW w:w="2268" w:type="dxa"/>
            <w:gridSpan w:val="2"/>
            <w:tcBorders>
              <w:top w:val="nil"/>
            </w:tcBorders>
            <w:shd w:val="clear" w:color="auto" w:fill="F2F2F2" w:themeFill="background1" w:themeFillShade="F2"/>
            <w:vAlign w:val="center"/>
          </w:tcPr>
          <w:p w14:paraId="7C762AAB" w14:textId="0883A402" w:rsidR="00EC2223" w:rsidRPr="00255081" w:rsidRDefault="00EC2223" w:rsidP="002702EC">
            <w:pPr>
              <w:spacing w:after="120" w:line="240" w:lineRule="auto"/>
              <w:jc w:val="right"/>
              <w:rPr>
                <w:rFonts w:ascii="Montserrat" w:eastAsia="Times New Roman" w:hAnsi="Montserrat" w:cs="Arial"/>
                <w:color w:val="000000"/>
                <w:sz w:val="15"/>
                <w:szCs w:val="15"/>
                <w:lang w:eastAsia="es-MX"/>
              </w:rPr>
            </w:pPr>
            <w:r w:rsidRPr="00255081">
              <w:rPr>
                <w:rFonts w:ascii="Montserrat" w:eastAsia="Times New Roman" w:hAnsi="Montserrat" w:cs="Calibri"/>
                <w:sz w:val="15"/>
                <w:szCs w:val="15"/>
                <w:lang w:val="es-MX" w:eastAsia="es-MX"/>
              </w:rPr>
              <w:t>0.62%</w:t>
            </w:r>
          </w:p>
        </w:tc>
        <w:tc>
          <w:tcPr>
            <w:tcW w:w="2098" w:type="dxa"/>
            <w:gridSpan w:val="2"/>
            <w:tcBorders>
              <w:top w:val="nil"/>
            </w:tcBorders>
            <w:shd w:val="clear" w:color="auto" w:fill="F2F2F2" w:themeFill="background1" w:themeFillShade="F2"/>
            <w:noWrap/>
            <w:vAlign w:val="center"/>
          </w:tcPr>
          <w:p w14:paraId="0187A91D" w14:textId="3A86809A" w:rsidR="00EC2223" w:rsidRPr="00255081" w:rsidRDefault="00EC2223" w:rsidP="002702EC">
            <w:pPr>
              <w:spacing w:after="120" w:line="240" w:lineRule="auto"/>
              <w:jc w:val="right"/>
              <w:rPr>
                <w:rFonts w:ascii="Montserrat" w:eastAsia="Times New Roman" w:hAnsi="Montserrat" w:cs="Arial"/>
                <w:color w:val="000000"/>
                <w:sz w:val="15"/>
                <w:szCs w:val="15"/>
                <w:lang w:eastAsia="es-MX"/>
              </w:rPr>
            </w:pPr>
            <w:r w:rsidRPr="00255081">
              <w:rPr>
                <w:rFonts w:ascii="Montserrat" w:eastAsia="Times New Roman" w:hAnsi="Montserrat" w:cs="Calibri"/>
                <w:sz w:val="15"/>
                <w:szCs w:val="15"/>
                <w:lang w:val="es-MX" w:eastAsia="es-MX"/>
              </w:rPr>
              <w:t>8,000,000</w:t>
            </w:r>
          </w:p>
        </w:tc>
      </w:tr>
      <w:tr w:rsidR="00EC2223" w:rsidRPr="006F0DF1" w14:paraId="136732F1" w14:textId="77777777" w:rsidTr="000F0321">
        <w:trPr>
          <w:trHeight w:val="340"/>
        </w:trPr>
        <w:tc>
          <w:tcPr>
            <w:tcW w:w="6095" w:type="dxa"/>
            <w:tcBorders>
              <w:top w:val="nil"/>
            </w:tcBorders>
            <w:shd w:val="clear" w:color="auto" w:fill="F2F2F2" w:themeFill="background1" w:themeFillShade="F2"/>
            <w:vAlign w:val="center"/>
          </w:tcPr>
          <w:p w14:paraId="37C4306D" w14:textId="77777777" w:rsidR="005A30B5" w:rsidRDefault="005A30B5" w:rsidP="004B170A">
            <w:pPr>
              <w:spacing w:after="120" w:line="240" w:lineRule="auto"/>
              <w:jc w:val="both"/>
              <w:rPr>
                <w:rFonts w:ascii="Montserrat" w:eastAsia="Times New Roman" w:hAnsi="Montserrat" w:cs="Calibri"/>
                <w:sz w:val="15"/>
                <w:szCs w:val="15"/>
                <w:lang w:val="es-MX" w:eastAsia="es-MX"/>
              </w:rPr>
            </w:pPr>
          </w:p>
          <w:p w14:paraId="6B15A8D6" w14:textId="750D443F" w:rsidR="00EC2223" w:rsidRPr="00255081" w:rsidRDefault="00EC2223" w:rsidP="004B170A">
            <w:pPr>
              <w:spacing w:after="120" w:line="240" w:lineRule="auto"/>
              <w:jc w:val="both"/>
              <w:rPr>
                <w:rFonts w:ascii="Montserrat" w:eastAsia="Times New Roman" w:hAnsi="Montserrat" w:cs="Arial"/>
                <w:color w:val="000000"/>
                <w:sz w:val="15"/>
                <w:szCs w:val="15"/>
                <w:lang w:eastAsia="es-MX"/>
              </w:rPr>
            </w:pPr>
            <w:r w:rsidRPr="00255081">
              <w:rPr>
                <w:rFonts w:ascii="Montserrat" w:eastAsia="Times New Roman" w:hAnsi="Montserrat" w:cs="Calibri"/>
                <w:sz w:val="15"/>
                <w:szCs w:val="15"/>
                <w:lang w:val="es-MX" w:eastAsia="es-MX"/>
              </w:rPr>
              <w:t>Fideicomiso Ángeles Verdes</w:t>
            </w:r>
          </w:p>
        </w:tc>
        <w:tc>
          <w:tcPr>
            <w:tcW w:w="2268" w:type="dxa"/>
            <w:gridSpan w:val="2"/>
            <w:tcBorders>
              <w:top w:val="nil"/>
            </w:tcBorders>
            <w:shd w:val="clear" w:color="auto" w:fill="F2F2F2" w:themeFill="background1" w:themeFillShade="F2"/>
            <w:vAlign w:val="center"/>
          </w:tcPr>
          <w:p w14:paraId="7C829AF0" w14:textId="77777777" w:rsidR="005A30B5" w:rsidRDefault="005A30B5" w:rsidP="002702EC">
            <w:pPr>
              <w:spacing w:after="120" w:line="240" w:lineRule="auto"/>
              <w:jc w:val="right"/>
              <w:rPr>
                <w:rFonts w:ascii="Montserrat" w:eastAsia="Times New Roman" w:hAnsi="Montserrat" w:cs="Calibri"/>
                <w:sz w:val="15"/>
                <w:szCs w:val="15"/>
                <w:lang w:val="es-MX" w:eastAsia="es-MX"/>
              </w:rPr>
            </w:pPr>
          </w:p>
          <w:p w14:paraId="786BD634" w14:textId="522A3539" w:rsidR="00EC2223" w:rsidRPr="00255081" w:rsidRDefault="00EC2223" w:rsidP="002702EC">
            <w:pPr>
              <w:spacing w:after="120" w:line="240" w:lineRule="auto"/>
              <w:jc w:val="right"/>
              <w:rPr>
                <w:rFonts w:ascii="Montserrat" w:eastAsia="Times New Roman" w:hAnsi="Montserrat" w:cs="Arial"/>
                <w:color w:val="000000"/>
                <w:sz w:val="15"/>
                <w:szCs w:val="15"/>
                <w:lang w:eastAsia="es-MX"/>
              </w:rPr>
            </w:pPr>
            <w:r w:rsidRPr="00255081">
              <w:rPr>
                <w:rFonts w:ascii="Montserrat" w:eastAsia="Times New Roman" w:hAnsi="Montserrat" w:cs="Calibri"/>
                <w:sz w:val="15"/>
                <w:szCs w:val="15"/>
                <w:lang w:val="es-MX" w:eastAsia="es-MX"/>
              </w:rPr>
              <w:t>152,891,296</w:t>
            </w:r>
          </w:p>
        </w:tc>
        <w:tc>
          <w:tcPr>
            <w:tcW w:w="2268" w:type="dxa"/>
            <w:gridSpan w:val="2"/>
            <w:tcBorders>
              <w:top w:val="nil"/>
            </w:tcBorders>
            <w:shd w:val="clear" w:color="auto" w:fill="F2F2F2" w:themeFill="background1" w:themeFillShade="F2"/>
            <w:vAlign w:val="center"/>
          </w:tcPr>
          <w:p w14:paraId="397EE51F" w14:textId="77777777" w:rsidR="005A30B5" w:rsidRDefault="005A30B5" w:rsidP="002702EC">
            <w:pPr>
              <w:spacing w:after="120" w:line="240" w:lineRule="auto"/>
              <w:jc w:val="right"/>
              <w:rPr>
                <w:rFonts w:ascii="Montserrat" w:eastAsia="Times New Roman" w:hAnsi="Montserrat" w:cs="Calibri"/>
                <w:sz w:val="15"/>
                <w:szCs w:val="15"/>
                <w:lang w:val="es-MX" w:eastAsia="es-MX"/>
              </w:rPr>
            </w:pPr>
          </w:p>
          <w:p w14:paraId="7DB072A8" w14:textId="3848B2E2" w:rsidR="00EC2223" w:rsidRPr="00255081" w:rsidRDefault="00EC2223" w:rsidP="002702EC">
            <w:pPr>
              <w:spacing w:after="120" w:line="240" w:lineRule="auto"/>
              <w:jc w:val="right"/>
              <w:rPr>
                <w:rFonts w:ascii="Montserrat" w:eastAsia="Times New Roman" w:hAnsi="Montserrat" w:cs="Arial"/>
                <w:color w:val="000000"/>
                <w:sz w:val="15"/>
                <w:szCs w:val="15"/>
                <w:lang w:eastAsia="es-MX"/>
              </w:rPr>
            </w:pPr>
            <w:r w:rsidRPr="00255081">
              <w:rPr>
                <w:rFonts w:ascii="Montserrat" w:eastAsia="Times New Roman" w:hAnsi="Montserrat" w:cs="Calibri"/>
                <w:sz w:val="15"/>
                <w:szCs w:val="15"/>
                <w:lang w:val="es-MX" w:eastAsia="es-MX"/>
              </w:rPr>
              <w:t>100%</w:t>
            </w:r>
          </w:p>
        </w:tc>
        <w:tc>
          <w:tcPr>
            <w:tcW w:w="2098" w:type="dxa"/>
            <w:gridSpan w:val="2"/>
            <w:tcBorders>
              <w:top w:val="nil"/>
            </w:tcBorders>
            <w:shd w:val="clear" w:color="auto" w:fill="F2F2F2" w:themeFill="background1" w:themeFillShade="F2"/>
            <w:noWrap/>
            <w:vAlign w:val="center"/>
          </w:tcPr>
          <w:p w14:paraId="54289A85" w14:textId="77777777" w:rsidR="005A30B5" w:rsidRDefault="005A30B5" w:rsidP="002702EC">
            <w:pPr>
              <w:spacing w:after="120" w:line="240" w:lineRule="auto"/>
              <w:jc w:val="right"/>
              <w:rPr>
                <w:rFonts w:ascii="Montserrat" w:eastAsia="Times New Roman" w:hAnsi="Montserrat" w:cs="Calibri"/>
                <w:sz w:val="15"/>
                <w:szCs w:val="15"/>
                <w:lang w:val="es-MX" w:eastAsia="es-MX"/>
              </w:rPr>
            </w:pPr>
          </w:p>
          <w:p w14:paraId="38FB1526" w14:textId="09B4C9E6" w:rsidR="00EC2223" w:rsidRPr="00255081" w:rsidRDefault="00EC2223" w:rsidP="002702EC">
            <w:pPr>
              <w:spacing w:after="120" w:line="240" w:lineRule="auto"/>
              <w:jc w:val="right"/>
              <w:rPr>
                <w:rFonts w:ascii="Montserrat" w:eastAsia="Times New Roman" w:hAnsi="Montserrat" w:cs="Arial"/>
                <w:color w:val="000000"/>
                <w:sz w:val="15"/>
                <w:szCs w:val="15"/>
                <w:lang w:eastAsia="es-MX"/>
              </w:rPr>
            </w:pPr>
            <w:r w:rsidRPr="00255081">
              <w:rPr>
                <w:rFonts w:ascii="Montserrat" w:eastAsia="Times New Roman" w:hAnsi="Montserrat" w:cs="Calibri"/>
                <w:sz w:val="15"/>
                <w:szCs w:val="15"/>
                <w:lang w:val="es-MX" w:eastAsia="es-MX"/>
              </w:rPr>
              <w:t>152,891,296</w:t>
            </w:r>
          </w:p>
        </w:tc>
      </w:tr>
      <w:tr w:rsidR="00EC2223" w:rsidRPr="006F0DF1" w14:paraId="6F1B53ED" w14:textId="77777777" w:rsidTr="000F0321">
        <w:trPr>
          <w:trHeight w:val="340"/>
        </w:trPr>
        <w:tc>
          <w:tcPr>
            <w:tcW w:w="6095" w:type="dxa"/>
            <w:tcBorders>
              <w:top w:val="nil"/>
            </w:tcBorders>
            <w:shd w:val="clear" w:color="auto" w:fill="F2F2F2" w:themeFill="background1" w:themeFillShade="F2"/>
            <w:vAlign w:val="center"/>
          </w:tcPr>
          <w:p w14:paraId="7919FCBF" w14:textId="6CDF7C75" w:rsidR="00EC2223" w:rsidRPr="00255081" w:rsidRDefault="00EC2223" w:rsidP="004B170A">
            <w:pPr>
              <w:spacing w:after="120" w:line="240" w:lineRule="auto"/>
              <w:jc w:val="both"/>
              <w:rPr>
                <w:rFonts w:ascii="Montserrat" w:eastAsia="Times New Roman" w:hAnsi="Montserrat" w:cs="Arial"/>
                <w:color w:val="000000"/>
                <w:sz w:val="15"/>
                <w:szCs w:val="15"/>
                <w:lang w:eastAsia="es-MX"/>
              </w:rPr>
            </w:pPr>
            <w:r w:rsidRPr="00255081">
              <w:rPr>
                <w:rFonts w:ascii="Montserrat" w:eastAsia="Times New Roman" w:hAnsi="Montserrat" w:cs="Calibri"/>
                <w:sz w:val="15"/>
                <w:szCs w:val="15"/>
                <w:lang w:val="es-MX" w:eastAsia="es-MX"/>
              </w:rPr>
              <w:t xml:space="preserve">Fideicomiso Fondo de Desastres Naturales </w:t>
            </w:r>
          </w:p>
        </w:tc>
        <w:tc>
          <w:tcPr>
            <w:tcW w:w="2268" w:type="dxa"/>
            <w:gridSpan w:val="2"/>
            <w:tcBorders>
              <w:top w:val="nil"/>
            </w:tcBorders>
            <w:shd w:val="clear" w:color="auto" w:fill="F2F2F2" w:themeFill="background1" w:themeFillShade="F2"/>
            <w:vAlign w:val="center"/>
          </w:tcPr>
          <w:p w14:paraId="5CE49E65" w14:textId="7E619B6C" w:rsidR="00EC2223" w:rsidRPr="00255081" w:rsidRDefault="00EC2223" w:rsidP="002702EC">
            <w:pPr>
              <w:spacing w:after="120" w:line="240" w:lineRule="auto"/>
              <w:jc w:val="right"/>
              <w:rPr>
                <w:rFonts w:ascii="Montserrat" w:eastAsia="Times New Roman" w:hAnsi="Montserrat" w:cs="Arial"/>
                <w:color w:val="000000"/>
                <w:sz w:val="15"/>
                <w:szCs w:val="15"/>
                <w:lang w:eastAsia="es-MX"/>
              </w:rPr>
            </w:pPr>
            <w:r w:rsidRPr="00255081">
              <w:rPr>
                <w:rFonts w:ascii="Montserrat" w:eastAsia="Times New Roman" w:hAnsi="Montserrat" w:cs="Calibri"/>
                <w:sz w:val="15"/>
                <w:szCs w:val="15"/>
                <w:lang w:val="es-MX" w:eastAsia="es-MX"/>
              </w:rPr>
              <w:t>9,803,866,736</w:t>
            </w:r>
          </w:p>
        </w:tc>
        <w:tc>
          <w:tcPr>
            <w:tcW w:w="2268" w:type="dxa"/>
            <w:gridSpan w:val="2"/>
            <w:tcBorders>
              <w:top w:val="nil"/>
            </w:tcBorders>
            <w:shd w:val="clear" w:color="auto" w:fill="F2F2F2" w:themeFill="background1" w:themeFillShade="F2"/>
            <w:vAlign w:val="center"/>
          </w:tcPr>
          <w:p w14:paraId="24C5C594" w14:textId="019489AE" w:rsidR="00EC2223" w:rsidRPr="00255081" w:rsidRDefault="00EC2223" w:rsidP="002702EC">
            <w:pPr>
              <w:spacing w:after="120" w:line="240" w:lineRule="auto"/>
              <w:jc w:val="right"/>
              <w:rPr>
                <w:rFonts w:ascii="Montserrat" w:eastAsia="Times New Roman" w:hAnsi="Montserrat" w:cs="Arial"/>
                <w:color w:val="000000"/>
                <w:sz w:val="15"/>
                <w:szCs w:val="15"/>
                <w:lang w:eastAsia="es-MX"/>
              </w:rPr>
            </w:pPr>
            <w:r w:rsidRPr="00255081">
              <w:rPr>
                <w:rFonts w:ascii="Montserrat" w:eastAsia="Times New Roman" w:hAnsi="Montserrat" w:cs="Calibri"/>
                <w:sz w:val="15"/>
                <w:szCs w:val="15"/>
                <w:lang w:val="es-MX" w:eastAsia="es-MX"/>
              </w:rPr>
              <w:t>100%</w:t>
            </w:r>
          </w:p>
        </w:tc>
        <w:tc>
          <w:tcPr>
            <w:tcW w:w="2098" w:type="dxa"/>
            <w:gridSpan w:val="2"/>
            <w:tcBorders>
              <w:top w:val="nil"/>
            </w:tcBorders>
            <w:shd w:val="clear" w:color="auto" w:fill="F2F2F2" w:themeFill="background1" w:themeFillShade="F2"/>
            <w:noWrap/>
            <w:vAlign w:val="center"/>
          </w:tcPr>
          <w:p w14:paraId="75022A3D" w14:textId="0865660A" w:rsidR="00EC2223" w:rsidRPr="00255081" w:rsidRDefault="00EC2223" w:rsidP="002702EC">
            <w:pPr>
              <w:spacing w:after="120" w:line="240" w:lineRule="auto"/>
              <w:jc w:val="right"/>
              <w:rPr>
                <w:rFonts w:ascii="Montserrat" w:eastAsia="Times New Roman" w:hAnsi="Montserrat" w:cs="Arial"/>
                <w:color w:val="000000"/>
                <w:sz w:val="15"/>
                <w:szCs w:val="15"/>
                <w:lang w:eastAsia="es-MX"/>
              </w:rPr>
            </w:pPr>
            <w:r w:rsidRPr="00255081">
              <w:rPr>
                <w:rFonts w:ascii="Montserrat" w:eastAsia="Times New Roman" w:hAnsi="Montserrat" w:cs="Calibri"/>
                <w:sz w:val="15"/>
                <w:szCs w:val="15"/>
                <w:lang w:val="es-MX" w:eastAsia="es-MX"/>
              </w:rPr>
              <w:t>9,803,866,736</w:t>
            </w:r>
          </w:p>
        </w:tc>
      </w:tr>
      <w:tr w:rsidR="00EC2223" w:rsidRPr="006F0DF1" w14:paraId="674A1B4C" w14:textId="77777777" w:rsidTr="000F0321">
        <w:trPr>
          <w:trHeight w:val="340"/>
        </w:trPr>
        <w:tc>
          <w:tcPr>
            <w:tcW w:w="6095" w:type="dxa"/>
            <w:tcBorders>
              <w:top w:val="nil"/>
            </w:tcBorders>
            <w:shd w:val="clear" w:color="auto" w:fill="F2F2F2" w:themeFill="background1" w:themeFillShade="F2"/>
            <w:vAlign w:val="center"/>
          </w:tcPr>
          <w:p w14:paraId="066FAF5A" w14:textId="5FC94447" w:rsidR="00EC2223" w:rsidRPr="00255081" w:rsidRDefault="00EC2223" w:rsidP="004B170A">
            <w:pPr>
              <w:spacing w:after="120" w:line="240" w:lineRule="auto"/>
              <w:jc w:val="both"/>
              <w:rPr>
                <w:rFonts w:ascii="Montserrat" w:eastAsia="Times New Roman" w:hAnsi="Montserrat" w:cs="Arial"/>
                <w:color w:val="000000"/>
                <w:sz w:val="15"/>
                <w:szCs w:val="15"/>
                <w:lang w:eastAsia="es-MX"/>
              </w:rPr>
            </w:pPr>
            <w:r w:rsidRPr="00255081">
              <w:rPr>
                <w:rFonts w:ascii="Montserrat" w:eastAsia="Times New Roman" w:hAnsi="Montserrat" w:cs="Calibri"/>
                <w:sz w:val="15"/>
                <w:szCs w:val="15"/>
                <w:lang w:val="es-MX" w:eastAsia="es-MX"/>
              </w:rPr>
              <w:t xml:space="preserve">Fideicomiso Fondo de Ahorro Capitalizable de los Trabajadores al Servicio del Estado </w:t>
            </w:r>
          </w:p>
        </w:tc>
        <w:tc>
          <w:tcPr>
            <w:tcW w:w="2268" w:type="dxa"/>
            <w:gridSpan w:val="2"/>
            <w:tcBorders>
              <w:top w:val="nil"/>
            </w:tcBorders>
            <w:shd w:val="clear" w:color="auto" w:fill="F2F2F2" w:themeFill="background1" w:themeFillShade="F2"/>
            <w:vAlign w:val="center"/>
          </w:tcPr>
          <w:p w14:paraId="35CB6DBA" w14:textId="3428A78F" w:rsidR="00EC2223" w:rsidRPr="00255081" w:rsidRDefault="00EC2223" w:rsidP="002702EC">
            <w:pPr>
              <w:spacing w:after="120" w:line="240" w:lineRule="auto"/>
              <w:jc w:val="right"/>
              <w:rPr>
                <w:rFonts w:ascii="Montserrat" w:eastAsia="Times New Roman" w:hAnsi="Montserrat" w:cs="Arial"/>
                <w:color w:val="000000"/>
                <w:sz w:val="15"/>
                <w:szCs w:val="15"/>
                <w:lang w:eastAsia="es-MX"/>
              </w:rPr>
            </w:pPr>
            <w:r w:rsidRPr="00255081">
              <w:rPr>
                <w:rFonts w:ascii="Montserrat" w:eastAsia="Times New Roman" w:hAnsi="Montserrat" w:cs="Calibri"/>
                <w:sz w:val="15"/>
                <w:szCs w:val="15"/>
                <w:lang w:val="es-MX" w:eastAsia="es-MX"/>
              </w:rPr>
              <w:t>4,669,511,882</w:t>
            </w:r>
          </w:p>
        </w:tc>
        <w:tc>
          <w:tcPr>
            <w:tcW w:w="2268" w:type="dxa"/>
            <w:gridSpan w:val="2"/>
            <w:tcBorders>
              <w:top w:val="nil"/>
            </w:tcBorders>
            <w:shd w:val="clear" w:color="auto" w:fill="F2F2F2" w:themeFill="background1" w:themeFillShade="F2"/>
            <w:vAlign w:val="center"/>
          </w:tcPr>
          <w:p w14:paraId="01D1FB56" w14:textId="16B0E5E7" w:rsidR="00EC2223" w:rsidRPr="00255081" w:rsidRDefault="00EC2223" w:rsidP="002702EC">
            <w:pPr>
              <w:spacing w:after="120" w:line="240" w:lineRule="auto"/>
              <w:jc w:val="right"/>
              <w:rPr>
                <w:rFonts w:ascii="Montserrat" w:eastAsia="Times New Roman" w:hAnsi="Montserrat" w:cs="Arial"/>
                <w:color w:val="000000"/>
                <w:sz w:val="15"/>
                <w:szCs w:val="15"/>
                <w:lang w:eastAsia="es-MX"/>
              </w:rPr>
            </w:pPr>
            <w:r w:rsidRPr="00255081">
              <w:rPr>
                <w:rFonts w:ascii="Montserrat" w:eastAsia="Times New Roman" w:hAnsi="Montserrat" w:cs="Calibri"/>
                <w:sz w:val="15"/>
                <w:szCs w:val="15"/>
                <w:lang w:val="es-MX" w:eastAsia="es-MX"/>
              </w:rPr>
              <w:t>74.90%</w:t>
            </w:r>
          </w:p>
        </w:tc>
        <w:tc>
          <w:tcPr>
            <w:tcW w:w="2098" w:type="dxa"/>
            <w:gridSpan w:val="2"/>
            <w:tcBorders>
              <w:top w:val="nil"/>
            </w:tcBorders>
            <w:shd w:val="clear" w:color="auto" w:fill="F2F2F2" w:themeFill="background1" w:themeFillShade="F2"/>
            <w:noWrap/>
            <w:vAlign w:val="center"/>
          </w:tcPr>
          <w:p w14:paraId="05A6B3BD" w14:textId="1B8B0042" w:rsidR="00EC2223" w:rsidRPr="00255081" w:rsidRDefault="00EC2223" w:rsidP="002702EC">
            <w:pPr>
              <w:spacing w:after="120" w:line="240" w:lineRule="auto"/>
              <w:jc w:val="right"/>
              <w:rPr>
                <w:rFonts w:ascii="Montserrat" w:eastAsia="Times New Roman" w:hAnsi="Montserrat" w:cs="Arial"/>
                <w:color w:val="000000"/>
                <w:sz w:val="15"/>
                <w:szCs w:val="15"/>
                <w:lang w:eastAsia="es-MX"/>
              </w:rPr>
            </w:pPr>
            <w:r w:rsidRPr="00255081">
              <w:rPr>
                <w:rFonts w:ascii="Montserrat" w:eastAsia="Times New Roman" w:hAnsi="Montserrat" w:cs="Calibri"/>
                <w:sz w:val="15"/>
                <w:szCs w:val="15"/>
                <w:lang w:val="es-MX" w:eastAsia="es-MX"/>
              </w:rPr>
              <w:t>3,498,277,980</w:t>
            </w:r>
          </w:p>
        </w:tc>
      </w:tr>
      <w:tr w:rsidR="00EC2223" w:rsidRPr="006F0DF1" w14:paraId="1C130B9C" w14:textId="77777777" w:rsidTr="000F0321">
        <w:trPr>
          <w:trHeight w:val="340"/>
        </w:trPr>
        <w:tc>
          <w:tcPr>
            <w:tcW w:w="6095" w:type="dxa"/>
            <w:tcBorders>
              <w:top w:val="nil"/>
            </w:tcBorders>
            <w:shd w:val="clear" w:color="auto" w:fill="F2F2F2" w:themeFill="background1" w:themeFillShade="F2"/>
            <w:vAlign w:val="center"/>
          </w:tcPr>
          <w:p w14:paraId="210610F2" w14:textId="778B6281" w:rsidR="00EC2223" w:rsidRPr="00255081" w:rsidRDefault="00EC2223" w:rsidP="004B170A">
            <w:pPr>
              <w:spacing w:after="120" w:line="240" w:lineRule="auto"/>
              <w:jc w:val="both"/>
              <w:rPr>
                <w:rFonts w:ascii="Montserrat" w:eastAsia="Times New Roman" w:hAnsi="Montserrat" w:cs="Arial"/>
                <w:color w:val="000000"/>
                <w:sz w:val="15"/>
                <w:szCs w:val="15"/>
                <w:lang w:eastAsia="es-MX"/>
              </w:rPr>
            </w:pPr>
            <w:r w:rsidRPr="00255081">
              <w:rPr>
                <w:rFonts w:ascii="Montserrat" w:eastAsia="Times New Roman" w:hAnsi="Montserrat" w:cs="Calibri"/>
                <w:sz w:val="15"/>
                <w:szCs w:val="15"/>
                <w:lang w:val="es-MX" w:eastAsia="es-MX"/>
              </w:rPr>
              <w:t xml:space="preserve">Fideicomiso para la infraestructura de los Estados </w:t>
            </w:r>
          </w:p>
        </w:tc>
        <w:tc>
          <w:tcPr>
            <w:tcW w:w="2268" w:type="dxa"/>
            <w:gridSpan w:val="2"/>
            <w:tcBorders>
              <w:top w:val="nil"/>
            </w:tcBorders>
            <w:shd w:val="clear" w:color="auto" w:fill="F2F2F2" w:themeFill="background1" w:themeFillShade="F2"/>
            <w:vAlign w:val="center"/>
          </w:tcPr>
          <w:p w14:paraId="40D4D73E" w14:textId="6287E6AB" w:rsidR="00EC2223" w:rsidRPr="00255081" w:rsidRDefault="00EC2223" w:rsidP="002702EC">
            <w:pPr>
              <w:spacing w:after="120" w:line="240" w:lineRule="auto"/>
              <w:jc w:val="right"/>
              <w:rPr>
                <w:rFonts w:ascii="Montserrat" w:eastAsia="Times New Roman" w:hAnsi="Montserrat" w:cs="Arial"/>
                <w:color w:val="000000"/>
                <w:sz w:val="15"/>
                <w:szCs w:val="15"/>
                <w:lang w:eastAsia="es-MX"/>
              </w:rPr>
            </w:pPr>
            <w:r w:rsidRPr="00255081">
              <w:rPr>
                <w:rFonts w:ascii="Montserrat" w:eastAsia="Times New Roman" w:hAnsi="Montserrat" w:cs="Calibri"/>
                <w:sz w:val="15"/>
                <w:szCs w:val="15"/>
                <w:lang w:val="es-MX" w:eastAsia="es-MX"/>
              </w:rPr>
              <w:t>3,883,982,638</w:t>
            </w:r>
          </w:p>
        </w:tc>
        <w:tc>
          <w:tcPr>
            <w:tcW w:w="2268" w:type="dxa"/>
            <w:gridSpan w:val="2"/>
            <w:tcBorders>
              <w:top w:val="nil"/>
            </w:tcBorders>
            <w:shd w:val="clear" w:color="auto" w:fill="F2F2F2" w:themeFill="background1" w:themeFillShade="F2"/>
            <w:vAlign w:val="center"/>
          </w:tcPr>
          <w:p w14:paraId="78B137D8" w14:textId="12A91826" w:rsidR="00EC2223" w:rsidRPr="00255081" w:rsidRDefault="00EC2223" w:rsidP="002702EC">
            <w:pPr>
              <w:spacing w:after="120" w:line="240" w:lineRule="auto"/>
              <w:jc w:val="right"/>
              <w:rPr>
                <w:rFonts w:ascii="Montserrat" w:eastAsia="Times New Roman" w:hAnsi="Montserrat" w:cs="Arial"/>
                <w:color w:val="000000"/>
                <w:sz w:val="15"/>
                <w:szCs w:val="15"/>
                <w:lang w:eastAsia="es-MX"/>
              </w:rPr>
            </w:pPr>
            <w:r w:rsidRPr="00255081">
              <w:rPr>
                <w:rFonts w:ascii="Montserrat" w:eastAsia="Times New Roman" w:hAnsi="Montserrat" w:cs="Calibri"/>
                <w:sz w:val="15"/>
                <w:szCs w:val="15"/>
                <w:lang w:val="es-MX" w:eastAsia="es-MX"/>
              </w:rPr>
              <w:t>100%</w:t>
            </w:r>
          </w:p>
        </w:tc>
        <w:tc>
          <w:tcPr>
            <w:tcW w:w="2098" w:type="dxa"/>
            <w:gridSpan w:val="2"/>
            <w:tcBorders>
              <w:top w:val="nil"/>
            </w:tcBorders>
            <w:shd w:val="clear" w:color="auto" w:fill="F2F2F2" w:themeFill="background1" w:themeFillShade="F2"/>
            <w:noWrap/>
            <w:vAlign w:val="center"/>
          </w:tcPr>
          <w:p w14:paraId="00C4E1B2" w14:textId="0B67543F" w:rsidR="00EC2223" w:rsidRPr="00255081" w:rsidRDefault="00EC2223" w:rsidP="002702EC">
            <w:pPr>
              <w:spacing w:after="120" w:line="240" w:lineRule="auto"/>
              <w:jc w:val="right"/>
              <w:rPr>
                <w:rFonts w:ascii="Montserrat" w:eastAsia="Times New Roman" w:hAnsi="Montserrat" w:cs="Arial"/>
                <w:color w:val="000000"/>
                <w:sz w:val="15"/>
                <w:szCs w:val="15"/>
                <w:lang w:eastAsia="es-MX"/>
              </w:rPr>
            </w:pPr>
            <w:r w:rsidRPr="00255081">
              <w:rPr>
                <w:rFonts w:ascii="Montserrat" w:eastAsia="Times New Roman" w:hAnsi="Montserrat" w:cs="Calibri"/>
                <w:sz w:val="15"/>
                <w:szCs w:val="15"/>
                <w:lang w:val="es-MX" w:eastAsia="es-MX"/>
              </w:rPr>
              <w:t>3,883,982,638</w:t>
            </w:r>
          </w:p>
        </w:tc>
      </w:tr>
      <w:tr w:rsidR="00EC2223" w:rsidRPr="006F0DF1" w14:paraId="03F4DA02" w14:textId="77777777" w:rsidTr="000F0321">
        <w:trPr>
          <w:trHeight w:val="340"/>
        </w:trPr>
        <w:tc>
          <w:tcPr>
            <w:tcW w:w="6095" w:type="dxa"/>
            <w:tcBorders>
              <w:top w:val="nil"/>
            </w:tcBorders>
            <w:shd w:val="clear" w:color="auto" w:fill="F2F2F2" w:themeFill="background1" w:themeFillShade="F2"/>
            <w:vAlign w:val="center"/>
          </w:tcPr>
          <w:p w14:paraId="21B11E04" w14:textId="21A3EE9E" w:rsidR="00EC2223" w:rsidRPr="00255081" w:rsidRDefault="00EC2223" w:rsidP="004B170A">
            <w:pPr>
              <w:spacing w:after="120" w:line="240" w:lineRule="auto"/>
              <w:jc w:val="both"/>
              <w:rPr>
                <w:rFonts w:ascii="Montserrat" w:eastAsia="Times New Roman" w:hAnsi="Montserrat" w:cs="Arial"/>
                <w:color w:val="000000"/>
                <w:sz w:val="15"/>
                <w:szCs w:val="15"/>
                <w:lang w:eastAsia="es-MX"/>
              </w:rPr>
            </w:pPr>
            <w:r w:rsidRPr="00255081">
              <w:rPr>
                <w:rFonts w:ascii="Montserrat" w:eastAsia="Times New Roman" w:hAnsi="Montserrat" w:cs="Calibri"/>
                <w:sz w:val="15"/>
                <w:szCs w:val="15"/>
                <w:lang w:val="es-MX" w:eastAsia="es-MX"/>
              </w:rPr>
              <w:t xml:space="preserve">Fideicomiso Fondo Regional </w:t>
            </w:r>
          </w:p>
        </w:tc>
        <w:tc>
          <w:tcPr>
            <w:tcW w:w="2268" w:type="dxa"/>
            <w:gridSpan w:val="2"/>
            <w:tcBorders>
              <w:top w:val="nil"/>
            </w:tcBorders>
            <w:shd w:val="clear" w:color="auto" w:fill="F2F2F2" w:themeFill="background1" w:themeFillShade="F2"/>
            <w:vAlign w:val="center"/>
          </w:tcPr>
          <w:p w14:paraId="2EDCBE61" w14:textId="21D83F48" w:rsidR="00EC2223" w:rsidRPr="00255081" w:rsidRDefault="00EC2223" w:rsidP="002702EC">
            <w:pPr>
              <w:spacing w:after="120" w:line="240" w:lineRule="auto"/>
              <w:jc w:val="right"/>
              <w:rPr>
                <w:rFonts w:ascii="Montserrat" w:eastAsia="Times New Roman" w:hAnsi="Montserrat" w:cs="Arial"/>
                <w:color w:val="000000"/>
                <w:sz w:val="15"/>
                <w:szCs w:val="15"/>
                <w:lang w:eastAsia="es-MX"/>
              </w:rPr>
            </w:pPr>
            <w:r w:rsidRPr="00255081">
              <w:rPr>
                <w:rFonts w:ascii="Montserrat" w:eastAsia="Times New Roman" w:hAnsi="Montserrat" w:cs="Calibri"/>
                <w:sz w:val="15"/>
                <w:szCs w:val="15"/>
                <w:lang w:val="es-MX" w:eastAsia="es-MX"/>
              </w:rPr>
              <w:t>1,739,399,076</w:t>
            </w:r>
          </w:p>
        </w:tc>
        <w:tc>
          <w:tcPr>
            <w:tcW w:w="2268" w:type="dxa"/>
            <w:gridSpan w:val="2"/>
            <w:tcBorders>
              <w:top w:val="nil"/>
            </w:tcBorders>
            <w:shd w:val="clear" w:color="auto" w:fill="F2F2F2" w:themeFill="background1" w:themeFillShade="F2"/>
            <w:vAlign w:val="center"/>
          </w:tcPr>
          <w:p w14:paraId="55978CC9" w14:textId="0000601D" w:rsidR="00EC2223" w:rsidRPr="00255081" w:rsidRDefault="00EC2223" w:rsidP="002702EC">
            <w:pPr>
              <w:spacing w:after="120" w:line="240" w:lineRule="auto"/>
              <w:jc w:val="right"/>
              <w:rPr>
                <w:rFonts w:ascii="Montserrat" w:eastAsia="Times New Roman" w:hAnsi="Montserrat" w:cs="Arial"/>
                <w:color w:val="000000"/>
                <w:sz w:val="15"/>
                <w:szCs w:val="15"/>
                <w:lang w:eastAsia="es-MX"/>
              </w:rPr>
            </w:pPr>
            <w:r w:rsidRPr="00255081">
              <w:rPr>
                <w:rFonts w:ascii="Montserrat" w:eastAsia="Times New Roman" w:hAnsi="Montserrat" w:cs="Calibri"/>
                <w:sz w:val="15"/>
                <w:szCs w:val="15"/>
                <w:lang w:val="es-MX" w:eastAsia="es-MX"/>
              </w:rPr>
              <w:t>100%</w:t>
            </w:r>
          </w:p>
        </w:tc>
        <w:tc>
          <w:tcPr>
            <w:tcW w:w="2098" w:type="dxa"/>
            <w:gridSpan w:val="2"/>
            <w:tcBorders>
              <w:top w:val="nil"/>
            </w:tcBorders>
            <w:shd w:val="clear" w:color="auto" w:fill="F2F2F2" w:themeFill="background1" w:themeFillShade="F2"/>
            <w:noWrap/>
            <w:vAlign w:val="center"/>
          </w:tcPr>
          <w:p w14:paraId="22D9433A" w14:textId="2782A85A" w:rsidR="00EC2223" w:rsidRPr="00255081" w:rsidRDefault="00EC2223" w:rsidP="002702EC">
            <w:pPr>
              <w:spacing w:after="120" w:line="240" w:lineRule="auto"/>
              <w:jc w:val="right"/>
              <w:rPr>
                <w:rFonts w:ascii="Montserrat" w:eastAsia="Times New Roman" w:hAnsi="Montserrat" w:cs="Arial"/>
                <w:color w:val="000000"/>
                <w:sz w:val="15"/>
                <w:szCs w:val="15"/>
                <w:lang w:eastAsia="es-MX"/>
              </w:rPr>
            </w:pPr>
            <w:r w:rsidRPr="00255081">
              <w:rPr>
                <w:rFonts w:ascii="Montserrat" w:eastAsia="Times New Roman" w:hAnsi="Montserrat" w:cs="Calibri"/>
                <w:sz w:val="15"/>
                <w:szCs w:val="15"/>
                <w:lang w:val="es-MX" w:eastAsia="es-MX"/>
              </w:rPr>
              <w:t>1,739,399,076</w:t>
            </w:r>
          </w:p>
        </w:tc>
      </w:tr>
      <w:tr w:rsidR="00EC2223" w:rsidRPr="006F0DF1" w14:paraId="3D8B9FB9" w14:textId="77777777" w:rsidTr="000F0321">
        <w:trPr>
          <w:trHeight w:val="340"/>
        </w:trPr>
        <w:tc>
          <w:tcPr>
            <w:tcW w:w="6095" w:type="dxa"/>
            <w:tcBorders>
              <w:top w:val="nil"/>
            </w:tcBorders>
            <w:shd w:val="clear" w:color="auto" w:fill="F2F2F2" w:themeFill="background1" w:themeFillShade="F2"/>
            <w:vAlign w:val="center"/>
          </w:tcPr>
          <w:p w14:paraId="02445DB3" w14:textId="77777777" w:rsidR="000A1B05" w:rsidRDefault="000A1B05" w:rsidP="004B170A">
            <w:pPr>
              <w:spacing w:after="120" w:line="240" w:lineRule="auto"/>
              <w:jc w:val="both"/>
              <w:rPr>
                <w:rFonts w:ascii="Montserrat" w:eastAsia="Times New Roman" w:hAnsi="Montserrat" w:cs="Calibri"/>
                <w:sz w:val="15"/>
                <w:szCs w:val="15"/>
                <w:lang w:val="es-MX" w:eastAsia="es-MX"/>
              </w:rPr>
            </w:pPr>
          </w:p>
          <w:p w14:paraId="635C36F5" w14:textId="7B5598E7" w:rsidR="00EC2223" w:rsidRPr="00255081" w:rsidRDefault="00EC2223" w:rsidP="004B170A">
            <w:pPr>
              <w:spacing w:after="120" w:line="240" w:lineRule="auto"/>
              <w:jc w:val="both"/>
              <w:rPr>
                <w:rFonts w:ascii="Montserrat" w:eastAsia="Times New Roman" w:hAnsi="Montserrat" w:cs="Arial"/>
                <w:color w:val="000000"/>
                <w:sz w:val="15"/>
                <w:szCs w:val="15"/>
                <w:lang w:eastAsia="es-MX"/>
              </w:rPr>
            </w:pPr>
            <w:r w:rsidRPr="00255081">
              <w:rPr>
                <w:rFonts w:ascii="Montserrat" w:eastAsia="Times New Roman" w:hAnsi="Montserrat" w:cs="Calibri"/>
                <w:sz w:val="15"/>
                <w:szCs w:val="15"/>
                <w:lang w:val="es-MX" w:eastAsia="es-MX"/>
              </w:rPr>
              <w:t>Fideicomiso Fondo Metropolitano 9</w:t>
            </w:r>
          </w:p>
        </w:tc>
        <w:tc>
          <w:tcPr>
            <w:tcW w:w="2268" w:type="dxa"/>
            <w:gridSpan w:val="2"/>
            <w:tcBorders>
              <w:top w:val="nil"/>
            </w:tcBorders>
            <w:shd w:val="clear" w:color="auto" w:fill="F2F2F2" w:themeFill="background1" w:themeFillShade="F2"/>
            <w:vAlign w:val="center"/>
          </w:tcPr>
          <w:p w14:paraId="13CB49D0" w14:textId="77777777" w:rsidR="000A1B05" w:rsidRDefault="000A1B05" w:rsidP="002702EC">
            <w:pPr>
              <w:spacing w:after="120" w:line="240" w:lineRule="auto"/>
              <w:jc w:val="right"/>
              <w:rPr>
                <w:rFonts w:ascii="Montserrat" w:eastAsia="Times New Roman" w:hAnsi="Montserrat" w:cs="Calibri"/>
                <w:sz w:val="15"/>
                <w:szCs w:val="15"/>
                <w:lang w:val="es-MX" w:eastAsia="es-MX"/>
              </w:rPr>
            </w:pPr>
          </w:p>
          <w:p w14:paraId="09F2D9F3" w14:textId="481D8B22" w:rsidR="00EC2223" w:rsidRPr="00255081" w:rsidRDefault="00EC2223" w:rsidP="002702EC">
            <w:pPr>
              <w:spacing w:after="120" w:line="240" w:lineRule="auto"/>
              <w:jc w:val="right"/>
              <w:rPr>
                <w:rFonts w:ascii="Montserrat" w:eastAsia="Times New Roman" w:hAnsi="Montserrat" w:cs="Arial"/>
                <w:color w:val="000000"/>
                <w:sz w:val="15"/>
                <w:szCs w:val="15"/>
                <w:lang w:eastAsia="es-MX"/>
              </w:rPr>
            </w:pPr>
            <w:r w:rsidRPr="00255081">
              <w:rPr>
                <w:rFonts w:ascii="Montserrat" w:eastAsia="Times New Roman" w:hAnsi="Montserrat" w:cs="Calibri"/>
                <w:sz w:val="15"/>
                <w:szCs w:val="15"/>
                <w:lang w:val="es-MX" w:eastAsia="es-MX"/>
              </w:rPr>
              <w:t>3,280,105,143</w:t>
            </w:r>
          </w:p>
        </w:tc>
        <w:tc>
          <w:tcPr>
            <w:tcW w:w="2268" w:type="dxa"/>
            <w:gridSpan w:val="2"/>
            <w:tcBorders>
              <w:top w:val="nil"/>
            </w:tcBorders>
            <w:shd w:val="clear" w:color="auto" w:fill="F2F2F2" w:themeFill="background1" w:themeFillShade="F2"/>
            <w:vAlign w:val="center"/>
          </w:tcPr>
          <w:p w14:paraId="78DB635D" w14:textId="77777777" w:rsidR="000A1B05" w:rsidRDefault="000A1B05" w:rsidP="002702EC">
            <w:pPr>
              <w:spacing w:after="120" w:line="240" w:lineRule="auto"/>
              <w:jc w:val="right"/>
              <w:rPr>
                <w:rFonts w:ascii="Montserrat" w:eastAsia="Times New Roman" w:hAnsi="Montserrat" w:cs="Calibri"/>
                <w:sz w:val="15"/>
                <w:szCs w:val="15"/>
                <w:lang w:val="es-MX" w:eastAsia="es-MX"/>
              </w:rPr>
            </w:pPr>
          </w:p>
          <w:p w14:paraId="67235460" w14:textId="306F6594" w:rsidR="00EC2223" w:rsidRPr="00255081" w:rsidRDefault="00EC2223" w:rsidP="002702EC">
            <w:pPr>
              <w:spacing w:after="120" w:line="240" w:lineRule="auto"/>
              <w:jc w:val="right"/>
              <w:rPr>
                <w:rFonts w:ascii="Montserrat" w:eastAsia="Times New Roman" w:hAnsi="Montserrat" w:cs="Arial"/>
                <w:color w:val="000000"/>
                <w:sz w:val="15"/>
                <w:szCs w:val="15"/>
                <w:lang w:eastAsia="es-MX"/>
              </w:rPr>
            </w:pPr>
            <w:r w:rsidRPr="00255081">
              <w:rPr>
                <w:rFonts w:ascii="Montserrat" w:eastAsia="Times New Roman" w:hAnsi="Montserrat" w:cs="Calibri"/>
                <w:sz w:val="15"/>
                <w:szCs w:val="15"/>
                <w:lang w:val="es-MX" w:eastAsia="es-MX"/>
              </w:rPr>
              <w:t>100%</w:t>
            </w:r>
          </w:p>
        </w:tc>
        <w:tc>
          <w:tcPr>
            <w:tcW w:w="2098" w:type="dxa"/>
            <w:gridSpan w:val="2"/>
            <w:tcBorders>
              <w:top w:val="nil"/>
            </w:tcBorders>
            <w:shd w:val="clear" w:color="auto" w:fill="F2F2F2" w:themeFill="background1" w:themeFillShade="F2"/>
            <w:noWrap/>
            <w:vAlign w:val="center"/>
          </w:tcPr>
          <w:p w14:paraId="137FDD7A" w14:textId="77777777" w:rsidR="000A1B05" w:rsidRDefault="000A1B05" w:rsidP="002702EC">
            <w:pPr>
              <w:spacing w:after="120" w:line="240" w:lineRule="auto"/>
              <w:jc w:val="right"/>
              <w:rPr>
                <w:rFonts w:ascii="Montserrat" w:eastAsia="Times New Roman" w:hAnsi="Montserrat" w:cs="Calibri"/>
                <w:sz w:val="15"/>
                <w:szCs w:val="15"/>
                <w:lang w:val="es-MX" w:eastAsia="es-MX"/>
              </w:rPr>
            </w:pPr>
          </w:p>
          <w:p w14:paraId="63B54E59" w14:textId="41598C16" w:rsidR="00EC2223" w:rsidRPr="00255081" w:rsidRDefault="00EC2223" w:rsidP="002702EC">
            <w:pPr>
              <w:spacing w:after="120" w:line="240" w:lineRule="auto"/>
              <w:jc w:val="right"/>
              <w:rPr>
                <w:rFonts w:ascii="Montserrat" w:eastAsia="Times New Roman" w:hAnsi="Montserrat" w:cs="Arial"/>
                <w:color w:val="000000"/>
                <w:sz w:val="15"/>
                <w:szCs w:val="15"/>
                <w:lang w:eastAsia="es-MX"/>
              </w:rPr>
            </w:pPr>
            <w:r w:rsidRPr="00255081">
              <w:rPr>
                <w:rFonts w:ascii="Montserrat" w:eastAsia="Times New Roman" w:hAnsi="Montserrat" w:cs="Calibri"/>
                <w:sz w:val="15"/>
                <w:szCs w:val="15"/>
                <w:lang w:val="es-MX" w:eastAsia="es-MX"/>
              </w:rPr>
              <w:t>3,280,105,143</w:t>
            </w:r>
          </w:p>
        </w:tc>
      </w:tr>
      <w:tr w:rsidR="00EC2223" w:rsidRPr="006F0DF1" w14:paraId="15A40F9B" w14:textId="77777777" w:rsidTr="000F0321">
        <w:trPr>
          <w:trHeight w:val="340"/>
        </w:trPr>
        <w:tc>
          <w:tcPr>
            <w:tcW w:w="6095" w:type="dxa"/>
            <w:tcBorders>
              <w:top w:val="nil"/>
            </w:tcBorders>
            <w:shd w:val="clear" w:color="auto" w:fill="F2F2F2" w:themeFill="background1" w:themeFillShade="F2"/>
            <w:vAlign w:val="center"/>
          </w:tcPr>
          <w:p w14:paraId="307B4B8F" w14:textId="5CBEDEA2" w:rsidR="00EC2223" w:rsidRPr="00255081" w:rsidRDefault="00EC2223" w:rsidP="004B170A">
            <w:pPr>
              <w:spacing w:after="120" w:line="240" w:lineRule="auto"/>
              <w:jc w:val="both"/>
              <w:rPr>
                <w:rFonts w:ascii="Montserrat" w:eastAsia="Times New Roman" w:hAnsi="Montserrat" w:cs="Arial"/>
                <w:color w:val="000000"/>
                <w:sz w:val="15"/>
                <w:szCs w:val="15"/>
                <w:lang w:eastAsia="es-MX"/>
              </w:rPr>
            </w:pPr>
            <w:r w:rsidRPr="00255081">
              <w:rPr>
                <w:rFonts w:ascii="Montserrat" w:eastAsia="Times New Roman" w:hAnsi="Montserrat" w:cs="Calibri"/>
                <w:sz w:val="15"/>
                <w:szCs w:val="15"/>
                <w:lang w:val="es-MX" w:eastAsia="es-MX"/>
              </w:rPr>
              <w:t xml:space="preserve">Fideicomiso Fondo de Estabilización de los Ingresos de las Entidades Federativas </w:t>
            </w:r>
          </w:p>
        </w:tc>
        <w:tc>
          <w:tcPr>
            <w:tcW w:w="2268" w:type="dxa"/>
            <w:gridSpan w:val="2"/>
            <w:tcBorders>
              <w:top w:val="nil"/>
            </w:tcBorders>
            <w:shd w:val="clear" w:color="auto" w:fill="F2F2F2" w:themeFill="background1" w:themeFillShade="F2"/>
            <w:vAlign w:val="center"/>
          </w:tcPr>
          <w:p w14:paraId="490532B4" w14:textId="70F72A20" w:rsidR="00EC2223" w:rsidRPr="00255081" w:rsidRDefault="00EC2223" w:rsidP="002702EC">
            <w:pPr>
              <w:spacing w:after="120" w:line="240" w:lineRule="auto"/>
              <w:jc w:val="right"/>
              <w:rPr>
                <w:rFonts w:ascii="Montserrat" w:eastAsia="Times New Roman" w:hAnsi="Montserrat" w:cs="Arial"/>
                <w:color w:val="000000"/>
                <w:sz w:val="15"/>
                <w:szCs w:val="15"/>
                <w:lang w:eastAsia="es-MX"/>
              </w:rPr>
            </w:pPr>
            <w:r w:rsidRPr="00255081">
              <w:rPr>
                <w:rFonts w:ascii="Montserrat" w:eastAsia="Times New Roman" w:hAnsi="Montserrat" w:cs="Calibri"/>
                <w:sz w:val="15"/>
                <w:szCs w:val="15"/>
                <w:lang w:val="es-MX" w:eastAsia="es-MX"/>
              </w:rPr>
              <w:t>60,460,690,445</w:t>
            </w:r>
          </w:p>
        </w:tc>
        <w:tc>
          <w:tcPr>
            <w:tcW w:w="2268" w:type="dxa"/>
            <w:gridSpan w:val="2"/>
            <w:tcBorders>
              <w:top w:val="nil"/>
            </w:tcBorders>
            <w:shd w:val="clear" w:color="auto" w:fill="F2F2F2" w:themeFill="background1" w:themeFillShade="F2"/>
            <w:vAlign w:val="center"/>
          </w:tcPr>
          <w:p w14:paraId="3AF25B70" w14:textId="55180882" w:rsidR="00EC2223" w:rsidRPr="00255081" w:rsidRDefault="00EC2223" w:rsidP="002702EC">
            <w:pPr>
              <w:spacing w:after="120" w:line="240" w:lineRule="auto"/>
              <w:jc w:val="right"/>
              <w:rPr>
                <w:rFonts w:ascii="Montserrat" w:eastAsia="Times New Roman" w:hAnsi="Montserrat" w:cs="Arial"/>
                <w:color w:val="000000"/>
                <w:sz w:val="15"/>
                <w:szCs w:val="15"/>
                <w:lang w:eastAsia="es-MX"/>
              </w:rPr>
            </w:pPr>
            <w:r w:rsidRPr="00255081">
              <w:rPr>
                <w:rFonts w:ascii="Montserrat" w:eastAsia="Times New Roman" w:hAnsi="Montserrat" w:cs="Calibri"/>
                <w:sz w:val="15"/>
                <w:szCs w:val="15"/>
                <w:lang w:val="es-MX" w:eastAsia="es-MX"/>
              </w:rPr>
              <w:t>100%</w:t>
            </w:r>
          </w:p>
        </w:tc>
        <w:tc>
          <w:tcPr>
            <w:tcW w:w="2098" w:type="dxa"/>
            <w:gridSpan w:val="2"/>
            <w:tcBorders>
              <w:top w:val="nil"/>
            </w:tcBorders>
            <w:shd w:val="clear" w:color="auto" w:fill="F2F2F2" w:themeFill="background1" w:themeFillShade="F2"/>
            <w:noWrap/>
            <w:vAlign w:val="center"/>
          </w:tcPr>
          <w:p w14:paraId="050E6E24" w14:textId="1A029C5A" w:rsidR="00EC2223" w:rsidRPr="00255081" w:rsidRDefault="00EC2223" w:rsidP="002702EC">
            <w:pPr>
              <w:spacing w:after="120" w:line="240" w:lineRule="auto"/>
              <w:jc w:val="right"/>
              <w:rPr>
                <w:rFonts w:ascii="Montserrat" w:eastAsia="Times New Roman" w:hAnsi="Montserrat" w:cs="Arial"/>
                <w:color w:val="000000"/>
                <w:sz w:val="15"/>
                <w:szCs w:val="15"/>
                <w:lang w:eastAsia="es-MX"/>
              </w:rPr>
            </w:pPr>
            <w:r w:rsidRPr="00255081">
              <w:rPr>
                <w:rFonts w:ascii="Montserrat" w:eastAsia="Times New Roman" w:hAnsi="Montserrat" w:cs="Calibri"/>
                <w:sz w:val="15"/>
                <w:szCs w:val="15"/>
                <w:lang w:val="es-MX" w:eastAsia="es-MX"/>
              </w:rPr>
              <w:t>60,460,690,445</w:t>
            </w:r>
          </w:p>
        </w:tc>
      </w:tr>
      <w:tr w:rsidR="00EC2223" w:rsidRPr="006F0DF1" w14:paraId="42F6D736" w14:textId="77777777" w:rsidTr="000F0321">
        <w:trPr>
          <w:trHeight w:val="340"/>
        </w:trPr>
        <w:tc>
          <w:tcPr>
            <w:tcW w:w="6095" w:type="dxa"/>
            <w:tcBorders>
              <w:top w:val="nil"/>
            </w:tcBorders>
            <w:shd w:val="clear" w:color="auto" w:fill="F2F2F2" w:themeFill="background1" w:themeFillShade="F2"/>
            <w:vAlign w:val="center"/>
          </w:tcPr>
          <w:p w14:paraId="51F76D72" w14:textId="7BD3D9DD" w:rsidR="00EC2223" w:rsidRPr="00255081" w:rsidRDefault="00EC2223" w:rsidP="004B170A">
            <w:pPr>
              <w:spacing w:after="120" w:line="240" w:lineRule="auto"/>
              <w:jc w:val="both"/>
              <w:rPr>
                <w:rFonts w:ascii="Montserrat" w:eastAsia="Times New Roman" w:hAnsi="Montserrat" w:cs="Arial"/>
                <w:color w:val="000000"/>
                <w:sz w:val="15"/>
                <w:szCs w:val="15"/>
                <w:lang w:eastAsia="es-MX"/>
              </w:rPr>
            </w:pPr>
            <w:r w:rsidRPr="00255081">
              <w:rPr>
                <w:rFonts w:ascii="Montserrat" w:eastAsia="Times New Roman" w:hAnsi="Montserrat" w:cs="Calibri"/>
                <w:sz w:val="15"/>
                <w:szCs w:val="15"/>
                <w:lang w:val="es-MX" w:eastAsia="es-MX"/>
              </w:rPr>
              <w:t xml:space="preserve">Fideicomiso Fondo de Apoyo en Infraestructura y Productividad </w:t>
            </w:r>
          </w:p>
        </w:tc>
        <w:tc>
          <w:tcPr>
            <w:tcW w:w="2268" w:type="dxa"/>
            <w:gridSpan w:val="2"/>
            <w:tcBorders>
              <w:top w:val="nil"/>
            </w:tcBorders>
            <w:shd w:val="clear" w:color="auto" w:fill="F2F2F2" w:themeFill="background1" w:themeFillShade="F2"/>
            <w:vAlign w:val="center"/>
          </w:tcPr>
          <w:p w14:paraId="5D9DD26B" w14:textId="3604E258" w:rsidR="00EC2223" w:rsidRPr="00255081" w:rsidRDefault="00EC2223" w:rsidP="002702EC">
            <w:pPr>
              <w:spacing w:after="120" w:line="240" w:lineRule="auto"/>
              <w:jc w:val="right"/>
              <w:rPr>
                <w:rFonts w:ascii="Montserrat" w:eastAsia="Times New Roman" w:hAnsi="Montserrat" w:cs="Arial"/>
                <w:color w:val="000000"/>
                <w:sz w:val="15"/>
                <w:szCs w:val="15"/>
                <w:lang w:eastAsia="es-MX"/>
              </w:rPr>
            </w:pPr>
            <w:r w:rsidRPr="00255081">
              <w:rPr>
                <w:rFonts w:ascii="Montserrat" w:eastAsia="Times New Roman" w:hAnsi="Montserrat" w:cs="Calibri"/>
                <w:sz w:val="15"/>
                <w:szCs w:val="15"/>
                <w:lang w:val="es-MX" w:eastAsia="es-MX"/>
              </w:rPr>
              <w:t>1,466,464,312</w:t>
            </w:r>
          </w:p>
        </w:tc>
        <w:tc>
          <w:tcPr>
            <w:tcW w:w="2268" w:type="dxa"/>
            <w:gridSpan w:val="2"/>
            <w:tcBorders>
              <w:top w:val="nil"/>
            </w:tcBorders>
            <w:shd w:val="clear" w:color="auto" w:fill="F2F2F2" w:themeFill="background1" w:themeFillShade="F2"/>
            <w:vAlign w:val="center"/>
          </w:tcPr>
          <w:p w14:paraId="73DF8B6E" w14:textId="746C2993" w:rsidR="00EC2223" w:rsidRPr="00255081" w:rsidRDefault="00EC2223" w:rsidP="002702EC">
            <w:pPr>
              <w:spacing w:after="120" w:line="240" w:lineRule="auto"/>
              <w:jc w:val="right"/>
              <w:rPr>
                <w:rFonts w:ascii="Montserrat" w:eastAsia="Times New Roman" w:hAnsi="Montserrat" w:cs="Arial"/>
                <w:color w:val="000000"/>
                <w:sz w:val="15"/>
                <w:szCs w:val="15"/>
                <w:lang w:eastAsia="es-MX"/>
              </w:rPr>
            </w:pPr>
            <w:r w:rsidRPr="00255081">
              <w:rPr>
                <w:rFonts w:ascii="Montserrat" w:eastAsia="Times New Roman" w:hAnsi="Montserrat" w:cs="Calibri"/>
                <w:sz w:val="15"/>
                <w:szCs w:val="15"/>
                <w:lang w:val="es-MX" w:eastAsia="es-MX"/>
              </w:rPr>
              <w:t>100%</w:t>
            </w:r>
          </w:p>
        </w:tc>
        <w:tc>
          <w:tcPr>
            <w:tcW w:w="2098" w:type="dxa"/>
            <w:gridSpan w:val="2"/>
            <w:tcBorders>
              <w:top w:val="nil"/>
            </w:tcBorders>
            <w:shd w:val="clear" w:color="auto" w:fill="F2F2F2" w:themeFill="background1" w:themeFillShade="F2"/>
            <w:noWrap/>
            <w:vAlign w:val="center"/>
          </w:tcPr>
          <w:p w14:paraId="1C2E9AD6" w14:textId="162E3BCB" w:rsidR="00EC2223" w:rsidRPr="00255081" w:rsidRDefault="00EC2223" w:rsidP="002702EC">
            <w:pPr>
              <w:spacing w:after="120" w:line="240" w:lineRule="auto"/>
              <w:jc w:val="right"/>
              <w:rPr>
                <w:rFonts w:ascii="Montserrat" w:eastAsia="Times New Roman" w:hAnsi="Montserrat" w:cs="Arial"/>
                <w:color w:val="000000"/>
                <w:sz w:val="15"/>
                <w:szCs w:val="15"/>
                <w:lang w:eastAsia="es-MX"/>
              </w:rPr>
            </w:pPr>
            <w:r w:rsidRPr="00255081">
              <w:rPr>
                <w:rFonts w:ascii="Montserrat" w:eastAsia="Times New Roman" w:hAnsi="Montserrat" w:cs="Calibri"/>
                <w:sz w:val="15"/>
                <w:szCs w:val="15"/>
                <w:lang w:val="es-MX" w:eastAsia="es-MX"/>
              </w:rPr>
              <w:t>1,466,464,312</w:t>
            </w:r>
          </w:p>
        </w:tc>
      </w:tr>
      <w:tr w:rsidR="00EC2223" w:rsidRPr="006F0DF1" w14:paraId="07945647" w14:textId="77777777" w:rsidTr="000F0321">
        <w:trPr>
          <w:trHeight w:val="340"/>
        </w:trPr>
        <w:tc>
          <w:tcPr>
            <w:tcW w:w="6095" w:type="dxa"/>
            <w:tcBorders>
              <w:top w:val="nil"/>
            </w:tcBorders>
            <w:shd w:val="clear" w:color="auto" w:fill="F2F2F2" w:themeFill="background1" w:themeFillShade="F2"/>
            <w:vAlign w:val="center"/>
          </w:tcPr>
          <w:p w14:paraId="12AB19CC" w14:textId="5A84CAAF" w:rsidR="00EC2223" w:rsidRPr="00255081" w:rsidRDefault="00EC2223" w:rsidP="004B170A">
            <w:pPr>
              <w:spacing w:after="120" w:line="240" w:lineRule="auto"/>
              <w:jc w:val="both"/>
              <w:rPr>
                <w:rFonts w:ascii="Montserrat" w:eastAsia="Times New Roman" w:hAnsi="Montserrat" w:cs="Arial"/>
                <w:color w:val="000000"/>
                <w:sz w:val="15"/>
                <w:szCs w:val="15"/>
                <w:lang w:eastAsia="es-MX"/>
              </w:rPr>
            </w:pPr>
            <w:r w:rsidRPr="00255081">
              <w:rPr>
                <w:rFonts w:ascii="Montserrat" w:eastAsia="Times New Roman" w:hAnsi="Montserrat" w:cs="Calibri"/>
                <w:sz w:val="15"/>
                <w:szCs w:val="15"/>
                <w:lang w:val="es-MX" w:eastAsia="es-MX"/>
              </w:rPr>
              <w:t xml:space="preserve">Fideicomiso para Coadyuvar al Desarrollo de las Entidades Federativas y Municipios </w:t>
            </w:r>
          </w:p>
        </w:tc>
        <w:tc>
          <w:tcPr>
            <w:tcW w:w="2268" w:type="dxa"/>
            <w:gridSpan w:val="2"/>
            <w:tcBorders>
              <w:top w:val="nil"/>
            </w:tcBorders>
            <w:shd w:val="clear" w:color="auto" w:fill="F2F2F2" w:themeFill="background1" w:themeFillShade="F2"/>
            <w:vAlign w:val="center"/>
          </w:tcPr>
          <w:p w14:paraId="7500076D" w14:textId="4DD7A634" w:rsidR="00EC2223" w:rsidRPr="00255081" w:rsidRDefault="00EC2223" w:rsidP="002702EC">
            <w:pPr>
              <w:spacing w:after="120" w:line="240" w:lineRule="auto"/>
              <w:jc w:val="right"/>
              <w:rPr>
                <w:rFonts w:ascii="Montserrat" w:eastAsia="Times New Roman" w:hAnsi="Montserrat" w:cs="Arial"/>
                <w:color w:val="000000"/>
                <w:sz w:val="15"/>
                <w:szCs w:val="15"/>
                <w:lang w:eastAsia="es-MX"/>
              </w:rPr>
            </w:pPr>
            <w:r w:rsidRPr="00255081">
              <w:rPr>
                <w:rFonts w:ascii="Montserrat" w:eastAsia="Times New Roman" w:hAnsi="Montserrat" w:cs="Calibri"/>
                <w:sz w:val="15"/>
                <w:szCs w:val="15"/>
                <w:lang w:val="es-MX" w:eastAsia="es-MX"/>
              </w:rPr>
              <w:t>584,712,435</w:t>
            </w:r>
          </w:p>
        </w:tc>
        <w:tc>
          <w:tcPr>
            <w:tcW w:w="2268" w:type="dxa"/>
            <w:gridSpan w:val="2"/>
            <w:tcBorders>
              <w:top w:val="nil"/>
            </w:tcBorders>
            <w:shd w:val="clear" w:color="auto" w:fill="F2F2F2" w:themeFill="background1" w:themeFillShade="F2"/>
            <w:vAlign w:val="center"/>
          </w:tcPr>
          <w:p w14:paraId="0CA51F68" w14:textId="650FE4DE" w:rsidR="00EC2223" w:rsidRPr="00255081" w:rsidRDefault="00EC2223" w:rsidP="002702EC">
            <w:pPr>
              <w:spacing w:after="120" w:line="240" w:lineRule="auto"/>
              <w:jc w:val="right"/>
              <w:rPr>
                <w:rFonts w:ascii="Montserrat" w:eastAsia="Times New Roman" w:hAnsi="Montserrat" w:cs="Arial"/>
                <w:color w:val="000000"/>
                <w:sz w:val="15"/>
                <w:szCs w:val="15"/>
                <w:lang w:eastAsia="es-MX"/>
              </w:rPr>
            </w:pPr>
            <w:r w:rsidRPr="00255081">
              <w:rPr>
                <w:rFonts w:ascii="Montserrat" w:eastAsia="Times New Roman" w:hAnsi="Montserrat" w:cs="Calibri"/>
                <w:sz w:val="15"/>
                <w:szCs w:val="15"/>
                <w:lang w:val="es-MX" w:eastAsia="es-MX"/>
              </w:rPr>
              <w:t>100%</w:t>
            </w:r>
          </w:p>
        </w:tc>
        <w:tc>
          <w:tcPr>
            <w:tcW w:w="2098" w:type="dxa"/>
            <w:gridSpan w:val="2"/>
            <w:tcBorders>
              <w:top w:val="nil"/>
            </w:tcBorders>
            <w:shd w:val="clear" w:color="auto" w:fill="F2F2F2" w:themeFill="background1" w:themeFillShade="F2"/>
            <w:noWrap/>
            <w:vAlign w:val="center"/>
          </w:tcPr>
          <w:p w14:paraId="49095F28" w14:textId="742050C0" w:rsidR="00EC2223" w:rsidRPr="00255081" w:rsidRDefault="00EC2223" w:rsidP="002702EC">
            <w:pPr>
              <w:spacing w:after="120" w:line="240" w:lineRule="auto"/>
              <w:jc w:val="right"/>
              <w:rPr>
                <w:rFonts w:ascii="Montserrat" w:eastAsia="Times New Roman" w:hAnsi="Montserrat" w:cs="Arial"/>
                <w:color w:val="000000"/>
                <w:sz w:val="15"/>
                <w:szCs w:val="15"/>
                <w:lang w:eastAsia="es-MX"/>
              </w:rPr>
            </w:pPr>
            <w:r w:rsidRPr="00255081">
              <w:rPr>
                <w:rFonts w:ascii="Montserrat" w:eastAsia="Times New Roman" w:hAnsi="Montserrat" w:cs="Calibri"/>
                <w:sz w:val="15"/>
                <w:szCs w:val="15"/>
                <w:lang w:val="es-MX" w:eastAsia="es-MX"/>
              </w:rPr>
              <w:t>584,712,435</w:t>
            </w:r>
          </w:p>
        </w:tc>
      </w:tr>
      <w:tr w:rsidR="00EC2223" w:rsidRPr="006F0DF1" w14:paraId="467CEEAB" w14:textId="77777777" w:rsidTr="000F0321">
        <w:trPr>
          <w:trHeight w:val="340"/>
        </w:trPr>
        <w:tc>
          <w:tcPr>
            <w:tcW w:w="6095" w:type="dxa"/>
            <w:tcBorders>
              <w:top w:val="nil"/>
            </w:tcBorders>
            <w:shd w:val="clear" w:color="auto" w:fill="F2F2F2" w:themeFill="background1" w:themeFillShade="F2"/>
            <w:vAlign w:val="center"/>
          </w:tcPr>
          <w:p w14:paraId="60BEA5FA" w14:textId="1BBA2570" w:rsidR="00EC2223" w:rsidRPr="00255081" w:rsidRDefault="00EC2223" w:rsidP="004B170A">
            <w:pPr>
              <w:spacing w:after="120" w:line="240" w:lineRule="auto"/>
              <w:jc w:val="both"/>
              <w:rPr>
                <w:rFonts w:ascii="Montserrat" w:eastAsia="Times New Roman" w:hAnsi="Montserrat" w:cs="Arial"/>
                <w:color w:val="000000"/>
                <w:sz w:val="15"/>
                <w:szCs w:val="15"/>
                <w:lang w:eastAsia="es-MX"/>
              </w:rPr>
            </w:pPr>
            <w:r w:rsidRPr="00255081">
              <w:rPr>
                <w:rFonts w:ascii="Montserrat" w:eastAsia="Times New Roman" w:hAnsi="Montserrat" w:cs="Calibri"/>
                <w:sz w:val="15"/>
                <w:szCs w:val="15"/>
                <w:lang w:val="es-MX" w:eastAsia="es-MX"/>
              </w:rPr>
              <w:t>Fideicomiso para la Implementación del Sistema de Justicia Penal en las Entidades Federativas</w:t>
            </w:r>
          </w:p>
        </w:tc>
        <w:tc>
          <w:tcPr>
            <w:tcW w:w="2268" w:type="dxa"/>
            <w:gridSpan w:val="2"/>
            <w:tcBorders>
              <w:top w:val="nil"/>
            </w:tcBorders>
            <w:shd w:val="clear" w:color="auto" w:fill="F2F2F2" w:themeFill="background1" w:themeFillShade="F2"/>
            <w:vAlign w:val="center"/>
          </w:tcPr>
          <w:p w14:paraId="6B73C0B4" w14:textId="758B182C" w:rsidR="00EC2223" w:rsidRPr="00255081" w:rsidRDefault="00EC2223" w:rsidP="002702EC">
            <w:pPr>
              <w:spacing w:after="120" w:line="240" w:lineRule="auto"/>
              <w:jc w:val="right"/>
              <w:rPr>
                <w:rFonts w:ascii="Montserrat" w:eastAsia="Times New Roman" w:hAnsi="Montserrat" w:cs="Arial"/>
                <w:color w:val="000000"/>
                <w:sz w:val="15"/>
                <w:szCs w:val="15"/>
                <w:lang w:eastAsia="es-MX"/>
              </w:rPr>
            </w:pPr>
            <w:r w:rsidRPr="00255081">
              <w:rPr>
                <w:rFonts w:ascii="Montserrat" w:eastAsia="Times New Roman" w:hAnsi="Montserrat" w:cs="Calibri"/>
                <w:sz w:val="15"/>
                <w:szCs w:val="15"/>
                <w:lang w:val="es-MX" w:eastAsia="es-MX"/>
              </w:rPr>
              <w:t>1,895,775,178</w:t>
            </w:r>
          </w:p>
        </w:tc>
        <w:tc>
          <w:tcPr>
            <w:tcW w:w="2268" w:type="dxa"/>
            <w:gridSpan w:val="2"/>
            <w:tcBorders>
              <w:top w:val="nil"/>
            </w:tcBorders>
            <w:shd w:val="clear" w:color="auto" w:fill="F2F2F2" w:themeFill="background1" w:themeFillShade="F2"/>
            <w:vAlign w:val="center"/>
          </w:tcPr>
          <w:p w14:paraId="1F5C5EE6" w14:textId="742B4159" w:rsidR="00EC2223" w:rsidRPr="00255081" w:rsidRDefault="00EC2223" w:rsidP="002702EC">
            <w:pPr>
              <w:spacing w:after="120" w:line="240" w:lineRule="auto"/>
              <w:jc w:val="right"/>
              <w:rPr>
                <w:rFonts w:ascii="Montserrat" w:eastAsia="Times New Roman" w:hAnsi="Montserrat" w:cs="Arial"/>
                <w:color w:val="000000"/>
                <w:sz w:val="15"/>
                <w:szCs w:val="15"/>
                <w:lang w:eastAsia="es-MX"/>
              </w:rPr>
            </w:pPr>
            <w:r w:rsidRPr="00255081">
              <w:rPr>
                <w:rFonts w:ascii="Montserrat" w:eastAsia="Times New Roman" w:hAnsi="Montserrat" w:cs="Calibri"/>
                <w:sz w:val="15"/>
                <w:szCs w:val="15"/>
                <w:lang w:val="es-MX" w:eastAsia="es-MX"/>
              </w:rPr>
              <w:t>100%</w:t>
            </w:r>
          </w:p>
        </w:tc>
        <w:tc>
          <w:tcPr>
            <w:tcW w:w="2098" w:type="dxa"/>
            <w:gridSpan w:val="2"/>
            <w:tcBorders>
              <w:top w:val="nil"/>
            </w:tcBorders>
            <w:shd w:val="clear" w:color="auto" w:fill="F2F2F2" w:themeFill="background1" w:themeFillShade="F2"/>
            <w:noWrap/>
            <w:vAlign w:val="center"/>
          </w:tcPr>
          <w:p w14:paraId="0CF24CE7" w14:textId="6560FF81" w:rsidR="00EC2223" w:rsidRPr="00255081" w:rsidRDefault="00EC2223" w:rsidP="002702EC">
            <w:pPr>
              <w:spacing w:after="120" w:line="240" w:lineRule="auto"/>
              <w:jc w:val="right"/>
              <w:rPr>
                <w:rFonts w:ascii="Montserrat" w:eastAsia="Times New Roman" w:hAnsi="Montserrat" w:cs="Arial"/>
                <w:color w:val="000000"/>
                <w:sz w:val="15"/>
                <w:szCs w:val="15"/>
                <w:lang w:eastAsia="es-MX"/>
              </w:rPr>
            </w:pPr>
            <w:r w:rsidRPr="00255081">
              <w:rPr>
                <w:rFonts w:ascii="Montserrat" w:eastAsia="Times New Roman" w:hAnsi="Montserrat" w:cs="Calibri"/>
                <w:sz w:val="15"/>
                <w:szCs w:val="15"/>
                <w:lang w:val="es-MX" w:eastAsia="es-MX"/>
              </w:rPr>
              <w:t>1,895,775,178</w:t>
            </w:r>
          </w:p>
        </w:tc>
      </w:tr>
      <w:tr w:rsidR="00EC2223" w:rsidRPr="006F0DF1" w14:paraId="6E651A04" w14:textId="77777777" w:rsidTr="000F0321">
        <w:trPr>
          <w:trHeight w:val="340"/>
        </w:trPr>
        <w:tc>
          <w:tcPr>
            <w:tcW w:w="6095" w:type="dxa"/>
            <w:shd w:val="clear" w:color="auto" w:fill="F2F2F2" w:themeFill="background1" w:themeFillShade="F2"/>
            <w:vAlign w:val="center"/>
          </w:tcPr>
          <w:p w14:paraId="41DCEB2A" w14:textId="5536F60B" w:rsidR="00EC2223" w:rsidRPr="00255081" w:rsidRDefault="00EC2223" w:rsidP="004B170A">
            <w:pPr>
              <w:spacing w:after="120" w:line="240" w:lineRule="auto"/>
              <w:jc w:val="both"/>
              <w:rPr>
                <w:rFonts w:ascii="Montserrat" w:eastAsia="Times New Roman" w:hAnsi="Montserrat" w:cs="Arial"/>
                <w:color w:val="000000"/>
                <w:sz w:val="15"/>
                <w:szCs w:val="15"/>
                <w:lang w:eastAsia="es-MX"/>
              </w:rPr>
            </w:pPr>
            <w:r w:rsidRPr="00255081">
              <w:rPr>
                <w:rFonts w:ascii="Montserrat" w:eastAsia="Times New Roman" w:hAnsi="Montserrat" w:cs="Calibri"/>
                <w:sz w:val="15"/>
                <w:szCs w:val="15"/>
                <w:lang w:val="es-MX" w:eastAsia="es-MX"/>
              </w:rPr>
              <w:t>Mandato para la Realización de Actos Previos a la Enajenación de las Aeronaves al Servicio de la Policía Federal</w:t>
            </w:r>
          </w:p>
        </w:tc>
        <w:tc>
          <w:tcPr>
            <w:tcW w:w="2268" w:type="dxa"/>
            <w:gridSpan w:val="2"/>
            <w:shd w:val="clear" w:color="auto" w:fill="F2F2F2" w:themeFill="background1" w:themeFillShade="F2"/>
            <w:vAlign w:val="center"/>
          </w:tcPr>
          <w:p w14:paraId="7558A68E" w14:textId="2A7E8E27" w:rsidR="00EC2223" w:rsidRPr="00255081" w:rsidRDefault="00EC2223" w:rsidP="002702EC">
            <w:pPr>
              <w:spacing w:after="120" w:line="240" w:lineRule="auto"/>
              <w:jc w:val="right"/>
              <w:rPr>
                <w:rFonts w:ascii="Montserrat" w:eastAsia="Times New Roman" w:hAnsi="Montserrat" w:cs="Arial"/>
                <w:color w:val="000000"/>
                <w:sz w:val="15"/>
                <w:szCs w:val="15"/>
                <w:lang w:eastAsia="es-MX"/>
              </w:rPr>
            </w:pPr>
            <w:r w:rsidRPr="00255081">
              <w:rPr>
                <w:rFonts w:ascii="Montserrat" w:eastAsia="Times New Roman" w:hAnsi="Montserrat" w:cs="Calibri"/>
                <w:sz w:val="15"/>
                <w:szCs w:val="15"/>
                <w:lang w:val="es-MX" w:eastAsia="es-MX"/>
              </w:rPr>
              <w:t>2,276,791</w:t>
            </w:r>
          </w:p>
        </w:tc>
        <w:tc>
          <w:tcPr>
            <w:tcW w:w="2268" w:type="dxa"/>
            <w:gridSpan w:val="2"/>
            <w:shd w:val="clear" w:color="auto" w:fill="F2F2F2" w:themeFill="background1" w:themeFillShade="F2"/>
            <w:vAlign w:val="center"/>
          </w:tcPr>
          <w:p w14:paraId="70DCF64A" w14:textId="54203CEB" w:rsidR="00EC2223" w:rsidRPr="00255081" w:rsidRDefault="00EC2223" w:rsidP="002702EC">
            <w:pPr>
              <w:spacing w:after="120" w:line="240" w:lineRule="auto"/>
              <w:jc w:val="right"/>
              <w:rPr>
                <w:rFonts w:ascii="Montserrat" w:eastAsia="Times New Roman" w:hAnsi="Montserrat" w:cs="Arial"/>
                <w:color w:val="000000"/>
                <w:sz w:val="15"/>
                <w:szCs w:val="15"/>
                <w:lang w:eastAsia="es-MX"/>
              </w:rPr>
            </w:pPr>
            <w:r w:rsidRPr="00255081">
              <w:rPr>
                <w:rFonts w:ascii="Montserrat" w:eastAsia="Times New Roman" w:hAnsi="Montserrat" w:cs="Calibri"/>
                <w:sz w:val="15"/>
                <w:szCs w:val="15"/>
                <w:lang w:val="es-MX" w:eastAsia="es-MX"/>
              </w:rPr>
              <w:t>100%</w:t>
            </w:r>
          </w:p>
        </w:tc>
        <w:tc>
          <w:tcPr>
            <w:tcW w:w="2098" w:type="dxa"/>
            <w:gridSpan w:val="2"/>
            <w:shd w:val="clear" w:color="auto" w:fill="F2F2F2" w:themeFill="background1" w:themeFillShade="F2"/>
            <w:noWrap/>
            <w:vAlign w:val="center"/>
          </w:tcPr>
          <w:p w14:paraId="53368A51" w14:textId="3889D957" w:rsidR="00EC2223" w:rsidRPr="00255081" w:rsidRDefault="00EC2223" w:rsidP="002702EC">
            <w:pPr>
              <w:spacing w:after="120" w:line="240" w:lineRule="auto"/>
              <w:jc w:val="right"/>
              <w:rPr>
                <w:rFonts w:ascii="Montserrat" w:eastAsia="Times New Roman" w:hAnsi="Montserrat" w:cs="Arial"/>
                <w:color w:val="000000"/>
                <w:sz w:val="15"/>
                <w:szCs w:val="15"/>
                <w:lang w:eastAsia="es-MX"/>
              </w:rPr>
            </w:pPr>
            <w:r w:rsidRPr="00255081">
              <w:rPr>
                <w:rFonts w:ascii="Montserrat" w:eastAsia="Times New Roman" w:hAnsi="Montserrat" w:cs="Calibri"/>
                <w:sz w:val="15"/>
                <w:szCs w:val="15"/>
                <w:lang w:val="es-MX" w:eastAsia="es-MX"/>
              </w:rPr>
              <w:t>2,276,791</w:t>
            </w:r>
          </w:p>
        </w:tc>
      </w:tr>
      <w:tr w:rsidR="00EC2223" w:rsidRPr="006F0DF1" w14:paraId="0CC209BD" w14:textId="77777777" w:rsidTr="000F0321">
        <w:trPr>
          <w:trHeight w:val="340"/>
        </w:trPr>
        <w:tc>
          <w:tcPr>
            <w:tcW w:w="6095" w:type="dxa"/>
            <w:shd w:val="clear" w:color="auto" w:fill="F2F2F2" w:themeFill="background1" w:themeFillShade="F2"/>
            <w:vAlign w:val="center"/>
          </w:tcPr>
          <w:p w14:paraId="37A40E6E" w14:textId="4F3AF0E9" w:rsidR="00EC2223" w:rsidRPr="00255081" w:rsidRDefault="00EC2223" w:rsidP="004B170A">
            <w:pPr>
              <w:spacing w:after="120" w:line="240" w:lineRule="auto"/>
              <w:jc w:val="both"/>
              <w:rPr>
                <w:rFonts w:ascii="Montserrat" w:eastAsia="Times New Roman" w:hAnsi="Montserrat" w:cs="Arial"/>
                <w:color w:val="000000"/>
                <w:sz w:val="15"/>
                <w:szCs w:val="15"/>
                <w:lang w:eastAsia="es-MX"/>
              </w:rPr>
            </w:pPr>
            <w:r w:rsidRPr="00255081">
              <w:rPr>
                <w:rFonts w:ascii="Montserrat" w:eastAsia="Times New Roman" w:hAnsi="Montserrat" w:cs="Calibri"/>
                <w:sz w:val="15"/>
                <w:szCs w:val="15"/>
                <w:lang w:val="es-MX" w:eastAsia="es-MX"/>
              </w:rPr>
              <w:t>Fideicomiso de Administración y Pago de la Comisión Reguladora de Energía</w:t>
            </w:r>
          </w:p>
        </w:tc>
        <w:tc>
          <w:tcPr>
            <w:tcW w:w="2268" w:type="dxa"/>
            <w:gridSpan w:val="2"/>
            <w:shd w:val="clear" w:color="auto" w:fill="F2F2F2" w:themeFill="background1" w:themeFillShade="F2"/>
            <w:vAlign w:val="center"/>
          </w:tcPr>
          <w:p w14:paraId="784386E3" w14:textId="3C97D5B5" w:rsidR="00EC2223" w:rsidRPr="00255081" w:rsidRDefault="00EC2223" w:rsidP="002702EC">
            <w:pPr>
              <w:spacing w:after="120" w:line="240" w:lineRule="auto"/>
              <w:jc w:val="right"/>
              <w:rPr>
                <w:rFonts w:ascii="Montserrat" w:eastAsia="Times New Roman" w:hAnsi="Montserrat" w:cs="Arial"/>
                <w:color w:val="000000"/>
                <w:sz w:val="15"/>
                <w:szCs w:val="15"/>
                <w:lang w:eastAsia="es-MX"/>
              </w:rPr>
            </w:pPr>
            <w:r w:rsidRPr="00255081">
              <w:rPr>
                <w:rFonts w:ascii="Montserrat" w:eastAsia="Times New Roman" w:hAnsi="Montserrat" w:cs="Calibri"/>
                <w:sz w:val="15"/>
                <w:szCs w:val="15"/>
                <w:lang w:val="es-MX" w:eastAsia="es-MX"/>
              </w:rPr>
              <w:t>193,389,096</w:t>
            </w:r>
          </w:p>
        </w:tc>
        <w:tc>
          <w:tcPr>
            <w:tcW w:w="2268" w:type="dxa"/>
            <w:gridSpan w:val="2"/>
            <w:shd w:val="clear" w:color="auto" w:fill="F2F2F2" w:themeFill="background1" w:themeFillShade="F2"/>
            <w:vAlign w:val="center"/>
          </w:tcPr>
          <w:p w14:paraId="4B702B8A" w14:textId="27EE4397" w:rsidR="00EC2223" w:rsidRPr="00255081" w:rsidRDefault="00EC2223" w:rsidP="002702EC">
            <w:pPr>
              <w:spacing w:after="120" w:line="240" w:lineRule="auto"/>
              <w:jc w:val="right"/>
              <w:rPr>
                <w:rFonts w:ascii="Montserrat" w:eastAsia="Times New Roman" w:hAnsi="Montserrat" w:cs="Arial"/>
                <w:color w:val="000000"/>
                <w:sz w:val="15"/>
                <w:szCs w:val="15"/>
                <w:lang w:eastAsia="es-MX"/>
              </w:rPr>
            </w:pPr>
            <w:r w:rsidRPr="00255081">
              <w:rPr>
                <w:rFonts w:ascii="Montserrat" w:eastAsia="Times New Roman" w:hAnsi="Montserrat" w:cs="Calibri"/>
                <w:sz w:val="15"/>
                <w:szCs w:val="15"/>
                <w:lang w:val="es-MX" w:eastAsia="es-MX"/>
              </w:rPr>
              <w:t>100%</w:t>
            </w:r>
          </w:p>
        </w:tc>
        <w:tc>
          <w:tcPr>
            <w:tcW w:w="2098" w:type="dxa"/>
            <w:gridSpan w:val="2"/>
            <w:shd w:val="clear" w:color="auto" w:fill="F2F2F2" w:themeFill="background1" w:themeFillShade="F2"/>
            <w:noWrap/>
            <w:vAlign w:val="center"/>
          </w:tcPr>
          <w:p w14:paraId="2BCA58EB" w14:textId="3FACF49D" w:rsidR="00EC2223" w:rsidRPr="00255081" w:rsidRDefault="00EC2223" w:rsidP="002702EC">
            <w:pPr>
              <w:spacing w:after="120" w:line="240" w:lineRule="auto"/>
              <w:jc w:val="right"/>
              <w:rPr>
                <w:rFonts w:ascii="Montserrat" w:eastAsia="Times New Roman" w:hAnsi="Montserrat" w:cs="Arial"/>
                <w:color w:val="000000"/>
                <w:sz w:val="15"/>
                <w:szCs w:val="15"/>
                <w:lang w:eastAsia="es-MX"/>
              </w:rPr>
            </w:pPr>
            <w:r w:rsidRPr="00255081">
              <w:rPr>
                <w:rFonts w:ascii="Montserrat" w:eastAsia="Times New Roman" w:hAnsi="Montserrat" w:cs="Calibri"/>
                <w:sz w:val="15"/>
                <w:szCs w:val="15"/>
                <w:lang w:val="es-MX" w:eastAsia="es-MX"/>
              </w:rPr>
              <w:t>193,389,096</w:t>
            </w:r>
          </w:p>
        </w:tc>
      </w:tr>
      <w:tr w:rsidR="00EC2223" w:rsidRPr="006F0DF1" w14:paraId="63C1CB13" w14:textId="77777777" w:rsidTr="000F0321">
        <w:trPr>
          <w:trHeight w:val="433"/>
        </w:trPr>
        <w:tc>
          <w:tcPr>
            <w:tcW w:w="6095" w:type="dxa"/>
            <w:shd w:val="clear" w:color="auto" w:fill="F2F2F2" w:themeFill="background1" w:themeFillShade="F2"/>
            <w:vAlign w:val="center"/>
          </w:tcPr>
          <w:p w14:paraId="0AFC4D63" w14:textId="2338EF77" w:rsidR="00EC2223" w:rsidRPr="00255081" w:rsidRDefault="00EC2223" w:rsidP="004B170A">
            <w:pPr>
              <w:spacing w:after="120" w:line="240" w:lineRule="auto"/>
              <w:jc w:val="both"/>
              <w:rPr>
                <w:rFonts w:ascii="Montserrat" w:eastAsia="Times New Roman" w:hAnsi="Montserrat" w:cs="Arial"/>
                <w:color w:val="000000"/>
                <w:sz w:val="15"/>
                <w:szCs w:val="15"/>
                <w:lang w:eastAsia="es-MX"/>
              </w:rPr>
            </w:pPr>
            <w:r w:rsidRPr="00255081">
              <w:rPr>
                <w:rFonts w:ascii="Montserrat" w:eastAsia="Times New Roman" w:hAnsi="Montserrat" w:cs="Calibri"/>
                <w:sz w:val="15"/>
                <w:szCs w:val="15"/>
                <w:lang w:val="es-MX" w:eastAsia="es-MX"/>
              </w:rPr>
              <w:t>Fideicomiso de Administración y Pago de la Comisión Reguladora de Energía</w:t>
            </w:r>
          </w:p>
        </w:tc>
        <w:tc>
          <w:tcPr>
            <w:tcW w:w="2268" w:type="dxa"/>
            <w:gridSpan w:val="2"/>
            <w:shd w:val="clear" w:color="auto" w:fill="F2F2F2" w:themeFill="background1" w:themeFillShade="F2"/>
            <w:vAlign w:val="center"/>
          </w:tcPr>
          <w:p w14:paraId="3785B347" w14:textId="2B5F9279" w:rsidR="00EC2223" w:rsidRPr="00255081" w:rsidRDefault="00EC2223" w:rsidP="002702EC">
            <w:pPr>
              <w:spacing w:after="120" w:line="240" w:lineRule="auto"/>
              <w:jc w:val="right"/>
              <w:rPr>
                <w:rFonts w:ascii="Montserrat" w:eastAsia="Times New Roman" w:hAnsi="Montserrat" w:cs="Arial"/>
                <w:color w:val="000000"/>
                <w:sz w:val="15"/>
                <w:szCs w:val="15"/>
                <w:lang w:eastAsia="es-MX"/>
              </w:rPr>
            </w:pPr>
            <w:r w:rsidRPr="00255081">
              <w:rPr>
                <w:rFonts w:ascii="Montserrat" w:eastAsia="Times New Roman" w:hAnsi="Montserrat" w:cs="Calibri"/>
                <w:sz w:val="15"/>
                <w:szCs w:val="15"/>
                <w:lang w:val="es-MX" w:eastAsia="es-MX"/>
              </w:rPr>
              <w:t>563,005,122</w:t>
            </w:r>
          </w:p>
        </w:tc>
        <w:tc>
          <w:tcPr>
            <w:tcW w:w="2268" w:type="dxa"/>
            <w:gridSpan w:val="2"/>
            <w:shd w:val="clear" w:color="auto" w:fill="F2F2F2" w:themeFill="background1" w:themeFillShade="F2"/>
            <w:vAlign w:val="center"/>
          </w:tcPr>
          <w:p w14:paraId="11BEFEAC" w14:textId="0C82E654" w:rsidR="00EC2223" w:rsidRPr="00255081" w:rsidRDefault="00EC2223" w:rsidP="002702EC">
            <w:pPr>
              <w:spacing w:after="120" w:line="240" w:lineRule="auto"/>
              <w:jc w:val="right"/>
              <w:rPr>
                <w:rFonts w:ascii="Montserrat" w:eastAsia="Times New Roman" w:hAnsi="Montserrat" w:cs="Arial"/>
                <w:color w:val="000000"/>
                <w:sz w:val="15"/>
                <w:szCs w:val="15"/>
                <w:lang w:eastAsia="es-MX"/>
              </w:rPr>
            </w:pPr>
            <w:r w:rsidRPr="00255081">
              <w:rPr>
                <w:rFonts w:ascii="Montserrat" w:eastAsia="Times New Roman" w:hAnsi="Montserrat" w:cs="Calibri"/>
                <w:sz w:val="15"/>
                <w:szCs w:val="15"/>
                <w:lang w:val="es-MX" w:eastAsia="es-MX"/>
              </w:rPr>
              <w:t>100%</w:t>
            </w:r>
          </w:p>
        </w:tc>
        <w:tc>
          <w:tcPr>
            <w:tcW w:w="2098" w:type="dxa"/>
            <w:gridSpan w:val="2"/>
            <w:shd w:val="clear" w:color="auto" w:fill="F2F2F2" w:themeFill="background1" w:themeFillShade="F2"/>
            <w:noWrap/>
            <w:vAlign w:val="center"/>
          </w:tcPr>
          <w:p w14:paraId="0C318B83" w14:textId="1963CDBD" w:rsidR="00EC2223" w:rsidRPr="00255081" w:rsidRDefault="00EC2223" w:rsidP="002702EC">
            <w:pPr>
              <w:spacing w:after="120" w:line="240" w:lineRule="auto"/>
              <w:jc w:val="right"/>
              <w:rPr>
                <w:rFonts w:ascii="Montserrat" w:eastAsia="Times New Roman" w:hAnsi="Montserrat" w:cs="Arial"/>
                <w:color w:val="000000"/>
                <w:sz w:val="15"/>
                <w:szCs w:val="15"/>
                <w:lang w:eastAsia="es-MX"/>
              </w:rPr>
            </w:pPr>
            <w:r w:rsidRPr="00255081">
              <w:rPr>
                <w:rFonts w:ascii="Montserrat" w:eastAsia="Times New Roman" w:hAnsi="Montserrat" w:cs="Calibri"/>
                <w:sz w:val="15"/>
                <w:szCs w:val="15"/>
                <w:lang w:val="es-MX" w:eastAsia="es-MX"/>
              </w:rPr>
              <w:t>563,005,122</w:t>
            </w:r>
          </w:p>
        </w:tc>
      </w:tr>
      <w:tr w:rsidR="00EC2223" w:rsidRPr="006F0DF1" w14:paraId="40E10F9A" w14:textId="77777777" w:rsidTr="000F0321">
        <w:trPr>
          <w:trHeight w:val="340"/>
        </w:trPr>
        <w:tc>
          <w:tcPr>
            <w:tcW w:w="6095" w:type="dxa"/>
            <w:shd w:val="clear" w:color="auto" w:fill="F2F2F2" w:themeFill="background1" w:themeFillShade="F2"/>
            <w:vAlign w:val="center"/>
          </w:tcPr>
          <w:p w14:paraId="1C98715F" w14:textId="5A477362" w:rsidR="00EC2223" w:rsidRPr="00255081" w:rsidRDefault="00EC2223" w:rsidP="004B170A">
            <w:pPr>
              <w:spacing w:after="120" w:line="240" w:lineRule="auto"/>
              <w:jc w:val="both"/>
              <w:rPr>
                <w:rFonts w:ascii="Montserrat" w:eastAsia="Times New Roman" w:hAnsi="Montserrat" w:cs="Arial"/>
                <w:color w:val="000000"/>
                <w:sz w:val="15"/>
                <w:szCs w:val="15"/>
                <w:lang w:eastAsia="es-MX"/>
              </w:rPr>
            </w:pPr>
            <w:r w:rsidRPr="00255081">
              <w:rPr>
                <w:rFonts w:ascii="Montserrat" w:eastAsia="Times New Roman" w:hAnsi="Montserrat" w:cs="Calibri"/>
                <w:sz w:val="15"/>
                <w:szCs w:val="15"/>
                <w:lang w:val="es-MX" w:eastAsia="es-MX"/>
              </w:rPr>
              <w:t>Fideicomiso de la Comisión Nacional de Hidrocarburos</w:t>
            </w:r>
          </w:p>
        </w:tc>
        <w:tc>
          <w:tcPr>
            <w:tcW w:w="2268" w:type="dxa"/>
            <w:gridSpan w:val="2"/>
            <w:shd w:val="clear" w:color="auto" w:fill="F2F2F2" w:themeFill="background1" w:themeFillShade="F2"/>
            <w:vAlign w:val="center"/>
          </w:tcPr>
          <w:p w14:paraId="4A3F224E" w14:textId="5F34236C" w:rsidR="00EC2223" w:rsidRPr="00255081" w:rsidRDefault="00EC2223" w:rsidP="002702EC">
            <w:pPr>
              <w:spacing w:after="120" w:line="240" w:lineRule="auto"/>
              <w:jc w:val="right"/>
              <w:rPr>
                <w:rFonts w:ascii="Montserrat" w:eastAsia="Times New Roman" w:hAnsi="Montserrat" w:cs="Arial"/>
                <w:color w:val="000000"/>
                <w:sz w:val="15"/>
                <w:szCs w:val="15"/>
                <w:lang w:eastAsia="es-MX"/>
              </w:rPr>
            </w:pPr>
            <w:r w:rsidRPr="00255081">
              <w:rPr>
                <w:rFonts w:ascii="Montserrat" w:eastAsia="Times New Roman" w:hAnsi="Montserrat" w:cs="Calibri"/>
                <w:sz w:val="15"/>
                <w:szCs w:val="15"/>
                <w:lang w:val="es-MX" w:eastAsia="es-MX"/>
              </w:rPr>
              <w:t>582,598,673</w:t>
            </w:r>
          </w:p>
        </w:tc>
        <w:tc>
          <w:tcPr>
            <w:tcW w:w="2268" w:type="dxa"/>
            <w:gridSpan w:val="2"/>
            <w:shd w:val="clear" w:color="auto" w:fill="F2F2F2" w:themeFill="background1" w:themeFillShade="F2"/>
            <w:vAlign w:val="center"/>
          </w:tcPr>
          <w:p w14:paraId="2368D1D7" w14:textId="6E3FC744" w:rsidR="00EC2223" w:rsidRPr="00255081" w:rsidRDefault="00EC2223" w:rsidP="002702EC">
            <w:pPr>
              <w:spacing w:after="120" w:line="240" w:lineRule="auto"/>
              <w:jc w:val="right"/>
              <w:rPr>
                <w:rFonts w:ascii="Montserrat" w:eastAsia="Times New Roman" w:hAnsi="Montserrat" w:cs="Arial"/>
                <w:color w:val="000000"/>
                <w:sz w:val="15"/>
                <w:szCs w:val="15"/>
                <w:lang w:eastAsia="es-MX"/>
              </w:rPr>
            </w:pPr>
            <w:r w:rsidRPr="00255081">
              <w:rPr>
                <w:rFonts w:ascii="Montserrat" w:eastAsia="Times New Roman" w:hAnsi="Montserrat" w:cs="Calibri"/>
                <w:sz w:val="15"/>
                <w:szCs w:val="15"/>
                <w:lang w:val="es-MX" w:eastAsia="es-MX"/>
              </w:rPr>
              <w:t>100%</w:t>
            </w:r>
          </w:p>
        </w:tc>
        <w:tc>
          <w:tcPr>
            <w:tcW w:w="2098" w:type="dxa"/>
            <w:gridSpan w:val="2"/>
            <w:shd w:val="clear" w:color="auto" w:fill="F2F2F2" w:themeFill="background1" w:themeFillShade="F2"/>
            <w:noWrap/>
            <w:vAlign w:val="center"/>
          </w:tcPr>
          <w:p w14:paraId="1F41F858" w14:textId="2207E294" w:rsidR="00EC2223" w:rsidRPr="00255081" w:rsidRDefault="00EC2223" w:rsidP="002702EC">
            <w:pPr>
              <w:spacing w:after="120" w:line="240" w:lineRule="auto"/>
              <w:jc w:val="right"/>
              <w:rPr>
                <w:rFonts w:ascii="Montserrat" w:eastAsia="Times New Roman" w:hAnsi="Montserrat" w:cs="Arial"/>
                <w:color w:val="000000"/>
                <w:sz w:val="15"/>
                <w:szCs w:val="15"/>
                <w:lang w:eastAsia="es-MX"/>
              </w:rPr>
            </w:pPr>
            <w:r w:rsidRPr="00255081">
              <w:rPr>
                <w:rFonts w:ascii="Montserrat" w:eastAsia="Times New Roman" w:hAnsi="Montserrat" w:cs="Calibri"/>
                <w:sz w:val="15"/>
                <w:szCs w:val="15"/>
                <w:lang w:val="es-MX" w:eastAsia="es-MX"/>
              </w:rPr>
              <w:t>582,598,673</w:t>
            </w:r>
          </w:p>
        </w:tc>
      </w:tr>
      <w:tr w:rsidR="00EC2223" w:rsidRPr="006F0DF1" w14:paraId="6B6EC307" w14:textId="77777777" w:rsidTr="000F0321">
        <w:trPr>
          <w:trHeight w:val="575"/>
        </w:trPr>
        <w:tc>
          <w:tcPr>
            <w:tcW w:w="6095" w:type="dxa"/>
            <w:shd w:val="clear" w:color="auto" w:fill="F2F2F2" w:themeFill="background1" w:themeFillShade="F2"/>
            <w:vAlign w:val="center"/>
          </w:tcPr>
          <w:p w14:paraId="1520534D" w14:textId="02225790" w:rsidR="00EC2223" w:rsidRPr="00255081" w:rsidRDefault="00EC2223" w:rsidP="004B170A">
            <w:pPr>
              <w:spacing w:after="120" w:line="240" w:lineRule="auto"/>
              <w:jc w:val="both"/>
              <w:rPr>
                <w:rFonts w:ascii="Montserrat" w:eastAsia="Times New Roman" w:hAnsi="Montserrat" w:cs="Arial"/>
                <w:color w:val="000000"/>
                <w:sz w:val="15"/>
                <w:szCs w:val="15"/>
                <w:lang w:eastAsia="es-MX"/>
              </w:rPr>
            </w:pPr>
            <w:r w:rsidRPr="00255081">
              <w:rPr>
                <w:rFonts w:ascii="Montserrat" w:eastAsia="Times New Roman" w:hAnsi="Montserrat" w:cs="Calibri"/>
                <w:sz w:val="15"/>
                <w:szCs w:val="15"/>
                <w:lang w:val="es-MX" w:eastAsia="es-MX"/>
              </w:rPr>
              <w:t>Fideicomiso para el Fomento y la Conservación del Patrimonio Cultural, Antropológico, Arquitectónico, Arqueológico de México</w:t>
            </w:r>
          </w:p>
        </w:tc>
        <w:tc>
          <w:tcPr>
            <w:tcW w:w="2268" w:type="dxa"/>
            <w:gridSpan w:val="2"/>
            <w:shd w:val="clear" w:color="auto" w:fill="F2F2F2" w:themeFill="background1" w:themeFillShade="F2"/>
            <w:vAlign w:val="center"/>
          </w:tcPr>
          <w:p w14:paraId="600822C8" w14:textId="3BC7A72E" w:rsidR="00EC2223" w:rsidRPr="00255081" w:rsidRDefault="00EC2223" w:rsidP="002702EC">
            <w:pPr>
              <w:spacing w:after="120" w:line="240" w:lineRule="auto"/>
              <w:jc w:val="right"/>
              <w:rPr>
                <w:rFonts w:ascii="Montserrat" w:eastAsia="Times New Roman" w:hAnsi="Montserrat" w:cs="Arial"/>
                <w:color w:val="000000"/>
                <w:sz w:val="15"/>
                <w:szCs w:val="15"/>
                <w:lang w:eastAsia="es-MX"/>
              </w:rPr>
            </w:pPr>
            <w:r w:rsidRPr="00255081">
              <w:rPr>
                <w:rFonts w:ascii="Montserrat" w:eastAsia="Times New Roman" w:hAnsi="Montserrat" w:cs="Calibri"/>
                <w:sz w:val="15"/>
                <w:szCs w:val="15"/>
                <w:lang w:val="es-MX" w:eastAsia="es-MX"/>
              </w:rPr>
              <w:t>601,126,077</w:t>
            </w:r>
          </w:p>
        </w:tc>
        <w:tc>
          <w:tcPr>
            <w:tcW w:w="2268" w:type="dxa"/>
            <w:gridSpan w:val="2"/>
            <w:shd w:val="clear" w:color="auto" w:fill="F2F2F2" w:themeFill="background1" w:themeFillShade="F2"/>
            <w:vAlign w:val="center"/>
          </w:tcPr>
          <w:p w14:paraId="45512DE5" w14:textId="75655A90" w:rsidR="00EC2223" w:rsidRPr="00255081" w:rsidRDefault="00EC2223" w:rsidP="002702EC">
            <w:pPr>
              <w:spacing w:after="120" w:line="240" w:lineRule="auto"/>
              <w:jc w:val="right"/>
              <w:rPr>
                <w:rFonts w:ascii="Montserrat" w:eastAsia="Times New Roman" w:hAnsi="Montserrat" w:cs="Arial"/>
                <w:color w:val="000000"/>
                <w:sz w:val="15"/>
                <w:szCs w:val="15"/>
                <w:lang w:eastAsia="es-MX"/>
              </w:rPr>
            </w:pPr>
            <w:r w:rsidRPr="00255081">
              <w:rPr>
                <w:rFonts w:ascii="Montserrat" w:eastAsia="Times New Roman" w:hAnsi="Montserrat" w:cs="Calibri"/>
                <w:sz w:val="15"/>
                <w:szCs w:val="15"/>
                <w:lang w:val="es-MX" w:eastAsia="es-MX"/>
              </w:rPr>
              <w:t>100%</w:t>
            </w:r>
          </w:p>
        </w:tc>
        <w:tc>
          <w:tcPr>
            <w:tcW w:w="2098" w:type="dxa"/>
            <w:gridSpan w:val="2"/>
            <w:shd w:val="clear" w:color="auto" w:fill="F2F2F2" w:themeFill="background1" w:themeFillShade="F2"/>
            <w:noWrap/>
            <w:vAlign w:val="center"/>
          </w:tcPr>
          <w:p w14:paraId="6D297B5E" w14:textId="6BC88D3D" w:rsidR="00EC2223" w:rsidRPr="00255081" w:rsidRDefault="00EC2223" w:rsidP="002702EC">
            <w:pPr>
              <w:spacing w:after="120" w:line="240" w:lineRule="auto"/>
              <w:jc w:val="right"/>
              <w:rPr>
                <w:rFonts w:ascii="Montserrat" w:eastAsia="Times New Roman" w:hAnsi="Montserrat" w:cs="Arial"/>
                <w:color w:val="000000"/>
                <w:sz w:val="15"/>
                <w:szCs w:val="15"/>
                <w:lang w:eastAsia="es-MX"/>
              </w:rPr>
            </w:pPr>
            <w:r w:rsidRPr="00255081">
              <w:rPr>
                <w:rFonts w:ascii="Montserrat" w:eastAsia="Times New Roman" w:hAnsi="Montserrat" w:cs="Calibri"/>
                <w:sz w:val="15"/>
                <w:szCs w:val="15"/>
                <w:lang w:val="es-MX" w:eastAsia="es-MX"/>
              </w:rPr>
              <w:t>601,126,077</w:t>
            </w:r>
          </w:p>
        </w:tc>
      </w:tr>
      <w:tr w:rsidR="00EC2223" w:rsidRPr="006F0DF1" w14:paraId="74788FF1" w14:textId="77777777" w:rsidTr="000F0321">
        <w:trPr>
          <w:trHeight w:val="340"/>
        </w:trPr>
        <w:tc>
          <w:tcPr>
            <w:tcW w:w="6095" w:type="dxa"/>
            <w:shd w:val="clear" w:color="auto" w:fill="F2F2F2" w:themeFill="background1" w:themeFillShade="F2"/>
            <w:vAlign w:val="center"/>
          </w:tcPr>
          <w:p w14:paraId="133CC361" w14:textId="7A85E46F" w:rsidR="00EC2223" w:rsidRPr="00255081" w:rsidRDefault="00EC2223" w:rsidP="004B170A">
            <w:pPr>
              <w:spacing w:after="120" w:line="240" w:lineRule="auto"/>
              <w:jc w:val="both"/>
              <w:rPr>
                <w:rFonts w:ascii="Montserrat" w:eastAsia="Times New Roman" w:hAnsi="Montserrat" w:cs="Arial"/>
                <w:color w:val="000000"/>
                <w:sz w:val="15"/>
                <w:szCs w:val="15"/>
                <w:lang w:eastAsia="es-MX"/>
              </w:rPr>
            </w:pPr>
            <w:r w:rsidRPr="00255081">
              <w:rPr>
                <w:rFonts w:ascii="Montserrat" w:eastAsia="Times New Roman" w:hAnsi="Montserrat" w:cs="Calibri"/>
                <w:sz w:val="15"/>
                <w:szCs w:val="15"/>
                <w:lang w:val="es-MX" w:eastAsia="es-MX"/>
              </w:rPr>
              <w:t>Fideicomiso para Apoyar la Construcción del Centro Nacional de las Artes</w:t>
            </w:r>
          </w:p>
        </w:tc>
        <w:tc>
          <w:tcPr>
            <w:tcW w:w="2268" w:type="dxa"/>
            <w:gridSpan w:val="2"/>
            <w:shd w:val="clear" w:color="auto" w:fill="F2F2F2" w:themeFill="background1" w:themeFillShade="F2"/>
            <w:vAlign w:val="center"/>
          </w:tcPr>
          <w:p w14:paraId="1C8A3C77" w14:textId="633C8A8A" w:rsidR="00EC2223" w:rsidRPr="00255081" w:rsidRDefault="00EC2223" w:rsidP="002702EC">
            <w:pPr>
              <w:spacing w:after="120" w:line="240" w:lineRule="auto"/>
              <w:jc w:val="right"/>
              <w:rPr>
                <w:rFonts w:ascii="Montserrat" w:eastAsia="Times New Roman" w:hAnsi="Montserrat" w:cs="Arial"/>
                <w:color w:val="000000"/>
                <w:sz w:val="15"/>
                <w:szCs w:val="15"/>
                <w:lang w:eastAsia="es-MX"/>
              </w:rPr>
            </w:pPr>
            <w:r w:rsidRPr="00255081">
              <w:rPr>
                <w:rFonts w:ascii="Montserrat" w:eastAsia="Times New Roman" w:hAnsi="Montserrat" w:cs="Calibri"/>
                <w:sz w:val="15"/>
                <w:szCs w:val="15"/>
                <w:lang w:val="es-MX" w:eastAsia="es-MX"/>
              </w:rPr>
              <w:t>71,726,002</w:t>
            </w:r>
          </w:p>
        </w:tc>
        <w:tc>
          <w:tcPr>
            <w:tcW w:w="2268" w:type="dxa"/>
            <w:gridSpan w:val="2"/>
            <w:shd w:val="clear" w:color="auto" w:fill="F2F2F2" w:themeFill="background1" w:themeFillShade="F2"/>
            <w:vAlign w:val="center"/>
          </w:tcPr>
          <w:p w14:paraId="683D6773" w14:textId="249BC7CC" w:rsidR="00EC2223" w:rsidRPr="00255081" w:rsidRDefault="00EC2223" w:rsidP="002702EC">
            <w:pPr>
              <w:spacing w:after="120" w:line="240" w:lineRule="auto"/>
              <w:jc w:val="right"/>
              <w:rPr>
                <w:rFonts w:ascii="Montserrat" w:eastAsia="Times New Roman" w:hAnsi="Montserrat" w:cs="Arial"/>
                <w:color w:val="000000"/>
                <w:sz w:val="15"/>
                <w:szCs w:val="15"/>
                <w:lang w:eastAsia="es-MX"/>
              </w:rPr>
            </w:pPr>
            <w:r w:rsidRPr="00255081">
              <w:rPr>
                <w:rFonts w:ascii="Montserrat" w:eastAsia="Times New Roman" w:hAnsi="Montserrat" w:cs="Calibri"/>
                <w:sz w:val="15"/>
                <w:szCs w:val="15"/>
                <w:lang w:val="es-MX" w:eastAsia="es-MX"/>
              </w:rPr>
              <w:t>100%</w:t>
            </w:r>
          </w:p>
        </w:tc>
        <w:tc>
          <w:tcPr>
            <w:tcW w:w="2098" w:type="dxa"/>
            <w:gridSpan w:val="2"/>
            <w:shd w:val="clear" w:color="auto" w:fill="F2F2F2" w:themeFill="background1" w:themeFillShade="F2"/>
            <w:noWrap/>
            <w:vAlign w:val="center"/>
          </w:tcPr>
          <w:p w14:paraId="1D202001" w14:textId="79643847" w:rsidR="00EC2223" w:rsidRPr="00255081" w:rsidRDefault="00EC2223" w:rsidP="002702EC">
            <w:pPr>
              <w:spacing w:after="120" w:line="240" w:lineRule="auto"/>
              <w:jc w:val="right"/>
              <w:rPr>
                <w:rFonts w:ascii="Montserrat" w:eastAsia="Times New Roman" w:hAnsi="Montserrat" w:cs="Arial"/>
                <w:color w:val="000000"/>
                <w:sz w:val="15"/>
                <w:szCs w:val="15"/>
                <w:lang w:eastAsia="es-MX"/>
              </w:rPr>
            </w:pPr>
            <w:r w:rsidRPr="00255081">
              <w:rPr>
                <w:rFonts w:ascii="Montserrat" w:eastAsia="Times New Roman" w:hAnsi="Montserrat" w:cs="Calibri"/>
                <w:sz w:val="15"/>
                <w:szCs w:val="15"/>
                <w:lang w:val="es-MX" w:eastAsia="es-MX"/>
              </w:rPr>
              <w:t>71,726,002</w:t>
            </w:r>
          </w:p>
        </w:tc>
      </w:tr>
      <w:tr w:rsidR="00EC2223" w:rsidRPr="006F0DF1" w14:paraId="08DFE07D" w14:textId="77777777" w:rsidTr="000F0321">
        <w:trPr>
          <w:trHeight w:val="340"/>
        </w:trPr>
        <w:tc>
          <w:tcPr>
            <w:tcW w:w="6095" w:type="dxa"/>
            <w:shd w:val="clear" w:color="auto" w:fill="F2F2F2" w:themeFill="background1" w:themeFillShade="F2"/>
            <w:vAlign w:val="center"/>
          </w:tcPr>
          <w:p w14:paraId="5036F8A0" w14:textId="14CFF328" w:rsidR="00EC2223" w:rsidRPr="00255081" w:rsidRDefault="00EC2223" w:rsidP="004B170A">
            <w:pPr>
              <w:spacing w:after="120" w:line="240" w:lineRule="auto"/>
              <w:jc w:val="both"/>
              <w:rPr>
                <w:rFonts w:ascii="Montserrat" w:eastAsia="Times New Roman" w:hAnsi="Montserrat" w:cs="Arial"/>
                <w:color w:val="000000"/>
                <w:sz w:val="15"/>
                <w:szCs w:val="15"/>
                <w:lang w:eastAsia="es-MX"/>
              </w:rPr>
            </w:pPr>
            <w:r w:rsidRPr="00255081">
              <w:rPr>
                <w:rFonts w:ascii="Montserrat" w:eastAsia="Times New Roman" w:hAnsi="Montserrat" w:cs="Calibri"/>
                <w:sz w:val="15"/>
                <w:szCs w:val="15"/>
                <w:lang w:val="es-MX" w:eastAsia="es-MX"/>
              </w:rPr>
              <w:t>Fideicomiso para la Conservación de la Casa del Risco y Pinacoteca Isidro Fabela.</w:t>
            </w:r>
          </w:p>
        </w:tc>
        <w:tc>
          <w:tcPr>
            <w:tcW w:w="2268" w:type="dxa"/>
            <w:gridSpan w:val="2"/>
            <w:shd w:val="clear" w:color="auto" w:fill="F2F2F2" w:themeFill="background1" w:themeFillShade="F2"/>
            <w:vAlign w:val="center"/>
          </w:tcPr>
          <w:p w14:paraId="37E2B9D3" w14:textId="0EE1C62B" w:rsidR="00EC2223" w:rsidRPr="00255081" w:rsidRDefault="00EC2223" w:rsidP="002702EC">
            <w:pPr>
              <w:spacing w:after="120" w:line="240" w:lineRule="auto"/>
              <w:jc w:val="right"/>
              <w:rPr>
                <w:rFonts w:ascii="Montserrat" w:eastAsia="Times New Roman" w:hAnsi="Montserrat" w:cs="Arial"/>
                <w:color w:val="000000"/>
                <w:sz w:val="15"/>
                <w:szCs w:val="15"/>
                <w:lang w:eastAsia="es-MX"/>
              </w:rPr>
            </w:pPr>
            <w:r w:rsidRPr="00255081">
              <w:rPr>
                <w:rFonts w:ascii="Montserrat" w:eastAsia="Times New Roman" w:hAnsi="Montserrat" w:cs="Calibri"/>
                <w:sz w:val="15"/>
                <w:szCs w:val="15"/>
                <w:lang w:val="es-MX" w:eastAsia="es-MX"/>
              </w:rPr>
              <w:t>16,447,355</w:t>
            </w:r>
          </w:p>
        </w:tc>
        <w:tc>
          <w:tcPr>
            <w:tcW w:w="2268" w:type="dxa"/>
            <w:gridSpan w:val="2"/>
            <w:shd w:val="clear" w:color="auto" w:fill="F2F2F2" w:themeFill="background1" w:themeFillShade="F2"/>
            <w:vAlign w:val="center"/>
          </w:tcPr>
          <w:p w14:paraId="7468086F" w14:textId="067C16D9" w:rsidR="00EC2223" w:rsidRPr="00255081" w:rsidRDefault="00EC2223" w:rsidP="002702EC">
            <w:pPr>
              <w:spacing w:after="120" w:line="240" w:lineRule="auto"/>
              <w:jc w:val="right"/>
              <w:rPr>
                <w:rFonts w:ascii="Montserrat" w:eastAsia="Times New Roman" w:hAnsi="Montserrat" w:cs="Arial"/>
                <w:color w:val="000000"/>
                <w:sz w:val="15"/>
                <w:szCs w:val="15"/>
                <w:lang w:eastAsia="es-MX"/>
              </w:rPr>
            </w:pPr>
            <w:r w:rsidRPr="00255081">
              <w:rPr>
                <w:rFonts w:ascii="Montserrat" w:eastAsia="Times New Roman" w:hAnsi="Montserrat" w:cs="Calibri"/>
                <w:sz w:val="15"/>
                <w:szCs w:val="15"/>
                <w:lang w:val="es-MX" w:eastAsia="es-MX"/>
              </w:rPr>
              <w:t>100%</w:t>
            </w:r>
          </w:p>
        </w:tc>
        <w:tc>
          <w:tcPr>
            <w:tcW w:w="2098" w:type="dxa"/>
            <w:gridSpan w:val="2"/>
            <w:shd w:val="clear" w:color="auto" w:fill="F2F2F2" w:themeFill="background1" w:themeFillShade="F2"/>
            <w:noWrap/>
            <w:vAlign w:val="center"/>
          </w:tcPr>
          <w:p w14:paraId="67ECF780" w14:textId="08B006A6" w:rsidR="00EC2223" w:rsidRPr="00255081" w:rsidRDefault="00EC2223" w:rsidP="002702EC">
            <w:pPr>
              <w:spacing w:after="120" w:line="240" w:lineRule="auto"/>
              <w:jc w:val="right"/>
              <w:rPr>
                <w:rFonts w:ascii="Montserrat" w:eastAsia="Times New Roman" w:hAnsi="Montserrat" w:cs="Arial"/>
                <w:color w:val="000000"/>
                <w:sz w:val="15"/>
                <w:szCs w:val="15"/>
                <w:lang w:eastAsia="es-MX"/>
              </w:rPr>
            </w:pPr>
            <w:r w:rsidRPr="00255081">
              <w:rPr>
                <w:rFonts w:ascii="Montserrat" w:eastAsia="Times New Roman" w:hAnsi="Montserrat" w:cs="Calibri"/>
                <w:sz w:val="15"/>
                <w:szCs w:val="15"/>
                <w:lang w:val="es-MX" w:eastAsia="es-MX"/>
              </w:rPr>
              <w:t>16,447,355</w:t>
            </w:r>
          </w:p>
        </w:tc>
      </w:tr>
      <w:tr w:rsidR="00EC2223" w:rsidRPr="006F0DF1" w14:paraId="6AD2E32C" w14:textId="77777777" w:rsidTr="000F0321">
        <w:trPr>
          <w:trHeight w:val="340"/>
        </w:trPr>
        <w:tc>
          <w:tcPr>
            <w:tcW w:w="6095" w:type="dxa"/>
            <w:shd w:val="clear" w:color="auto" w:fill="F2F2F2" w:themeFill="background1" w:themeFillShade="F2"/>
            <w:vAlign w:val="center"/>
          </w:tcPr>
          <w:p w14:paraId="0FB3DFF9" w14:textId="7D996E35" w:rsidR="00EC2223" w:rsidRPr="00255081" w:rsidRDefault="00EC2223" w:rsidP="004B170A">
            <w:pPr>
              <w:spacing w:after="120" w:line="240" w:lineRule="auto"/>
              <w:jc w:val="both"/>
              <w:rPr>
                <w:rFonts w:ascii="Montserrat" w:eastAsia="Times New Roman" w:hAnsi="Montserrat" w:cs="Arial"/>
                <w:color w:val="000000"/>
                <w:sz w:val="15"/>
                <w:szCs w:val="15"/>
                <w:lang w:eastAsia="es-MX"/>
              </w:rPr>
            </w:pPr>
            <w:r w:rsidRPr="00255081">
              <w:rPr>
                <w:rFonts w:ascii="Montserrat" w:eastAsia="Times New Roman" w:hAnsi="Montserrat" w:cs="Calibri"/>
                <w:sz w:val="15"/>
                <w:szCs w:val="15"/>
                <w:lang w:val="es-MX" w:eastAsia="es-MX"/>
              </w:rPr>
              <w:t>Mandato Antiguo Colegio de San Idelfonso</w:t>
            </w:r>
          </w:p>
        </w:tc>
        <w:tc>
          <w:tcPr>
            <w:tcW w:w="2268" w:type="dxa"/>
            <w:gridSpan w:val="2"/>
            <w:shd w:val="clear" w:color="auto" w:fill="F2F2F2" w:themeFill="background1" w:themeFillShade="F2"/>
            <w:vAlign w:val="center"/>
          </w:tcPr>
          <w:p w14:paraId="5C9EA43D" w14:textId="7407CD39" w:rsidR="00EC2223" w:rsidRPr="00255081" w:rsidRDefault="00EC2223" w:rsidP="002702EC">
            <w:pPr>
              <w:spacing w:after="120" w:line="240" w:lineRule="auto"/>
              <w:jc w:val="right"/>
              <w:rPr>
                <w:rFonts w:ascii="Montserrat" w:eastAsia="Times New Roman" w:hAnsi="Montserrat" w:cs="Arial"/>
                <w:color w:val="000000"/>
                <w:sz w:val="15"/>
                <w:szCs w:val="15"/>
                <w:lang w:eastAsia="es-MX"/>
              </w:rPr>
            </w:pPr>
            <w:r w:rsidRPr="00255081">
              <w:rPr>
                <w:rFonts w:ascii="Montserrat" w:eastAsia="Times New Roman" w:hAnsi="Montserrat" w:cs="Calibri"/>
                <w:sz w:val="15"/>
                <w:szCs w:val="15"/>
                <w:lang w:val="es-MX" w:eastAsia="es-MX"/>
              </w:rPr>
              <w:t>25,932,863</w:t>
            </w:r>
          </w:p>
        </w:tc>
        <w:tc>
          <w:tcPr>
            <w:tcW w:w="2268" w:type="dxa"/>
            <w:gridSpan w:val="2"/>
            <w:shd w:val="clear" w:color="auto" w:fill="F2F2F2" w:themeFill="background1" w:themeFillShade="F2"/>
            <w:vAlign w:val="center"/>
          </w:tcPr>
          <w:p w14:paraId="079E022D" w14:textId="6A59058E" w:rsidR="00EC2223" w:rsidRPr="00255081" w:rsidRDefault="00EC2223" w:rsidP="002702EC">
            <w:pPr>
              <w:spacing w:after="120" w:line="240" w:lineRule="auto"/>
              <w:jc w:val="right"/>
              <w:rPr>
                <w:rFonts w:ascii="Montserrat" w:eastAsia="Times New Roman" w:hAnsi="Montserrat" w:cs="Arial"/>
                <w:color w:val="000000"/>
                <w:sz w:val="15"/>
                <w:szCs w:val="15"/>
                <w:lang w:eastAsia="es-MX"/>
              </w:rPr>
            </w:pPr>
            <w:r w:rsidRPr="00255081">
              <w:rPr>
                <w:rFonts w:ascii="Montserrat" w:eastAsia="Times New Roman" w:hAnsi="Montserrat" w:cs="Calibri"/>
                <w:sz w:val="15"/>
                <w:szCs w:val="15"/>
                <w:lang w:val="es-MX" w:eastAsia="es-MX"/>
              </w:rPr>
              <w:t>76%</w:t>
            </w:r>
          </w:p>
        </w:tc>
        <w:tc>
          <w:tcPr>
            <w:tcW w:w="2098" w:type="dxa"/>
            <w:gridSpan w:val="2"/>
            <w:shd w:val="clear" w:color="auto" w:fill="F2F2F2" w:themeFill="background1" w:themeFillShade="F2"/>
            <w:noWrap/>
            <w:vAlign w:val="center"/>
          </w:tcPr>
          <w:p w14:paraId="02A40EA8" w14:textId="4B62D18B" w:rsidR="00EC2223" w:rsidRPr="00255081" w:rsidRDefault="00EC2223" w:rsidP="002702EC">
            <w:pPr>
              <w:spacing w:after="120" w:line="240" w:lineRule="auto"/>
              <w:jc w:val="right"/>
              <w:rPr>
                <w:rFonts w:ascii="Montserrat" w:eastAsia="Times New Roman" w:hAnsi="Montserrat" w:cs="Arial"/>
                <w:color w:val="000000"/>
                <w:sz w:val="15"/>
                <w:szCs w:val="15"/>
                <w:lang w:eastAsia="es-MX"/>
              </w:rPr>
            </w:pPr>
            <w:r w:rsidRPr="00255081">
              <w:rPr>
                <w:rFonts w:ascii="Montserrat" w:eastAsia="Times New Roman" w:hAnsi="Montserrat" w:cs="Calibri"/>
                <w:sz w:val="15"/>
                <w:szCs w:val="15"/>
                <w:lang w:val="es-MX" w:eastAsia="es-MX"/>
              </w:rPr>
              <w:t>19,708,976</w:t>
            </w:r>
          </w:p>
        </w:tc>
      </w:tr>
      <w:tr w:rsidR="00EC2223" w:rsidRPr="006F0DF1" w14:paraId="32941FFF" w14:textId="77777777" w:rsidTr="000F0321">
        <w:trPr>
          <w:trHeight w:val="340"/>
        </w:trPr>
        <w:tc>
          <w:tcPr>
            <w:tcW w:w="6095" w:type="dxa"/>
            <w:shd w:val="clear" w:color="auto" w:fill="F2F2F2" w:themeFill="background1" w:themeFillShade="F2"/>
            <w:vAlign w:val="center"/>
          </w:tcPr>
          <w:p w14:paraId="37620C45" w14:textId="0225F027" w:rsidR="00EC2223" w:rsidRPr="00255081" w:rsidRDefault="00EC2223" w:rsidP="004B170A">
            <w:pPr>
              <w:spacing w:after="120" w:line="240" w:lineRule="auto"/>
              <w:jc w:val="both"/>
              <w:rPr>
                <w:rFonts w:ascii="Montserrat" w:eastAsia="Times New Roman" w:hAnsi="Montserrat" w:cs="Arial"/>
                <w:color w:val="000000"/>
                <w:sz w:val="15"/>
                <w:szCs w:val="15"/>
                <w:lang w:eastAsia="es-MX"/>
              </w:rPr>
            </w:pPr>
            <w:r w:rsidRPr="00255081">
              <w:rPr>
                <w:rFonts w:ascii="Montserrat" w:eastAsia="Times New Roman" w:hAnsi="Montserrat" w:cs="Calibri"/>
                <w:sz w:val="15"/>
                <w:szCs w:val="15"/>
                <w:lang w:val="es-MX" w:eastAsia="es-MX"/>
              </w:rPr>
              <w:t>Mandato Nacional para la Cultura y las Artes</w:t>
            </w:r>
          </w:p>
        </w:tc>
        <w:tc>
          <w:tcPr>
            <w:tcW w:w="2268" w:type="dxa"/>
            <w:gridSpan w:val="2"/>
            <w:shd w:val="clear" w:color="auto" w:fill="F2F2F2" w:themeFill="background1" w:themeFillShade="F2"/>
            <w:vAlign w:val="center"/>
          </w:tcPr>
          <w:p w14:paraId="6DB669C0" w14:textId="50D8A580" w:rsidR="00EC2223" w:rsidRPr="00255081" w:rsidRDefault="00EC2223" w:rsidP="002702EC">
            <w:pPr>
              <w:spacing w:after="120" w:line="240" w:lineRule="auto"/>
              <w:jc w:val="right"/>
              <w:rPr>
                <w:rFonts w:ascii="Montserrat" w:eastAsia="Times New Roman" w:hAnsi="Montserrat" w:cs="Arial"/>
                <w:color w:val="000000"/>
                <w:sz w:val="15"/>
                <w:szCs w:val="15"/>
                <w:lang w:eastAsia="es-MX"/>
              </w:rPr>
            </w:pPr>
            <w:r w:rsidRPr="00255081">
              <w:rPr>
                <w:rFonts w:ascii="Montserrat" w:eastAsia="Times New Roman" w:hAnsi="Montserrat" w:cs="Calibri"/>
                <w:sz w:val="15"/>
                <w:szCs w:val="15"/>
                <w:lang w:val="es-MX" w:eastAsia="es-MX"/>
              </w:rPr>
              <w:t>360,498,545</w:t>
            </w:r>
          </w:p>
        </w:tc>
        <w:tc>
          <w:tcPr>
            <w:tcW w:w="2268" w:type="dxa"/>
            <w:gridSpan w:val="2"/>
            <w:shd w:val="clear" w:color="auto" w:fill="F2F2F2" w:themeFill="background1" w:themeFillShade="F2"/>
            <w:vAlign w:val="center"/>
          </w:tcPr>
          <w:p w14:paraId="7210CBE7" w14:textId="22521151" w:rsidR="00EC2223" w:rsidRPr="00255081" w:rsidRDefault="00EC2223" w:rsidP="002702EC">
            <w:pPr>
              <w:spacing w:after="120" w:line="240" w:lineRule="auto"/>
              <w:jc w:val="right"/>
              <w:rPr>
                <w:rFonts w:ascii="Montserrat" w:eastAsia="Times New Roman" w:hAnsi="Montserrat" w:cs="Arial"/>
                <w:color w:val="000000"/>
                <w:sz w:val="15"/>
                <w:szCs w:val="15"/>
                <w:lang w:eastAsia="es-MX"/>
              </w:rPr>
            </w:pPr>
            <w:r w:rsidRPr="00255081">
              <w:rPr>
                <w:rFonts w:ascii="Montserrat" w:eastAsia="Times New Roman" w:hAnsi="Montserrat" w:cs="Calibri"/>
                <w:sz w:val="15"/>
                <w:szCs w:val="15"/>
                <w:lang w:val="es-MX" w:eastAsia="es-MX"/>
              </w:rPr>
              <w:t>59%</w:t>
            </w:r>
          </w:p>
        </w:tc>
        <w:tc>
          <w:tcPr>
            <w:tcW w:w="2098" w:type="dxa"/>
            <w:gridSpan w:val="2"/>
            <w:shd w:val="clear" w:color="auto" w:fill="F2F2F2" w:themeFill="background1" w:themeFillShade="F2"/>
            <w:noWrap/>
            <w:vAlign w:val="center"/>
          </w:tcPr>
          <w:p w14:paraId="477D723B" w14:textId="0CC7847E" w:rsidR="00EC2223" w:rsidRPr="00255081" w:rsidRDefault="00EC2223" w:rsidP="002702EC">
            <w:pPr>
              <w:spacing w:after="120" w:line="240" w:lineRule="auto"/>
              <w:jc w:val="right"/>
              <w:rPr>
                <w:rFonts w:ascii="Montserrat" w:eastAsia="Times New Roman" w:hAnsi="Montserrat" w:cs="Arial"/>
                <w:color w:val="000000"/>
                <w:sz w:val="15"/>
                <w:szCs w:val="15"/>
                <w:lang w:eastAsia="es-MX"/>
              </w:rPr>
            </w:pPr>
            <w:r w:rsidRPr="00255081">
              <w:rPr>
                <w:rFonts w:ascii="Montserrat" w:eastAsia="Times New Roman" w:hAnsi="Montserrat" w:cs="Calibri"/>
                <w:sz w:val="15"/>
                <w:szCs w:val="15"/>
                <w:lang w:val="es-MX" w:eastAsia="es-MX"/>
              </w:rPr>
              <w:t>212,694,141</w:t>
            </w:r>
          </w:p>
        </w:tc>
      </w:tr>
      <w:tr w:rsidR="00EC2223" w:rsidRPr="006F0DF1" w14:paraId="2FEBDBD0" w14:textId="77777777" w:rsidTr="000F0321">
        <w:trPr>
          <w:trHeight w:val="454"/>
        </w:trPr>
        <w:tc>
          <w:tcPr>
            <w:tcW w:w="6095" w:type="dxa"/>
            <w:tcBorders>
              <w:bottom w:val="single" w:sz="12" w:space="0" w:color="808080" w:themeColor="background1" w:themeShade="80"/>
            </w:tcBorders>
            <w:shd w:val="clear" w:color="auto" w:fill="F2F2F2" w:themeFill="background1" w:themeFillShade="F2"/>
            <w:vAlign w:val="center"/>
          </w:tcPr>
          <w:p w14:paraId="3F8CBD18" w14:textId="5D3284D4" w:rsidR="00EC2223" w:rsidRPr="00255081" w:rsidRDefault="00EC2223" w:rsidP="002702EC">
            <w:pPr>
              <w:spacing w:after="120" w:line="240" w:lineRule="auto"/>
              <w:jc w:val="right"/>
              <w:rPr>
                <w:rFonts w:ascii="Montserrat" w:eastAsia="Times New Roman" w:hAnsi="Montserrat" w:cs="Arial"/>
                <w:b/>
                <w:color w:val="000000"/>
                <w:sz w:val="15"/>
                <w:szCs w:val="15"/>
                <w:lang w:eastAsia="es-MX"/>
              </w:rPr>
            </w:pPr>
            <w:r w:rsidRPr="00255081">
              <w:rPr>
                <w:rFonts w:ascii="Montserrat" w:eastAsia="Times New Roman" w:hAnsi="Montserrat" w:cs="Calibri"/>
                <w:b/>
                <w:bCs/>
                <w:color w:val="000000"/>
                <w:sz w:val="15"/>
                <w:szCs w:val="15"/>
                <w:lang w:val="es-MX" w:eastAsia="es-MX"/>
              </w:rPr>
              <w:t>Totales</w:t>
            </w:r>
          </w:p>
        </w:tc>
        <w:tc>
          <w:tcPr>
            <w:tcW w:w="2268" w:type="dxa"/>
            <w:gridSpan w:val="2"/>
            <w:tcBorders>
              <w:bottom w:val="single" w:sz="12" w:space="0" w:color="808080" w:themeColor="background1" w:themeShade="80"/>
            </w:tcBorders>
            <w:shd w:val="clear" w:color="auto" w:fill="F2F2F2" w:themeFill="background1" w:themeFillShade="F2"/>
            <w:vAlign w:val="center"/>
          </w:tcPr>
          <w:p w14:paraId="78756AC7" w14:textId="2CA602D6" w:rsidR="00EC2223" w:rsidRPr="00255081" w:rsidRDefault="00EC2223" w:rsidP="002702EC">
            <w:pPr>
              <w:spacing w:after="120" w:line="240" w:lineRule="auto"/>
              <w:jc w:val="right"/>
              <w:rPr>
                <w:rFonts w:ascii="Montserrat" w:eastAsia="Times New Roman" w:hAnsi="Montserrat" w:cs="Arial"/>
                <w:b/>
                <w:bCs/>
                <w:color w:val="000000"/>
                <w:sz w:val="15"/>
                <w:szCs w:val="15"/>
                <w:lang w:eastAsia="es-MX"/>
              </w:rPr>
            </w:pPr>
            <w:r w:rsidRPr="00255081">
              <w:rPr>
                <w:rFonts w:ascii="Montserrat" w:eastAsia="Times New Roman" w:hAnsi="Montserrat" w:cs="Calibri"/>
                <w:b/>
                <w:bCs/>
                <w:color w:val="000000"/>
                <w:sz w:val="15"/>
                <w:szCs w:val="15"/>
                <w:lang w:val="es-MX" w:eastAsia="es-MX"/>
              </w:rPr>
              <w:t>538,980,189,106</w:t>
            </w:r>
          </w:p>
        </w:tc>
        <w:tc>
          <w:tcPr>
            <w:tcW w:w="2268" w:type="dxa"/>
            <w:gridSpan w:val="2"/>
            <w:tcBorders>
              <w:bottom w:val="single" w:sz="12" w:space="0" w:color="808080" w:themeColor="background1" w:themeShade="80"/>
            </w:tcBorders>
            <w:shd w:val="clear" w:color="auto" w:fill="F2F2F2" w:themeFill="background1" w:themeFillShade="F2"/>
            <w:vAlign w:val="center"/>
          </w:tcPr>
          <w:p w14:paraId="5023B92C" w14:textId="77777777" w:rsidR="00EC2223" w:rsidRPr="00255081" w:rsidRDefault="00EC2223" w:rsidP="002702EC">
            <w:pPr>
              <w:spacing w:after="120" w:line="240" w:lineRule="auto"/>
              <w:jc w:val="right"/>
              <w:rPr>
                <w:rFonts w:ascii="Montserrat" w:eastAsia="Times New Roman" w:hAnsi="Montserrat" w:cs="Arial"/>
                <w:b/>
                <w:bCs/>
                <w:color w:val="000000"/>
                <w:sz w:val="15"/>
                <w:szCs w:val="15"/>
                <w:lang w:eastAsia="es-MX"/>
              </w:rPr>
            </w:pPr>
          </w:p>
        </w:tc>
        <w:tc>
          <w:tcPr>
            <w:tcW w:w="2098" w:type="dxa"/>
            <w:gridSpan w:val="2"/>
            <w:tcBorders>
              <w:bottom w:val="single" w:sz="12" w:space="0" w:color="808080" w:themeColor="background1" w:themeShade="80"/>
            </w:tcBorders>
            <w:shd w:val="clear" w:color="auto" w:fill="F2F2F2" w:themeFill="background1" w:themeFillShade="F2"/>
            <w:noWrap/>
            <w:vAlign w:val="center"/>
          </w:tcPr>
          <w:p w14:paraId="153F13EB" w14:textId="761E958D" w:rsidR="00EC2223" w:rsidRPr="00255081" w:rsidRDefault="00EC2223" w:rsidP="002702EC">
            <w:pPr>
              <w:spacing w:after="120" w:line="240" w:lineRule="auto"/>
              <w:jc w:val="right"/>
              <w:rPr>
                <w:rFonts w:ascii="Montserrat" w:eastAsia="Times New Roman" w:hAnsi="Montserrat" w:cs="Arial"/>
                <w:b/>
                <w:bCs/>
                <w:color w:val="000000"/>
                <w:sz w:val="15"/>
                <w:szCs w:val="15"/>
                <w:lang w:eastAsia="es-MX"/>
              </w:rPr>
            </w:pPr>
            <w:r w:rsidRPr="00255081">
              <w:rPr>
                <w:rFonts w:ascii="Montserrat" w:eastAsia="Times New Roman" w:hAnsi="Montserrat" w:cs="Calibri"/>
                <w:b/>
                <w:bCs/>
                <w:color w:val="000000"/>
                <w:sz w:val="15"/>
                <w:szCs w:val="15"/>
                <w:lang w:val="es-MX" w:eastAsia="es-MX"/>
              </w:rPr>
              <w:t>536,212,347,715</w:t>
            </w:r>
          </w:p>
        </w:tc>
      </w:tr>
    </w:tbl>
    <w:p w14:paraId="065C924F" w14:textId="77777777" w:rsidR="00FC3A0A" w:rsidRDefault="00FC3A0A" w:rsidP="00FC3A0A">
      <w:pPr>
        <w:pStyle w:val="VIETAFLECHA"/>
        <w:numPr>
          <w:ilvl w:val="0"/>
          <w:numId w:val="0"/>
        </w:numPr>
        <w:spacing w:after="0" w:line="240" w:lineRule="auto"/>
        <w:rPr>
          <w:rFonts w:cs="Arial"/>
          <w:spacing w:val="-1"/>
        </w:rPr>
      </w:pPr>
    </w:p>
    <w:p w14:paraId="286588B6" w14:textId="34F4BDD6" w:rsidR="00FC3A0A" w:rsidRDefault="00EC2223" w:rsidP="00FC3A0A">
      <w:pPr>
        <w:pStyle w:val="TEXTONORMAL"/>
        <w:spacing w:after="0" w:line="240" w:lineRule="auto"/>
      </w:pPr>
      <w:r w:rsidRPr="000B02A4">
        <w:rPr>
          <w:rFonts w:eastAsia="Times New Roman" w:cs="Calibri"/>
          <w:color w:val="000000"/>
          <w:sz w:val="15"/>
          <w:szCs w:val="15"/>
          <w:lang w:val="es-MX" w:eastAsia="es-MX"/>
        </w:rPr>
        <w:t xml:space="preserve">1/  Los importes pueden </w:t>
      </w:r>
      <w:r w:rsidR="00220C11">
        <w:rPr>
          <w:rFonts w:eastAsia="Times New Roman" w:cs="Calibri"/>
          <w:color w:val="000000"/>
          <w:sz w:val="15"/>
          <w:szCs w:val="15"/>
          <w:lang w:val="es-MX" w:eastAsia="es-MX"/>
        </w:rPr>
        <w:t>no coincidir</w:t>
      </w:r>
      <w:r w:rsidRPr="000B02A4">
        <w:rPr>
          <w:rFonts w:eastAsia="Times New Roman" w:cs="Calibri"/>
          <w:color w:val="000000"/>
          <w:sz w:val="15"/>
          <w:szCs w:val="15"/>
          <w:lang w:val="es-MX" w:eastAsia="es-MX"/>
        </w:rPr>
        <w:t xml:space="preserve"> debido al redondeo por el porcentaje aplicado</w:t>
      </w:r>
    </w:p>
    <w:p w14:paraId="05839D76" w14:textId="77777777" w:rsidR="00EC2223" w:rsidRDefault="00EC2223" w:rsidP="00FC3A0A">
      <w:pPr>
        <w:pStyle w:val="TEXTONORMAL"/>
        <w:spacing w:after="0" w:line="240" w:lineRule="auto"/>
      </w:pPr>
    </w:p>
    <w:p w14:paraId="259E2A68" w14:textId="77777777" w:rsidR="000A1B05" w:rsidRDefault="000A1B05" w:rsidP="00FC3A0A">
      <w:pPr>
        <w:pStyle w:val="TEXTONORMAL"/>
        <w:spacing w:after="0" w:line="240" w:lineRule="auto"/>
      </w:pPr>
    </w:p>
    <w:p w14:paraId="3BAAE5EC" w14:textId="77777777" w:rsidR="00B34F6C" w:rsidRDefault="00B34F6C" w:rsidP="00FC3A0A">
      <w:pPr>
        <w:pStyle w:val="TEXTONORMAL"/>
        <w:spacing w:after="0" w:line="240" w:lineRule="auto"/>
      </w:pPr>
    </w:p>
    <w:p w14:paraId="264358FD" w14:textId="77777777" w:rsidR="00B34F6C" w:rsidRDefault="00B34F6C" w:rsidP="00FC3A0A">
      <w:pPr>
        <w:pStyle w:val="TEXTONORMAL"/>
        <w:spacing w:after="0" w:line="240" w:lineRule="auto"/>
      </w:pPr>
    </w:p>
    <w:p w14:paraId="00B9BBFA" w14:textId="77777777" w:rsidR="00B34F6C" w:rsidRDefault="00B34F6C" w:rsidP="00FC3A0A">
      <w:pPr>
        <w:pStyle w:val="TEXTONORMAL"/>
        <w:spacing w:after="0" w:line="240" w:lineRule="auto"/>
      </w:pPr>
    </w:p>
    <w:p w14:paraId="706D2608" w14:textId="77777777" w:rsidR="00B34F6C" w:rsidRDefault="00B34F6C" w:rsidP="00FC3A0A">
      <w:pPr>
        <w:pStyle w:val="TEXTONORMAL"/>
        <w:spacing w:after="0" w:line="240" w:lineRule="auto"/>
      </w:pPr>
    </w:p>
    <w:p w14:paraId="5A3A87CE" w14:textId="77777777" w:rsidR="009C3C24" w:rsidRPr="004E44CE" w:rsidRDefault="009C3C24" w:rsidP="00FC3A0A">
      <w:pPr>
        <w:pStyle w:val="VIETAFLECHA"/>
        <w:numPr>
          <w:ilvl w:val="0"/>
          <w:numId w:val="13"/>
        </w:numPr>
        <w:ind w:left="357" w:hanging="357"/>
        <w:rPr>
          <w:rFonts w:cs="Arial"/>
          <w:spacing w:val="-1"/>
        </w:rPr>
      </w:pPr>
      <w:r w:rsidRPr="004E44CE">
        <w:rPr>
          <w:rFonts w:cs="Arial"/>
          <w:spacing w:val="-1"/>
        </w:rPr>
        <w:lastRenderedPageBreak/>
        <w:t>Inversiones a Largo Plazo en el Sector Paraestatal y Empresas Productivas del Estado</w:t>
      </w:r>
    </w:p>
    <w:p w14:paraId="1278D3F0" w14:textId="15F06506" w:rsidR="009C3C24" w:rsidRPr="00063579" w:rsidRDefault="009C3C24" w:rsidP="00063579">
      <w:pPr>
        <w:spacing w:after="120" w:line="250" w:lineRule="exact"/>
        <w:jc w:val="both"/>
        <w:rPr>
          <w:rFonts w:ascii="Montserrat" w:hAnsi="Montserrat"/>
          <w:sz w:val="18"/>
          <w:szCs w:val="18"/>
        </w:rPr>
      </w:pPr>
      <w:r w:rsidRPr="00F30620">
        <w:rPr>
          <w:rFonts w:ascii="Montserrat" w:hAnsi="Montserrat"/>
          <w:sz w:val="18"/>
          <w:szCs w:val="18"/>
        </w:rPr>
        <w:t>Las inversiones financieras a largo plazo relacionadas con el</w:t>
      </w:r>
      <w:r w:rsidR="005B7ABD" w:rsidRPr="00F30620">
        <w:rPr>
          <w:rFonts w:ascii="Montserrat" w:hAnsi="Montserrat"/>
          <w:sz w:val="18"/>
          <w:szCs w:val="18"/>
        </w:rPr>
        <w:t xml:space="preserve"> </w:t>
      </w:r>
      <w:r w:rsidR="00F067C3" w:rsidRPr="00F30620">
        <w:rPr>
          <w:rFonts w:ascii="Montserrat" w:hAnsi="Montserrat"/>
          <w:sz w:val="18"/>
          <w:szCs w:val="18"/>
        </w:rPr>
        <w:t xml:space="preserve">Sector Paraestatal </w:t>
      </w:r>
      <w:r w:rsidR="005B7ABD" w:rsidRPr="00F30620">
        <w:rPr>
          <w:rFonts w:ascii="Montserrat" w:hAnsi="Montserrat"/>
          <w:sz w:val="18"/>
          <w:szCs w:val="18"/>
        </w:rPr>
        <w:t xml:space="preserve">y </w:t>
      </w:r>
      <w:r w:rsidR="00F067C3" w:rsidRPr="00F30620">
        <w:rPr>
          <w:rFonts w:ascii="Montserrat" w:hAnsi="Montserrat"/>
          <w:sz w:val="18"/>
          <w:szCs w:val="18"/>
        </w:rPr>
        <w:t xml:space="preserve">Empresas Productivas </w:t>
      </w:r>
      <w:r w:rsidR="005B7ABD" w:rsidRPr="00F30620">
        <w:rPr>
          <w:rFonts w:ascii="Montserrat" w:hAnsi="Montserrat"/>
          <w:sz w:val="18"/>
          <w:szCs w:val="18"/>
        </w:rPr>
        <w:t xml:space="preserve">del </w:t>
      </w:r>
      <w:r w:rsidR="00F067C3" w:rsidRPr="00F30620">
        <w:rPr>
          <w:rFonts w:ascii="Montserrat" w:hAnsi="Montserrat"/>
          <w:sz w:val="18"/>
          <w:szCs w:val="18"/>
        </w:rPr>
        <w:t>Estado</w:t>
      </w:r>
      <w:r w:rsidRPr="00F30620">
        <w:rPr>
          <w:rFonts w:ascii="Montserrat" w:hAnsi="Montserrat"/>
          <w:sz w:val="18"/>
          <w:szCs w:val="18"/>
        </w:rPr>
        <w:t>, se registraron de la siguiente forma:</w:t>
      </w:r>
    </w:p>
    <w:tbl>
      <w:tblPr>
        <w:tblW w:w="9416" w:type="dxa"/>
        <w:tblInd w:w="2230" w:type="dxa"/>
        <w:tblCellMar>
          <w:left w:w="70" w:type="dxa"/>
          <w:right w:w="70" w:type="dxa"/>
        </w:tblCellMar>
        <w:tblLook w:val="04A0" w:firstRow="1" w:lastRow="0" w:firstColumn="1" w:lastColumn="0" w:noHBand="0" w:noVBand="1"/>
      </w:tblPr>
      <w:tblGrid>
        <w:gridCol w:w="5220"/>
        <w:gridCol w:w="2098"/>
        <w:gridCol w:w="1322"/>
        <w:gridCol w:w="776"/>
      </w:tblGrid>
      <w:tr w:rsidR="009C3C24" w:rsidRPr="006F0DF1" w14:paraId="57DFAAFB" w14:textId="77777777" w:rsidTr="000411EB">
        <w:trPr>
          <w:gridAfter w:val="1"/>
          <w:wAfter w:w="776" w:type="dxa"/>
          <w:trHeight w:val="215"/>
        </w:trPr>
        <w:tc>
          <w:tcPr>
            <w:tcW w:w="8640" w:type="dxa"/>
            <w:gridSpan w:val="3"/>
            <w:tcBorders>
              <w:top w:val="nil"/>
              <w:left w:val="nil"/>
              <w:right w:val="nil"/>
            </w:tcBorders>
            <w:shd w:val="clear" w:color="auto" w:fill="auto"/>
            <w:vAlign w:val="center"/>
            <w:hideMark/>
          </w:tcPr>
          <w:p w14:paraId="40675975" w14:textId="77777777" w:rsidR="009C3C24" w:rsidRPr="00936371" w:rsidRDefault="009C3C24" w:rsidP="002F797B">
            <w:pPr>
              <w:spacing w:after="0" w:line="240" w:lineRule="auto"/>
              <w:jc w:val="center"/>
              <w:rPr>
                <w:rFonts w:ascii="Montserrat" w:eastAsia="Times New Roman" w:hAnsi="Montserrat" w:cs="Calibri"/>
                <w:bCs/>
                <w:sz w:val="16"/>
                <w:szCs w:val="16"/>
                <w:lang w:val="es-MX" w:eastAsia="es-MX"/>
              </w:rPr>
            </w:pPr>
            <w:r w:rsidRPr="00936371">
              <w:rPr>
                <w:rFonts w:ascii="Montserrat" w:eastAsia="Times New Roman" w:hAnsi="Montserrat" w:cs="Calibri"/>
                <w:bCs/>
                <w:sz w:val="16"/>
                <w:szCs w:val="16"/>
                <w:lang w:val="es-MX" w:eastAsia="es-MX"/>
              </w:rPr>
              <w:t>(Pesos)</w:t>
            </w:r>
          </w:p>
        </w:tc>
      </w:tr>
      <w:tr w:rsidR="00C4519E" w:rsidRPr="000411EB" w14:paraId="6E1D3901" w14:textId="77777777" w:rsidTr="00FC3A0A">
        <w:trPr>
          <w:trHeight w:val="57"/>
        </w:trPr>
        <w:tc>
          <w:tcPr>
            <w:tcW w:w="9416" w:type="dxa"/>
            <w:gridSpan w:val="4"/>
            <w:tcBorders>
              <w:top w:val="single" w:sz="12" w:space="0" w:color="808080" w:themeColor="background1" w:themeShade="80"/>
            </w:tcBorders>
            <w:shd w:val="clear" w:color="auto" w:fill="auto"/>
            <w:vAlign w:val="center"/>
          </w:tcPr>
          <w:p w14:paraId="3AAF31FB" w14:textId="77777777" w:rsidR="00C4519E" w:rsidRPr="000411EB" w:rsidRDefault="00C4519E" w:rsidP="002F797B">
            <w:pPr>
              <w:spacing w:after="0" w:line="240" w:lineRule="auto"/>
              <w:jc w:val="center"/>
              <w:rPr>
                <w:rFonts w:ascii="Montserrat" w:eastAsia="Times New Roman" w:hAnsi="Montserrat" w:cs="Calibri"/>
                <w:b/>
                <w:bCs/>
                <w:color w:val="FFFFFF"/>
                <w:sz w:val="4"/>
                <w:szCs w:val="4"/>
                <w:lang w:val="es-MX" w:eastAsia="es-MX"/>
              </w:rPr>
            </w:pPr>
          </w:p>
        </w:tc>
      </w:tr>
      <w:tr w:rsidR="009C3C24" w:rsidRPr="006F0DF1" w14:paraId="0044E032" w14:textId="77777777" w:rsidTr="00FC3A0A">
        <w:trPr>
          <w:trHeight w:val="317"/>
        </w:trPr>
        <w:tc>
          <w:tcPr>
            <w:tcW w:w="5220" w:type="dxa"/>
            <w:tcBorders>
              <w:left w:val="single" w:sz="8" w:space="0" w:color="FFFFFF" w:themeColor="background1"/>
              <w:bottom w:val="double" w:sz="12" w:space="0" w:color="808080" w:themeColor="background1" w:themeShade="80"/>
              <w:right w:val="single" w:sz="8" w:space="0" w:color="FFFFFF" w:themeColor="background1"/>
            </w:tcBorders>
            <w:shd w:val="clear" w:color="auto" w:fill="D4C19C"/>
            <w:vAlign w:val="center"/>
            <w:hideMark/>
          </w:tcPr>
          <w:p w14:paraId="7220DEDC" w14:textId="77777777" w:rsidR="009C3C24" w:rsidRPr="006F0DF1" w:rsidRDefault="009C3C24" w:rsidP="002F797B">
            <w:pPr>
              <w:spacing w:after="0" w:line="240" w:lineRule="auto"/>
              <w:jc w:val="center"/>
              <w:rPr>
                <w:rFonts w:ascii="Montserrat" w:eastAsia="Times New Roman" w:hAnsi="Montserrat" w:cs="Calibri"/>
                <w:b/>
                <w:bCs/>
                <w:color w:val="FFFFFF"/>
                <w:sz w:val="16"/>
                <w:szCs w:val="16"/>
                <w:lang w:val="es-MX" w:eastAsia="es-MX"/>
              </w:rPr>
            </w:pPr>
            <w:r w:rsidRPr="006F0DF1">
              <w:rPr>
                <w:rFonts w:ascii="Montserrat" w:eastAsia="Times New Roman" w:hAnsi="Montserrat" w:cs="Calibri"/>
                <w:b/>
                <w:bCs/>
                <w:color w:val="FFFFFF"/>
                <w:sz w:val="16"/>
                <w:szCs w:val="16"/>
                <w:lang w:val="es-MX" w:eastAsia="es-MX"/>
              </w:rPr>
              <w:t>Concepto</w:t>
            </w:r>
          </w:p>
        </w:tc>
        <w:tc>
          <w:tcPr>
            <w:tcW w:w="2098" w:type="dxa"/>
            <w:tcBorders>
              <w:left w:val="single" w:sz="8" w:space="0" w:color="FFFFFF" w:themeColor="background1"/>
              <w:bottom w:val="double" w:sz="12" w:space="0" w:color="808080" w:themeColor="background1" w:themeShade="80"/>
              <w:right w:val="single" w:sz="8" w:space="0" w:color="FFFFFF" w:themeColor="background1"/>
            </w:tcBorders>
            <w:shd w:val="clear" w:color="auto" w:fill="D4C19C"/>
            <w:vAlign w:val="center"/>
            <w:hideMark/>
          </w:tcPr>
          <w:p w14:paraId="721295BB" w14:textId="77777777" w:rsidR="009C3C24" w:rsidRPr="006F0DF1" w:rsidRDefault="009C3C24" w:rsidP="00686800">
            <w:pPr>
              <w:spacing w:after="0" w:line="240" w:lineRule="auto"/>
              <w:jc w:val="center"/>
              <w:rPr>
                <w:rFonts w:ascii="Montserrat" w:eastAsia="Times New Roman" w:hAnsi="Montserrat" w:cs="Calibri"/>
                <w:b/>
                <w:bCs/>
                <w:color w:val="FFFFFF"/>
                <w:sz w:val="16"/>
                <w:szCs w:val="16"/>
                <w:lang w:val="es-MX" w:eastAsia="es-MX"/>
              </w:rPr>
            </w:pPr>
            <w:r>
              <w:rPr>
                <w:rFonts w:ascii="Montserrat" w:eastAsia="Times New Roman" w:hAnsi="Montserrat" w:cs="Calibri"/>
                <w:b/>
                <w:bCs/>
                <w:color w:val="FFFFFF"/>
                <w:sz w:val="16"/>
                <w:szCs w:val="16"/>
                <w:lang w:val="es-MX" w:eastAsia="es-MX"/>
              </w:rPr>
              <w:t>201</w:t>
            </w:r>
            <w:r w:rsidR="00686800">
              <w:rPr>
                <w:rFonts w:ascii="Montserrat" w:eastAsia="Times New Roman" w:hAnsi="Montserrat" w:cs="Calibri"/>
                <w:b/>
                <w:bCs/>
                <w:color w:val="FFFFFF"/>
                <w:sz w:val="16"/>
                <w:szCs w:val="16"/>
                <w:lang w:val="es-MX" w:eastAsia="es-MX"/>
              </w:rPr>
              <w:t>9</w:t>
            </w:r>
          </w:p>
        </w:tc>
        <w:tc>
          <w:tcPr>
            <w:tcW w:w="2098" w:type="dxa"/>
            <w:gridSpan w:val="2"/>
            <w:tcBorders>
              <w:left w:val="single" w:sz="8" w:space="0" w:color="FFFFFF" w:themeColor="background1"/>
              <w:bottom w:val="double" w:sz="12" w:space="0" w:color="808080" w:themeColor="background1" w:themeShade="80"/>
              <w:right w:val="single" w:sz="8" w:space="0" w:color="FFFFFF" w:themeColor="background1"/>
            </w:tcBorders>
            <w:shd w:val="clear" w:color="auto" w:fill="D4C19C"/>
            <w:vAlign w:val="center"/>
            <w:hideMark/>
          </w:tcPr>
          <w:p w14:paraId="4E0711DB" w14:textId="77777777" w:rsidR="009C3C24" w:rsidRPr="006F0DF1" w:rsidRDefault="009C3C24" w:rsidP="002F797B">
            <w:pPr>
              <w:spacing w:after="0" w:line="240" w:lineRule="auto"/>
              <w:jc w:val="center"/>
              <w:rPr>
                <w:rFonts w:ascii="Montserrat" w:eastAsia="Times New Roman" w:hAnsi="Montserrat" w:cs="Calibri"/>
                <w:b/>
                <w:bCs/>
                <w:color w:val="FFFFFF"/>
                <w:sz w:val="16"/>
                <w:szCs w:val="16"/>
                <w:lang w:val="es-MX" w:eastAsia="es-MX"/>
              </w:rPr>
            </w:pPr>
            <w:r>
              <w:rPr>
                <w:rFonts w:ascii="Montserrat" w:eastAsia="Times New Roman" w:hAnsi="Montserrat" w:cs="Calibri"/>
                <w:b/>
                <w:bCs/>
                <w:color w:val="FFFFFF"/>
                <w:sz w:val="16"/>
                <w:szCs w:val="16"/>
                <w:lang w:val="es-MX" w:eastAsia="es-MX"/>
              </w:rPr>
              <w:t>201</w:t>
            </w:r>
            <w:r w:rsidR="00686800">
              <w:rPr>
                <w:rFonts w:ascii="Montserrat" w:eastAsia="Times New Roman" w:hAnsi="Montserrat" w:cs="Calibri"/>
                <w:b/>
                <w:bCs/>
                <w:color w:val="FFFFFF"/>
                <w:sz w:val="16"/>
                <w:szCs w:val="16"/>
                <w:lang w:val="es-MX" w:eastAsia="es-MX"/>
              </w:rPr>
              <w:t>8</w:t>
            </w:r>
          </w:p>
        </w:tc>
      </w:tr>
      <w:tr w:rsidR="001C197E" w:rsidRPr="006F0DF1" w14:paraId="0EDC4964" w14:textId="77777777" w:rsidTr="00556DB3">
        <w:trPr>
          <w:trHeight w:val="215"/>
        </w:trPr>
        <w:tc>
          <w:tcPr>
            <w:tcW w:w="5220" w:type="dxa"/>
            <w:tcBorders>
              <w:top w:val="double" w:sz="12" w:space="0" w:color="808080" w:themeColor="background1" w:themeShade="80"/>
            </w:tcBorders>
            <w:shd w:val="clear" w:color="auto" w:fill="F2F2F2" w:themeFill="background1" w:themeFillShade="F2"/>
            <w:vAlign w:val="center"/>
            <w:hideMark/>
          </w:tcPr>
          <w:p w14:paraId="6D598546" w14:textId="77777777" w:rsidR="001C197E" w:rsidRPr="00255081" w:rsidRDefault="001C197E" w:rsidP="001C197E">
            <w:pPr>
              <w:spacing w:before="40" w:after="40" w:line="240" w:lineRule="auto"/>
              <w:ind w:left="170"/>
              <w:jc w:val="both"/>
              <w:rPr>
                <w:rFonts w:ascii="Montserrat" w:eastAsia="Times New Roman" w:hAnsi="Montserrat" w:cs="Calibri"/>
                <w:color w:val="000000"/>
                <w:sz w:val="15"/>
                <w:szCs w:val="15"/>
                <w:lang w:val="es-MX" w:eastAsia="es-MX"/>
              </w:rPr>
            </w:pPr>
            <w:r w:rsidRPr="00255081">
              <w:rPr>
                <w:rFonts w:ascii="Montserrat" w:eastAsia="Times New Roman" w:hAnsi="Montserrat" w:cs="Calibri"/>
                <w:color w:val="000000"/>
                <w:sz w:val="15"/>
                <w:szCs w:val="15"/>
                <w:lang w:val="es-MX" w:eastAsia="es-MX"/>
              </w:rPr>
              <w:t>Fideicomisos, Mandatos y Contratos Análogos Públicos No Empresariales y No Financieros</w:t>
            </w:r>
          </w:p>
        </w:tc>
        <w:tc>
          <w:tcPr>
            <w:tcW w:w="2098" w:type="dxa"/>
            <w:tcBorders>
              <w:top w:val="double" w:sz="12" w:space="0" w:color="808080" w:themeColor="background1" w:themeShade="80"/>
            </w:tcBorders>
            <w:shd w:val="clear" w:color="auto" w:fill="F2F2F2" w:themeFill="background1" w:themeFillShade="F2"/>
            <w:vAlign w:val="center"/>
          </w:tcPr>
          <w:p w14:paraId="1E5AC798" w14:textId="0E5C2894" w:rsidR="001C197E" w:rsidRPr="00255081" w:rsidRDefault="001C197E" w:rsidP="001C197E">
            <w:pPr>
              <w:spacing w:after="0" w:line="240" w:lineRule="auto"/>
              <w:jc w:val="right"/>
              <w:rPr>
                <w:rFonts w:ascii="Montserrat" w:eastAsia="Times New Roman" w:hAnsi="Montserrat" w:cs="Calibri"/>
                <w:sz w:val="15"/>
                <w:szCs w:val="15"/>
                <w:lang w:val="es-MX" w:eastAsia="es-MX"/>
              </w:rPr>
            </w:pPr>
            <w:r w:rsidRPr="000F0321">
              <w:rPr>
                <w:rFonts w:ascii="Montserrat" w:hAnsi="Montserrat" w:cs="Arial"/>
                <w:color w:val="000000"/>
                <w:sz w:val="15"/>
                <w:szCs w:val="15"/>
              </w:rPr>
              <w:t>9,861,963,631</w:t>
            </w:r>
          </w:p>
        </w:tc>
        <w:tc>
          <w:tcPr>
            <w:tcW w:w="2098" w:type="dxa"/>
            <w:gridSpan w:val="2"/>
            <w:tcBorders>
              <w:top w:val="double" w:sz="12" w:space="0" w:color="808080" w:themeColor="background1" w:themeShade="80"/>
            </w:tcBorders>
            <w:shd w:val="clear" w:color="auto" w:fill="F2F2F2" w:themeFill="background1" w:themeFillShade="F2"/>
            <w:vAlign w:val="center"/>
            <w:hideMark/>
          </w:tcPr>
          <w:p w14:paraId="1BA7C925" w14:textId="77777777" w:rsidR="001C197E" w:rsidRPr="00255081" w:rsidRDefault="001C197E" w:rsidP="001C197E">
            <w:pPr>
              <w:spacing w:after="0" w:line="240" w:lineRule="auto"/>
              <w:jc w:val="right"/>
              <w:rPr>
                <w:rFonts w:ascii="Montserrat" w:eastAsia="Times New Roman" w:hAnsi="Montserrat" w:cs="Calibri"/>
                <w:sz w:val="15"/>
                <w:szCs w:val="15"/>
                <w:lang w:val="es-MX" w:eastAsia="es-MX"/>
              </w:rPr>
            </w:pPr>
            <w:r w:rsidRPr="00255081">
              <w:rPr>
                <w:rFonts w:ascii="Montserrat" w:eastAsia="Times New Roman" w:hAnsi="Montserrat" w:cs="Calibri"/>
                <w:sz w:val="15"/>
                <w:szCs w:val="15"/>
                <w:lang w:val="es-MX" w:eastAsia="es-MX"/>
              </w:rPr>
              <w:t>9,689,744,233</w:t>
            </w:r>
          </w:p>
        </w:tc>
      </w:tr>
      <w:tr w:rsidR="001C197E" w:rsidRPr="006F0DF1" w14:paraId="4038B87E" w14:textId="77777777" w:rsidTr="00556DB3">
        <w:trPr>
          <w:trHeight w:val="215"/>
        </w:trPr>
        <w:tc>
          <w:tcPr>
            <w:tcW w:w="5220" w:type="dxa"/>
            <w:shd w:val="clear" w:color="auto" w:fill="F2F2F2" w:themeFill="background1" w:themeFillShade="F2"/>
            <w:vAlign w:val="center"/>
            <w:hideMark/>
          </w:tcPr>
          <w:p w14:paraId="33F8369A" w14:textId="77777777" w:rsidR="001C197E" w:rsidRPr="00255081" w:rsidRDefault="001C197E" w:rsidP="001C197E">
            <w:pPr>
              <w:spacing w:before="40" w:after="40" w:line="240" w:lineRule="auto"/>
              <w:ind w:left="170"/>
              <w:jc w:val="both"/>
              <w:rPr>
                <w:rFonts w:ascii="Montserrat" w:eastAsia="Times New Roman" w:hAnsi="Montserrat" w:cs="Calibri"/>
                <w:color w:val="000000"/>
                <w:sz w:val="15"/>
                <w:szCs w:val="15"/>
                <w:lang w:val="es-MX" w:eastAsia="es-MX"/>
              </w:rPr>
            </w:pPr>
            <w:r w:rsidRPr="00255081">
              <w:rPr>
                <w:rFonts w:ascii="Montserrat" w:eastAsia="Times New Roman" w:hAnsi="Montserrat" w:cs="Calibri"/>
                <w:color w:val="000000"/>
                <w:sz w:val="15"/>
                <w:szCs w:val="15"/>
                <w:lang w:val="es-MX" w:eastAsia="es-MX"/>
              </w:rPr>
              <w:t>Fideicomisos, Mandatos y Contratos Análogos Públicos Empresariales y No Financieros</w:t>
            </w:r>
          </w:p>
        </w:tc>
        <w:tc>
          <w:tcPr>
            <w:tcW w:w="2098" w:type="dxa"/>
            <w:shd w:val="clear" w:color="000000" w:fill="F2F2F2"/>
            <w:vAlign w:val="center"/>
          </w:tcPr>
          <w:p w14:paraId="54539167" w14:textId="008D6E0A" w:rsidR="001C197E" w:rsidRPr="00255081" w:rsidRDefault="001C197E" w:rsidP="001C197E">
            <w:pPr>
              <w:spacing w:after="0" w:line="240" w:lineRule="auto"/>
              <w:jc w:val="right"/>
              <w:rPr>
                <w:rFonts w:ascii="Montserrat" w:eastAsia="Times New Roman" w:hAnsi="Montserrat" w:cs="Calibri"/>
                <w:sz w:val="15"/>
                <w:szCs w:val="15"/>
                <w:lang w:val="es-MX" w:eastAsia="es-MX"/>
              </w:rPr>
            </w:pPr>
            <w:r w:rsidRPr="000F0321">
              <w:rPr>
                <w:rFonts w:ascii="Montserrat" w:hAnsi="Montserrat" w:cs="Arial"/>
                <w:color w:val="000000"/>
                <w:sz w:val="15"/>
                <w:szCs w:val="15"/>
              </w:rPr>
              <w:t>20,821,286,126</w:t>
            </w:r>
          </w:p>
        </w:tc>
        <w:tc>
          <w:tcPr>
            <w:tcW w:w="2098" w:type="dxa"/>
            <w:gridSpan w:val="2"/>
            <w:shd w:val="clear" w:color="auto" w:fill="F2F2F2" w:themeFill="background1" w:themeFillShade="F2"/>
            <w:vAlign w:val="center"/>
            <w:hideMark/>
          </w:tcPr>
          <w:p w14:paraId="24FE05FE" w14:textId="77777777" w:rsidR="001C197E" w:rsidRPr="00255081" w:rsidRDefault="001C197E" w:rsidP="001C197E">
            <w:pPr>
              <w:spacing w:after="0" w:line="240" w:lineRule="auto"/>
              <w:jc w:val="right"/>
              <w:rPr>
                <w:rFonts w:ascii="Montserrat" w:eastAsia="Times New Roman" w:hAnsi="Montserrat" w:cs="Calibri"/>
                <w:sz w:val="15"/>
                <w:szCs w:val="15"/>
                <w:lang w:val="es-MX" w:eastAsia="es-MX"/>
              </w:rPr>
            </w:pPr>
            <w:r w:rsidRPr="00255081">
              <w:rPr>
                <w:rFonts w:ascii="Montserrat" w:eastAsia="Times New Roman" w:hAnsi="Montserrat" w:cs="Calibri"/>
                <w:sz w:val="15"/>
                <w:szCs w:val="15"/>
                <w:lang w:val="es-MX" w:eastAsia="es-MX"/>
              </w:rPr>
              <w:t>20,476,703,885</w:t>
            </w:r>
          </w:p>
        </w:tc>
      </w:tr>
      <w:tr w:rsidR="001C197E" w:rsidRPr="006F0DF1" w14:paraId="24104A76" w14:textId="77777777" w:rsidTr="00556DB3">
        <w:trPr>
          <w:trHeight w:val="215"/>
        </w:trPr>
        <w:tc>
          <w:tcPr>
            <w:tcW w:w="5220" w:type="dxa"/>
            <w:tcBorders>
              <w:top w:val="nil"/>
            </w:tcBorders>
            <w:shd w:val="clear" w:color="auto" w:fill="F2F2F2" w:themeFill="background1" w:themeFillShade="F2"/>
            <w:vAlign w:val="center"/>
            <w:hideMark/>
          </w:tcPr>
          <w:p w14:paraId="5B0A7DBB" w14:textId="77777777" w:rsidR="001C197E" w:rsidRPr="00255081" w:rsidRDefault="001C197E" w:rsidP="001C197E">
            <w:pPr>
              <w:spacing w:before="40" w:after="40" w:line="240" w:lineRule="auto"/>
              <w:ind w:left="170"/>
              <w:jc w:val="both"/>
              <w:rPr>
                <w:rFonts w:ascii="Montserrat" w:eastAsia="Times New Roman" w:hAnsi="Montserrat" w:cs="Calibri"/>
                <w:color w:val="000000"/>
                <w:sz w:val="15"/>
                <w:szCs w:val="15"/>
                <w:lang w:val="es-MX" w:eastAsia="es-MX"/>
              </w:rPr>
            </w:pPr>
            <w:r w:rsidRPr="00255081">
              <w:rPr>
                <w:rFonts w:ascii="Montserrat" w:eastAsia="Times New Roman" w:hAnsi="Montserrat" w:cs="Calibri"/>
                <w:color w:val="000000"/>
                <w:sz w:val="15"/>
                <w:szCs w:val="15"/>
                <w:lang w:val="es-MX" w:eastAsia="es-MX"/>
              </w:rPr>
              <w:t>Fideicomisos, Mandatos y Contratos Análogos Públicos Financieros</w:t>
            </w:r>
          </w:p>
        </w:tc>
        <w:tc>
          <w:tcPr>
            <w:tcW w:w="2098" w:type="dxa"/>
            <w:tcBorders>
              <w:top w:val="nil"/>
            </w:tcBorders>
            <w:shd w:val="clear" w:color="000000" w:fill="F2F2F2"/>
            <w:vAlign w:val="center"/>
          </w:tcPr>
          <w:p w14:paraId="3C866578" w14:textId="4CC338EB" w:rsidR="001C197E" w:rsidRPr="00255081" w:rsidRDefault="001C197E" w:rsidP="001C197E">
            <w:pPr>
              <w:spacing w:after="0" w:line="240" w:lineRule="auto"/>
              <w:jc w:val="right"/>
              <w:rPr>
                <w:rFonts w:ascii="Montserrat" w:eastAsia="Times New Roman" w:hAnsi="Montserrat" w:cs="Calibri"/>
                <w:sz w:val="15"/>
                <w:szCs w:val="15"/>
                <w:lang w:val="es-MX" w:eastAsia="es-MX"/>
              </w:rPr>
            </w:pPr>
            <w:r w:rsidRPr="000F0321">
              <w:rPr>
                <w:rFonts w:ascii="Montserrat" w:hAnsi="Montserrat" w:cs="Arial"/>
                <w:color w:val="000000"/>
                <w:sz w:val="15"/>
                <w:szCs w:val="15"/>
              </w:rPr>
              <w:t>112,268,290,564</w:t>
            </w:r>
          </w:p>
        </w:tc>
        <w:tc>
          <w:tcPr>
            <w:tcW w:w="2098" w:type="dxa"/>
            <w:gridSpan w:val="2"/>
            <w:tcBorders>
              <w:top w:val="nil"/>
            </w:tcBorders>
            <w:shd w:val="clear" w:color="auto" w:fill="F2F2F2" w:themeFill="background1" w:themeFillShade="F2"/>
            <w:vAlign w:val="center"/>
            <w:hideMark/>
          </w:tcPr>
          <w:p w14:paraId="0AEF9413" w14:textId="77777777" w:rsidR="001C197E" w:rsidRPr="00255081" w:rsidRDefault="001C197E" w:rsidP="001C197E">
            <w:pPr>
              <w:spacing w:after="0" w:line="240" w:lineRule="auto"/>
              <w:jc w:val="right"/>
              <w:rPr>
                <w:rFonts w:ascii="Montserrat" w:eastAsia="Times New Roman" w:hAnsi="Montserrat" w:cs="Calibri"/>
                <w:sz w:val="15"/>
                <w:szCs w:val="15"/>
                <w:lang w:val="es-MX" w:eastAsia="es-MX"/>
              </w:rPr>
            </w:pPr>
            <w:r w:rsidRPr="00255081">
              <w:rPr>
                <w:rFonts w:ascii="Montserrat" w:eastAsia="Times New Roman" w:hAnsi="Montserrat" w:cs="Calibri"/>
                <w:sz w:val="15"/>
                <w:szCs w:val="15"/>
                <w:lang w:val="es-MX" w:eastAsia="es-MX"/>
              </w:rPr>
              <w:t>108,378,695,837</w:t>
            </w:r>
          </w:p>
        </w:tc>
      </w:tr>
      <w:tr w:rsidR="001C197E" w:rsidRPr="006F0DF1" w14:paraId="6AFA7EBC" w14:textId="77777777" w:rsidTr="00556DB3">
        <w:trPr>
          <w:trHeight w:val="215"/>
        </w:trPr>
        <w:tc>
          <w:tcPr>
            <w:tcW w:w="5220" w:type="dxa"/>
            <w:tcBorders>
              <w:top w:val="nil"/>
            </w:tcBorders>
            <w:shd w:val="clear" w:color="auto" w:fill="F2F2F2" w:themeFill="background1" w:themeFillShade="F2"/>
            <w:vAlign w:val="center"/>
            <w:hideMark/>
          </w:tcPr>
          <w:p w14:paraId="20055521" w14:textId="77777777" w:rsidR="001C197E" w:rsidRPr="00255081" w:rsidRDefault="001C197E" w:rsidP="001C197E">
            <w:pPr>
              <w:spacing w:before="40" w:after="40" w:line="240" w:lineRule="auto"/>
              <w:ind w:left="170"/>
              <w:jc w:val="both"/>
              <w:rPr>
                <w:rFonts w:ascii="Montserrat" w:eastAsia="Times New Roman" w:hAnsi="Montserrat" w:cs="Calibri"/>
                <w:color w:val="000000"/>
                <w:sz w:val="15"/>
                <w:szCs w:val="15"/>
                <w:lang w:val="es-MX" w:eastAsia="es-MX"/>
              </w:rPr>
            </w:pPr>
            <w:r w:rsidRPr="00255081">
              <w:rPr>
                <w:rFonts w:ascii="Montserrat" w:eastAsia="Times New Roman" w:hAnsi="Montserrat" w:cs="Calibri"/>
                <w:color w:val="000000"/>
                <w:sz w:val="15"/>
                <w:szCs w:val="15"/>
                <w:lang w:val="es-MX" w:eastAsia="es-MX"/>
              </w:rPr>
              <w:t>Participaciones y Aportaciones de Capital a LP en el Sector Público</w:t>
            </w:r>
          </w:p>
        </w:tc>
        <w:tc>
          <w:tcPr>
            <w:tcW w:w="2098" w:type="dxa"/>
            <w:tcBorders>
              <w:top w:val="nil"/>
            </w:tcBorders>
            <w:shd w:val="clear" w:color="auto" w:fill="F2F2F2" w:themeFill="background1" w:themeFillShade="F2"/>
            <w:vAlign w:val="center"/>
          </w:tcPr>
          <w:p w14:paraId="079F98AD" w14:textId="786B6D8E" w:rsidR="001C197E" w:rsidRPr="00255081" w:rsidRDefault="001C197E" w:rsidP="001C197E">
            <w:pPr>
              <w:spacing w:after="0" w:line="240" w:lineRule="auto"/>
              <w:jc w:val="right"/>
              <w:rPr>
                <w:rFonts w:ascii="Montserrat" w:eastAsia="Times New Roman" w:hAnsi="Montserrat" w:cs="Calibri"/>
                <w:sz w:val="15"/>
                <w:szCs w:val="15"/>
                <w:lang w:eastAsia="es-MX"/>
              </w:rPr>
            </w:pPr>
            <w:r w:rsidRPr="000F0321">
              <w:rPr>
                <w:rFonts w:ascii="Montserrat" w:hAnsi="Montserrat" w:cs="Arial"/>
                <w:color w:val="000000"/>
                <w:sz w:val="15"/>
                <w:szCs w:val="15"/>
              </w:rPr>
              <w:t>1,526,851,949,945</w:t>
            </w:r>
          </w:p>
        </w:tc>
        <w:tc>
          <w:tcPr>
            <w:tcW w:w="2098" w:type="dxa"/>
            <w:gridSpan w:val="2"/>
            <w:tcBorders>
              <w:top w:val="nil"/>
            </w:tcBorders>
            <w:shd w:val="clear" w:color="auto" w:fill="F2F2F2" w:themeFill="background1" w:themeFillShade="F2"/>
            <w:vAlign w:val="center"/>
            <w:hideMark/>
          </w:tcPr>
          <w:p w14:paraId="10B0D57B" w14:textId="77777777" w:rsidR="001C197E" w:rsidRPr="00255081" w:rsidRDefault="001C197E" w:rsidP="001C197E">
            <w:pPr>
              <w:spacing w:after="0" w:line="240" w:lineRule="auto"/>
              <w:jc w:val="right"/>
              <w:rPr>
                <w:rFonts w:ascii="Montserrat" w:eastAsia="Times New Roman" w:hAnsi="Montserrat" w:cs="Calibri"/>
                <w:sz w:val="15"/>
                <w:szCs w:val="15"/>
                <w:lang w:eastAsia="es-MX"/>
              </w:rPr>
            </w:pPr>
            <w:r w:rsidRPr="00255081">
              <w:rPr>
                <w:rFonts w:ascii="Montserrat" w:eastAsia="Times New Roman" w:hAnsi="Montserrat" w:cs="Calibri"/>
                <w:sz w:val="15"/>
                <w:szCs w:val="15"/>
                <w:lang w:eastAsia="es-MX"/>
              </w:rPr>
              <w:t>1,404,753,124,072</w:t>
            </w:r>
          </w:p>
        </w:tc>
      </w:tr>
      <w:tr w:rsidR="00686800" w:rsidRPr="006F0DF1" w14:paraId="7A73A94A" w14:textId="77777777" w:rsidTr="00556DB3">
        <w:trPr>
          <w:trHeight w:val="215"/>
        </w:trPr>
        <w:tc>
          <w:tcPr>
            <w:tcW w:w="5220" w:type="dxa"/>
            <w:tcBorders>
              <w:bottom w:val="single" w:sz="12" w:space="0" w:color="808080" w:themeColor="background1" w:themeShade="80"/>
            </w:tcBorders>
            <w:shd w:val="clear" w:color="auto" w:fill="F2F2F2" w:themeFill="background1" w:themeFillShade="F2"/>
            <w:vAlign w:val="center"/>
            <w:hideMark/>
          </w:tcPr>
          <w:p w14:paraId="26DCF533" w14:textId="77777777" w:rsidR="00686800" w:rsidRPr="00255081" w:rsidRDefault="00686800" w:rsidP="00686800">
            <w:pPr>
              <w:spacing w:before="40" w:after="40" w:line="240" w:lineRule="auto"/>
              <w:ind w:left="170"/>
              <w:jc w:val="right"/>
              <w:rPr>
                <w:rFonts w:ascii="Montserrat" w:eastAsia="Times New Roman" w:hAnsi="Montserrat" w:cs="Calibri"/>
                <w:b/>
                <w:bCs/>
                <w:color w:val="000000"/>
                <w:sz w:val="15"/>
                <w:szCs w:val="15"/>
                <w:lang w:val="es-MX" w:eastAsia="es-MX"/>
              </w:rPr>
            </w:pPr>
            <w:r w:rsidRPr="00255081">
              <w:rPr>
                <w:rFonts w:ascii="Montserrat" w:eastAsia="Times New Roman" w:hAnsi="Montserrat" w:cs="Calibri"/>
                <w:b/>
                <w:bCs/>
                <w:color w:val="000000"/>
                <w:sz w:val="15"/>
                <w:szCs w:val="15"/>
                <w:lang w:val="es-MX" w:eastAsia="es-MX"/>
              </w:rPr>
              <w:t>Total Inversiones a Largo Plazo en el Sector Paraestatal</w:t>
            </w:r>
          </w:p>
        </w:tc>
        <w:tc>
          <w:tcPr>
            <w:tcW w:w="2098" w:type="dxa"/>
            <w:tcBorders>
              <w:bottom w:val="single" w:sz="12" w:space="0" w:color="808080" w:themeColor="background1" w:themeShade="80"/>
            </w:tcBorders>
            <w:shd w:val="clear" w:color="auto" w:fill="F2F2F2" w:themeFill="background1" w:themeFillShade="F2"/>
            <w:vAlign w:val="center"/>
          </w:tcPr>
          <w:p w14:paraId="05B76598" w14:textId="4C56D240" w:rsidR="00686800" w:rsidRPr="00255081" w:rsidRDefault="001C197E">
            <w:pPr>
              <w:spacing w:after="0" w:line="240" w:lineRule="auto"/>
              <w:jc w:val="right"/>
              <w:rPr>
                <w:rFonts w:ascii="Montserrat" w:eastAsia="Times New Roman" w:hAnsi="Montserrat" w:cs="Calibri"/>
                <w:b/>
                <w:bCs/>
                <w:sz w:val="15"/>
                <w:szCs w:val="15"/>
                <w:lang w:eastAsia="es-MX"/>
              </w:rPr>
            </w:pPr>
            <w:r w:rsidRPr="00255081">
              <w:rPr>
                <w:rFonts w:ascii="Montserrat" w:eastAsia="Times New Roman" w:hAnsi="Montserrat" w:cs="Calibri"/>
                <w:b/>
                <w:bCs/>
                <w:sz w:val="15"/>
                <w:szCs w:val="15"/>
                <w:lang w:eastAsia="es-MX"/>
              </w:rPr>
              <w:t>1,669,803,490,266</w:t>
            </w:r>
          </w:p>
        </w:tc>
        <w:tc>
          <w:tcPr>
            <w:tcW w:w="2098" w:type="dxa"/>
            <w:gridSpan w:val="2"/>
            <w:tcBorders>
              <w:bottom w:val="single" w:sz="12" w:space="0" w:color="808080" w:themeColor="background1" w:themeShade="80"/>
            </w:tcBorders>
            <w:shd w:val="clear" w:color="auto" w:fill="F2F2F2" w:themeFill="background1" w:themeFillShade="F2"/>
            <w:vAlign w:val="center"/>
            <w:hideMark/>
          </w:tcPr>
          <w:p w14:paraId="67C1374E" w14:textId="77777777" w:rsidR="00686800" w:rsidRPr="00255081" w:rsidRDefault="00686800" w:rsidP="00686800">
            <w:pPr>
              <w:spacing w:after="0" w:line="240" w:lineRule="auto"/>
              <w:jc w:val="right"/>
              <w:rPr>
                <w:rFonts w:ascii="Montserrat" w:eastAsia="Times New Roman" w:hAnsi="Montserrat" w:cs="Calibri"/>
                <w:b/>
                <w:bCs/>
                <w:sz w:val="15"/>
                <w:szCs w:val="15"/>
                <w:lang w:eastAsia="es-MX"/>
              </w:rPr>
            </w:pPr>
            <w:r w:rsidRPr="00255081">
              <w:rPr>
                <w:rFonts w:ascii="Montserrat" w:eastAsia="Times New Roman" w:hAnsi="Montserrat" w:cs="Calibri"/>
                <w:b/>
                <w:bCs/>
                <w:sz w:val="15"/>
                <w:szCs w:val="15"/>
                <w:lang w:eastAsia="es-MX"/>
              </w:rPr>
              <w:t>1,543,298,268,027</w:t>
            </w:r>
          </w:p>
        </w:tc>
      </w:tr>
    </w:tbl>
    <w:p w14:paraId="423262AF" w14:textId="77777777" w:rsidR="00FC3A0A" w:rsidRDefault="00FC3A0A" w:rsidP="00FC3A0A">
      <w:pPr>
        <w:pStyle w:val="TEXTONORMAL"/>
        <w:spacing w:after="0" w:line="240" w:lineRule="auto"/>
      </w:pPr>
    </w:p>
    <w:p w14:paraId="34BCCC5D" w14:textId="77777777" w:rsidR="005A30B5" w:rsidRDefault="005A30B5" w:rsidP="0045744C">
      <w:pPr>
        <w:spacing w:line="260" w:lineRule="exact"/>
        <w:jc w:val="both"/>
        <w:rPr>
          <w:rFonts w:ascii="Montserrat" w:hAnsi="Montserrat"/>
          <w:sz w:val="18"/>
          <w:szCs w:val="18"/>
        </w:rPr>
      </w:pPr>
    </w:p>
    <w:p w14:paraId="7871394B" w14:textId="54A6E7D7" w:rsidR="0045744C" w:rsidRDefault="0045744C" w:rsidP="0045744C">
      <w:pPr>
        <w:spacing w:line="260" w:lineRule="exact"/>
        <w:jc w:val="both"/>
        <w:rPr>
          <w:rFonts w:ascii="Montserrat" w:hAnsi="Montserrat"/>
          <w:sz w:val="18"/>
          <w:szCs w:val="18"/>
        </w:rPr>
      </w:pPr>
      <w:r w:rsidRPr="00063579">
        <w:rPr>
          <w:rFonts w:ascii="Montserrat" w:hAnsi="Montserrat"/>
          <w:sz w:val="18"/>
          <w:szCs w:val="18"/>
        </w:rPr>
        <w:t xml:space="preserve">El saldo de las inversiones a largo plazo en el </w:t>
      </w:r>
      <w:r w:rsidR="00F067C3" w:rsidRPr="00063579">
        <w:rPr>
          <w:rFonts w:ascii="Montserrat" w:hAnsi="Montserrat"/>
          <w:sz w:val="18"/>
          <w:szCs w:val="18"/>
        </w:rPr>
        <w:t>Sector Paraesta</w:t>
      </w:r>
      <w:r w:rsidR="00F067C3">
        <w:rPr>
          <w:rFonts w:ascii="Montserrat" w:hAnsi="Montserrat"/>
          <w:sz w:val="18"/>
          <w:szCs w:val="18"/>
        </w:rPr>
        <w:t xml:space="preserve">tal </w:t>
      </w:r>
      <w:r>
        <w:rPr>
          <w:rFonts w:ascii="Montserrat" w:hAnsi="Montserrat"/>
          <w:sz w:val="18"/>
          <w:szCs w:val="18"/>
        </w:rPr>
        <w:t xml:space="preserve">ascendió a </w:t>
      </w:r>
      <w:r w:rsidRPr="000F0321">
        <w:rPr>
          <w:rFonts w:ascii="Montserrat" w:hAnsi="Montserrat"/>
          <w:sz w:val="18"/>
          <w:szCs w:val="18"/>
        </w:rPr>
        <w:t xml:space="preserve">1,669,803,490,266 </w:t>
      </w:r>
      <w:r w:rsidRPr="00063579">
        <w:rPr>
          <w:rFonts w:ascii="Montserrat" w:hAnsi="Montserrat"/>
          <w:sz w:val="18"/>
          <w:szCs w:val="18"/>
        </w:rPr>
        <w:t>pesos al cierre del ejercicio de 201</w:t>
      </w:r>
      <w:r>
        <w:rPr>
          <w:rFonts w:ascii="Montserrat" w:hAnsi="Montserrat"/>
          <w:sz w:val="18"/>
          <w:szCs w:val="18"/>
        </w:rPr>
        <w:t>9</w:t>
      </w:r>
      <w:r w:rsidRPr="00063579">
        <w:rPr>
          <w:rFonts w:ascii="Montserrat" w:hAnsi="Montserrat"/>
          <w:sz w:val="18"/>
          <w:szCs w:val="18"/>
        </w:rPr>
        <w:t xml:space="preserve">, al reconocerse como inversión del Poder Ejecutivo el derecho sobre el patrimonio de </w:t>
      </w:r>
      <w:r>
        <w:rPr>
          <w:rFonts w:ascii="Montserrat" w:hAnsi="Montserrat"/>
          <w:sz w:val="18"/>
          <w:szCs w:val="18"/>
        </w:rPr>
        <w:t>190</w:t>
      </w:r>
      <w:r w:rsidRPr="00063579">
        <w:rPr>
          <w:rFonts w:ascii="Montserrat" w:hAnsi="Montserrat"/>
          <w:sz w:val="18"/>
          <w:szCs w:val="18"/>
        </w:rPr>
        <w:t xml:space="preserve"> entidades paraestatales, incrementánd</w:t>
      </w:r>
      <w:r>
        <w:rPr>
          <w:rFonts w:ascii="Montserrat" w:hAnsi="Montserrat"/>
          <w:sz w:val="18"/>
          <w:szCs w:val="18"/>
        </w:rPr>
        <w:t xml:space="preserve">ose este rubro en </w:t>
      </w:r>
      <w:r w:rsidRPr="000F0321">
        <w:rPr>
          <w:rFonts w:ascii="Montserrat" w:hAnsi="Montserrat"/>
          <w:sz w:val="18"/>
          <w:szCs w:val="18"/>
        </w:rPr>
        <w:t xml:space="preserve">126,505,222,239 </w:t>
      </w:r>
      <w:r w:rsidRPr="00063579">
        <w:rPr>
          <w:rFonts w:ascii="Montserrat" w:hAnsi="Montserrat"/>
          <w:sz w:val="18"/>
          <w:szCs w:val="18"/>
        </w:rPr>
        <w:t xml:space="preserve">pesos. Conviene mencionar que no se relacionan las filiales y subsidiarias de </w:t>
      </w:r>
      <w:r w:rsidR="00F067C3">
        <w:rPr>
          <w:rFonts w:ascii="Montserrat" w:hAnsi="Montserrat"/>
          <w:sz w:val="18"/>
          <w:szCs w:val="18"/>
        </w:rPr>
        <w:t>Petróleos Mexicanos (</w:t>
      </w:r>
      <w:r w:rsidRPr="00063579">
        <w:rPr>
          <w:rFonts w:ascii="Montserrat" w:hAnsi="Montserrat"/>
          <w:sz w:val="18"/>
          <w:szCs w:val="18"/>
        </w:rPr>
        <w:t>PEMEX</w:t>
      </w:r>
      <w:r w:rsidR="00F067C3">
        <w:rPr>
          <w:rFonts w:ascii="Montserrat" w:hAnsi="Montserrat"/>
          <w:sz w:val="18"/>
          <w:szCs w:val="18"/>
        </w:rPr>
        <w:t>)</w:t>
      </w:r>
      <w:r>
        <w:rPr>
          <w:rFonts w:ascii="Montserrat" w:hAnsi="Montserrat"/>
          <w:sz w:val="18"/>
          <w:szCs w:val="18"/>
        </w:rPr>
        <w:t xml:space="preserve"> y </w:t>
      </w:r>
      <w:r w:rsidR="00F067C3">
        <w:rPr>
          <w:rFonts w:ascii="Montserrat" w:hAnsi="Montserrat"/>
          <w:sz w:val="18"/>
          <w:szCs w:val="18"/>
        </w:rPr>
        <w:t>la Comisión Federal de Electricidad (</w:t>
      </w:r>
      <w:r>
        <w:rPr>
          <w:rFonts w:ascii="Montserrat" w:hAnsi="Montserrat"/>
          <w:sz w:val="18"/>
          <w:szCs w:val="18"/>
        </w:rPr>
        <w:t>CFE</w:t>
      </w:r>
      <w:r w:rsidR="00F067C3">
        <w:rPr>
          <w:rFonts w:ascii="Montserrat" w:hAnsi="Montserrat"/>
          <w:sz w:val="18"/>
          <w:szCs w:val="18"/>
        </w:rPr>
        <w:t>)</w:t>
      </w:r>
      <w:r w:rsidRPr="00063579">
        <w:rPr>
          <w:rFonts w:ascii="Montserrat" w:hAnsi="Montserrat"/>
          <w:sz w:val="18"/>
          <w:szCs w:val="18"/>
        </w:rPr>
        <w:t xml:space="preserve">, </w:t>
      </w:r>
      <w:r>
        <w:rPr>
          <w:rFonts w:ascii="Montserrat" w:hAnsi="Montserrat"/>
          <w:sz w:val="18"/>
          <w:szCs w:val="18"/>
        </w:rPr>
        <w:t>dado que se incluyen en</w:t>
      </w:r>
      <w:r w:rsidRPr="00063579">
        <w:rPr>
          <w:rFonts w:ascii="Montserrat" w:hAnsi="Montserrat"/>
          <w:sz w:val="18"/>
          <w:szCs w:val="18"/>
        </w:rPr>
        <w:t xml:space="preserve"> </w:t>
      </w:r>
      <w:r w:rsidR="007F6248">
        <w:rPr>
          <w:rFonts w:ascii="Montserrat" w:hAnsi="Montserrat"/>
          <w:sz w:val="18"/>
          <w:szCs w:val="18"/>
        </w:rPr>
        <w:t>PEMEX</w:t>
      </w:r>
      <w:r>
        <w:rPr>
          <w:rFonts w:ascii="Montserrat" w:hAnsi="Montserrat"/>
          <w:sz w:val="18"/>
          <w:szCs w:val="18"/>
        </w:rPr>
        <w:t xml:space="preserve"> C</w:t>
      </w:r>
      <w:r w:rsidRPr="00063579">
        <w:rPr>
          <w:rFonts w:ascii="Montserrat" w:hAnsi="Montserrat"/>
          <w:sz w:val="18"/>
          <w:szCs w:val="18"/>
        </w:rPr>
        <w:t>onsolidado</w:t>
      </w:r>
      <w:r>
        <w:rPr>
          <w:rFonts w:ascii="Montserrat" w:hAnsi="Montserrat"/>
          <w:sz w:val="18"/>
          <w:szCs w:val="18"/>
        </w:rPr>
        <w:t xml:space="preserve"> y CFE Consolidado, respectivamente.</w:t>
      </w:r>
    </w:p>
    <w:p w14:paraId="2AAFED0E" w14:textId="2FE5B07C" w:rsidR="0045744C" w:rsidRDefault="0045744C" w:rsidP="0045744C">
      <w:pPr>
        <w:spacing w:line="260" w:lineRule="exact"/>
        <w:jc w:val="both"/>
        <w:rPr>
          <w:rFonts w:ascii="Montserrat" w:hAnsi="Montserrat"/>
          <w:sz w:val="18"/>
          <w:szCs w:val="18"/>
        </w:rPr>
      </w:pPr>
      <w:r w:rsidRPr="00063579">
        <w:rPr>
          <w:rFonts w:ascii="Montserrat" w:hAnsi="Montserrat"/>
          <w:sz w:val="18"/>
          <w:szCs w:val="18"/>
        </w:rPr>
        <w:t xml:space="preserve">De conformidad con el artículo 32 de la </w:t>
      </w:r>
      <w:r w:rsidR="00F067C3">
        <w:rPr>
          <w:rFonts w:ascii="Montserrat" w:hAnsi="Montserrat"/>
          <w:sz w:val="18"/>
          <w:szCs w:val="18"/>
        </w:rPr>
        <w:t>LGCG</w:t>
      </w:r>
      <w:r w:rsidRPr="00063579">
        <w:rPr>
          <w:rFonts w:ascii="Montserrat" w:hAnsi="Montserrat"/>
          <w:sz w:val="18"/>
          <w:szCs w:val="18"/>
        </w:rPr>
        <w:t xml:space="preserve"> y con la </w:t>
      </w:r>
      <w:r w:rsidR="00F067C3" w:rsidRPr="00063579">
        <w:rPr>
          <w:rFonts w:ascii="Montserrat" w:hAnsi="Montserrat"/>
          <w:sz w:val="18"/>
          <w:szCs w:val="18"/>
        </w:rPr>
        <w:t xml:space="preserve">Guía Contabilizadora </w:t>
      </w:r>
      <w:r w:rsidRPr="00063579">
        <w:rPr>
          <w:rFonts w:ascii="Montserrat" w:hAnsi="Montserrat"/>
          <w:sz w:val="18"/>
          <w:szCs w:val="18"/>
        </w:rPr>
        <w:t xml:space="preserve">23.- Transferencias, Subsidios y Otras Ayudas, Participaciones y Otras Ayudas, del </w:t>
      </w:r>
      <w:r w:rsidR="00F067C3">
        <w:rPr>
          <w:rFonts w:ascii="Montserrat" w:hAnsi="Montserrat"/>
          <w:sz w:val="18"/>
          <w:szCs w:val="18"/>
        </w:rPr>
        <w:t>MCGPEF</w:t>
      </w:r>
      <w:r w:rsidRPr="00063579">
        <w:rPr>
          <w:rFonts w:ascii="Montserrat" w:hAnsi="Montserrat"/>
          <w:sz w:val="18"/>
          <w:szCs w:val="18"/>
        </w:rPr>
        <w:t>, el efecto de la actualización del valor del patrimonio que le corresponde al Ente Público Poder Ejecutivo Federal en las entidades, se reconoce afectando los resultados del ejercicio como ingresos o gastos no pres</w:t>
      </w:r>
      <w:r>
        <w:rPr>
          <w:rFonts w:ascii="Montserrat" w:hAnsi="Montserrat"/>
          <w:sz w:val="18"/>
          <w:szCs w:val="18"/>
        </w:rPr>
        <w:t>upuestarios, según sea el caso.</w:t>
      </w:r>
    </w:p>
    <w:p w14:paraId="3A2600D6" w14:textId="1DDBEBA6" w:rsidR="0045744C" w:rsidRDefault="0045744C" w:rsidP="0045744C">
      <w:pPr>
        <w:spacing w:line="260" w:lineRule="exact"/>
        <w:jc w:val="both"/>
        <w:rPr>
          <w:rFonts w:ascii="Montserrat" w:hAnsi="Montserrat"/>
          <w:sz w:val="18"/>
          <w:szCs w:val="18"/>
        </w:rPr>
      </w:pPr>
      <w:r>
        <w:rPr>
          <w:rFonts w:ascii="Montserrat" w:hAnsi="Montserrat"/>
          <w:sz w:val="18"/>
          <w:szCs w:val="18"/>
        </w:rPr>
        <w:t>Durante el ejercicio 2019 se resectorizaron las siguientes entidades: del Ramo 4 al Ramo 47 el Archivo General de la Nación y</w:t>
      </w:r>
      <w:r w:rsidR="00F067C3">
        <w:rPr>
          <w:rFonts w:ascii="Montserrat" w:hAnsi="Montserrat"/>
          <w:sz w:val="18"/>
          <w:szCs w:val="18"/>
        </w:rPr>
        <w:t>,</w:t>
      </w:r>
      <w:r>
        <w:rPr>
          <w:rFonts w:ascii="Montserrat" w:hAnsi="Montserrat"/>
          <w:sz w:val="18"/>
          <w:szCs w:val="18"/>
        </w:rPr>
        <w:t xml:space="preserve"> del Ramo 20 al Ramo 8 Diconsa y Liconsa y</w:t>
      </w:r>
      <w:r w:rsidR="00F067C3">
        <w:rPr>
          <w:rFonts w:ascii="Montserrat" w:hAnsi="Montserrat"/>
          <w:sz w:val="18"/>
          <w:szCs w:val="18"/>
        </w:rPr>
        <w:t>;</w:t>
      </w:r>
      <w:r>
        <w:rPr>
          <w:rFonts w:ascii="Montserrat" w:hAnsi="Montserrat"/>
          <w:sz w:val="18"/>
          <w:szCs w:val="18"/>
        </w:rPr>
        <w:t xml:space="preserve"> se creó el </w:t>
      </w:r>
      <w:r w:rsidRPr="005513D8">
        <w:rPr>
          <w:rFonts w:ascii="Montserrat" w:hAnsi="Montserrat"/>
          <w:sz w:val="18"/>
          <w:szCs w:val="18"/>
        </w:rPr>
        <w:t>Organismo Coordinador de las Universidades para el Bienestar Benito Juárez García</w:t>
      </w:r>
      <w:r>
        <w:rPr>
          <w:rFonts w:ascii="Montserrat" w:hAnsi="Montserrat"/>
          <w:sz w:val="18"/>
          <w:szCs w:val="18"/>
        </w:rPr>
        <w:t xml:space="preserve">. </w:t>
      </w:r>
      <w:r w:rsidRPr="00063579">
        <w:rPr>
          <w:rFonts w:ascii="Montserrat" w:hAnsi="Montserrat"/>
          <w:sz w:val="18"/>
          <w:szCs w:val="18"/>
        </w:rPr>
        <w:t>A continuación se detallan los nombres, el porcentaje de patrimonio del Poder Ejecutivo y el saldo en la contabilidad de las Entidades Paraestatales y Empresas Productivas del Estado:</w:t>
      </w:r>
    </w:p>
    <w:tbl>
      <w:tblPr>
        <w:tblW w:w="11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583"/>
        <w:gridCol w:w="2463"/>
        <w:gridCol w:w="1192"/>
        <w:gridCol w:w="2528"/>
        <w:gridCol w:w="30"/>
      </w:tblGrid>
      <w:tr w:rsidR="00A22920" w14:paraId="71900D3A" w14:textId="77777777" w:rsidTr="000F0321">
        <w:trPr>
          <w:gridAfter w:val="1"/>
          <w:wAfter w:w="30" w:type="dxa"/>
          <w:trHeight w:val="102"/>
          <w:tblHeader/>
          <w:jc w:val="center"/>
        </w:trPr>
        <w:tc>
          <w:tcPr>
            <w:tcW w:w="11766" w:type="dxa"/>
            <w:gridSpan w:val="4"/>
            <w:tcBorders>
              <w:top w:val="nil"/>
              <w:left w:val="nil"/>
              <w:bottom w:val="nil"/>
              <w:right w:val="nil"/>
            </w:tcBorders>
            <w:shd w:val="clear" w:color="auto" w:fill="FFFFFF" w:themeFill="background1"/>
            <w:vAlign w:val="center"/>
          </w:tcPr>
          <w:p w14:paraId="2A86A90A" w14:textId="773F8136" w:rsidR="00A22920" w:rsidRPr="000F0321" w:rsidRDefault="00FC3A0A" w:rsidP="00A22920">
            <w:pPr>
              <w:spacing w:after="0"/>
              <w:jc w:val="center"/>
              <w:rPr>
                <w:rFonts w:ascii="Montserrat" w:hAnsi="Montserrat" w:cs="Arial"/>
                <w:spacing w:val="-1"/>
                <w:sz w:val="15"/>
                <w:szCs w:val="15"/>
                <w:highlight w:val="magenta"/>
              </w:rPr>
            </w:pPr>
            <w:r>
              <w:br w:type="page"/>
            </w:r>
          </w:p>
          <w:p w14:paraId="0B0FA094" w14:textId="77777777" w:rsidR="00A22920" w:rsidRPr="000F0321" w:rsidRDefault="00A22920" w:rsidP="00A22920">
            <w:pPr>
              <w:spacing w:after="0"/>
              <w:jc w:val="center"/>
              <w:rPr>
                <w:rFonts w:ascii="Montserrat" w:hAnsi="Montserrat"/>
                <w:b/>
                <w:bCs/>
                <w:color w:val="FFFFFF"/>
                <w:sz w:val="16"/>
                <w:szCs w:val="16"/>
                <w:highlight w:val="magenta"/>
                <w:lang w:val="es-MX" w:eastAsia="es-MX"/>
              </w:rPr>
            </w:pPr>
            <w:r w:rsidRPr="00F86C1F">
              <w:rPr>
                <w:rFonts w:ascii="Montserrat" w:hAnsi="Montserrat" w:cs="Arial"/>
                <w:spacing w:val="-1"/>
                <w:sz w:val="16"/>
                <w:szCs w:val="16"/>
              </w:rPr>
              <w:t>(Pesos)</w:t>
            </w:r>
          </w:p>
        </w:tc>
      </w:tr>
      <w:tr w:rsidR="00A22920" w14:paraId="60147B35" w14:textId="77777777" w:rsidTr="000F0321">
        <w:trPr>
          <w:gridAfter w:val="1"/>
          <w:wAfter w:w="30" w:type="dxa"/>
          <w:trHeight w:val="57"/>
          <w:tblHeader/>
          <w:jc w:val="center"/>
        </w:trPr>
        <w:tc>
          <w:tcPr>
            <w:tcW w:w="11766" w:type="dxa"/>
            <w:gridSpan w:val="4"/>
            <w:tcBorders>
              <w:top w:val="single" w:sz="12" w:space="0" w:color="808080" w:themeColor="background1" w:themeShade="80"/>
              <w:left w:val="nil"/>
              <w:bottom w:val="nil"/>
              <w:right w:val="nil"/>
            </w:tcBorders>
            <w:shd w:val="clear" w:color="auto" w:fill="FFFFFF" w:themeFill="background1"/>
            <w:vAlign w:val="center"/>
          </w:tcPr>
          <w:p w14:paraId="3E586481" w14:textId="77777777" w:rsidR="00A22920" w:rsidRDefault="00A22920" w:rsidP="00A22920">
            <w:pPr>
              <w:spacing w:after="0"/>
              <w:jc w:val="center"/>
              <w:rPr>
                <w:rFonts w:ascii="Montserrat" w:hAnsi="Montserrat"/>
                <w:b/>
                <w:bCs/>
                <w:color w:val="FFFFFF"/>
                <w:sz w:val="4"/>
                <w:szCs w:val="4"/>
                <w:lang w:eastAsia="es-MX"/>
              </w:rPr>
            </w:pPr>
          </w:p>
        </w:tc>
      </w:tr>
      <w:tr w:rsidR="0045744C" w14:paraId="7B6EFC60" w14:textId="77777777" w:rsidTr="000F0321">
        <w:trPr>
          <w:trHeight w:val="322"/>
          <w:tblHeader/>
          <w:jc w:val="center"/>
        </w:trPr>
        <w:tc>
          <w:tcPr>
            <w:tcW w:w="5583" w:type="dxa"/>
            <w:tcBorders>
              <w:top w:val="nil"/>
              <w:left w:val="nil"/>
              <w:bottom w:val="double" w:sz="12" w:space="0" w:color="808080" w:themeColor="background1" w:themeShade="80"/>
              <w:right w:val="single" w:sz="4" w:space="0" w:color="FFFFFF" w:themeColor="background1"/>
            </w:tcBorders>
            <w:shd w:val="clear" w:color="auto" w:fill="D4C19C"/>
            <w:vAlign w:val="center"/>
            <w:hideMark/>
          </w:tcPr>
          <w:p w14:paraId="0CC79200" w14:textId="77777777" w:rsidR="0045744C" w:rsidRDefault="0045744C" w:rsidP="00A22920">
            <w:pPr>
              <w:spacing w:after="0"/>
              <w:jc w:val="center"/>
              <w:rPr>
                <w:rFonts w:ascii="Montserrat" w:hAnsi="Montserrat"/>
                <w:b/>
                <w:bCs/>
                <w:color w:val="FFFFFF"/>
                <w:sz w:val="16"/>
                <w:szCs w:val="16"/>
                <w:lang w:eastAsia="es-MX"/>
              </w:rPr>
            </w:pPr>
            <w:r>
              <w:rPr>
                <w:rFonts w:ascii="Montserrat" w:hAnsi="Montserrat"/>
                <w:b/>
                <w:bCs/>
                <w:color w:val="FFFFFF"/>
                <w:sz w:val="16"/>
                <w:szCs w:val="16"/>
                <w:lang w:eastAsia="es-MX"/>
              </w:rPr>
              <w:t>Entidad Paraestatal / Empresa Productiva</w:t>
            </w:r>
          </w:p>
        </w:tc>
        <w:tc>
          <w:tcPr>
            <w:tcW w:w="2463" w:type="dxa"/>
            <w:tcBorders>
              <w:top w:val="nil"/>
              <w:left w:val="single" w:sz="4" w:space="0" w:color="FFFFFF" w:themeColor="background1"/>
              <w:bottom w:val="double" w:sz="12" w:space="0" w:color="808080" w:themeColor="background1" w:themeShade="80"/>
              <w:right w:val="single" w:sz="4" w:space="0" w:color="FFFFFF" w:themeColor="background1"/>
            </w:tcBorders>
            <w:shd w:val="clear" w:color="auto" w:fill="D4C19C"/>
            <w:vAlign w:val="center"/>
            <w:hideMark/>
          </w:tcPr>
          <w:p w14:paraId="5F38B322" w14:textId="3FB5995D" w:rsidR="0045744C" w:rsidRDefault="0045744C">
            <w:pPr>
              <w:spacing w:after="0"/>
              <w:jc w:val="center"/>
              <w:rPr>
                <w:rFonts w:ascii="Montserrat" w:hAnsi="Montserrat"/>
                <w:b/>
                <w:bCs/>
                <w:color w:val="FFFFFF"/>
                <w:sz w:val="16"/>
                <w:szCs w:val="16"/>
                <w:lang w:eastAsia="es-MX"/>
              </w:rPr>
            </w:pPr>
            <w:r>
              <w:rPr>
                <w:rFonts w:ascii="Montserrat" w:hAnsi="Montserrat"/>
                <w:b/>
                <w:bCs/>
                <w:color w:val="FFFFFF"/>
                <w:sz w:val="16"/>
                <w:szCs w:val="16"/>
                <w:lang w:eastAsia="es-MX"/>
              </w:rPr>
              <w:t>Patrimonio 2019</w:t>
            </w:r>
          </w:p>
        </w:tc>
        <w:tc>
          <w:tcPr>
            <w:tcW w:w="1192" w:type="dxa"/>
            <w:tcBorders>
              <w:top w:val="nil"/>
              <w:left w:val="single" w:sz="4" w:space="0" w:color="FFFFFF" w:themeColor="background1"/>
              <w:bottom w:val="double" w:sz="12" w:space="0" w:color="808080" w:themeColor="background1" w:themeShade="80"/>
              <w:right w:val="single" w:sz="4" w:space="0" w:color="FFFFFF" w:themeColor="background1"/>
            </w:tcBorders>
            <w:shd w:val="clear" w:color="auto" w:fill="D4C19C"/>
            <w:vAlign w:val="center"/>
            <w:hideMark/>
          </w:tcPr>
          <w:p w14:paraId="1D3D14D7" w14:textId="77777777" w:rsidR="0045744C" w:rsidRDefault="0045744C" w:rsidP="00A22920">
            <w:pPr>
              <w:spacing w:after="0"/>
              <w:jc w:val="center"/>
              <w:rPr>
                <w:rFonts w:ascii="Montserrat" w:hAnsi="Montserrat"/>
                <w:b/>
                <w:bCs/>
                <w:color w:val="FFFFFF"/>
                <w:sz w:val="16"/>
                <w:szCs w:val="16"/>
                <w:lang w:eastAsia="es-MX"/>
              </w:rPr>
            </w:pPr>
            <w:r>
              <w:rPr>
                <w:rFonts w:ascii="Montserrat" w:hAnsi="Montserrat"/>
                <w:b/>
                <w:bCs/>
                <w:color w:val="FFFFFF"/>
                <w:sz w:val="16"/>
                <w:szCs w:val="16"/>
                <w:lang w:eastAsia="es-MX"/>
              </w:rPr>
              <w:t>% Poder Ejecutivo</w:t>
            </w:r>
          </w:p>
        </w:tc>
        <w:tc>
          <w:tcPr>
            <w:tcW w:w="2558" w:type="dxa"/>
            <w:gridSpan w:val="2"/>
            <w:tcBorders>
              <w:top w:val="nil"/>
              <w:left w:val="single" w:sz="4" w:space="0" w:color="FFFFFF" w:themeColor="background1"/>
              <w:bottom w:val="double" w:sz="12" w:space="0" w:color="808080" w:themeColor="background1" w:themeShade="80"/>
              <w:right w:val="single" w:sz="4" w:space="0" w:color="FFFFFF" w:themeColor="background1"/>
            </w:tcBorders>
            <w:shd w:val="clear" w:color="auto" w:fill="D4C19C"/>
            <w:vAlign w:val="center"/>
            <w:hideMark/>
          </w:tcPr>
          <w:p w14:paraId="4B554EC0" w14:textId="6AD5C0AB" w:rsidR="0045744C" w:rsidRDefault="0045744C" w:rsidP="00A22920">
            <w:pPr>
              <w:spacing w:after="0"/>
              <w:jc w:val="center"/>
              <w:rPr>
                <w:rFonts w:ascii="Montserrat" w:hAnsi="Montserrat"/>
                <w:b/>
                <w:bCs/>
                <w:color w:val="FFFFFF"/>
                <w:sz w:val="16"/>
                <w:szCs w:val="16"/>
                <w:lang w:eastAsia="es-MX"/>
              </w:rPr>
            </w:pPr>
            <w:r>
              <w:rPr>
                <w:rFonts w:ascii="Montserrat" w:hAnsi="Montserrat"/>
                <w:b/>
                <w:bCs/>
                <w:color w:val="FFFFFF"/>
                <w:sz w:val="16"/>
                <w:szCs w:val="16"/>
                <w:lang w:eastAsia="es-MX"/>
              </w:rPr>
              <w:t>Patrimonio derecho del Poder Ejecutivo</w:t>
            </w:r>
            <w:r w:rsidR="00671016">
              <w:rPr>
                <w:rFonts w:ascii="Montserrat" w:hAnsi="Montserrat"/>
                <w:b/>
                <w:bCs/>
                <w:color w:val="FFFFFF"/>
                <w:sz w:val="16"/>
                <w:szCs w:val="16"/>
                <w:lang w:eastAsia="es-MX"/>
              </w:rPr>
              <w:t xml:space="preserve">   1/</w:t>
            </w:r>
          </w:p>
        </w:tc>
      </w:tr>
      <w:tr w:rsidR="00015492" w14:paraId="5ED7E4F8" w14:textId="77777777" w:rsidTr="000F0321">
        <w:trPr>
          <w:trHeight w:val="262"/>
          <w:jc w:val="center"/>
        </w:trPr>
        <w:tc>
          <w:tcPr>
            <w:tcW w:w="5583" w:type="dxa"/>
            <w:tcBorders>
              <w:top w:val="double" w:sz="12" w:space="0" w:color="808080" w:themeColor="background1" w:themeShade="80"/>
              <w:left w:val="nil"/>
              <w:bottom w:val="nil"/>
              <w:right w:val="nil"/>
            </w:tcBorders>
            <w:shd w:val="clear" w:color="auto" w:fill="F2F2F2" w:themeFill="background1" w:themeFillShade="F2"/>
            <w:vAlign w:val="center"/>
          </w:tcPr>
          <w:p w14:paraId="6BD4E5DC" w14:textId="34C95FD3" w:rsidR="00015492" w:rsidRPr="00255081" w:rsidRDefault="00015492" w:rsidP="004B170A">
            <w:pPr>
              <w:spacing w:after="120" w:line="240" w:lineRule="auto"/>
              <w:jc w:val="both"/>
              <w:rPr>
                <w:rFonts w:ascii="Montserrat" w:eastAsia="Times New Roman" w:hAnsi="Montserrat" w:cs="Arial"/>
                <w:sz w:val="15"/>
                <w:szCs w:val="15"/>
                <w:lang w:eastAsia="es-MX"/>
              </w:rPr>
            </w:pPr>
            <w:r w:rsidRPr="00255081">
              <w:rPr>
                <w:rFonts w:ascii="Montserrat" w:eastAsia="Times New Roman" w:hAnsi="Montserrat" w:cs="Calibri"/>
                <w:sz w:val="15"/>
                <w:szCs w:val="15"/>
                <w:lang w:eastAsia="es-MX"/>
              </w:rPr>
              <w:t>Consejo Nacional para Prevenir la Discriminación</w:t>
            </w:r>
          </w:p>
        </w:tc>
        <w:tc>
          <w:tcPr>
            <w:tcW w:w="2463" w:type="dxa"/>
            <w:tcBorders>
              <w:top w:val="double" w:sz="12" w:space="0" w:color="808080" w:themeColor="background1" w:themeShade="80"/>
              <w:left w:val="nil"/>
              <w:bottom w:val="nil"/>
              <w:right w:val="nil"/>
            </w:tcBorders>
            <w:shd w:val="clear" w:color="auto" w:fill="F2F2F2" w:themeFill="background1" w:themeFillShade="F2"/>
            <w:noWrap/>
            <w:vAlign w:val="center"/>
          </w:tcPr>
          <w:p w14:paraId="618313D8" w14:textId="2C6DEFBB" w:rsidR="00015492" w:rsidRPr="00255081" w:rsidRDefault="00015492" w:rsidP="000A1B05">
            <w:pPr>
              <w:spacing w:after="120" w:line="240" w:lineRule="auto"/>
              <w:jc w:val="right"/>
              <w:rPr>
                <w:rFonts w:ascii="Montserrat" w:eastAsiaTheme="minorHAnsi" w:hAnsi="Montserrat" w:cs="Arial"/>
                <w:sz w:val="15"/>
                <w:szCs w:val="15"/>
              </w:rPr>
            </w:pPr>
            <w:r w:rsidRPr="00255081">
              <w:rPr>
                <w:rFonts w:ascii="Montserrat" w:eastAsia="Times New Roman" w:hAnsi="Montserrat" w:cs="Calibri"/>
                <w:sz w:val="15"/>
                <w:szCs w:val="15"/>
                <w:lang w:eastAsia="es-MX"/>
              </w:rPr>
              <w:t>-6,794,511</w:t>
            </w:r>
          </w:p>
        </w:tc>
        <w:tc>
          <w:tcPr>
            <w:tcW w:w="1192" w:type="dxa"/>
            <w:tcBorders>
              <w:top w:val="double" w:sz="12" w:space="0" w:color="808080" w:themeColor="background1" w:themeShade="80"/>
              <w:left w:val="nil"/>
              <w:bottom w:val="nil"/>
              <w:right w:val="nil"/>
            </w:tcBorders>
            <w:shd w:val="clear" w:color="auto" w:fill="F2F2F2" w:themeFill="background1" w:themeFillShade="F2"/>
            <w:noWrap/>
            <w:vAlign w:val="center"/>
          </w:tcPr>
          <w:p w14:paraId="7C9D2719" w14:textId="109296C1" w:rsidR="00015492" w:rsidRPr="00255081" w:rsidRDefault="00015492" w:rsidP="000A1B05">
            <w:pPr>
              <w:spacing w:after="120" w:line="240" w:lineRule="auto"/>
              <w:jc w:val="right"/>
              <w:rPr>
                <w:rFonts w:ascii="Montserrat" w:hAnsi="Montserrat" w:cs="Arial"/>
                <w:sz w:val="15"/>
                <w:szCs w:val="15"/>
              </w:rPr>
            </w:pPr>
            <w:r w:rsidRPr="00255081">
              <w:rPr>
                <w:rFonts w:ascii="Montserrat" w:eastAsia="Times New Roman" w:hAnsi="Montserrat" w:cs="Calibri"/>
                <w:sz w:val="15"/>
                <w:szCs w:val="15"/>
                <w:lang w:eastAsia="es-MX"/>
              </w:rPr>
              <w:t>0%</w:t>
            </w:r>
          </w:p>
        </w:tc>
        <w:tc>
          <w:tcPr>
            <w:tcW w:w="2558" w:type="dxa"/>
            <w:gridSpan w:val="2"/>
            <w:tcBorders>
              <w:top w:val="double" w:sz="12" w:space="0" w:color="808080" w:themeColor="background1" w:themeShade="80"/>
              <w:left w:val="nil"/>
              <w:bottom w:val="nil"/>
              <w:right w:val="nil"/>
            </w:tcBorders>
            <w:shd w:val="clear" w:color="auto" w:fill="F2F2F2" w:themeFill="background1" w:themeFillShade="F2"/>
            <w:noWrap/>
            <w:vAlign w:val="center"/>
          </w:tcPr>
          <w:p w14:paraId="33F1DDEC" w14:textId="62AE17F8" w:rsidR="00015492" w:rsidRPr="00255081" w:rsidRDefault="00015492" w:rsidP="000A1B05">
            <w:pPr>
              <w:spacing w:after="120" w:line="240" w:lineRule="auto"/>
              <w:jc w:val="right"/>
              <w:rPr>
                <w:rFonts w:ascii="Montserrat" w:hAnsi="Montserrat" w:cs="Arial"/>
                <w:sz w:val="15"/>
                <w:szCs w:val="15"/>
              </w:rPr>
            </w:pPr>
            <w:r w:rsidRPr="00255081">
              <w:rPr>
                <w:rFonts w:ascii="Montserrat" w:eastAsia="Times New Roman" w:hAnsi="Montserrat" w:cs="Calibri"/>
                <w:sz w:val="15"/>
                <w:szCs w:val="15"/>
                <w:lang w:eastAsia="es-MX"/>
              </w:rPr>
              <w:t>0</w:t>
            </w:r>
          </w:p>
        </w:tc>
      </w:tr>
      <w:tr w:rsidR="00015492" w:rsidRPr="00995308" w14:paraId="637CF19D" w14:textId="77777777" w:rsidTr="000F03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jc w:val="center"/>
        </w:trPr>
        <w:tc>
          <w:tcPr>
            <w:tcW w:w="5583" w:type="dxa"/>
            <w:shd w:val="clear" w:color="000000" w:fill="F2F2F2"/>
            <w:vAlign w:val="center"/>
          </w:tcPr>
          <w:p w14:paraId="1B77F95A" w14:textId="4BDA653A" w:rsidR="00015492" w:rsidRPr="00255081" w:rsidRDefault="00015492" w:rsidP="004B170A">
            <w:pPr>
              <w:spacing w:after="120" w:line="240" w:lineRule="auto"/>
              <w:jc w:val="both"/>
              <w:rPr>
                <w:rFonts w:ascii="Montserrat" w:eastAsia="Times New Roman" w:hAnsi="Montserrat" w:cs="Calibri"/>
                <w:color w:val="000000"/>
                <w:sz w:val="15"/>
                <w:szCs w:val="15"/>
                <w:lang w:eastAsia="es-MX"/>
              </w:rPr>
            </w:pPr>
            <w:r w:rsidRPr="00255081">
              <w:rPr>
                <w:rFonts w:ascii="Montserrat" w:eastAsia="Times New Roman" w:hAnsi="Montserrat" w:cs="Calibri"/>
                <w:sz w:val="15"/>
                <w:szCs w:val="15"/>
                <w:lang w:eastAsia="es-MX"/>
              </w:rPr>
              <w:t>Talleres Gráficos de México</w:t>
            </w:r>
          </w:p>
        </w:tc>
        <w:tc>
          <w:tcPr>
            <w:tcW w:w="2463" w:type="dxa"/>
            <w:shd w:val="clear" w:color="000000" w:fill="F2F2F2"/>
            <w:noWrap/>
            <w:vAlign w:val="center"/>
          </w:tcPr>
          <w:p w14:paraId="64A5C3D1" w14:textId="146A3DA3" w:rsidR="00015492" w:rsidRPr="00255081" w:rsidRDefault="00015492" w:rsidP="000A1B05">
            <w:pPr>
              <w:spacing w:after="120" w:line="240" w:lineRule="auto"/>
              <w:jc w:val="right"/>
              <w:rPr>
                <w:rFonts w:ascii="Montserrat" w:eastAsia="Times New Roman" w:hAnsi="Montserrat" w:cs="Calibri"/>
                <w:color w:val="000000"/>
                <w:sz w:val="15"/>
                <w:szCs w:val="15"/>
                <w:lang w:eastAsia="es-MX"/>
              </w:rPr>
            </w:pPr>
            <w:r w:rsidRPr="00255081">
              <w:rPr>
                <w:rFonts w:ascii="Montserrat" w:eastAsia="Times New Roman" w:hAnsi="Montserrat" w:cs="Calibri"/>
                <w:sz w:val="15"/>
                <w:szCs w:val="15"/>
                <w:lang w:eastAsia="es-MX"/>
              </w:rPr>
              <w:t>75,639,120</w:t>
            </w:r>
          </w:p>
        </w:tc>
        <w:tc>
          <w:tcPr>
            <w:tcW w:w="1192" w:type="dxa"/>
            <w:shd w:val="clear" w:color="000000" w:fill="F2F2F2"/>
            <w:noWrap/>
            <w:vAlign w:val="center"/>
          </w:tcPr>
          <w:p w14:paraId="465605C3" w14:textId="4ACB4857" w:rsidR="00015492" w:rsidRPr="00255081" w:rsidRDefault="00015492" w:rsidP="000A1B05">
            <w:pPr>
              <w:spacing w:after="120" w:line="240" w:lineRule="auto"/>
              <w:jc w:val="right"/>
              <w:rPr>
                <w:rFonts w:ascii="Montserrat" w:eastAsia="Times New Roman" w:hAnsi="Montserrat" w:cs="Calibri"/>
                <w:color w:val="000000"/>
                <w:sz w:val="15"/>
                <w:szCs w:val="15"/>
                <w:lang w:eastAsia="es-MX"/>
              </w:rPr>
            </w:pPr>
            <w:r w:rsidRPr="00255081">
              <w:rPr>
                <w:rFonts w:ascii="Montserrat" w:eastAsia="Times New Roman" w:hAnsi="Montserrat" w:cs="Calibri"/>
                <w:sz w:val="15"/>
                <w:szCs w:val="15"/>
                <w:lang w:eastAsia="es-MX"/>
              </w:rPr>
              <w:t>100%</w:t>
            </w:r>
          </w:p>
        </w:tc>
        <w:tc>
          <w:tcPr>
            <w:tcW w:w="2558" w:type="dxa"/>
            <w:gridSpan w:val="2"/>
            <w:shd w:val="clear" w:color="000000" w:fill="F2F2F2"/>
            <w:noWrap/>
            <w:vAlign w:val="center"/>
          </w:tcPr>
          <w:p w14:paraId="6D27E5B3" w14:textId="73A31F4C" w:rsidR="00015492" w:rsidRPr="00255081" w:rsidRDefault="00015492" w:rsidP="000A1B05">
            <w:pPr>
              <w:spacing w:after="120" w:line="240" w:lineRule="auto"/>
              <w:jc w:val="right"/>
              <w:rPr>
                <w:rFonts w:ascii="Montserrat" w:eastAsia="Times New Roman" w:hAnsi="Montserrat" w:cs="Calibri"/>
                <w:color w:val="000000"/>
                <w:sz w:val="15"/>
                <w:szCs w:val="15"/>
                <w:lang w:eastAsia="es-MX"/>
              </w:rPr>
            </w:pPr>
            <w:r w:rsidRPr="00255081">
              <w:rPr>
                <w:rFonts w:ascii="Montserrat" w:eastAsia="Times New Roman" w:hAnsi="Montserrat" w:cs="Calibri"/>
                <w:sz w:val="15"/>
                <w:szCs w:val="15"/>
                <w:lang w:eastAsia="es-MX"/>
              </w:rPr>
              <w:t>75,639,120</w:t>
            </w:r>
          </w:p>
        </w:tc>
      </w:tr>
      <w:tr w:rsidR="00015492" w:rsidRPr="00995308" w14:paraId="029AC18E" w14:textId="77777777" w:rsidTr="000F03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jc w:val="center"/>
        </w:trPr>
        <w:tc>
          <w:tcPr>
            <w:tcW w:w="5583" w:type="dxa"/>
            <w:shd w:val="clear" w:color="000000" w:fill="F2F2F2"/>
            <w:vAlign w:val="center"/>
          </w:tcPr>
          <w:p w14:paraId="4B4DF358" w14:textId="6B3D507B" w:rsidR="00015492" w:rsidRPr="00255081" w:rsidRDefault="00015492" w:rsidP="004B170A">
            <w:pPr>
              <w:spacing w:after="120" w:line="240" w:lineRule="auto"/>
              <w:jc w:val="both"/>
              <w:rPr>
                <w:rFonts w:ascii="Montserrat" w:eastAsia="Times New Roman" w:hAnsi="Montserrat" w:cs="Calibri"/>
                <w:color w:val="000000"/>
                <w:sz w:val="15"/>
                <w:szCs w:val="15"/>
                <w:lang w:eastAsia="es-MX"/>
              </w:rPr>
            </w:pPr>
            <w:r w:rsidRPr="00255081">
              <w:rPr>
                <w:rFonts w:ascii="Montserrat" w:eastAsia="Times New Roman" w:hAnsi="Montserrat" w:cs="Calibri"/>
                <w:sz w:val="15"/>
                <w:szCs w:val="15"/>
                <w:lang w:eastAsia="es-MX"/>
              </w:rPr>
              <w:t>Seguros de Crédito a la Vivienda SHF, S.A. de C.V.</w:t>
            </w:r>
          </w:p>
        </w:tc>
        <w:tc>
          <w:tcPr>
            <w:tcW w:w="2463" w:type="dxa"/>
            <w:shd w:val="clear" w:color="000000" w:fill="F2F2F2"/>
            <w:noWrap/>
            <w:vAlign w:val="center"/>
          </w:tcPr>
          <w:p w14:paraId="087D529C" w14:textId="2A456A6F" w:rsidR="00015492" w:rsidRPr="00255081" w:rsidRDefault="00015492" w:rsidP="000A1B05">
            <w:pPr>
              <w:spacing w:after="120" w:line="240" w:lineRule="auto"/>
              <w:jc w:val="right"/>
              <w:rPr>
                <w:rFonts w:ascii="Montserrat" w:eastAsia="Times New Roman" w:hAnsi="Montserrat" w:cs="Calibri"/>
                <w:color w:val="000000"/>
                <w:sz w:val="15"/>
                <w:szCs w:val="15"/>
                <w:lang w:eastAsia="es-MX"/>
              </w:rPr>
            </w:pPr>
            <w:r w:rsidRPr="00255081">
              <w:rPr>
                <w:rFonts w:ascii="Montserrat" w:eastAsia="Times New Roman" w:hAnsi="Montserrat" w:cs="Calibri"/>
                <w:sz w:val="15"/>
                <w:szCs w:val="15"/>
                <w:lang w:eastAsia="es-MX"/>
              </w:rPr>
              <w:t>3,143,137,537</w:t>
            </w:r>
          </w:p>
        </w:tc>
        <w:tc>
          <w:tcPr>
            <w:tcW w:w="1192" w:type="dxa"/>
            <w:shd w:val="clear" w:color="000000" w:fill="F2F2F2"/>
            <w:noWrap/>
            <w:vAlign w:val="center"/>
          </w:tcPr>
          <w:p w14:paraId="4AD6E3C4" w14:textId="4410DF98" w:rsidR="00015492" w:rsidRPr="00255081" w:rsidRDefault="00015492" w:rsidP="000A1B05">
            <w:pPr>
              <w:spacing w:after="120" w:line="240" w:lineRule="auto"/>
              <w:jc w:val="right"/>
              <w:rPr>
                <w:rFonts w:ascii="Montserrat" w:eastAsia="Times New Roman" w:hAnsi="Montserrat" w:cs="Calibri"/>
                <w:color w:val="000000"/>
                <w:sz w:val="15"/>
                <w:szCs w:val="15"/>
                <w:lang w:eastAsia="es-MX"/>
              </w:rPr>
            </w:pPr>
            <w:r w:rsidRPr="00255081">
              <w:rPr>
                <w:rFonts w:ascii="Montserrat" w:eastAsia="Times New Roman" w:hAnsi="Montserrat" w:cs="Calibri"/>
                <w:sz w:val="15"/>
                <w:szCs w:val="15"/>
                <w:lang w:eastAsia="es-MX"/>
              </w:rPr>
              <w:t>0.01%</w:t>
            </w:r>
          </w:p>
        </w:tc>
        <w:tc>
          <w:tcPr>
            <w:tcW w:w="2558" w:type="dxa"/>
            <w:gridSpan w:val="2"/>
            <w:shd w:val="clear" w:color="000000" w:fill="F2F2F2"/>
            <w:noWrap/>
            <w:vAlign w:val="center"/>
          </w:tcPr>
          <w:p w14:paraId="30ECBFC7" w14:textId="565E97B2" w:rsidR="00015492" w:rsidRPr="00255081" w:rsidRDefault="00015492" w:rsidP="000A1B05">
            <w:pPr>
              <w:spacing w:after="120" w:line="240" w:lineRule="auto"/>
              <w:jc w:val="right"/>
              <w:rPr>
                <w:rFonts w:ascii="Montserrat" w:eastAsia="Times New Roman" w:hAnsi="Montserrat" w:cs="Calibri"/>
                <w:color w:val="000000"/>
                <w:sz w:val="15"/>
                <w:szCs w:val="15"/>
                <w:lang w:eastAsia="es-MX"/>
              </w:rPr>
            </w:pPr>
            <w:r w:rsidRPr="00255081">
              <w:rPr>
                <w:rFonts w:ascii="Montserrat" w:eastAsia="Times New Roman" w:hAnsi="Montserrat" w:cs="Calibri"/>
                <w:sz w:val="15"/>
                <w:szCs w:val="15"/>
                <w:lang w:eastAsia="es-MX"/>
              </w:rPr>
              <w:t>31,431,375</w:t>
            </w:r>
          </w:p>
        </w:tc>
      </w:tr>
      <w:tr w:rsidR="00015492" w:rsidRPr="00995308" w14:paraId="67368179" w14:textId="77777777" w:rsidTr="000F03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jc w:val="center"/>
        </w:trPr>
        <w:tc>
          <w:tcPr>
            <w:tcW w:w="5583" w:type="dxa"/>
            <w:shd w:val="clear" w:color="000000" w:fill="F2F2F2"/>
            <w:vAlign w:val="center"/>
          </w:tcPr>
          <w:p w14:paraId="5A4CE5D5" w14:textId="77777777" w:rsidR="000A1B05" w:rsidRDefault="000A1B05" w:rsidP="004B170A">
            <w:pPr>
              <w:spacing w:after="120" w:line="240" w:lineRule="auto"/>
              <w:jc w:val="both"/>
              <w:rPr>
                <w:rFonts w:ascii="Montserrat" w:eastAsia="Times New Roman" w:hAnsi="Montserrat" w:cs="Calibri"/>
                <w:sz w:val="15"/>
                <w:szCs w:val="15"/>
                <w:lang w:eastAsia="es-MX"/>
              </w:rPr>
            </w:pPr>
          </w:p>
          <w:p w14:paraId="06000E66" w14:textId="05EE5A77" w:rsidR="00015492" w:rsidRPr="00255081" w:rsidRDefault="00015492" w:rsidP="004B170A">
            <w:pPr>
              <w:spacing w:after="120" w:line="240" w:lineRule="auto"/>
              <w:jc w:val="both"/>
              <w:rPr>
                <w:rFonts w:ascii="Montserrat" w:eastAsia="Times New Roman" w:hAnsi="Montserrat" w:cs="Calibri"/>
                <w:color w:val="000000"/>
                <w:sz w:val="15"/>
                <w:szCs w:val="15"/>
                <w:lang w:eastAsia="es-MX"/>
              </w:rPr>
            </w:pPr>
            <w:r w:rsidRPr="00255081">
              <w:rPr>
                <w:rFonts w:ascii="Montserrat" w:eastAsia="Times New Roman" w:hAnsi="Montserrat" w:cs="Calibri"/>
                <w:sz w:val="15"/>
                <w:szCs w:val="15"/>
                <w:lang w:eastAsia="es-MX"/>
              </w:rPr>
              <w:t>Banco Nacional de Comercio Exterior, S.N.C.</w:t>
            </w:r>
          </w:p>
        </w:tc>
        <w:tc>
          <w:tcPr>
            <w:tcW w:w="2463" w:type="dxa"/>
            <w:shd w:val="clear" w:color="000000" w:fill="F2F2F2"/>
            <w:noWrap/>
            <w:vAlign w:val="center"/>
          </w:tcPr>
          <w:p w14:paraId="531A07E6" w14:textId="77777777" w:rsidR="000A1B05" w:rsidRDefault="000A1B05" w:rsidP="000A1B05">
            <w:pPr>
              <w:spacing w:after="120" w:line="240" w:lineRule="auto"/>
              <w:jc w:val="right"/>
              <w:rPr>
                <w:rFonts w:ascii="Montserrat" w:eastAsia="Times New Roman" w:hAnsi="Montserrat" w:cs="Calibri"/>
                <w:sz w:val="15"/>
                <w:szCs w:val="15"/>
                <w:lang w:eastAsia="es-MX"/>
              </w:rPr>
            </w:pPr>
          </w:p>
          <w:p w14:paraId="4B35202B" w14:textId="24112FB2" w:rsidR="00015492" w:rsidRPr="00255081" w:rsidRDefault="00015492" w:rsidP="000A1B05">
            <w:pPr>
              <w:spacing w:after="120" w:line="240" w:lineRule="auto"/>
              <w:jc w:val="right"/>
              <w:rPr>
                <w:rFonts w:ascii="Montserrat" w:eastAsia="Times New Roman" w:hAnsi="Montserrat" w:cs="Calibri"/>
                <w:color w:val="000000"/>
                <w:sz w:val="15"/>
                <w:szCs w:val="15"/>
                <w:lang w:eastAsia="es-MX"/>
              </w:rPr>
            </w:pPr>
            <w:r w:rsidRPr="00255081">
              <w:rPr>
                <w:rFonts w:ascii="Montserrat" w:eastAsia="Times New Roman" w:hAnsi="Montserrat" w:cs="Calibri"/>
                <w:sz w:val="15"/>
                <w:szCs w:val="15"/>
                <w:lang w:eastAsia="es-MX"/>
              </w:rPr>
              <w:t>31,824,344,959</w:t>
            </w:r>
          </w:p>
        </w:tc>
        <w:tc>
          <w:tcPr>
            <w:tcW w:w="1192" w:type="dxa"/>
            <w:shd w:val="clear" w:color="000000" w:fill="F2F2F2"/>
            <w:noWrap/>
            <w:vAlign w:val="center"/>
          </w:tcPr>
          <w:p w14:paraId="28ADF57F" w14:textId="77777777" w:rsidR="000A1B05" w:rsidRDefault="000A1B05" w:rsidP="000A1B05">
            <w:pPr>
              <w:spacing w:after="120" w:line="240" w:lineRule="auto"/>
              <w:jc w:val="right"/>
              <w:rPr>
                <w:rFonts w:ascii="Montserrat" w:eastAsia="Times New Roman" w:hAnsi="Montserrat" w:cs="Calibri"/>
                <w:sz w:val="15"/>
                <w:szCs w:val="15"/>
                <w:lang w:eastAsia="es-MX"/>
              </w:rPr>
            </w:pPr>
          </w:p>
          <w:p w14:paraId="501FFC89" w14:textId="425F7670" w:rsidR="00015492" w:rsidRPr="00255081" w:rsidRDefault="00015492" w:rsidP="000A1B05">
            <w:pPr>
              <w:spacing w:after="120" w:line="240" w:lineRule="auto"/>
              <w:jc w:val="right"/>
              <w:rPr>
                <w:rFonts w:ascii="Montserrat" w:eastAsia="Times New Roman" w:hAnsi="Montserrat" w:cs="Calibri"/>
                <w:color w:val="000000"/>
                <w:sz w:val="15"/>
                <w:szCs w:val="15"/>
                <w:lang w:eastAsia="es-MX"/>
              </w:rPr>
            </w:pPr>
            <w:r w:rsidRPr="00255081">
              <w:rPr>
                <w:rFonts w:ascii="Montserrat" w:eastAsia="Times New Roman" w:hAnsi="Montserrat" w:cs="Calibri"/>
                <w:sz w:val="15"/>
                <w:szCs w:val="15"/>
                <w:lang w:eastAsia="es-MX"/>
              </w:rPr>
              <w:t>99.99%</w:t>
            </w:r>
          </w:p>
        </w:tc>
        <w:tc>
          <w:tcPr>
            <w:tcW w:w="2558" w:type="dxa"/>
            <w:gridSpan w:val="2"/>
            <w:shd w:val="clear" w:color="000000" w:fill="F2F2F2"/>
            <w:noWrap/>
            <w:vAlign w:val="center"/>
          </w:tcPr>
          <w:p w14:paraId="34AFD50A" w14:textId="77777777" w:rsidR="000A1B05" w:rsidRDefault="000A1B05" w:rsidP="000A1B05">
            <w:pPr>
              <w:spacing w:after="120" w:line="240" w:lineRule="auto"/>
              <w:jc w:val="right"/>
              <w:rPr>
                <w:rFonts w:ascii="Montserrat" w:eastAsia="Times New Roman" w:hAnsi="Montserrat" w:cs="Calibri"/>
                <w:sz w:val="15"/>
                <w:szCs w:val="15"/>
                <w:lang w:eastAsia="es-MX"/>
              </w:rPr>
            </w:pPr>
          </w:p>
          <w:p w14:paraId="7627E60A" w14:textId="634F780F" w:rsidR="00015492" w:rsidRPr="00255081" w:rsidRDefault="00015492" w:rsidP="000A1B05">
            <w:pPr>
              <w:spacing w:after="120" w:line="240" w:lineRule="auto"/>
              <w:jc w:val="right"/>
              <w:rPr>
                <w:rFonts w:ascii="Montserrat" w:eastAsia="Times New Roman" w:hAnsi="Montserrat" w:cs="Calibri"/>
                <w:color w:val="000000"/>
                <w:sz w:val="15"/>
                <w:szCs w:val="15"/>
                <w:lang w:eastAsia="es-MX"/>
              </w:rPr>
            </w:pPr>
            <w:r w:rsidRPr="00255081">
              <w:rPr>
                <w:rFonts w:ascii="Montserrat" w:eastAsia="Times New Roman" w:hAnsi="Montserrat" w:cs="Calibri"/>
                <w:sz w:val="15"/>
                <w:szCs w:val="15"/>
                <w:lang w:eastAsia="es-MX"/>
              </w:rPr>
              <w:t>31,821,162,525</w:t>
            </w:r>
          </w:p>
        </w:tc>
      </w:tr>
      <w:tr w:rsidR="00015492" w:rsidRPr="00995308" w14:paraId="13B32D04" w14:textId="77777777" w:rsidTr="000F03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jc w:val="center"/>
        </w:trPr>
        <w:tc>
          <w:tcPr>
            <w:tcW w:w="5583" w:type="dxa"/>
            <w:shd w:val="clear" w:color="000000" w:fill="F2F2F2"/>
            <w:vAlign w:val="center"/>
          </w:tcPr>
          <w:p w14:paraId="3111FB1D" w14:textId="7ABDBB53" w:rsidR="00015492" w:rsidRPr="00255081" w:rsidRDefault="00015492" w:rsidP="004B170A">
            <w:pPr>
              <w:spacing w:after="120" w:line="240" w:lineRule="auto"/>
              <w:jc w:val="both"/>
              <w:rPr>
                <w:rFonts w:ascii="Montserrat" w:eastAsia="Times New Roman" w:hAnsi="Montserrat" w:cs="Calibri"/>
                <w:color w:val="000000"/>
                <w:sz w:val="15"/>
                <w:szCs w:val="15"/>
                <w:lang w:eastAsia="es-MX"/>
              </w:rPr>
            </w:pPr>
            <w:r w:rsidRPr="00255081">
              <w:rPr>
                <w:rFonts w:ascii="Montserrat" w:eastAsia="Times New Roman" w:hAnsi="Montserrat" w:cs="Calibri"/>
                <w:sz w:val="15"/>
                <w:szCs w:val="15"/>
                <w:lang w:eastAsia="es-MX"/>
              </w:rPr>
              <w:t>Comisión Nacional para la Protección y Defensa de los Usuarios de Servicios Financieros</w:t>
            </w:r>
          </w:p>
        </w:tc>
        <w:tc>
          <w:tcPr>
            <w:tcW w:w="2463" w:type="dxa"/>
            <w:shd w:val="clear" w:color="000000" w:fill="F2F2F2"/>
            <w:noWrap/>
            <w:vAlign w:val="center"/>
          </w:tcPr>
          <w:p w14:paraId="19DB608D" w14:textId="5BC86439" w:rsidR="00015492" w:rsidRPr="00255081" w:rsidRDefault="00015492" w:rsidP="000A1B05">
            <w:pPr>
              <w:spacing w:after="120" w:line="240" w:lineRule="auto"/>
              <w:jc w:val="right"/>
              <w:rPr>
                <w:rFonts w:ascii="Montserrat" w:eastAsia="Times New Roman" w:hAnsi="Montserrat" w:cs="Calibri"/>
                <w:color w:val="000000"/>
                <w:sz w:val="15"/>
                <w:szCs w:val="15"/>
                <w:lang w:eastAsia="es-MX"/>
              </w:rPr>
            </w:pPr>
            <w:r w:rsidRPr="00255081">
              <w:rPr>
                <w:rFonts w:ascii="Montserrat" w:eastAsia="Times New Roman" w:hAnsi="Montserrat" w:cs="Calibri"/>
                <w:sz w:val="15"/>
                <w:szCs w:val="15"/>
                <w:lang w:eastAsia="es-MX"/>
              </w:rPr>
              <w:t>83,871,599</w:t>
            </w:r>
          </w:p>
        </w:tc>
        <w:tc>
          <w:tcPr>
            <w:tcW w:w="1192" w:type="dxa"/>
            <w:shd w:val="clear" w:color="000000" w:fill="F2F2F2"/>
            <w:noWrap/>
            <w:vAlign w:val="center"/>
          </w:tcPr>
          <w:p w14:paraId="1013D2F9" w14:textId="31B9CF53" w:rsidR="00015492" w:rsidRPr="00255081" w:rsidRDefault="00015492" w:rsidP="000A1B05">
            <w:pPr>
              <w:spacing w:after="120" w:line="240" w:lineRule="auto"/>
              <w:jc w:val="right"/>
              <w:rPr>
                <w:rFonts w:ascii="Montserrat" w:eastAsia="Times New Roman" w:hAnsi="Montserrat" w:cs="Calibri"/>
                <w:color w:val="000000"/>
                <w:sz w:val="15"/>
                <w:szCs w:val="15"/>
                <w:lang w:eastAsia="es-MX"/>
              </w:rPr>
            </w:pPr>
            <w:r w:rsidRPr="00255081">
              <w:rPr>
                <w:rFonts w:ascii="Montserrat" w:eastAsia="Times New Roman" w:hAnsi="Montserrat" w:cs="Calibri"/>
                <w:sz w:val="15"/>
                <w:szCs w:val="15"/>
                <w:lang w:eastAsia="es-MX"/>
              </w:rPr>
              <w:t>100%</w:t>
            </w:r>
          </w:p>
        </w:tc>
        <w:tc>
          <w:tcPr>
            <w:tcW w:w="2558" w:type="dxa"/>
            <w:gridSpan w:val="2"/>
            <w:shd w:val="clear" w:color="000000" w:fill="F2F2F2"/>
            <w:noWrap/>
            <w:vAlign w:val="center"/>
          </w:tcPr>
          <w:p w14:paraId="63915473" w14:textId="40537D37" w:rsidR="00015492" w:rsidRPr="00255081" w:rsidRDefault="00015492" w:rsidP="000A1B05">
            <w:pPr>
              <w:spacing w:after="120" w:line="240" w:lineRule="auto"/>
              <w:jc w:val="right"/>
              <w:rPr>
                <w:rFonts w:ascii="Montserrat" w:eastAsia="Times New Roman" w:hAnsi="Montserrat" w:cs="Calibri"/>
                <w:color w:val="000000"/>
                <w:sz w:val="15"/>
                <w:szCs w:val="15"/>
                <w:lang w:eastAsia="es-MX"/>
              </w:rPr>
            </w:pPr>
            <w:r w:rsidRPr="00255081">
              <w:rPr>
                <w:rFonts w:ascii="Montserrat" w:eastAsia="Times New Roman" w:hAnsi="Montserrat" w:cs="Calibri"/>
                <w:sz w:val="15"/>
                <w:szCs w:val="15"/>
                <w:lang w:eastAsia="es-MX"/>
              </w:rPr>
              <w:t>83,871,599</w:t>
            </w:r>
          </w:p>
        </w:tc>
      </w:tr>
      <w:tr w:rsidR="00015492" w:rsidRPr="00995308" w14:paraId="76D79F25" w14:textId="77777777" w:rsidTr="000F03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jc w:val="center"/>
        </w:trPr>
        <w:tc>
          <w:tcPr>
            <w:tcW w:w="5583" w:type="dxa"/>
            <w:shd w:val="clear" w:color="000000" w:fill="F2F2F2"/>
            <w:vAlign w:val="center"/>
          </w:tcPr>
          <w:p w14:paraId="5BD2BAE8" w14:textId="7CFE73F9" w:rsidR="00015492" w:rsidRPr="00255081" w:rsidRDefault="00015492" w:rsidP="004B170A">
            <w:pPr>
              <w:spacing w:after="120" w:line="240" w:lineRule="auto"/>
              <w:jc w:val="both"/>
              <w:rPr>
                <w:rFonts w:ascii="Montserrat" w:eastAsia="Times New Roman" w:hAnsi="Montserrat" w:cs="Calibri"/>
                <w:color w:val="000000"/>
                <w:sz w:val="15"/>
                <w:szCs w:val="15"/>
                <w:lang w:eastAsia="es-MX"/>
              </w:rPr>
            </w:pPr>
            <w:r w:rsidRPr="00255081">
              <w:rPr>
                <w:rFonts w:ascii="Montserrat" w:eastAsia="Times New Roman" w:hAnsi="Montserrat" w:cs="Calibri"/>
                <w:sz w:val="15"/>
                <w:szCs w:val="15"/>
                <w:lang w:eastAsia="es-MX"/>
              </w:rPr>
              <w:t>Banco Nacional de Obras y Servicios Públicos, S.N.C.</w:t>
            </w:r>
          </w:p>
        </w:tc>
        <w:tc>
          <w:tcPr>
            <w:tcW w:w="2463" w:type="dxa"/>
            <w:shd w:val="clear" w:color="000000" w:fill="F2F2F2"/>
            <w:noWrap/>
            <w:vAlign w:val="center"/>
          </w:tcPr>
          <w:p w14:paraId="3E5948EC" w14:textId="48B40D2B" w:rsidR="00015492" w:rsidRPr="00255081" w:rsidRDefault="00015492" w:rsidP="000A1B05">
            <w:pPr>
              <w:spacing w:after="120" w:line="240" w:lineRule="auto"/>
              <w:jc w:val="right"/>
              <w:rPr>
                <w:rFonts w:ascii="Montserrat" w:eastAsia="Times New Roman" w:hAnsi="Montserrat" w:cs="Calibri"/>
                <w:color w:val="000000"/>
                <w:sz w:val="15"/>
                <w:szCs w:val="15"/>
                <w:lang w:eastAsia="es-MX"/>
              </w:rPr>
            </w:pPr>
            <w:r w:rsidRPr="00255081">
              <w:rPr>
                <w:rFonts w:ascii="Montserrat" w:eastAsia="Times New Roman" w:hAnsi="Montserrat" w:cs="Calibri"/>
                <w:sz w:val="15"/>
                <w:szCs w:val="15"/>
                <w:lang w:eastAsia="es-MX"/>
              </w:rPr>
              <w:t>62,648,082,838</w:t>
            </w:r>
          </w:p>
        </w:tc>
        <w:tc>
          <w:tcPr>
            <w:tcW w:w="1192" w:type="dxa"/>
            <w:shd w:val="clear" w:color="000000" w:fill="F2F2F2"/>
            <w:noWrap/>
            <w:vAlign w:val="center"/>
          </w:tcPr>
          <w:p w14:paraId="024F5C21" w14:textId="3E6A123F" w:rsidR="00015492" w:rsidRPr="00255081" w:rsidRDefault="00015492" w:rsidP="000A1B05">
            <w:pPr>
              <w:spacing w:after="120" w:line="240" w:lineRule="auto"/>
              <w:jc w:val="right"/>
              <w:rPr>
                <w:rFonts w:ascii="Montserrat" w:eastAsia="Times New Roman" w:hAnsi="Montserrat" w:cs="Calibri"/>
                <w:color w:val="000000"/>
                <w:sz w:val="15"/>
                <w:szCs w:val="15"/>
                <w:lang w:eastAsia="es-MX"/>
              </w:rPr>
            </w:pPr>
            <w:r w:rsidRPr="00255081">
              <w:rPr>
                <w:rFonts w:ascii="Montserrat" w:eastAsia="Times New Roman" w:hAnsi="Montserrat" w:cs="Calibri"/>
                <w:sz w:val="15"/>
                <w:szCs w:val="15"/>
                <w:lang w:eastAsia="es-MX"/>
              </w:rPr>
              <w:t>99.71%</w:t>
            </w:r>
          </w:p>
        </w:tc>
        <w:tc>
          <w:tcPr>
            <w:tcW w:w="2558" w:type="dxa"/>
            <w:gridSpan w:val="2"/>
            <w:shd w:val="clear" w:color="000000" w:fill="F2F2F2"/>
            <w:noWrap/>
            <w:vAlign w:val="center"/>
          </w:tcPr>
          <w:p w14:paraId="398E2206" w14:textId="064ADCBF" w:rsidR="00015492" w:rsidRPr="00255081" w:rsidRDefault="00015492" w:rsidP="000A1B05">
            <w:pPr>
              <w:spacing w:after="120" w:line="240" w:lineRule="auto"/>
              <w:jc w:val="right"/>
              <w:rPr>
                <w:rFonts w:ascii="Montserrat" w:eastAsia="Times New Roman" w:hAnsi="Montserrat" w:cs="Calibri"/>
                <w:color w:val="000000"/>
                <w:sz w:val="15"/>
                <w:szCs w:val="15"/>
                <w:lang w:eastAsia="es-MX"/>
              </w:rPr>
            </w:pPr>
            <w:r w:rsidRPr="00255081">
              <w:rPr>
                <w:rFonts w:ascii="Montserrat" w:eastAsia="Times New Roman" w:hAnsi="Montserrat" w:cs="Calibri"/>
                <w:sz w:val="15"/>
                <w:szCs w:val="15"/>
                <w:lang w:eastAsia="es-MX"/>
              </w:rPr>
              <w:t>62,466,403,398</w:t>
            </w:r>
          </w:p>
        </w:tc>
      </w:tr>
      <w:tr w:rsidR="00015492" w:rsidRPr="00995308" w14:paraId="1C93F901" w14:textId="77777777" w:rsidTr="000F03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jc w:val="center"/>
        </w:trPr>
        <w:tc>
          <w:tcPr>
            <w:tcW w:w="5583" w:type="dxa"/>
            <w:shd w:val="clear" w:color="000000" w:fill="F2F2F2"/>
            <w:vAlign w:val="center"/>
          </w:tcPr>
          <w:p w14:paraId="49014008" w14:textId="01034769" w:rsidR="00015492" w:rsidRPr="00255081" w:rsidRDefault="00015492" w:rsidP="004B170A">
            <w:pPr>
              <w:spacing w:after="120" w:line="240" w:lineRule="auto"/>
              <w:jc w:val="both"/>
              <w:rPr>
                <w:rFonts w:ascii="Montserrat" w:eastAsia="Times New Roman" w:hAnsi="Montserrat" w:cs="Calibri"/>
                <w:color w:val="000000"/>
                <w:sz w:val="15"/>
                <w:szCs w:val="15"/>
                <w:lang w:eastAsia="es-MX"/>
              </w:rPr>
            </w:pPr>
            <w:r w:rsidRPr="00255081">
              <w:rPr>
                <w:rFonts w:ascii="Montserrat" w:eastAsia="Times New Roman" w:hAnsi="Montserrat" w:cs="Calibri"/>
                <w:sz w:val="15"/>
                <w:szCs w:val="15"/>
                <w:lang w:eastAsia="es-MX"/>
              </w:rPr>
              <w:t>Banco Nacional del Ejército, Fuerza Aérea y Armada, S.N.C.</w:t>
            </w:r>
          </w:p>
        </w:tc>
        <w:tc>
          <w:tcPr>
            <w:tcW w:w="2463" w:type="dxa"/>
            <w:shd w:val="clear" w:color="000000" w:fill="F2F2F2"/>
            <w:noWrap/>
            <w:vAlign w:val="center"/>
          </w:tcPr>
          <w:p w14:paraId="50025AD5" w14:textId="75D72736" w:rsidR="00015492" w:rsidRPr="00255081" w:rsidRDefault="00015492" w:rsidP="000A1B05">
            <w:pPr>
              <w:spacing w:after="120" w:line="240" w:lineRule="auto"/>
              <w:jc w:val="right"/>
              <w:rPr>
                <w:rFonts w:ascii="Montserrat" w:eastAsia="Times New Roman" w:hAnsi="Montserrat" w:cs="Calibri"/>
                <w:color w:val="000000"/>
                <w:sz w:val="15"/>
                <w:szCs w:val="15"/>
                <w:lang w:eastAsia="es-MX"/>
              </w:rPr>
            </w:pPr>
            <w:r w:rsidRPr="00255081">
              <w:rPr>
                <w:rFonts w:ascii="Montserrat" w:eastAsia="Times New Roman" w:hAnsi="Montserrat" w:cs="Calibri"/>
                <w:sz w:val="15"/>
                <w:szCs w:val="15"/>
                <w:lang w:eastAsia="es-MX"/>
              </w:rPr>
              <w:t>19,659,230,436</w:t>
            </w:r>
          </w:p>
        </w:tc>
        <w:tc>
          <w:tcPr>
            <w:tcW w:w="1192" w:type="dxa"/>
            <w:shd w:val="clear" w:color="000000" w:fill="F2F2F2"/>
            <w:noWrap/>
            <w:vAlign w:val="center"/>
          </w:tcPr>
          <w:p w14:paraId="056374C0" w14:textId="5A0838EE" w:rsidR="00015492" w:rsidRPr="00255081" w:rsidRDefault="00015492" w:rsidP="000A1B05">
            <w:pPr>
              <w:spacing w:after="120" w:line="240" w:lineRule="auto"/>
              <w:jc w:val="right"/>
              <w:rPr>
                <w:rFonts w:ascii="Montserrat" w:eastAsia="Times New Roman" w:hAnsi="Montserrat" w:cs="Calibri"/>
                <w:color w:val="000000"/>
                <w:sz w:val="15"/>
                <w:szCs w:val="15"/>
                <w:lang w:eastAsia="es-MX"/>
              </w:rPr>
            </w:pPr>
            <w:r w:rsidRPr="00255081">
              <w:rPr>
                <w:rFonts w:ascii="Montserrat" w:eastAsia="Times New Roman" w:hAnsi="Montserrat" w:cs="Calibri"/>
                <w:sz w:val="15"/>
                <w:szCs w:val="15"/>
                <w:lang w:eastAsia="es-MX"/>
              </w:rPr>
              <w:t>100%</w:t>
            </w:r>
          </w:p>
        </w:tc>
        <w:tc>
          <w:tcPr>
            <w:tcW w:w="2558" w:type="dxa"/>
            <w:gridSpan w:val="2"/>
            <w:shd w:val="clear" w:color="000000" w:fill="F2F2F2"/>
            <w:noWrap/>
            <w:vAlign w:val="center"/>
          </w:tcPr>
          <w:p w14:paraId="53829548" w14:textId="087CE0A6" w:rsidR="00015492" w:rsidRPr="00255081" w:rsidRDefault="00015492" w:rsidP="000A1B05">
            <w:pPr>
              <w:spacing w:after="120" w:line="240" w:lineRule="auto"/>
              <w:jc w:val="right"/>
              <w:rPr>
                <w:rFonts w:ascii="Montserrat" w:eastAsia="Times New Roman" w:hAnsi="Montserrat" w:cs="Calibri"/>
                <w:color w:val="000000"/>
                <w:sz w:val="15"/>
                <w:szCs w:val="15"/>
                <w:lang w:eastAsia="es-MX"/>
              </w:rPr>
            </w:pPr>
            <w:r w:rsidRPr="00255081">
              <w:rPr>
                <w:rFonts w:ascii="Montserrat" w:eastAsia="Times New Roman" w:hAnsi="Montserrat" w:cs="Calibri"/>
                <w:sz w:val="15"/>
                <w:szCs w:val="15"/>
                <w:lang w:eastAsia="es-MX"/>
              </w:rPr>
              <w:t>19,659,230,436</w:t>
            </w:r>
          </w:p>
        </w:tc>
      </w:tr>
      <w:tr w:rsidR="00015492" w:rsidRPr="00995308" w14:paraId="43D7BF89" w14:textId="77777777" w:rsidTr="000F03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0"/>
          <w:jc w:val="center"/>
        </w:trPr>
        <w:tc>
          <w:tcPr>
            <w:tcW w:w="5583" w:type="dxa"/>
            <w:shd w:val="clear" w:color="000000" w:fill="F2F2F2"/>
            <w:vAlign w:val="center"/>
          </w:tcPr>
          <w:p w14:paraId="73C4683D" w14:textId="39C30025" w:rsidR="00015492" w:rsidRPr="00255081" w:rsidRDefault="00015492" w:rsidP="004B170A">
            <w:pPr>
              <w:spacing w:after="120" w:line="240" w:lineRule="auto"/>
              <w:jc w:val="both"/>
              <w:rPr>
                <w:rFonts w:ascii="Montserrat" w:eastAsia="Times New Roman" w:hAnsi="Montserrat" w:cs="Calibri"/>
                <w:color w:val="000000"/>
                <w:sz w:val="15"/>
                <w:szCs w:val="15"/>
                <w:lang w:eastAsia="es-MX"/>
              </w:rPr>
            </w:pPr>
            <w:r w:rsidRPr="00255081">
              <w:rPr>
                <w:rFonts w:ascii="Montserrat" w:eastAsia="Times New Roman" w:hAnsi="Montserrat" w:cs="Calibri"/>
                <w:sz w:val="15"/>
                <w:szCs w:val="15"/>
                <w:lang w:eastAsia="es-MX"/>
              </w:rPr>
              <w:t>Casa de Moneda de México</w:t>
            </w:r>
          </w:p>
        </w:tc>
        <w:tc>
          <w:tcPr>
            <w:tcW w:w="2463" w:type="dxa"/>
            <w:shd w:val="clear" w:color="000000" w:fill="F2F2F2"/>
            <w:noWrap/>
            <w:vAlign w:val="center"/>
          </w:tcPr>
          <w:p w14:paraId="50DFD3EF" w14:textId="08E95BFE" w:rsidR="00015492" w:rsidRPr="00255081" w:rsidRDefault="00015492" w:rsidP="000A1B05">
            <w:pPr>
              <w:spacing w:after="120" w:line="240" w:lineRule="auto"/>
              <w:jc w:val="right"/>
              <w:rPr>
                <w:rFonts w:ascii="Montserrat" w:eastAsia="Times New Roman" w:hAnsi="Montserrat" w:cs="Calibri"/>
                <w:color w:val="000000"/>
                <w:sz w:val="15"/>
                <w:szCs w:val="15"/>
                <w:lang w:eastAsia="es-MX"/>
              </w:rPr>
            </w:pPr>
            <w:r w:rsidRPr="00255081">
              <w:rPr>
                <w:rFonts w:ascii="Montserrat" w:eastAsia="Times New Roman" w:hAnsi="Montserrat" w:cs="Calibri"/>
                <w:sz w:val="15"/>
                <w:szCs w:val="15"/>
                <w:lang w:eastAsia="es-MX"/>
              </w:rPr>
              <w:t>2,117,619,697</w:t>
            </w:r>
          </w:p>
        </w:tc>
        <w:tc>
          <w:tcPr>
            <w:tcW w:w="1192" w:type="dxa"/>
            <w:shd w:val="clear" w:color="000000" w:fill="F2F2F2"/>
            <w:noWrap/>
            <w:vAlign w:val="center"/>
          </w:tcPr>
          <w:p w14:paraId="35D267B1" w14:textId="7B7ADCDC" w:rsidR="00015492" w:rsidRPr="00255081" w:rsidRDefault="00015492" w:rsidP="000A1B05">
            <w:pPr>
              <w:spacing w:after="120" w:line="240" w:lineRule="auto"/>
              <w:jc w:val="right"/>
              <w:rPr>
                <w:rFonts w:ascii="Montserrat" w:eastAsia="Times New Roman" w:hAnsi="Montserrat" w:cs="Calibri"/>
                <w:color w:val="000000"/>
                <w:sz w:val="15"/>
                <w:szCs w:val="15"/>
                <w:lang w:eastAsia="es-MX"/>
              </w:rPr>
            </w:pPr>
            <w:r w:rsidRPr="00255081">
              <w:rPr>
                <w:rFonts w:ascii="Montserrat" w:eastAsia="Times New Roman" w:hAnsi="Montserrat" w:cs="Calibri"/>
                <w:sz w:val="15"/>
                <w:szCs w:val="15"/>
                <w:lang w:eastAsia="es-MX"/>
              </w:rPr>
              <w:t>100%</w:t>
            </w:r>
          </w:p>
        </w:tc>
        <w:tc>
          <w:tcPr>
            <w:tcW w:w="2558" w:type="dxa"/>
            <w:gridSpan w:val="2"/>
            <w:shd w:val="clear" w:color="000000" w:fill="F2F2F2"/>
            <w:noWrap/>
            <w:vAlign w:val="center"/>
          </w:tcPr>
          <w:p w14:paraId="63E0D268" w14:textId="3377EFF7" w:rsidR="00015492" w:rsidRPr="00255081" w:rsidRDefault="00015492" w:rsidP="000A1B05">
            <w:pPr>
              <w:spacing w:after="120" w:line="240" w:lineRule="auto"/>
              <w:jc w:val="right"/>
              <w:rPr>
                <w:rFonts w:ascii="Montserrat" w:eastAsia="Times New Roman" w:hAnsi="Montserrat" w:cs="Calibri"/>
                <w:color w:val="000000"/>
                <w:sz w:val="15"/>
                <w:szCs w:val="15"/>
                <w:lang w:eastAsia="es-MX"/>
              </w:rPr>
            </w:pPr>
            <w:r w:rsidRPr="00255081">
              <w:rPr>
                <w:rFonts w:ascii="Montserrat" w:eastAsia="Times New Roman" w:hAnsi="Montserrat" w:cs="Calibri"/>
                <w:sz w:val="15"/>
                <w:szCs w:val="15"/>
                <w:lang w:eastAsia="es-MX"/>
              </w:rPr>
              <w:t>2,117,619,697</w:t>
            </w:r>
          </w:p>
        </w:tc>
      </w:tr>
      <w:tr w:rsidR="00015492" w:rsidRPr="00995308" w14:paraId="0ECE6280" w14:textId="77777777" w:rsidTr="000F03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jc w:val="center"/>
        </w:trPr>
        <w:tc>
          <w:tcPr>
            <w:tcW w:w="5583" w:type="dxa"/>
            <w:shd w:val="clear" w:color="000000" w:fill="F2F2F2"/>
            <w:vAlign w:val="center"/>
          </w:tcPr>
          <w:p w14:paraId="46DBB6F9" w14:textId="1B3D9CF1" w:rsidR="00015492" w:rsidRPr="00255081" w:rsidRDefault="00015492" w:rsidP="004B170A">
            <w:pPr>
              <w:spacing w:after="120" w:line="240" w:lineRule="auto"/>
              <w:jc w:val="both"/>
              <w:rPr>
                <w:rFonts w:ascii="Montserrat" w:eastAsia="Times New Roman" w:hAnsi="Montserrat" w:cs="Calibri"/>
                <w:color w:val="000000"/>
                <w:sz w:val="15"/>
                <w:szCs w:val="15"/>
                <w:lang w:eastAsia="es-MX"/>
              </w:rPr>
            </w:pPr>
            <w:r w:rsidRPr="00255081">
              <w:rPr>
                <w:rFonts w:ascii="Montserrat" w:eastAsia="Times New Roman" w:hAnsi="Montserrat" w:cs="Calibri"/>
                <w:sz w:val="15"/>
                <w:szCs w:val="15"/>
                <w:lang w:eastAsia="es-MX"/>
              </w:rPr>
              <w:t>Agrosemex S.A</w:t>
            </w:r>
          </w:p>
        </w:tc>
        <w:tc>
          <w:tcPr>
            <w:tcW w:w="2463" w:type="dxa"/>
            <w:shd w:val="clear" w:color="000000" w:fill="F2F2F2"/>
            <w:noWrap/>
            <w:vAlign w:val="center"/>
          </w:tcPr>
          <w:p w14:paraId="76073DE1" w14:textId="25BA8499" w:rsidR="00015492" w:rsidRPr="00255081" w:rsidRDefault="00015492" w:rsidP="000A1B05">
            <w:pPr>
              <w:spacing w:after="120" w:line="240" w:lineRule="auto"/>
              <w:jc w:val="right"/>
              <w:rPr>
                <w:rFonts w:ascii="Montserrat" w:eastAsia="Times New Roman" w:hAnsi="Montserrat" w:cs="Calibri"/>
                <w:color w:val="000000"/>
                <w:sz w:val="15"/>
                <w:szCs w:val="15"/>
                <w:lang w:eastAsia="es-MX"/>
              </w:rPr>
            </w:pPr>
            <w:r w:rsidRPr="00255081">
              <w:rPr>
                <w:rFonts w:ascii="Montserrat" w:eastAsia="Times New Roman" w:hAnsi="Montserrat" w:cs="Calibri"/>
                <w:sz w:val="15"/>
                <w:szCs w:val="15"/>
                <w:lang w:eastAsia="es-MX"/>
              </w:rPr>
              <w:t>3,240,231,288</w:t>
            </w:r>
          </w:p>
        </w:tc>
        <w:tc>
          <w:tcPr>
            <w:tcW w:w="1192" w:type="dxa"/>
            <w:shd w:val="clear" w:color="000000" w:fill="F2F2F2"/>
            <w:noWrap/>
            <w:vAlign w:val="center"/>
          </w:tcPr>
          <w:p w14:paraId="0EDDCF43" w14:textId="7F7D9A26" w:rsidR="00015492" w:rsidRPr="00255081" w:rsidRDefault="00015492" w:rsidP="000A1B05">
            <w:pPr>
              <w:spacing w:after="120" w:line="240" w:lineRule="auto"/>
              <w:jc w:val="right"/>
              <w:rPr>
                <w:rFonts w:ascii="Montserrat" w:eastAsia="Times New Roman" w:hAnsi="Montserrat" w:cs="Calibri"/>
                <w:color w:val="000000"/>
                <w:sz w:val="15"/>
                <w:szCs w:val="15"/>
                <w:lang w:eastAsia="es-MX"/>
              </w:rPr>
            </w:pPr>
            <w:r w:rsidRPr="00255081">
              <w:rPr>
                <w:rFonts w:ascii="Montserrat" w:eastAsia="Times New Roman" w:hAnsi="Montserrat" w:cs="Calibri"/>
                <w:sz w:val="15"/>
                <w:szCs w:val="15"/>
                <w:lang w:eastAsia="es-MX"/>
              </w:rPr>
              <w:t>100%</w:t>
            </w:r>
          </w:p>
        </w:tc>
        <w:tc>
          <w:tcPr>
            <w:tcW w:w="2558" w:type="dxa"/>
            <w:gridSpan w:val="2"/>
            <w:shd w:val="clear" w:color="000000" w:fill="F2F2F2"/>
            <w:noWrap/>
            <w:vAlign w:val="center"/>
          </w:tcPr>
          <w:p w14:paraId="6E64EDD1" w14:textId="108FA955" w:rsidR="00015492" w:rsidRPr="00255081" w:rsidRDefault="00015492" w:rsidP="000A1B05">
            <w:pPr>
              <w:spacing w:after="120" w:line="240" w:lineRule="auto"/>
              <w:jc w:val="right"/>
              <w:rPr>
                <w:rFonts w:ascii="Montserrat" w:eastAsia="Times New Roman" w:hAnsi="Montserrat" w:cs="Calibri"/>
                <w:color w:val="000000"/>
                <w:sz w:val="15"/>
                <w:szCs w:val="15"/>
                <w:lang w:eastAsia="es-MX"/>
              </w:rPr>
            </w:pPr>
            <w:r w:rsidRPr="00255081">
              <w:rPr>
                <w:rFonts w:ascii="Montserrat" w:eastAsia="Times New Roman" w:hAnsi="Montserrat" w:cs="Calibri"/>
                <w:sz w:val="15"/>
                <w:szCs w:val="15"/>
                <w:lang w:eastAsia="es-MX"/>
              </w:rPr>
              <w:t>3,240,231,288</w:t>
            </w:r>
          </w:p>
        </w:tc>
      </w:tr>
      <w:tr w:rsidR="00015492" w:rsidRPr="00995308" w14:paraId="3605286A" w14:textId="77777777" w:rsidTr="000F03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jc w:val="center"/>
        </w:trPr>
        <w:tc>
          <w:tcPr>
            <w:tcW w:w="5583" w:type="dxa"/>
            <w:shd w:val="clear" w:color="000000" w:fill="F2F2F2"/>
            <w:vAlign w:val="center"/>
          </w:tcPr>
          <w:p w14:paraId="1EA56F51" w14:textId="336081C7" w:rsidR="00015492" w:rsidRPr="00255081" w:rsidRDefault="00015492" w:rsidP="004B170A">
            <w:pPr>
              <w:spacing w:after="120" w:line="240" w:lineRule="auto"/>
              <w:jc w:val="both"/>
              <w:rPr>
                <w:rFonts w:ascii="Montserrat" w:eastAsia="Times New Roman" w:hAnsi="Montserrat" w:cs="Calibri"/>
                <w:color w:val="000000"/>
                <w:sz w:val="15"/>
                <w:szCs w:val="15"/>
                <w:lang w:eastAsia="es-MX"/>
              </w:rPr>
            </w:pPr>
            <w:r w:rsidRPr="00255081">
              <w:rPr>
                <w:rFonts w:ascii="Montserrat" w:eastAsia="Times New Roman" w:hAnsi="Montserrat" w:cs="Calibri"/>
                <w:sz w:val="15"/>
                <w:szCs w:val="15"/>
                <w:lang w:eastAsia="es-MX"/>
              </w:rPr>
              <w:t>Financiera Nacional de Desarrollo Agropecuario, Rural, Forestal y Pesquero</w:t>
            </w:r>
          </w:p>
        </w:tc>
        <w:tc>
          <w:tcPr>
            <w:tcW w:w="2463" w:type="dxa"/>
            <w:shd w:val="clear" w:color="000000" w:fill="F2F2F2"/>
            <w:noWrap/>
            <w:vAlign w:val="center"/>
          </w:tcPr>
          <w:p w14:paraId="4BAC2D59" w14:textId="5FBCEA6C" w:rsidR="00015492" w:rsidRPr="00255081" w:rsidRDefault="00015492" w:rsidP="000A1B05">
            <w:pPr>
              <w:spacing w:after="120" w:line="240" w:lineRule="auto"/>
              <w:jc w:val="right"/>
              <w:rPr>
                <w:rFonts w:ascii="Montserrat" w:eastAsia="Times New Roman" w:hAnsi="Montserrat" w:cs="Calibri"/>
                <w:color w:val="000000"/>
                <w:sz w:val="15"/>
                <w:szCs w:val="15"/>
                <w:lang w:eastAsia="es-MX"/>
              </w:rPr>
            </w:pPr>
            <w:r w:rsidRPr="00255081">
              <w:rPr>
                <w:rFonts w:ascii="Montserrat" w:eastAsia="Times New Roman" w:hAnsi="Montserrat" w:cs="Calibri"/>
                <w:sz w:val="15"/>
                <w:szCs w:val="15"/>
                <w:lang w:eastAsia="es-MX"/>
              </w:rPr>
              <w:t>33,475,047,318</w:t>
            </w:r>
          </w:p>
        </w:tc>
        <w:tc>
          <w:tcPr>
            <w:tcW w:w="1192" w:type="dxa"/>
            <w:shd w:val="clear" w:color="000000" w:fill="F2F2F2"/>
            <w:noWrap/>
            <w:vAlign w:val="center"/>
          </w:tcPr>
          <w:p w14:paraId="27548EA5" w14:textId="6D7A11F7" w:rsidR="00015492" w:rsidRPr="00255081" w:rsidRDefault="00015492" w:rsidP="000A1B05">
            <w:pPr>
              <w:spacing w:after="120" w:line="240" w:lineRule="auto"/>
              <w:jc w:val="right"/>
              <w:rPr>
                <w:rFonts w:ascii="Montserrat" w:eastAsia="Times New Roman" w:hAnsi="Montserrat" w:cs="Calibri"/>
                <w:color w:val="000000"/>
                <w:sz w:val="15"/>
                <w:szCs w:val="15"/>
                <w:lang w:eastAsia="es-MX"/>
              </w:rPr>
            </w:pPr>
            <w:r w:rsidRPr="00255081">
              <w:rPr>
                <w:rFonts w:ascii="Montserrat" w:eastAsia="Times New Roman" w:hAnsi="Montserrat" w:cs="Calibri"/>
                <w:sz w:val="15"/>
                <w:szCs w:val="15"/>
                <w:lang w:eastAsia="es-MX"/>
              </w:rPr>
              <w:t>100%</w:t>
            </w:r>
          </w:p>
        </w:tc>
        <w:tc>
          <w:tcPr>
            <w:tcW w:w="2558" w:type="dxa"/>
            <w:gridSpan w:val="2"/>
            <w:shd w:val="clear" w:color="000000" w:fill="F2F2F2"/>
            <w:noWrap/>
            <w:vAlign w:val="center"/>
          </w:tcPr>
          <w:p w14:paraId="71F10536" w14:textId="7F101DAC" w:rsidR="00015492" w:rsidRPr="00255081" w:rsidRDefault="00015492" w:rsidP="000A1B05">
            <w:pPr>
              <w:spacing w:after="120" w:line="240" w:lineRule="auto"/>
              <w:jc w:val="right"/>
              <w:rPr>
                <w:rFonts w:ascii="Montserrat" w:eastAsia="Times New Roman" w:hAnsi="Montserrat" w:cs="Calibri"/>
                <w:color w:val="000000"/>
                <w:sz w:val="15"/>
                <w:szCs w:val="15"/>
                <w:lang w:eastAsia="es-MX"/>
              </w:rPr>
            </w:pPr>
            <w:r w:rsidRPr="00255081">
              <w:rPr>
                <w:rFonts w:ascii="Montserrat" w:eastAsia="Times New Roman" w:hAnsi="Montserrat" w:cs="Calibri"/>
                <w:sz w:val="15"/>
                <w:szCs w:val="15"/>
                <w:lang w:eastAsia="es-MX"/>
              </w:rPr>
              <w:t>33,475,047,318</w:t>
            </w:r>
          </w:p>
        </w:tc>
      </w:tr>
      <w:tr w:rsidR="00015492" w:rsidRPr="00995308" w14:paraId="58DE8E60" w14:textId="77777777" w:rsidTr="000F03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0"/>
          <w:jc w:val="center"/>
        </w:trPr>
        <w:tc>
          <w:tcPr>
            <w:tcW w:w="5583" w:type="dxa"/>
            <w:shd w:val="clear" w:color="000000" w:fill="F2F2F2"/>
            <w:vAlign w:val="center"/>
          </w:tcPr>
          <w:p w14:paraId="7EEC294B" w14:textId="284F53E2" w:rsidR="00015492" w:rsidRPr="00255081" w:rsidRDefault="00015492" w:rsidP="004B170A">
            <w:pPr>
              <w:spacing w:after="120" w:line="240" w:lineRule="auto"/>
              <w:jc w:val="both"/>
              <w:rPr>
                <w:rFonts w:ascii="Montserrat" w:eastAsia="Times New Roman" w:hAnsi="Montserrat" w:cs="Calibri"/>
                <w:color w:val="000000"/>
                <w:sz w:val="15"/>
                <w:szCs w:val="15"/>
                <w:lang w:eastAsia="es-MX"/>
              </w:rPr>
            </w:pPr>
            <w:r w:rsidRPr="00255081">
              <w:rPr>
                <w:rFonts w:ascii="Montserrat" w:eastAsia="Times New Roman" w:hAnsi="Montserrat" w:cs="Calibri"/>
                <w:sz w:val="15"/>
                <w:szCs w:val="15"/>
                <w:lang w:eastAsia="es-MX"/>
              </w:rPr>
              <w:t>Fondo Especial de Asistencia Técnica y Garantía para Créditos Agropecuarios</w:t>
            </w:r>
          </w:p>
        </w:tc>
        <w:tc>
          <w:tcPr>
            <w:tcW w:w="2463" w:type="dxa"/>
            <w:shd w:val="clear" w:color="000000" w:fill="F2F2F2"/>
            <w:noWrap/>
            <w:vAlign w:val="center"/>
          </w:tcPr>
          <w:p w14:paraId="44F92AB1" w14:textId="0651DD72" w:rsidR="00015492" w:rsidRPr="00255081" w:rsidRDefault="00015492" w:rsidP="000A1B05">
            <w:pPr>
              <w:spacing w:after="120" w:line="240" w:lineRule="auto"/>
              <w:jc w:val="right"/>
              <w:rPr>
                <w:rFonts w:ascii="Montserrat" w:eastAsia="Times New Roman" w:hAnsi="Montserrat" w:cs="Calibri"/>
                <w:color w:val="000000"/>
                <w:sz w:val="15"/>
                <w:szCs w:val="15"/>
                <w:lang w:eastAsia="es-MX"/>
              </w:rPr>
            </w:pPr>
            <w:r w:rsidRPr="00255081">
              <w:rPr>
                <w:rFonts w:ascii="Montserrat" w:eastAsia="Times New Roman" w:hAnsi="Montserrat" w:cs="Calibri"/>
                <w:sz w:val="15"/>
                <w:szCs w:val="15"/>
                <w:lang w:eastAsia="es-MX"/>
              </w:rPr>
              <w:t>21,423,683,525</w:t>
            </w:r>
          </w:p>
        </w:tc>
        <w:tc>
          <w:tcPr>
            <w:tcW w:w="1192" w:type="dxa"/>
            <w:shd w:val="clear" w:color="000000" w:fill="F2F2F2"/>
            <w:noWrap/>
            <w:vAlign w:val="center"/>
          </w:tcPr>
          <w:p w14:paraId="25E7994D" w14:textId="0DA917D0" w:rsidR="00015492" w:rsidRPr="00255081" w:rsidRDefault="00015492" w:rsidP="000A1B05">
            <w:pPr>
              <w:spacing w:after="120" w:line="240" w:lineRule="auto"/>
              <w:jc w:val="right"/>
              <w:rPr>
                <w:rFonts w:ascii="Montserrat" w:eastAsia="Times New Roman" w:hAnsi="Montserrat" w:cs="Calibri"/>
                <w:color w:val="000000"/>
                <w:sz w:val="15"/>
                <w:szCs w:val="15"/>
                <w:lang w:eastAsia="es-MX"/>
              </w:rPr>
            </w:pPr>
            <w:r w:rsidRPr="00255081">
              <w:rPr>
                <w:rFonts w:ascii="Montserrat" w:eastAsia="Times New Roman" w:hAnsi="Montserrat" w:cs="Calibri"/>
                <w:sz w:val="15"/>
                <w:szCs w:val="15"/>
                <w:lang w:eastAsia="es-MX"/>
              </w:rPr>
              <w:t>100%</w:t>
            </w:r>
          </w:p>
        </w:tc>
        <w:tc>
          <w:tcPr>
            <w:tcW w:w="2558" w:type="dxa"/>
            <w:gridSpan w:val="2"/>
            <w:shd w:val="clear" w:color="000000" w:fill="F2F2F2"/>
            <w:noWrap/>
            <w:vAlign w:val="center"/>
          </w:tcPr>
          <w:p w14:paraId="40F0E003" w14:textId="2B033F49" w:rsidR="00015492" w:rsidRPr="00255081" w:rsidRDefault="00015492" w:rsidP="000A1B05">
            <w:pPr>
              <w:spacing w:after="120" w:line="240" w:lineRule="auto"/>
              <w:jc w:val="right"/>
              <w:rPr>
                <w:rFonts w:ascii="Montserrat" w:eastAsia="Times New Roman" w:hAnsi="Montserrat" w:cs="Calibri"/>
                <w:color w:val="000000"/>
                <w:sz w:val="15"/>
                <w:szCs w:val="15"/>
                <w:lang w:eastAsia="es-MX"/>
              </w:rPr>
            </w:pPr>
            <w:r w:rsidRPr="00255081">
              <w:rPr>
                <w:rFonts w:ascii="Montserrat" w:eastAsia="Times New Roman" w:hAnsi="Montserrat" w:cs="Calibri"/>
                <w:sz w:val="15"/>
                <w:szCs w:val="15"/>
                <w:lang w:eastAsia="es-MX"/>
              </w:rPr>
              <w:t>21,423,683,525</w:t>
            </w:r>
          </w:p>
        </w:tc>
      </w:tr>
      <w:tr w:rsidR="00015492" w:rsidRPr="00995308" w14:paraId="5F1EC65F" w14:textId="77777777" w:rsidTr="000F03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0"/>
          <w:jc w:val="center"/>
        </w:trPr>
        <w:tc>
          <w:tcPr>
            <w:tcW w:w="5583" w:type="dxa"/>
            <w:shd w:val="clear" w:color="000000" w:fill="F2F2F2"/>
            <w:vAlign w:val="center"/>
          </w:tcPr>
          <w:p w14:paraId="6D08E4B2" w14:textId="23ED7513" w:rsidR="00015492" w:rsidRPr="00255081" w:rsidRDefault="00015492" w:rsidP="004B170A">
            <w:pPr>
              <w:spacing w:after="120" w:line="240" w:lineRule="auto"/>
              <w:jc w:val="both"/>
              <w:rPr>
                <w:rFonts w:ascii="Montserrat" w:eastAsia="Times New Roman" w:hAnsi="Montserrat" w:cs="Calibri"/>
                <w:color w:val="000000"/>
                <w:sz w:val="15"/>
                <w:szCs w:val="15"/>
                <w:lang w:eastAsia="es-MX"/>
              </w:rPr>
            </w:pPr>
            <w:r w:rsidRPr="00255081">
              <w:rPr>
                <w:rFonts w:ascii="Montserrat" w:eastAsia="Times New Roman" w:hAnsi="Montserrat" w:cs="Calibri"/>
                <w:sz w:val="15"/>
                <w:szCs w:val="15"/>
                <w:lang w:eastAsia="es-MX"/>
              </w:rPr>
              <w:t>Fondo de Capitalización e Inversión del Sector Rural</w:t>
            </w:r>
          </w:p>
        </w:tc>
        <w:tc>
          <w:tcPr>
            <w:tcW w:w="2463" w:type="dxa"/>
            <w:shd w:val="clear" w:color="000000" w:fill="F2F2F2"/>
            <w:noWrap/>
            <w:vAlign w:val="center"/>
          </w:tcPr>
          <w:p w14:paraId="093A691E" w14:textId="67B11BFD" w:rsidR="00015492" w:rsidRPr="00255081" w:rsidRDefault="00015492" w:rsidP="000A1B05">
            <w:pPr>
              <w:spacing w:after="120" w:line="240" w:lineRule="auto"/>
              <w:jc w:val="right"/>
              <w:rPr>
                <w:rFonts w:ascii="Montserrat" w:eastAsia="Times New Roman" w:hAnsi="Montserrat" w:cs="Calibri"/>
                <w:color w:val="000000"/>
                <w:sz w:val="15"/>
                <w:szCs w:val="15"/>
                <w:lang w:eastAsia="es-MX"/>
              </w:rPr>
            </w:pPr>
            <w:r w:rsidRPr="00255081">
              <w:rPr>
                <w:rFonts w:ascii="Montserrat" w:eastAsia="Times New Roman" w:hAnsi="Montserrat" w:cs="Calibri"/>
                <w:sz w:val="15"/>
                <w:szCs w:val="15"/>
                <w:lang w:eastAsia="es-MX"/>
              </w:rPr>
              <w:t>4,153,256,481</w:t>
            </w:r>
          </w:p>
        </w:tc>
        <w:tc>
          <w:tcPr>
            <w:tcW w:w="1192" w:type="dxa"/>
            <w:shd w:val="clear" w:color="000000" w:fill="F2F2F2"/>
            <w:noWrap/>
            <w:vAlign w:val="center"/>
          </w:tcPr>
          <w:p w14:paraId="20DF5F78" w14:textId="108B9AB2" w:rsidR="00015492" w:rsidRPr="00255081" w:rsidRDefault="00015492" w:rsidP="000A1B05">
            <w:pPr>
              <w:spacing w:after="120" w:line="240" w:lineRule="auto"/>
              <w:jc w:val="right"/>
              <w:rPr>
                <w:rFonts w:ascii="Montserrat" w:eastAsia="Times New Roman" w:hAnsi="Montserrat" w:cs="Calibri"/>
                <w:color w:val="000000"/>
                <w:sz w:val="15"/>
                <w:szCs w:val="15"/>
                <w:lang w:eastAsia="es-MX"/>
              </w:rPr>
            </w:pPr>
            <w:r w:rsidRPr="00255081">
              <w:rPr>
                <w:rFonts w:ascii="Montserrat" w:eastAsia="Times New Roman" w:hAnsi="Montserrat" w:cs="Calibri"/>
                <w:sz w:val="15"/>
                <w:szCs w:val="15"/>
                <w:lang w:eastAsia="es-MX"/>
              </w:rPr>
              <w:t>100%</w:t>
            </w:r>
          </w:p>
        </w:tc>
        <w:tc>
          <w:tcPr>
            <w:tcW w:w="2558" w:type="dxa"/>
            <w:gridSpan w:val="2"/>
            <w:shd w:val="clear" w:color="000000" w:fill="F2F2F2"/>
            <w:noWrap/>
            <w:vAlign w:val="center"/>
          </w:tcPr>
          <w:p w14:paraId="345E4195" w14:textId="56BA53B6" w:rsidR="00015492" w:rsidRPr="00255081" w:rsidRDefault="00015492" w:rsidP="000A1B05">
            <w:pPr>
              <w:spacing w:after="120" w:line="240" w:lineRule="auto"/>
              <w:jc w:val="right"/>
              <w:rPr>
                <w:rFonts w:ascii="Montserrat" w:eastAsia="Times New Roman" w:hAnsi="Montserrat" w:cs="Calibri"/>
                <w:color w:val="000000"/>
                <w:sz w:val="15"/>
                <w:szCs w:val="15"/>
                <w:lang w:eastAsia="es-MX"/>
              </w:rPr>
            </w:pPr>
            <w:r w:rsidRPr="00255081">
              <w:rPr>
                <w:rFonts w:ascii="Montserrat" w:eastAsia="Times New Roman" w:hAnsi="Montserrat" w:cs="Calibri"/>
                <w:sz w:val="15"/>
                <w:szCs w:val="15"/>
                <w:lang w:eastAsia="es-MX"/>
              </w:rPr>
              <w:t>4,153,256,481</w:t>
            </w:r>
          </w:p>
        </w:tc>
      </w:tr>
      <w:tr w:rsidR="00015492" w:rsidRPr="00995308" w14:paraId="20E741E6" w14:textId="77777777" w:rsidTr="000F03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jc w:val="center"/>
        </w:trPr>
        <w:tc>
          <w:tcPr>
            <w:tcW w:w="5583" w:type="dxa"/>
            <w:shd w:val="clear" w:color="000000" w:fill="F2F2F2"/>
            <w:vAlign w:val="center"/>
          </w:tcPr>
          <w:p w14:paraId="3AAD1FED" w14:textId="452A5E09" w:rsidR="00015492" w:rsidRPr="00255081" w:rsidRDefault="00015492" w:rsidP="004B170A">
            <w:pPr>
              <w:spacing w:after="120" w:line="240" w:lineRule="auto"/>
              <w:jc w:val="both"/>
              <w:rPr>
                <w:rFonts w:ascii="Montserrat" w:eastAsia="Times New Roman" w:hAnsi="Montserrat" w:cs="Calibri"/>
                <w:color w:val="000000"/>
                <w:sz w:val="15"/>
                <w:szCs w:val="15"/>
                <w:lang w:eastAsia="es-MX"/>
              </w:rPr>
            </w:pPr>
            <w:r w:rsidRPr="00255081">
              <w:rPr>
                <w:rFonts w:ascii="Montserrat" w:eastAsia="Times New Roman" w:hAnsi="Montserrat" w:cs="Calibri"/>
                <w:sz w:val="15"/>
                <w:szCs w:val="15"/>
                <w:lang w:eastAsia="es-MX"/>
              </w:rPr>
              <w:t>Fondo de Garantía y Fomento para la Agricultura, Ganadería y Avicultura</w:t>
            </w:r>
          </w:p>
        </w:tc>
        <w:tc>
          <w:tcPr>
            <w:tcW w:w="2463" w:type="dxa"/>
            <w:shd w:val="clear" w:color="000000" w:fill="F2F2F2"/>
            <w:noWrap/>
            <w:vAlign w:val="center"/>
          </w:tcPr>
          <w:p w14:paraId="1EAE92C7" w14:textId="05664ED9" w:rsidR="00015492" w:rsidRPr="00255081" w:rsidRDefault="00015492" w:rsidP="000A1B05">
            <w:pPr>
              <w:spacing w:after="120" w:line="240" w:lineRule="auto"/>
              <w:jc w:val="right"/>
              <w:rPr>
                <w:rFonts w:ascii="Montserrat" w:eastAsia="Times New Roman" w:hAnsi="Montserrat" w:cs="Calibri"/>
                <w:color w:val="000000"/>
                <w:sz w:val="15"/>
                <w:szCs w:val="15"/>
                <w:lang w:eastAsia="es-MX"/>
              </w:rPr>
            </w:pPr>
            <w:r w:rsidRPr="00255081">
              <w:rPr>
                <w:rFonts w:ascii="Montserrat" w:eastAsia="Times New Roman" w:hAnsi="Montserrat" w:cs="Calibri"/>
                <w:sz w:val="15"/>
                <w:szCs w:val="15"/>
                <w:lang w:eastAsia="es-MX"/>
              </w:rPr>
              <w:t>12,457,282,203</w:t>
            </w:r>
          </w:p>
        </w:tc>
        <w:tc>
          <w:tcPr>
            <w:tcW w:w="1192" w:type="dxa"/>
            <w:shd w:val="clear" w:color="000000" w:fill="F2F2F2"/>
            <w:noWrap/>
            <w:vAlign w:val="center"/>
          </w:tcPr>
          <w:p w14:paraId="2A41A14E" w14:textId="40EB8A90" w:rsidR="00015492" w:rsidRPr="00255081" w:rsidRDefault="00015492" w:rsidP="000A1B05">
            <w:pPr>
              <w:spacing w:after="120" w:line="240" w:lineRule="auto"/>
              <w:jc w:val="right"/>
              <w:rPr>
                <w:rFonts w:ascii="Montserrat" w:eastAsia="Times New Roman" w:hAnsi="Montserrat" w:cs="Calibri"/>
                <w:color w:val="000000"/>
                <w:sz w:val="15"/>
                <w:szCs w:val="15"/>
                <w:lang w:eastAsia="es-MX"/>
              </w:rPr>
            </w:pPr>
            <w:r w:rsidRPr="00255081">
              <w:rPr>
                <w:rFonts w:ascii="Montserrat" w:eastAsia="Times New Roman" w:hAnsi="Montserrat" w:cs="Calibri"/>
                <w:sz w:val="15"/>
                <w:szCs w:val="15"/>
                <w:lang w:eastAsia="es-MX"/>
              </w:rPr>
              <w:t>100%</w:t>
            </w:r>
          </w:p>
        </w:tc>
        <w:tc>
          <w:tcPr>
            <w:tcW w:w="2558" w:type="dxa"/>
            <w:gridSpan w:val="2"/>
            <w:shd w:val="clear" w:color="000000" w:fill="F2F2F2"/>
            <w:noWrap/>
            <w:vAlign w:val="center"/>
          </w:tcPr>
          <w:p w14:paraId="32D5EBFA" w14:textId="272F84D7" w:rsidR="00015492" w:rsidRPr="00255081" w:rsidRDefault="00015492" w:rsidP="000A1B05">
            <w:pPr>
              <w:spacing w:after="120" w:line="240" w:lineRule="auto"/>
              <w:jc w:val="right"/>
              <w:rPr>
                <w:rFonts w:ascii="Montserrat" w:eastAsia="Times New Roman" w:hAnsi="Montserrat" w:cs="Calibri"/>
                <w:color w:val="000000"/>
                <w:sz w:val="15"/>
                <w:szCs w:val="15"/>
                <w:lang w:eastAsia="es-MX"/>
              </w:rPr>
            </w:pPr>
            <w:r w:rsidRPr="00255081">
              <w:rPr>
                <w:rFonts w:ascii="Montserrat" w:eastAsia="Times New Roman" w:hAnsi="Montserrat" w:cs="Calibri"/>
                <w:sz w:val="15"/>
                <w:szCs w:val="15"/>
                <w:lang w:eastAsia="es-MX"/>
              </w:rPr>
              <w:t>12,457,282,203</w:t>
            </w:r>
          </w:p>
        </w:tc>
      </w:tr>
      <w:tr w:rsidR="00015492" w:rsidRPr="00995308" w14:paraId="629E671D" w14:textId="77777777" w:rsidTr="000F03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0"/>
          <w:jc w:val="center"/>
        </w:trPr>
        <w:tc>
          <w:tcPr>
            <w:tcW w:w="5583" w:type="dxa"/>
            <w:shd w:val="clear" w:color="000000" w:fill="F2F2F2"/>
            <w:vAlign w:val="center"/>
          </w:tcPr>
          <w:p w14:paraId="62D7CDDF" w14:textId="6507ED5E" w:rsidR="00015492" w:rsidRPr="00255081" w:rsidRDefault="00015492" w:rsidP="004B170A">
            <w:pPr>
              <w:spacing w:after="120" w:line="240" w:lineRule="auto"/>
              <w:jc w:val="both"/>
              <w:rPr>
                <w:rFonts w:ascii="Montserrat" w:eastAsia="Times New Roman" w:hAnsi="Montserrat" w:cs="Calibri"/>
                <w:color w:val="000000"/>
                <w:sz w:val="15"/>
                <w:szCs w:val="15"/>
                <w:lang w:eastAsia="es-MX"/>
              </w:rPr>
            </w:pPr>
            <w:r w:rsidRPr="00255081">
              <w:rPr>
                <w:rFonts w:ascii="Montserrat" w:eastAsia="Times New Roman" w:hAnsi="Montserrat" w:cs="Calibri"/>
                <w:sz w:val="15"/>
                <w:szCs w:val="15"/>
                <w:lang w:eastAsia="es-MX"/>
              </w:rPr>
              <w:t>Fondo de Garantía y Fomento para las Actividades Pesqueras</w:t>
            </w:r>
          </w:p>
        </w:tc>
        <w:tc>
          <w:tcPr>
            <w:tcW w:w="2463" w:type="dxa"/>
            <w:shd w:val="clear" w:color="000000" w:fill="F2F2F2"/>
            <w:noWrap/>
            <w:vAlign w:val="center"/>
          </w:tcPr>
          <w:p w14:paraId="0C01E27F" w14:textId="7C2A1100" w:rsidR="00015492" w:rsidRPr="00255081" w:rsidRDefault="00015492" w:rsidP="000A1B05">
            <w:pPr>
              <w:spacing w:after="120" w:line="240" w:lineRule="auto"/>
              <w:jc w:val="right"/>
              <w:rPr>
                <w:rFonts w:ascii="Montserrat" w:eastAsia="Times New Roman" w:hAnsi="Montserrat" w:cs="Calibri"/>
                <w:color w:val="000000"/>
                <w:sz w:val="15"/>
                <w:szCs w:val="15"/>
                <w:lang w:eastAsia="es-MX"/>
              </w:rPr>
            </w:pPr>
            <w:r w:rsidRPr="00255081">
              <w:rPr>
                <w:rFonts w:ascii="Montserrat" w:eastAsia="Times New Roman" w:hAnsi="Montserrat" w:cs="Calibri"/>
                <w:sz w:val="15"/>
                <w:szCs w:val="15"/>
                <w:lang w:eastAsia="es-MX"/>
              </w:rPr>
              <w:t>2,225,638,855</w:t>
            </w:r>
          </w:p>
        </w:tc>
        <w:tc>
          <w:tcPr>
            <w:tcW w:w="1192" w:type="dxa"/>
            <w:shd w:val="clear" w:color="000000" w:fill="F2F2F2"/>
            <w:noWrap/>
            <w:vAlign w:val="center"/>
          </w:tcPr>
          <w:p w14:paraId="3F5AC6A1" w14:textId="74DB35BE" w:rsidR="00015492" w:rsidRPr="00255081" w:rsidRDefault="00015492" w:rsidP="000A1B05">
            <w:pPr>
              <w:spacing w:after="120" w:line="240" w:lineRule="auto"/>
              <w:jc w:val="right"/>
              <w:rPr>
                <w:rFonts w:ascii="Montserrat" w:eastAsia="Times New Roman" w:hAnsi="Montserrat" w:cs="Calibri"/>
                <w:color w:val="000000"/>
                <w:sz w:val="15"/>
                <w:szCs w:val="15"/>
                <w:lang w:eastAsia="es-MX"/>
              </w:rPr>
            </w:pPr>
            <w:r w:rsidRPr="00255081">
              <w:rPr>
                <w:rFonts w:ascii="Montserrat" w:eastAsia="Times New Roman" w:hAnsi="Montserrat" w:cs="Calibri"/>
                <w:sz w:val="15"/>
                <w:szCs w:val="15"/>
                <w:lang w:eastAsia="es-MX"/>
              </w:rPr>
              <w:t>100%</w:t>
            </w:r>
          </w:p>
        </w:tc>
        <w:tc>
          <w:tcPr>
            <w:tcW w:w="2558" w:type="dxa"/>
            <w:gridSpan w:val="2"/>
            <w:shd w:val="clear" w:color="000000" w:fill="F2F2F2"/>
            <w:noWrap/>
            <w:vAlign w:val="center"/>
          </w:tcPr>
          <w:p w14:paraId="1882D393" w14:textId="18A9A6E6" w:rsidR="00015492" w:rsidRPr="00255081" w:rsidRDefault="00015492" w:rsidP="000A1B05">
            <w:pPr>
              <w:spacing w:after="120" w:line="240" w:lineRule="auto"/>
              <w:jc w:val="right"/>
              <w:rPr>
                <w:rFonts w:ascii="Montserrat" w:eastAsia="Times New Roman" w:hAnsi="Montserrat" w:cs="Calibri"/>
                <w:color w:val="000000"/>
                <w:sz w:val="15"/>
                <w:szCs w:val="15"/>
                <w:lang w:eastAsia="es-MX"/>
              </w:rPr>
            </w:pPr>
            <w:r w:rsidRPr="00255081">
              <w:rPr>
                <w:rFonts w:ascii="Montserrat" w:eastAsia="Times New Roman" w:hAnsi="Montserrat" w:cs="Calibri"/>
                <w:sz w:val="15"/>
                <w:szCs w:val="15"/>
                <w:lang w:eastAsia="es-MX"/>
              </w:rPr>
              <w:t>2,225,638,855</w:t>
            </w:r>
          </w:p>
        </w:tc>
      </w:tr>
      <w:tr w:rsidR="00015492" w:rsidRPr="00995308" w14:paraId="67ADBBA8" w14:textId="77777777" w:rsidTr="000F03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jc w:val="center"/>
        </w:trPr>
        <w:tc>
          <w:tcPr>
            <w:tcW w:w="5583" w:type="dxa"/>
            <w:shd w:val="clear" w:color="000000" w:fill="F2F2F2"/>
            <w:vAlign w:val="center"/>
          </w:tcPr>
          <w:p w14:paraId="71E69D12" w14:textId="3F74762F" w:rsidR="00015492" w:rsidRPr="00255081" w:rsidRDefault="00015492" w:rsidP="004B170A">
            <w:pPr>
              <w:spacing w:after="120" w:line="240" w:lineRule="auto"/>
              <w:jc w:val="both"/>
              <w:rPr>
                <w:rFonts w:ascii="Montserrat" w:eastAsia="Times New Roman" w:hAnsi="Montserrat" w:cs="Calibri"/>
                <w:color w:val="000000"/>
                <w:sz w:val="15"/>
                <w:szCs w:val="15"/>
                <w:lang w:eastAsia="es-MX"/>
              </w:rPr>
            </w:pPr>
            <w:r w:rsidRPr="00255081">
              <w:rPr>
                <w:rFonts w:ascii="Montserrat" w:eastAsia="Times New Roman" w:hAnsi="Montserrat" w:cs="Calibri"/>
                <w:sz w:val="15"/>
                <w:szCs w:val="15"/>
                <w:lang w:eastAsia="es-MX"/>
              </w:rPr>
              <w:t>Fondo de Operación y Financiamiento Bancario a la Vivienda</w:t>
            </w:r>
          </w:p>
        </w:tc>
        <w:tc>
          <w:tcPr>
            <w:tcW w:w="2463" w:type="dxa"/>
            <w:shd w:val="clear" w:color="000000" w:fill="F2F2F2"/>
            <w:noWrap/>
            <w:vAlign w:val="center"/>
          </w:tcPr>
          <w:p w14:paraId="3724BE11" w14:textId="71E6BE7D" w:rsidR="00015492" w:rsidRPr="00255081" w:rsidRDefault="00015492" w:rsidP="000A1B05">
            <w:pPr>
              <w:spacing w:after="120" w:line="240" w:lineRule="auto"/>
              <w:jc w:val="right"/>
              <w:rPr>
                <w:rFonts w:ascii="Montserrat" w:eastAsia="Times New Roman" w:hAnsi="Montserrat" w:cs="Calibri"/>
                <w:color w:val="000000"/>
                <w:sz w:val="15"/>
                <w:szCs w:val="15"/>
                <w:lang w:eastAsia="es-MX"/>
              </w:rPr>
            </w:pPr>
            <w:r w:rsidRPr="00255081">
              <w:rPr>
                <w:rFonts w:ascii="Montserrat" w:eastAsia="Times New Roman" w:hAnsi="Montserrat" w:cs="Calibri"/>
                <w:sz w:val="15"/>
                <w:szCs w:val="15"/>
                <w:lang w:eastAsia="es-MX"/>
              </w:rPr>
              <w:t>14,628,848,277</w:t>
            </w:r>
          </w:p>
        </w:tc>
        <w:tc>
          <w:tcPr>
            <w:tcW w:w="1192" w:type="dxa"/>
            <w:shd w:val="clear" w:color="000000" w:fill="F2F2F2"/>
            <w:noWrap/>
            <w:vAlign w:val="center"/>
          </w:tcPr>
          <w:p w14:paraId="179C55D7" w14:textId="3C26C44F" w:rsidR="00015492" w:rsidRPr="00255081" w:rsidRDefault="00015492" w:rsidP="000A1B05">
            <w:pPr>
              <w:spacing w:after="120" w:line="240" w:lineRule="auto"/>
              <w:jc w:val="right"/>
              <w:rPr>
                <w:rFonts w:ascii="Montserrat" w:eastAsia="Times New Roman" w:hAnsi="Montserrat" w:cs="Calibri"/>
                <w:color w:val="000000"/>
                <w:sz w:val="15"/>
                <w:szCs w:val="15"/>
                <w:lang w:eastAsia="es-MX"/>
              </w:rPr>
            </w:pPr>
            <w:r w:rsidRPr="00255081">
              <w:rPr>
                <w:rFonts w:ascii="Montserrat" w:eastAsia="Times New Roman" w:hAnsi="Montserrat" w:cs="Calibri"/>
                <w:sz w:val="15"/>
                <w:szCs w:val="15"/>
                <w:lang w:eastAsia="es-MX"/>
              </w:rPr>
              <w:t>100%</w:t>
            </w:r>
          </w:p>
        </w:tc>
        <w:tc>
          <w:tcPr>
            <w:tcW w:w="2558" w:type="dxa"/>
            <w:gridSpan w:val="2"/>
            <w:shd w:val="clear" w:color="000000" w:fill="F2F2F2"/>
            <w:noWrap/>
            <w:vAlign w:val="center"/>
          </w:tcPr>
          <w:p w14:paraId="6395CD67" w14:textId="3645F121" w:rsidR="00015492" w:rsidRPr="00255081" w:rsidRDefault="00015492" w:rsidP="000A1B05">
            <w:pPr>
              <w:spacing w:after="120" w:line="240" w:lineRule="auto"/>
              <w:jc w:val="right"/>
              <w:rPr>
                <w:rFonts w:ascii="Montserrat" w:eastAsia="Times New Roman" w:hAnsi="Montserrat" w:cs="Calibri"/>
                <w:color w:val="000000"/>
                <w:sz w:val="15"/>
                <w:szCs w:val="15"/>
                <w:lang w:eastAsia="es-MX"/>
              </w:rPr>
            </w:pPr>
            <w:r w:rsidRPr="00255081">
              <w:rPr>
                <w:rFonts w:ascii="Montserrat" w:eastAsia="Times New Roman" w:hAnsi="Montserrat" w:cs="Calibri"/>
                <w:sz w:val="15"/>
                <w:szCs w:val="15"/>
                <w:lang w:eastAsia="es-MX"/>
              </w:rPr>
              <w:t>14,628,848,277</w:t>
            </w:r>
          </w:p>
        </w:tc>
      </w:tr>
      <w:tr w:rsidR="00015492" w:rsidRPr="00995308" w14:paraId="2AA905FC" w14:textId="77777777" w:rsidTr="000F03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jc w:val="center"/>
        </w:trPr>
        <w:tc>
          <w:tcPr>
            <w:tcW w:w="5583" w:type="dxa"/>
            <w:shd w:val="clear" w:color="000000" w:fill="F2F2F2"/>
            <w:vAlign w:val="center"/>
          </w:tcPr>
          <w:p w14:paraId="0F0514BE" w14:textId="34403E14" w:rsidR="00015492" w:rsidRPr="00255081" w:rsidRDefault="00015492" w:rsidP="004B170A">
            <w:pPr>
              <w:spacing w:after="120" w:line="240" w:lineRule="auto"/>
              <w:jc w:val="both"/>
              <w:rPr>
                <w:rFonts w:ascii="Montserrat" w:eastAsia="Times New Roman" w:hAnsi="Montserrat" w:cs="Calibri"/>
                <w:color w:val="000000"/>
                <w:sz w:val="15"/>
                <w:szCs w:val="15"/>
                <w:lang w:eastAsia="es-MX"/>
              </w:rPr>
            </w:pPr>
            <w:r w:rsidRPr="00255081">
              <w:rPr>
                <w:rFonts w:ascii="Montserrat" w:eastAsia="Times New Roman" w:hAnsi="Montserrat" w:cs="Calibri"/>
                <w:sz w:val="15"/>
                <w:szCs w:val="15"/>
                <w:lang w:eastAsia="es-MX"/>
              </w:rPr>
              <w:t>Fondo Especial para Financiamientos Agropecuarios</w:t>
            </w:r>
          </w:p>
        </w:tc>
        <w:tc>
          <w:tcPr>
            <w:tcW w:w="2463" w:type="dxa"/>
            <w:shd w:val="clear" w:color="000000" w:fill="F2F2F2"/>
            <w:noWrap/>
            <w:vAlign w:val="center"/>
          </w:tcPr>
          <w:p w14:paraId="50F98867" w14:textId="1F9A5CDC" w:rsidR="00015492" w:rsidRPr="00255081" w:rsidRDefault="00015492" w:rsidP="000A1B05">
            <w:pPr>
              <w:spacing w:after="120" w:line="240" w:lineRule="auto"/>
              <w:jc w:val="right"/>
              <w:rPr>
                <w:rFonts w:ascii="Montserrat" w:eastAsia="Times New Roman" w:hAnsi="Montserrat" w:cs="Calibri"/>
                <w:color w:val="000000"/>
                <w:sz w:val="15"/>
                <w:szCs w:val="15"/>
                <w:lang w:eastAsia="es-MX"/>
              </w:rPr>
            </w:pPr>
            <w:r w:rsidRPr="00255081">
              <w:rPr>
                <w:rFonts w:ascii="Montserrat" w:eastAsia="Times New Roman" w:hAnsi="Montserrat" w:cs="Calibri"/>
                <w:sz w:val="15"/>
                <w:szCs w:val="15"/>
                <w:lang w:eastAsia="es-MX"/>
              </w:rPr>
              <w:t>56,399,311,228</w:t>
            </w:r>
          </w:p>
        </w:tc>
        <w:tc>
          <w:tcPr>
            <w:tcW w:w="1192" w:type="dxa"/>
            <w:shd w:val="clear" w:color="000000" w:fill="F2F2F2"/>
            <w:noWrap/>
            <w:vAlign w:val="center"/>
          </w:tcPr>
          <w:p w14:paraId="0FF2A6EC" w14:textId="7FE9245B" w:rsidR="00015492" w:rsidRPr="00255081" w:rsidRDefault="00015492" w:rsidP="000A1B05">
            <w:pPr>
              <w:spacing w:after="120" w:line="240" w:lineRule="auto"/>
              <w:jc w:val="right"/>
              <w:rPr>
                <w:rFonts w:ascii="Montserrat" w:eastAsia="Times New Roman" w:hAnsi="Montserrat" w:cs="Calibri"/>
                <w:color w:val="000000"/>
                <w:sz w:val="15"/>
                <w:szCs w:val="15"/>
                <w:lang w:eastAsia="es-MX"/>
              </w:rPr>
            </w:pPr>
            <w:r w:rsidRPr="00255081">
              <w:rPr>
                <w:rFonts w:ascii="Montserrat" w:eastAsia="Times New Roman" w:hAnsi="Montserrat" w:cs="Calibri"/>
                <w:sz w:val="15"/>
                <w:szCs w:val="15"/>
                <w:lang w:eastAsia="es-MX"/>
              </w:rPr>
              <w:t>100%</w:t>
            </w:r>
          </w:p>
        </w:tc>
        <w:tc>
          <w:tcPr>
            <w:tcW w:w="2558" w:type="dxa"/>
            <w:gridSpan w:val="2"/>
            <w:shd w:val="clear" w:color="000000" w:fill="F2F2F2"/>
            <w:noWrap/>
            <w:vAlign w:val="center"/>
          </w:tcPr>
          <w:p w14:paraId="6AFA547E" w14:textId="2E24BF5B" w:rsidR="00015492" w:rsidRPr="00255081" w:rsidRDefault="00015492" w:rsidP="000A1B05">
            <w:pPr>
              <w:spacing w:after="120" w:line="240" w:lineRule="auto"/>
              <w:jc w:val="right"/>
              <w:rPr>
                <w:rFonts w:ascii="Montserrat" w:eastAsia="Times New Roman" w:hAnsi="Montserrat" w:cs="Calibri"/>
                <w:color w:val="000000"/>
                <w:sz w:val="15"/>
                <w:szCs w:val="15"/>
                <w:lang w:eastAsia="es-MX"/>
              </w:rPr>
            </w:pPr>
            <w:r w:rsidRPr="00255081">
              <w:rPr>
                <w:rFonts w:ascii="Montserrat" w:eastAsia="Times New Roman" w:hAnsi="Montserrat" w:cs="Calibri"/>
                <w:sz w:val="15"/>
                <w:szCs w:val="15"/>
                <w:lang w:eastAsia="es-MX"/>
              </w:rPr>
              <w:t>56,399,311,228</w:t>
            </w:r>
          </w:p>
        </w:tc>
      </w:tr>
      <w:tr w:rsidR="00015492" w:rsidRPr="00995308" w14:paraId="78CC9872" w14:textId="77777777" w:rsidTr="000F03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jc w:val="center"/>
        </w:trPr>
        <w:tc>
          <w:tcPr>
            <w:tcW w:w="5583" w:type="dxa"/>
            <w:shd w:val="clear" w:color="000000" w:fill="F2F2F2"/>
            <w:vAlign w:val="center"/>
          </w:tcPr>
          <w:p w14:paraId="31575A88" w14:textId="52CDC91E" w:rsidR="00015492" w:rsidRPr="00255081" w:rsidRDefault="00015492" w:rsidP="004B170A">
            <w:pPr>
              <w:spacing w:after="120" w:line="240" w:lineRule="auto"/>
              <w:jc w:val="both"/>
              <w:rPr>
                <w:rFonts w:ascii="Montserrat" w:eastAsia="Times New Roman" w:hAnsi="Montserrat" w:cs="Calibri"/>
                <w:color w:val="000000"/>
                <w:sz w:val="15"/>
                <w:szCs w:val="15"/>
                <w:lang w:eastAsia="es-MX"/>
              </w:rPr>
            </w:pPr>
            <w:r w:rsidRPr="00255081">
              <w:rPr>
                <w:rFonts w:ascii="Montserrat" w:eastAsia="Times New Roman" w:hAnsi="Montserrat" w:cs="Calibri"/>
                <w:sz w:val="15"/>
                <w:szCs w:val="15"/>
                <w:lang w:eastAsia="es-MX"/>
              </w:rPr>
              <w:t>Instituto para la Protección al Ahorro Bancario</w:t>
            </w:r>
          </w:p>
        </w:tc>
        <w:tc>
          <w:tcPr>
            <w:tcW w:w="2463" w:type="dxa"/>
            <w:shd w:val="clear" w:color="000000" w:fill="F2F2F2"/>
            <w:noWrap/>
            <w:vAlign w:val="center"/>
          </w:tcPr>
          <w:p w14:paraId="7F38DFE8" w14:textId="6EC267B2" w:rsidR="00015492" w:rsidRPr="00255081" w:rsidRDefault="00015492" w:rsidP="000A1B05">
            <w:pPr>
              <w:spacing w:after="120" w:line="240" w:lineRule="auto"/>
              <w:jc w:val="right"/>
              <w:rPr>
                <w:rFonts w:ascii="Montserrat" w:eastAsia="Times New Roman" w:hAnsi="Montserrat" w:cs="Calibri"/>
                <w:color w:val="000000"/>
                <w:sz w:val="15"/>
                <w:szCs w:val="15"/>
                <w:lang w:eastAsia="es-MX"/>
              </w:rPr>
            </w:pPr>
            <w:r w:rsidRPr="00255081">
              <w:rPr>
                <w:rFonts w:ascii="Montserrat" w:eastAsia="Times New Roman" w:hAnsi="Montserrat" w:cs="Calibri"/>
                <w:sz w:val="15"/>
                <w:szCs w:val="15"/>
                <w:lang w:eastAsia="es-MX"/>
              </w:rPr>
              <w:t>-26,276,230</w:t>
            </w:r>
          </w:p>
        </w:tc>
        <w:tc>
          <w:tcPr>
            <w:tcW w:w="1192" w:type="dxa"/>
            <w:shd w:val="clear" w:color="000000" w:fill="F2F2F2"/>
            <w:noWrap/>
            <w:vAlign w:val="center"/>
          </w:tcPr>
          <w:p w14:paraId="43F2B294" w14:textId="33110D74" w:rsidR="00015492" w:rsidRPr="00255081" w:rsidRDefault="00015492" w:rsidP="000A1B05">
            <w:pPr>
              <w:spacing w:after="120" w:line="240" w:lineRule="auto"/>
              <w:jc w:val="right"/>
              <w:rPr>
                <w:rFonts w:ascii="Montserrat" w:eastAsia="Times New Roman" w:hAnsi="Montserrat" w:cs="Calibri"/>
                <w:color w:val="000000"/>
                <w:sz w:val="15"/>
                <w:szCs w:val="15"/>
                <w:lang w:eastAsia="es-MX"/>
              </w:rPr>
            </w:pPr>
            <w:r w:rsidRPr="00255081">
              <w:rPr>
                <w:rFonts w:ascii="Montserrat" w:eastAsia="Times New Roman" w:hAnsi="Montserrat" w:cs="Calibri"/>
                <w:sz w:val="15"/>
                <w:szCs w:val="15"/>
                <w:lang w:eastAsia="es-MX"/>
              </w:rPr>
              <w:t>100%</w:t>
            </w:r>
          </w:p>
        </w:tc>
        <w:tc>
          <w:tcPr>
            <w:tcW w:w="2558" w:type="dxa"/>
            <w:gridSpan w:val="2"/>
            <w:shd w:val="clear" w:color="000000" w:fill="F2F2F2"/>
            <w:noWrap/>
            <w:vAlign w:val="center"/>
          </w:tcPr>
          <w:p w14:paraId="50B9B5CD" w14:textId="303DE34C" w:rsidR="00015492" w:rsidRPr="00255081" w:rsidRDefault="00015492" w:rsidP="000A1B05">
            <w:pPr>
              <w:spacing w:after="120" w:line="240" w:lineRule="auto"/>
              <w:jc w:val="right"/>
              <w:rPr>
                <w:rFonts w:ascii="Montserrat" w:eastAsia="Times New Roman" w:hAnsi="Montserrat" w:cs="Calibri"/>
                <w:color w:val="000000"/>
                <w:sz w:val="15"/>
                <w:szCs w:val="15"/>
                <w:lang w:eastAsia="es-MX"/>
              </w:rPr>
            </w:pPr>
            <w:r w:rsidRPr="00255081">
              <w:rPr>
                <w:rFonts w:ascii="Montserrat" w:eastAsia="Times New Roman" w:hAnsi="Montserrat" w:cs="Calibri"/>
                <w:sz w:val="15"/>
                <w:szCs w:val="15"/>
                <w:lang w:eastAsia="es-MX"/>
              </w:rPr>
              <w:t>0</w:t>
            </w:r>
          </w:p>
        </w:tc>
      </w:tr>
      <w:tr w:rsidR="00015492" w:rsidRPr="00995308" w14:paraId="07EA9DDD" w14:textId="77777777" w:rsidTr="000F03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jc w:val="center"/>
        </w:trPr>
        <w:tc>
          <w:tcPr>
            <w:tcW w:w="5583" w:type="dxa"/>
            <w:shd w:val="clear" w:color="000000" w:fill="F2F2F2"/>
            <w:vAlign w:val="center"/>
          </w:tcPr>
          <w:p w14:paraId="5C01570E" w14:textId="5145B160" w:rsidR="00015492" w:rsidRPr="00255081" w:rsidRDefault="00015492" w:rsidP="004B170A">
            <w:pPr>
              <w:spacing w:after="120" w:line="240" w:lineRule="auto"/>
              <w:jc w:val="both"/>
              <w:rPr>
                <w:rFonts w:ascii="Montserrat" w:eastAsia="Times New Roman" w:hAnsi="Montserrat" w:cs="Calibri"/>
                <w:color w:val="000000"/>
                <w:sz w:val="15"/>
                <w:szCs w:val="15"/>
                <w:lang w:eastAsia="es-MX"/>
              </w:rPr>
            </w:pPr>
            <w:r w:rsidRPr="00255081">
              <w:rPr>
                <w:rFonts w:ascii="Montserrat" w:eastAsia="Times New Roman" w:hAnsi="Montserrat" w:cs="Calibri"/>
                <w:sz w:val="15"/>
                <w:szCs w:val="15"/>
                <w:lang w:eastAsia="es-MX"/>
              </w:rPr>
              <w:t>Lotería Nacional para la Asistencia Pública</w:t>
            </w:r>
          </w:p>
        </w:tc>
        <w:tc>
          <w:tcPr>
            <w:tcW w:w="2463" w:type="dxa"/>
            <w:shd w:val="clear" w:color="000000" w:fill="F2F2F2"/>
            <w:noWrap/>
            <w:vAlign w:val="center"/>
          </w:tcPr>
          <w:p w14:paraId="3A75A7DA" w14:textId="79B296C0" w:rsidR="00015492" w:rsidRPr="00255081" w:rsidRDefault="00015492" w:rsidP="000A1B05">
            <w:pPr>
              <w:spacing w:after="120" w:line="240" w:lineRule="auto"/>
              <w:jc w:val="right"/>
              <w:rPr>
                <w:rFonts w:ascii="Montserrat" w:eastAsia="Times New Roman" w:hAnsi="Montserrat" w:cs="Calibri"/>
                <w:color w:val="000000"/>
                <w:sz w:val="15"/>
                <w:szCs w:val="15"/>
                <w:lang w:eastAsia="es-MX"/>
              </w:rPr>
            </w:pPr>
            <w:r w:rsidRPr="00255081">
              <w:rPr>
                <w:rFonts w:ascii="Montserrat" w:eastAsia="Times New Roman" w:hAnsi="Montserrat" w:cs="Calibri"/>
                <w:sz w:val="15"/>
                <w:szCs w:val="15"/>
                <w:lang w:eastAsia="es-MX"/>
              </w:rPr>
              <w:t>-23,703,134</w:t>
            </w:r>
          </w:p>
        </w:tc>
        <w:tc>
          <w:tcPr>
            <w:tcW w:w="1192" w:type="dxa"/>
            <w:shd w:val="clear" w:color="000000" w:fill="F2F2F2"/>
            <w:noWrap/>
            <w:vAlign w:val="center"/>
          </w:tcPr>
          <w:p w14:paraId="4EB52206" w14:textId="534E2CA6" w:rsidR="00015492" w:rsidRPr="00255081" w:rsidRDefault="00015492" w:rsidP="000A1B05">
            <w:pPr>
              <w:spacing w:after="120" w:line="240" w:lineRule="auto"/>
              <w:jc w:val="right"/>
              <w:rPr>
                <w:rFonts w:ascii="Montserrat" w:eastAsia="Times New Roman" w:hAnsi="Montserrat" w:cs="Calibri"/>
                <w:color w:val="000000"/>
                <w:sz w:val="15"/>
                <w:szCs w:val="15"/>
                <w:lang w:eastAsia="es-MX"/>
              </w:rPr>
            </w:pPr>
            <w:r w:rsidRPr="00255081">
              <w:rPr>
                <w:rFonts w:ascii="Montserrat" w:eastAsia="Times New Roman" w:hAnsi="Montserrat" w:cs="Calibri"/>
                <w:sz w:val="15"/>
                <w:szCs w:val="15"/>
                <w:lang w:eastAsia="es-MX"/>
              </w:rPr>
              <w:t>100%</w:t>
            </w:r>
          </w:p>
        </w:tc>
        <w:tc>
          <w:tcPr>
            <w:tcW w:w="2558" w:type="dxa"/>
            <w:gridSpan w:val="2"/>
            <w:shd w:val="clear" w:color="000000" w:fill="F2F2F2"/>
            <w:noWrap/>
            <w:vAlign w:val="center"/>
          </w:tcPr>
          <w:p w14:paraId="15E71321" w14:textId="7913C188" w:rsidR="00015492" w:rsidRPr="00255081" w:rsidRDefault="00015492" w:rsidP="000A1B05">
            <w:pPr>
              <w:spacing w:after="120" w:line="240" w:lineRule="auto"/>
              <w:jc w:val="right"/>
              <w:rPr>
                <w:rFonts w:ascii="Montserrat" w:eastAsia="Times New Roman" w:hAnsi="Montserrat" w:cs="Calibri"/>
                <w:color w:val="000000"/>
                <w:sz w:val="15"/>
                <w:szCs w:val="15"/>
                <w:lang w:eastAsia="es-MX"/>
              </w:rPr>
            </w:pPr>
            <w:r w:rsidRPr="00255081">
              <w:rPr>
                <w:rFonts w:ascii="Montserrat" w:eastAsia="Times New Roman" w:hAnsi="Montserrat" w:cs="Calibri"/>
                <w:sz w:val="15"/>
                <w:szCs w:val="15"/>
                <w:lang w:eastAsia="es-MX"/>
              </w:rPr>
              <w:t>0</w:t>
            </w:r>
          </w:p>
        </w:tc>
      </w:tr>
      <w:tr w:rsidR="00015492" w:rsidRPr="00995308" w14:paraId="17B0C42C" w14:textId="77777777" w:rsidTr="000F03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jc w:val="center"/>
        </w:trPr>
        <w:tc>
          <w:tcPr>
            <w:tcW w:w="5583" w:type="dxa"/>
            <w:shd w:val="clear" w:color="000000" w:fill="F2F2F2"/>
            <w:vAlign w:val="center"/>
          </w:tcPr>
          <w:p w14:paraId="4EB6D30B" w14:textId="0C31C075" w:rsidR="00015492" w:rsidRPr="00255081" w:rsidRDefault="00015492" w:rsidP="004B170A">
            <w:pPr>
              <w:spacing w:after="120" w:line="240" w:lineRule="auto"/>
              <w:jc w:val="both"/>
              <w:rPr>
                <w:rFonts w:ascii="Montserrat" w:eastAsia="Times New Roman" w:hAnsi="Montserrat" w:cs="Calibri"/>
                <w:color w:val="000000"/>
                <w:sz w:val="15"/>
                <w:szCs w:val="15"/>
                <w:lang w:eastAsia="es-MX"/>
              </w:rPr>
            </w:pPr>
            <w:r w:rsidRPr="00255081">
              <w:rPr>
                <w:rFonts w:ascii="Montserrat" w:eastAsia="Times New Roman" w:hAnsi="Montserrat" w:cs="Calibri"/>
                <w:sz w:val="15"/>
                <w:szCs w:val="15"/>
                <w:lang w:eastAsia="es-MX"/>
              </w:rPr>
              <w:t>Pronósticos para la Asistencia Pública</w:t>
            </w:r>
          </w:p>
        </w:tc>
        <w:tc>
          <w:tcPr>
            <w:tcW w:w="2463" w:type="dxa"/>
            <w:shd w:val="clear" w:color="000000" w:fill="F2F2F2"/>
            <w:noWrap/>
            <w:vAlign w:val="center"/>
          </w:tcPr>
          <w:p w14:paraId="56CB29D5" w14:textId="6BB110E2" w:rsidR="00015492" w:rsidRPr="00255081" w:rsidRDefault="00015492" w:rsidP="000A1B05">
            <w:pPr>
              <w:spacing w:after="120" w:line="240" w:lineRule="auto"/>
              <w:jc w:val="right"/>
              <w:rPr>
                <w:rFonts w:ascii="Montserrat" w:eastAsia="Times New Roman" w:hAnsi="Montserrat" w:cs="Calibri"/>
                <w:color w:val="000000"/>
                <w:sz w:val="15"/>
                <w:szCs w:val="15"/>
                <w:lang w:eastAsia="es-MX"/>
              </w:rPr>
            </w:pPr>
            <w:r w:rsidRPr="00255081">
              <w:rPr>
                <w:rFonts w:ascii="Montserrat" w:eastAsia="Times New Roman" w:hAnsi="Montserrat" w:cs="Calibri"/>
                <w:sz w:val="15"/>
                <w:szCs w:val="15"/>
                <w:lang w:eastAsia="es-MX"/>
              </w:rPr>
              <w:t>435,613,354</w:t>
            </w:r>
          </w:p>
        </w:tc>
        <w:tc>
          <w:tcPr>
            <w:tcW w:w="1192" w:type="dxa"/>
            <w:shd w:val="clear" w:color="000000" w:fill="F2F2F2"/>
            <w:noWrap/>
            <w:vAlign w:val="center"/>
          </w:tcPr>
          <w:p w14:paraId="4B10AC3E" w14:textId="02E199C7" w:rsidR="00015492" w:rsidRPr="00255081" w:rsidRDefault="00015492" w:rsidP="000A1B05">
            <w:pPr>
              <w:spacing w:after="120" w:line="240" w:lineRule="auto"/>
              <w:jc w:val="right"/>
              <w:rPr>
                <w:rFonts w:ascii="Montserrat" w:eastAsia="Times New Roman" w:hAnsi="Montserrat" w:cs="Calibri"/>
                <w:color w:val="000000"/>
                <w:sz w:val="15"/>
                <w:szCs w:val="15"/>
                <w:lang w:eastAsia="es-MX"/>
              </w:rPr>
            </w:pPr>
            <w:r w:rsidRPr="00255081">
              <w:rPr>
                <w:rFonts w:ascii="Montserrat" w:eastAsia="Times New Roman" w:hAnsi="Montserrat" w:cs="Calibri"/>
                <w:sz w:val="15"/>
                <w:szCs w:val="15"/>
                <w:lang w:eastAsia="es-MX"/>
              </w:rPr>
              <w:t>100%</w:t>
            </w:r>
          </w:p>
        </w:tc>
        <w:tc>
          <w:tcPr>
            <w:tcW w:w="2558" w:type="dxa"/>
            <w:gridSpan w:val="2"/>
            <w:shd w:val="clear" w:color="000000" w:fill="F2F2F2"/>
            <w:noWrap/>
            <w:vAlign w:val="center"/>
          </w:tcPr>
          <w:p w14:paraId="59AC9486" w14:textId="23D51B85" w:rsidR="00015492" w:rsidRPr="00255081" w:rsidRDefault="00015492" w:rsidP="000A1B05">
            <w:pPr>
              <w:spacing w:after="120" w:line="240" w:lineRule="auto"/>
              <w:jc w:val="right"/>
              <w:rPr>
                <w:rFonts w:ascii="Montserrat" w:eastAsia="Times New Roman" w:hAnsi="Montserrat" w:cs="Calibri"/>
                <w:color w:val="000000"/>
                <w:sz w:val="15"/>
                <w:szCs w:val="15"/>
                <w:lang w:eastAsia="es-MX"/>
              </w:rPr>
            </w:pPr>
            <w:r w:rsidRPr="00255081">
              <w:rPr>
                <w:rFonts w:ascii="Montserrat" w:eastAsia="Times New Roman" w:hAnsi="Montserrat" w:cs="Calibri"/>
                <w:sz w:val="15"/>
                <w:szCs w:val="15"/>
                <w:lang w:eastAsia="es-MX"/>
              </w:rPr>
              <w:t>435,613,354</w:t>
            </w:r>
          </w:p>
        </w:tc>
      </w:tr>
      <w:tr w:rsidR="00015492" w:rsidRPr="00995308" w14:paraId="7835930E" w14:textId="77777777" w:rsidTr="000F03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jc w:val="center"/>
        </w:trPr>
        <w:tc>
          <w:tcPr>
            <w:tcW w:w="5583" w:type="dxa"/>
            <w:shd w:val="clear" w:color="000000" w:fill="F2F2F2"/>
            <w:vAlign w:val="center"/>
          </w:tcPr>
          <w:p w14:paraId="73628560" w14:textId="418D87F3" w:rsidR="00015492" w:rsidRPr="00255081" w:rsidRDefault="00015492" w:rsidP="004B170A">
            <w:pPr>
              <w:spacing w:after="120" w:line="240" w:lineRule="auto"/>
              <w:jc w:val="both"/>
              <w:rPr>
                <w:rFonts w:ascii="Montserrat" w:eastAsia="Times New Roman" w:hAnsi="Montserrat" w:cs="Calibri"/>
                <w:color w:val="000000"/>
                <w:sz w:val="15"/>
                <w:szCs w:val="15"/>
                <w:lang w:eastAsia="es-MX"/>
              </w:rPr>
            </w:pPr>
            <w:r w:rsidRPr="00255081">
              <w:rPr>
                <w:rFonts w:ascii="Montserrat" w:eastAsia="Times New Roman" w:hAnsi="Montserrat" w:cs="Calibri"/>
                <w:sz w:val="15"/>
                <w:szCs w:val="15"/>
                <w:lang w:eastAsia="es-MX"/>
              </w:rPr>
              <w:t>Nacional Financiera, S.N.C.</w:t>
            </w:r>
          </w:p>
        </w:tc>
        <w:tc>
          <w:tcPr>
            <w:tcW w:w="2463" w:type="dxa"/>
            <w:shd w:val="clear" w:color="000000" w:fill="F2F2F2"/>
            <w:noWrap/>
            <w:vAlign w:val="center"/>
          </w:tcPr>
          <w:p w14:paraId="25A3B953" w14:textId="6DA53C75" w:rsidR="00015492" w:rsidRPr="00255081" w:rsidRDefault="00015492" w:rsidP="000A1B05">
            <w:pPr>
              <w:spacing w:after="120" w:line="240" w:lineRule="auto"/>
              <w:jc w:val="right"/>
              <w:rPr>
                <w:rFonts w:ascii="Montserrat" w:eastAsia="Times New Roman" w:hAnsi="Montserrat" w:cs="Calibri"/>
                <w:color w:val="000000"/>
                <w:sz w:val="15"/>
                <w:szCs w:val="15"/>
                <w:lang w:eastAsia="es-MX"/>
              </w:rPr>
            </w:pPr>
            <w:r w:rsidRPr="00255081">
              <w:rPr>
                <w:rFonts w:ascii="Montserrat" w:eastAsia="Times New Roman" w:hAnsi="Montserrat" w:cs="Calibri"/>
                <w:sz w:val="15"/>
                <w:szCs w:val="15"/>
                <w:lang w:eastAsia="es-MX"/>
              </w:rPr>
              <w:t>39,513,423,492</w:t>
            </w:r>
          </w:p>
        </w:tc>
        <w:tc>
          <w:tcPr>
            <w:tcW w:w="1192" w:type="dxa"/>
            <w:shd w:val="clear" w:color="000000" w:fill="F2F2F2"/>
            <w:noWrap/>
            <w:vAlign w:val="center"/>
          </w:tcPr>
          <w:p w14:paraId="15096BF6" w14:textId="770D43C5" w:rsidR="00015492" w:rsidRPr="00255081" w:rsidRDefault="00015492" w:rsidP="000A1B05">
            <w:pPr>
              <w:spacing w:after="120" w:line="240" w:lineRule="auto"/>
              <w:jc w:val="right"/>
              <w:rPr>
                <w:rFonts w:ascii="Montserrat" w:eastAsia="Times New Roman" w:hAnsi="Montserrat" w:cs="Calibri"/>
                <w:color w:val="000000"/>
                <w:sz w:val="15"/>
                <w:szCs w:val="15"/>
                <w:lang w:eastAsia="es-MX"/>
              </w:rPr>
            </w:pPr>
            <w:r w:rsidRPr="00255081">
              <w:rPr>
                <w:rFonts w:ascii="Montserrat" w:eastAsia="Times New Roman" w:hAnsi="Montserrat" w:cs="Calibri"/>
                <w:sz w:val="15"/>
                <w:szCs w:val="15"/>
                <w:lang w:eastAsia="es-MX"/>
              </w:rPr>
              <w:t>99.95%</w:t>
            </w:r>
          </w:p>
        </w:tc>
        <w:tc>
          <w:tcPr>
            <w:tcW w:w="2558" w:type="dxa"/>
            <w:gridSpan w:val="2"/>
            <w:shd w:val="clear" w:color="000000" w:fill="F2F2F2"/>
            <w:noWrap/>
            <w:vAlign w:val="center"/>
          </w:tcPr>
          <w:p w14:paraId="257F88CC" w14:textId="52EDD2BA" w:rsidR="00015492" w:rsidRPr="00255081" w:rsidRDefault="00015492" w:rsidP="000A1B05">
            <w:pPr>
              <w:spacing w:after="120" w:line="240" w:lineRule="auto"/>
              <w:jc w:val="right"/>
              <w:rPr>
                <w:rFonts w:ascii="Montserrat" w:eastAsia="Times New Roman" w:hAnsi="Montserrat" w:cs="Calibri"/>
                <w:color w:val="000000"/>
                <w:sz w:val="15"/>
                <w:szCs w:val="15"/>
                <w:lang w:eastAsia="es-MX"/>
              </w:rPr>
            </w:pPr>
            <w:r w:rsidRPr="00255081">
              <w:rPr>
                <w:rFonts w:ascii="Montserrat" w:eastAsia="Times New Roman" w:hAnsi="Montserrat" w:cs="Calibri"/>
                <w:sz w:val="15"/>
                <w:szCs w:val="15"/>
                <w:lang w:eastAsia="es-MX"/>
              </w:rPr>
              <w:t>39,493,666,780</w:t>
            </w:r>
          </w:p>
        </w:tc>
      </w:tr>
      <w:tr w:rsidR="00015492" w:rsidRPr="00995308" w14:paraId="4B1E1D50" w14:textId="77777777" w:rsidTr="000F03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jc w:val="center"/>
        </w:trPr>
        <w:tc>
          <w:tcPr>
            <w:tcW w:w="5583" w:type="dxa"/>
            <w:shd w:val="clear" w:color="000000" w:fill="F2F2F2"/>
            <w:vAlign w:val="center"/>
          </w:tcPr>
          <w:p w14:paraId="3A577E57" w14:textId="1D9D297A" w:rsidR="00015492" w:rsidRPr="00255081" w:rsidRDefault="00015492" w:rsidP="004B170A">
            <w:pPr>
              <w:spacing w:after="120" w:line="240" w:lineRule="auto"/>
              <w:jc w:val="both"/>
              <w:rPr>
                <w:rFonts w:ascii="Montserrat" w:eastAsia="Times New Roman" w:hAnsi="Montserrat" w:cs="Calibri"/>
                <w:color w:val="000000"/>
                <w:sz w:val="15"/>
                <w:szCs w:val="15"/>
                <w:lang w:eastAsia="es-MX"/>
              </w:rPr>
            </w:pPr>
            <w:r w:rsidRPr="00255081">
              <w:rPr>
                <w:rFonts w:ascii="Montserrat" w:eastAsia="Times New Roman" w:hAnsi="Montserrat" w:cs="Calibri"/>
                <w:sz w:val="15"/>
                <w:szCs w:val="15"/>
                <w:lang w:eastAsia="es-MX"/>
              </w:rPr>
              <w:t>Banco del Ahorro Nacional y Servicios Financieros, S.N.C.</w:t>
            </w:r>
            <w:r w:rsidR="0065225C">
              <w:rPr>
                <w:rFonts w:ascii="Montserrat" w:eastAsia="Times New Roman" w:hAnsi="Montserrat" w:cs="Calibri"/>
                <w:sz w:val="15"/>
                <w:szCs w:val="15"/>
                <w:lang w:eastAsia="es-MX"/>
              </w:rPr>
              <w:t xml:space="preserve"> (</w:t>
            </w:r>
            <w:r w:rsidR="0065225C" w:rsidRPr="0065225C">
              <w:rPr>
                <w:rFonts w:ascii="Montserrat" w:eastAsia="Times New Roman" w:hAnsi="Montserrat" w:cs="Calibri"/>
                <w:sz w:val="15"/>
                <w:szCs w:val="15"/>
                <w:lang w:eastAsia="es-MX"/>
              </w:rPr>
              <w:t>Ahora Banco del Bienestar, S.N.C)</w:t>
            </w:r>
          </w:p>
        </w:tc>
        <w:tc>
          <w:tcPr>
            <w:tcW w:w="2463" w:type="dxa"/>
            <w:shd w:val="clear" w:color="000000" w:fill="F2F2F2"/>
            <w:noWrap/>
            <w:vAlign w:val="center"/>
          </w:tcPr>
          <w:p w14:paraId="4996ABFE" w14:textId="2FFFE22B" w:rsidR="00015492" w:rsidRPr="00255081" w:rsidRDefault="00015492" w:rsidP="000A1B05">
            <w:pPr>
              <w:spacing w:after="120" w:line="240" w:lineRule="auto"/>
              <w:jc w:val="right"/>
              <w:rPr>
                <w:rFonts w:ascii="Montserrat" w:eastAsia="Times New Roman" w:hAnsi="Montserrat" w:cs="Calibri"/>
                <w:color w:val="000000"/>
                <w:sz w:val="15"/>
                <w:szCs w:val="15"/>
                <w:lang w:eastAsia="es-MX"/>
              </w:rPr>
            </w:pPr>
            <w:r w:rsidRPr="00255081">
              <w:rPr>
                <w:rFonts w:ascii="Montserrat" w:eastAsia="Times New Roman" w:hAnsi="Montserrat" w:cs="Calibri"/>
                <w:sz w:val="15"/>
                <w:szCs w:val="15"/>
                <w:lang w:eastAsia="es-MX"/>
              </w:rPr>
              <w:t>7,229,785,295</w:t>
            </w:r>
          </w:p>
        </w:tc>
        <w:tc>
          <w:tcPr>
            <w:tcW w:w="1192" w:type="dxa"/>
            <w:shd w:val="clear" w:color="000000" w:fill="F2F2F2"/>
            <w:noWrap/>
            <w:vAlign w:val="center"/>
          </w:tcPr>
          <w:p w14:paraId="345107B1" w14:textId="0694634B" w:rsidR="00015492" w:rsidRPr="00255081" w:rsidRDefault="00015492" w:rsidP="000A1B05">
            <w:pPr>
              <w:spacing w:after="120" w:line="240" w:lineRule="auto"/>
              <w:jc w:val="right"/>
              <w:rPr>
                <w:rFonts w:ascii="Montserrat" w:eastAsia="Times New Roman" w:hAnsi="Montserrat" w:cs="Calibri"/>
                <w:color w:val="000000"/>
                <w:sz w:val="15"/>
                <w:szCs w:val="15"/>
                <w:lang w:eastAsia="es-MX"/>
              </w:rPr>
            </w:pPr>
            <w:r w:rsidRPr="00255081">
              <w:rPr>
                <w:rFonts w:ascii="Montserrat" w:eastAsia="Times New Roman" w:hAnsi="Montserrat" w:cs="Calibri"/>
                <w:sz w:val="15"/>
                <w:szCs w:val="15"/>
                <w:lang w:eastAsia="es-MX"/>
              </w:rPr>
              <w:t>100%</w:t>
            </w:r>
          </w:p>
        </w:tc>
        <w:tc>
          <w:tcPr>
            <w:tcW w:w="2558" w:type="dxa"/>
            <w:gridSpan w:val="2"/>
            <w:shd w:val="clear" w:color="000000" w:fill="F2F2F2"/>
            <w:noWrap/>
            <w:vAlign w:val="center"/>
          </w:tcPr>
          <w:p w14:paraId="23A0D1AB" w14:textId="05B1D54B" w:rsidR="00015492" w:rsidRPr="00255081" w:rsidRDefault="00015492" w:rsidP="000A1B05">
            <w:pPr>
              <w:spacing w:after="120" w:line="240" w:lineRule="auto"/>
              <w:jc w:val="right"/>
              <w:rPr>
                <w:rFonts w:ascii="Montserrat" w:eastAsia="Times New Roman" w:hAnsi="Montserrat" w:cs="Calibri"/>
                <w:color w:val="000000"/>
                <w:sz w:val="15"/>
                <w:szCs w:val="15"/>
                <w:lang w:eastAsia="es-MX"/>
              </w:rPr>
            </w:pPr>
            <w:r w:rsidRPr="00255081">
              <w:rPr>
                <w:rFonts w:ascii="Montserrat" w:eastAsia="Times New Roman" w:hAnsi="Montserrat" w:cs="Calibri"/>
                <w:sz w:val="15"/>
                <w:szCs w:val="15"/>
                <w:lang w:eastAsia="es-MX"/>
              </w:rPr>
              <w:t>7,229,785,295</w:t>
            </w:r>
          </w:p>
        </w:tc>
      </w:tr>
      <w:tr w:rsidR="00015492" w:rsidRPr="00995308" w14:paraId="13747F9A" w14:textId="77777777" w:rsidTr="000F03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jc w:val="center"/>
        </w:trPr>
        <w:tc>
          <w:tcPr>
            <w:tcW w:w="5583" w:type="dxa"/>
            <w:shd w:val="clear" w:color="000000" w:fill="F2F2F2"/>
            <w:vAlign w:val="center"/>
          </w:tcPr>
          <w:p w14:paraId="5D576E70" w14:textId="7B1CFB43" w:rsidR="00015492" w:rsidRPr="00255081" w:rsidRDefault="00015492" w:rsidP="004B170A">
            <w:pPr>
              <w:spacing w:after="120" w:line="240" w:lineRule="auto"/>
              <w:jc w:val="both"/>
              <w:rPr>
                <w:rFonts w:ascii="Montserrat" w:eastAsia="Times New Roman" w:hAnsi="Montserrat" w:cs="Calibri"/>
                <w:color w:val="000000"/>
                <w:sz w:val="15"/>
                <w:szCs w:val="15"/>
                <w:lang w:eastAsia="es-MX"/>
              </w:rPr>
            </w:pPr>
            <w:r w:rsidRPr="00255081">
              <w:rPr>
                <w:rFonts w:ascii="Montserrat" w:eastAsia="Times New Roman" w:hAnsi="Montserrat" w:cs="Calibri"/>
                <w:sz w:val="15"/>
                <w:szCs w:val="15"/>
                <w:lang w:eastAsia="es-MX"/>
              </w:rPr>
              <w:t>Servicio de Administración y Enajenación de Bienes</w:t>
            </w:r>
            <w:r w:rsidR="0065225C">
              <w:rPr>
                <w:rFonts w:ascii="Montserrat" w:eastAsia="Times New Roman" w:hAnsi="Montserrat" w:cs="Calibri"/>
                <w:sz w:val="15"/>
                <w:szCs w:val="15"/>
                <w:lang w:eastAsia="es-MX"/>
              </w:rPr>
              <w:t xml:space="preserve"> </w:t>
            </w:r>
            <w:r w:rsidR="0065225C" w:rsidRPr="00210B8E">
              <w:rPr>
                <w:rFonts w:ascii="Montserrat" w:eastAsia="Times New Roman" w:hAnsi="Montserrat" w:cs="Calibri"/>
                <w:sz w:val="15"/>
                <w:szCs w:val="15"/>
                <w:lang w:eastAsia="es-MX"/>
              </w:rPr>
              <w:t>(</w:t>
            </w:r>
            <w:r w:rsidR="0065225C">
              <w:rPr>
                <w:rFonts w:ascii="Montserrat" w:eastAsia="Times New Roman" w:hAnsi="Montserrat" w:cs="Calibri"/>
                <w:sz w:val="15"/>
                <w:szCs w:val="15"/>
                <w:lang w:eastAsia="es-MX"/>
              </w:rPr>
              <w:t xml:space="preserve">Ahora </w:t>
            </w:r>
            <w:r w:rsidR="0065225C" w:rsidRPr="00331092">
              <w:rPr>
                <w:rFonts w:ascii="Montserrat" w:hAnsi="Montserrat"/>
                <w:sz w:val="15"/>
                <w:szCs w:val="15"/>
              </w:rPr>
              <w:t>Instituto para Devolver al Pueblo lo Robado</w:t>
            </w:r>
            <w:r w:rsidR="0065225C">
              <w:rPr>
                <w:rFonts w:ascii="Montserrat" w:hAnsi="Montserrat"/>
                <w:sz w:val="15"/>
                <w:szCs w:val="15"/>
              </w:rPr>
              <w:t>)</w:t>
            </w:r>
          </w:p>
        </w:tc>
        <w:tc>
          <w:tcPr>
            <w:tcW w:w="2463" w:type="dxa"/>
            <w:shd w:val="clear" w:color="000000" w:fill="F2F2F2"/>
            <w:noWrap/>
            <w:vAlign w:val="center"/>
          </w:tcPr>
          <w:p w14:paraId="7E34997F" w14:textId="2EF45107" w:rsidR="00015492" w:rsidRPr="00255081" w:rsidRDefault="00015492" w:rsidP="000A1B05">
            <w:pPr>
              <w:spacing w:after="120" w:line="240" w:lineRule="auto"/>
              <w:jc w:val="right"/>
              <w:rPr>
                <w:rFonts w:ascii="Montserrat" w:eastAsia="Times New Roman" w:hAnsi="Montserrat" w:cs="Calibri"/>
                <w:color w:val="000000"/>
                <w:sz w:val="15"/>
                <w:szCs w:val="15"/>
                <w:lang w:eastAsia="es-MX"/>
              </w:rPr>
            </w:pPr>
            <w:r w:rsidRPr="00255081">
              <w:rPr>
                <w:rFonts w:ascii="Montserrat" w:eastAsia="Times New Roman" w:hAnsi="Montserrat" w:cs="Calibri"/>
                <w:sz w:val="15"/>
                <w:szCs w:val="15"/>
                <w:lang w:eastAsia="es-MX"/>
              </w:rPr>
              <w:t>1,003,906,172</w:t>
            </w:r>
          </w:p>
        </w:tc>
        <w:tc>
          <w:tcPr>
            <w:tcW w:w="1192" w:type="dxa"/>
            <w:shd w:val="clear" w:color="000000" w:fill="F2F2F2"/>
            <w:noWrap/>
            <w:vAlign w:val="center"/>
          </w:tcPr>
          <w:p w14:paraId="42F1A309" w14:textId="6DD53855" w:rsidR="00015492" w:rsidRPr="00255081" w:rsidRDefault="00015492" w:rsidP="000A1B05">
            <w:pPr>
              <w:spacing w:after="120" w:line="240" w:lineRule="auto"/>
              <w:jc w:val="right"/>
              <w:rPr>
                <w:rFonts w:ascii="Montserrat" w:eastAsia="Times New Roman" w:hAnsi="Montserrat" w:cs="Calibri"/>
                <w:color w:val="000000"/>
                <w:sz w:val="15"/>
                <w:szCs w:val="15"/>
                <w:lang w:eastAsia="es-MX"/>
              </w:rPr>
            </w:pPr>
            <w:r w:rsidRPr="00255081">
              <w:rPr>
                <w:rFonts w:ascii="Montserrat" w:eastAsia="Times New Roman" w:hAnsi="Montserrat" w:cs="Calibri"/>
                <w:sz w:val="15"/>
                <w:szCs w:val="15"/>
                <w:lang w:eastAsia="es-MX"/>
              </w:rPr>
              <w:t>100%</w:t>
            </w:r>
          </w:p>
        </w:tc>
        <w:tc>
          <w:tcPr>
            <w:tcW w:w="2558" w:type="dxa"/>
            <w:gridSpan w:val="2"/>
            <w:shd w:val="clear" w:color="000000" w:fill="F2F2F2"/>
            <w:noWrap/>
            <w:vAlign w:val="center"/>
          </w:tcPr>
          <w:p w14:paraId="4B085A86" w14:textId="27DEF6F6" w:rsidR="00015492" w:rsidRPr="00255081" w:rsidRDefault="00015492" w:rsidP="000A1B05">
            <w:pPr>
              <w:spacing w:after="120" w:line="240" w:lineRule="auto"/>
              <w:jc w:val="right"/>
              <w:rPr>
                <w:rFonts w:ascii="Montserrat" w:eastAsia="Times New Roman" w:hAnsi="Montserrat" w:cs="Calibri"/>
                <w:color w:val="000000"/>
                <w:sz w:val="15"/>
                <w:szCs w:val="15"/>
                <w:lang w:eastAsia="es-MX"/>
              </w:rPr>
            </w:pPr>
            <w:r w:rsidRPr="00255081">
              <w:rPr>
                <w:rFonts w:ascii="Montserrat" w:eastAsia="Times New Roman" w:hAnsi="Montserrat" w:cs="Calibri"/>
                <w:sz w:val="15"/>
                <w:szCs w:val="15"/>
                <w:lang w:eastAsia="es-MX"/>
              </w:rPr>
              <w:t>1,003,906,172</w:t>
            </w:r>
          </w:p>
        </w:tc>
      </w:tr>
      <w:tr w:rsidR="00015492" w:rsidRPr="00995308" w14:paraId="376ABA4A" w14:textId="77777777" w:rsidTr="000F03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jc w:val="center"/>
        </w:trPr>
        <w:tc>
          <w:tcPr>
            <w:tcW w:w="5583" w:type="dxa"/>
            <w:shd w:val="clear" w:color="000000" w:fill="F2F2F2"/>
            <w:vAlign w:val="center"/>
          </w:tcPr>
          <w:p w14:paraId="775003F8" w14:textId="2FB50C5E" w:rsidR="00015492" w:rsidRPr="00255081" w:rsidRDefault="00015492" w:rsidP="004B170A">
            <w:pPr>
              <w:spacing w:after="120" w:line="240" w:lineRule="auto"/>
              <w:jc w:val="both"/>
              <w:rPr>
                <w:rFonts w:ascii="Montserrat" w:eastAsia="Times New Roman" w:hAnsi="Montserrat" w:cs="Calibri"/>
                <w:color w:val="000000"/>
                <w:sz w:val="15"/>
                <w:szCs w:val="15"/>
                <w:lang w:eastAsia="es-MX"/>
              </w:rPr>
            </w:pPr>
            <w:r w:rsidRPr="00255081">
              <w:rPr>
                <w:rFonts w:ascii="Montserrat" w:eastAsia="Times New Roman" w:hAnsi="Montserrat" w:cs="Calibri"/>
                <w:sz w:val="15"/>
                <w:szCs w:val="15"/>
                <w:lang w:eastAsia="es-MX"/>
              </w:rPr>
              <w:t>Sociedad Hipotecaria Federal, S.N.C.</w:t>
            </w:r>
          </w:p>
        </w:tc>
        <w:tc>
          <w:tcPr>
            <w:tcW w:w="2463" w:type="dxa"/>
            <w:shd w:val="clear" w:color="000000" w:fill="F2F2F2"/>
            <w:noWrap/>
            <w:vAlign w:val="center"/>
          </w:tcPr>
          <w:p w14:paraId="53B536CE" w14:textId="4FA83330" w:rsidR="00015492" w:rsidRPr="00255081" w:rsidRDefault="00015492" w:rsidP="000A1B05">
            <w:pPr>
              <w:spacing w:after="120" w:line="240" w:lineRule="auto"/>
              <w:jc w:val="right"/>
              <w:rPr>
                <w:rFonts w:ascii="Montserrat" w:eastAsia="Times New Roman" w:hAnsi="Montserrat" w:cs="Calibri"/>
                <w:color w:val="000000"/>
                <w:sz w:val="15"/>
                <w:szCs w:val="15"/>
                <w:lang w:eastAsia="es-MX"/>
              </w:rPr>
            </w:pPr>
            <w:r w:rsidRPr="00255081">
              <w:rPr>
                <w:rFonts w:ascii="Montserrat" w:eastAsia="Times New Roman" w:hAnsi="Montserrat" w:cs="Calibri"/>
                <w:sz w:val="15"/>
                <w:szCs w:val="15"/>
                <w:lang w:eastAsia="es-MX"/>
              </w:rPr>
              <w:t>24,111,881,291</w:t>
            </w:r>
          </w:p>
        </w:tc>
        <w:tc>
          <w:tcPr>
            <w:tcW w:w="1192" w:type="dxa"/>
            <w:shd w:val="clear" w:color="000000" w:fill="F2F2F2"/>
            <w:noWrap/>
            <w:vAlign w:val="center"/>
          </w:tcPr>
          <w:p w14:paraId="6A046476" w14:textId="02C08565" w:rsidR="00015492" w:rsidRPr="00255081" w:rsidRDefault="00015492" w:rsidP="000A1B05">
            <w:pPr>
              <w:spacing w:after="120" w:line="240" w:lineRule="auto"/>
              <w:jc w:val="right"/>
              <w:rPr>
                <w:rFonts w:ascii="Montserrat" w:eastAsia="Times New Roman" w:hAnsi="Montserrat" w:cs="Calibri"/>
                <w:color w:val="000000"/>
                <w:sz w:val="15"/>
                <w:szCs w:val="15"/>
                <w:lang w:eastAsia="es-MX"/>
              </w:rPr>
            </w:pPr>
            <w:r w:rsidRPr="00255081">
              <w:rPr>
                <w:rFonts w:ascii="Montserrat" w:eastAsia="Times New Roman" w:hAnsi="Montserrat" w:cs="Calibri"/>
                <w:sz w:val="15"/>
                <w:szCs w:val="15"/>
                <w:lang w:eastAsia="es-MX"/>
              </w:rPr>
              <w:t>100%</w:t>
            </w:r>
          </w:p>
        </w:tc>
        <w:tc>
          <w:tcPr>
            <w:tcW w:w="2558" w:type="dxa"/>
            <w:gridSpan w:val="2"/>
            <w:shd w:val="clear" w:color="000000" w:fill="F2F2F2"/>
            <w:noWrap/>
            <w:vAlign w:val="center"/>
          </w:tcPr>
          <w:p w14:paraId="458EE4B9" w14:textId="2ECA15B6" w:rsidR="00015492" w:rsidRPr="00255081" w:rsidRDefault="00015492" w:rsidP="000A1B05">
            <w:pPr>
              <w:spacing w:after="120" w:line="240" w:lineRule="auto"/>
              <w:jc w:val="right"/>
              <w:rPr>
                <w:rFonts w:ascii="Montserrat" w:eastAsia="Times New Roman" w:hAnsi="Montserrat" w:cs="Calibri"/>
                <w:color w:val="000000"/>
                <w:sz w:val="15"/>
                <w:szCs w:val="15"/>
                <w:lang w:eastAsia="es-MX"/>
              </w:rPr>
            </w:pPr>
            <w:r w:rsidRPr="00255081">
              <w:rPr>
                <w:rFonts w:ascii="Montserrat" w:eastAsia="Times New Roman" w:hAnsi="Montserrat" w:cs="Calibri"/>
                <w:sz w:val="15"/>
                <w:szCs w:val="15"/>
                <w:lang w:eastAsia="es-MX"/>
              </w:rPr>
              <w:t>24,111,881,291</w:t>
            </w:r>
          </w:p>
        </w:tc>
      </w:tr>
      <w:tr w:rsidR="00015492" w:rsidRPr="00995308" w14:paraId="0BDD56A1" w14:textId="77777777" w:rsidTr="000F03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jc w:val="center"/>
        </w:trPr>
        <w:tc>
          <w:tcPr>
            <w:tcW w:w="5583" w:type="dxa"/>
            <w:shd w:val="clear" w:color="000000" w:fill="F2F2F2"/>
            <w:vAlign w:val="center"/>
          </w:tcPr>
          <w:p w14:paraId="147978D6" w14:textId="19AFAC6E" w:rsidR="00015492" w:rsidRPr="00255081" w:rsidRDefault="00015492" w:rsidP="004B170A">
            <w:pPr>
              <w:spacing w:after="120" w:line="240" w:lineRule="auto"/>
              <w:jc w:val="both"/>
              <w:rPr>
                <w:rFonts w:ascii="Montserrat" w:eastAsia="Times New Roman" w:hAnsi="Montserrat" w:cs="Calibri"/>
                <w:color w:val="000000"/>
                <w:sz w:val="15"/>
                <w:szCs w:val="15"/>
                <w:lang w:eastAsia="es-MX"/>
              </w:rPr>
            </w:pPr>
            <w:r w:rsidRPr="00255081">
              <w:rPr>
                <w:rFonts w:ascii="Montserrat" w:eastAsia="Times New Roman" w:hAnsi="Montserrat" w:cs="Calibri"/>
                <w:sz w:val="15"/>
                <w:szCs w:val="15"/>
                <w:lang w:eastAsia="es-MX"/>
              </w:rPr>
              <w:t>Instituto de Seguridad Social para las Fuerzas Armadas Mexicanas</w:t>
            </w:r>
          </w:p>
        </w:tc>
        <w:tc>
          <w:tcPr>
            <w:tcW w:w="2463" w:type="dxa"/>
            <w:shd w:val="clear" w:color="000000" w:fill="F2F2F2"/>
            <w:noWrap/>
            <w:vAlign w:val="center"/>
          </w:tcPr>
          <w:p w14:paraId="131D55F4" w14:textId="0376C31E" w:rsidR="00015492" w:rsidRPr="00255081" w:rsidRDefault="00015492" w:rsidP="000A1B05">
            <w:pPr>
              <w:spacing w:after="120" w:line="240" w:lineRule="auto"/>
              <w:jc w:val="right"/>
              <w:rPr>
                <w:rFonts w:ascii="Montserrat" w:eastAsia="Times New Roman" w:hAnsi="Montserrat" w:cs="Calibri"/>
                <w:color w:val="000000"/>
                <w:sz w:val="15"/>
                <w:szCs w:val="15"/>
                <w:lang w:eastAsia="es-MX"/>
              </w:rPr>
            </w:pPr>
            <w:r w:rsidRPr="00255081">
              <w:rPr>
                <w:rFonts w:ascii="Montserrat" w:eastAsia="Times New Roman" w:hAnsi="Montserrat" w:cs="Calibri"/>
                <w:sz w:val="15"/>
                <w:szCs w:val="15"/>
                <w:lang w:eastAsia="es-MX"/>
              </w:rPr>
              <w:t>20,398,907,623</w:t>
            </w:r>
          </w:p>
        </w:tc>
        <w:tc>
          <w:tcPr>
            <w:tcW w:w="1192" w:type="dxa"/>
            <w:shd w:val="clear" w:color="000000" w:fill="F2F2F2"/>
            <w:noWrap/>
            <w:vAlign w:val="center"/>
          </w:tcPr>
          <w:p w14:paraId="67772B8F" w14:textId="7E28107D" w:rsidR="00015492" w:rsidRPr="00255081" w:rsidRDefault="00015492" w:rsidP="000A1B05">
            <w:pPr>
              <w:spacing w:after="120" w:line="240" w:lineRule="auto"/>
              <w:jc w:val="right"/>
              <w:rPr>
                <w:rFonts w:ascii="Montserrat" w:eastAsia="Times New Roman" w:hAnsi="Montserrat" w:cs="Calibri"/>
                <w:color w:val="000000"/>
                <w:sz w:val="15"/>
                <w:szCs w:val="15"/>
                <w:lang w:eastAsia="es-MX"/>
              </w:rPr>
            </w:pPr>
            <w:r w:rsidRPr="00255081">
              <w:rPr>
                <w:rFonts w:ascii="Montserrat" w:eastAsia="Times New Roman" w:hAnsi="Montserrat" w:cs="Calibri"/>
                <w:sz w:val="15"/>
                <w:szCs w:val="15"/>
                <w:lang w:eastAsia="es-MX"/>
              </w:rPr>
              <w:t>100%</w:t>
            </w:r>
          </w:p>
        </w:tc>
        <w:tc>
          <w:tcPr>
            <w:tcW w:w="2558" w:type="dxa"/>
            <w:gridSpan w:val="2"/>
            <w:shd w:val="clear" w:color="000000" w:fill="F2F2F2"/>
            <w:noWrap/>
            <w:vAlign w:val="center"/>
          </w:tcPr>
          <w:p w14:paraId="61CEF672" w14:textId="620D8D42" w:rsidR="00015492" w:rsidRPr="00255081" w:rsidRDefault="00015492" w:rsidP="000A1B05">
            <w:pPr>
              <w:spacing w:after="120" w:line="240" w:lineRule="auto"/>
              <w:jc w:val="right"/>
              <w:rPr>
                <w:rFonts w:ascii="Montserrat" w:eastAsia="Times New Roman" w:hAnsi="Montserrat" w:cs="Calibri"/>
                <w:color w:val="000000"/>
                <w:sz w:val="15"/>
                <w:szCs w:val="15"/>
                <w:lang w:eastAsia="es-MX"/>
              </w:rPr>
            </w:pPr>
            <w:r w:rsidRPr="00255081">
              <w:rPr>
                <w:rFonts w:ascii="Montserrat" w:eastAsia="Times New Roman" w:hAnsi="Montserrat" w:cs="Calibri"/>
                <w:sz w:val="15"/>
                <w:szCs w:val="15"/>
                <w:lang w:eastAsia="es-MX"/>
              </w:rPr>
              <w:t>20,398,907,623</w:t>
            </w:r>
          </w:p>
        </w:tc>
      </w:tr>
      <w:tr w:rsidR="00015492" w:rsidRPr="00995308" w14:paraId="19F5F536" w14:textId="77777777" w:rsidTr="000F03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jc w:val="center"/>
        </w:trPr>
        <w:tc>
          <w:tcPr>
            <w:tcW w:w="5583" w:type="dxa"/>
            <w:shd w:val="clear" w:color="000000" w:fill="F2F2F2"/>
            <w:vAlign w:val="center"/>
          </w:tcPr>
          <w:p w14:paraId="455107EC" w14:textId="3CF114F0" w:rsidR="00015492" w:rsidRPr="00255081" w:rsidRDefault="00015492" w:rsidP="004B170A">
            <w:pPr>
              <w:spacing w:after="120" w:line="240" w:lineRule="auto"/>
              <w:jc w:val="both"/>
              <w:rPr>
                <w:rFonts w:ascii="Montserrat" w:eastAsia="Times New Roman" w:hAnsi="Montserrat" w:cs="Calibri"/>
                <w:color w:val="000000"/>
                <w:sz w:val="15"/>
                <w:szCs w:val="15"/>
                <w:lang w:eastAsia="es-MX"/>
              </w:rPr>
            </w:pPr>
            <w:r w:rsidRPr="00255081">
              <w:rPr>
                <w:rFonts w:ascii="Montserrat" w:eastAsia="Times New Roman" w:hAnsi="Montserrat" w:cs="Calibri"/>
                <w:sz w:val="15"/>
                <w:szCs w:val="15"/>
                <w:lang w:eastAsia="es-MX"/>
              </w:rPr>
              <w:t>Universidad Autónoma Chapingo</w:t>
            </w:r>
          </w:p>
        </w:tc>
        <w:tc>
          <w:tcPr>
            <w:tcW w:w="2463" w:type="dxa"/>
            <w:shd w:val="clear" w:color="000000" w:fill="F2F2F2"/>
            <w:noWrap/>
            <w:vAlign w:val="center"/>
          </w:tcPr>
          <w:p w14:paraId="50A9D3BB" w14:textId="07BD0D9D" w:rsidR="00015492" w:rsidRPr="00255081" w:rsidRDefault="00015492" w:rsidP="000A1B05">
            <w:pPr>
              <w:spacing w:after="120" w:line="240" w:lineRule="auto"/>
              <w:jc w:val="right"/>
              <w:rPr>
                <w:rFonts w:ascii="Montserrat" w:eastAsia="Times New Roman" w:hAnsi="Montserrat" w:cs="Calibri"/>
                <w:color w:val="000000"/>
                <w:sz w:val="15"/>
                <w:szCs w:val="15"/>
                <w:lang w:eastAsia="es-MX"/>
              </w:rPr>
            </w:pPr>
            <w:r w:rsidRPr="00255081">
              <w:rPr>
                <w:rFonts w:ascii="Montserrat" w:eastAsia="Times New Roman" w:hAnsi="Montserrat" w:cs="Calibri"/>
                <w:sz w:val="15"/>
                <w:szCs w:val="15"/>
                <w:lang w:eastAsia="es-MX"/>
              </w:rPr>
              <w:t>9,599,250,537</w:t>
            </w:r>
          </w:p>
        </w:tc>
        <w:tc>
          <w:tcPr>
            <w:tcW w:w="1192" w:type="dxa"/>
            <w:shd w:val="clear" w:color="000000" w:fill="F2F2F2"/>
            <w:noWrap/>
            <w:vAlign w:val="center"/>
          </w:tcPr>
          <w:p w14:paraId="1E2C9576" w14:textId="7ABFEC04" w:rsidR="00015492" w:rsidRPr="00255081" w:rsidRDefault="00015492" w:rsidP="000A1B05">
            <w:pPr>
              <w:spacing w:after="120" w:line="240" w:lineRule="auto"/>
              <w:jc w:val="right"/>
              <w:rPr>
                <w:rFonts w:ascii="Montserrat" w:eastAsia="Times New Roman" w:hAnsi="Montserrat" w:cs="Calibri"/>
                <w:color w:val="000000"/>
                <w:sz w:val="15"/>
                <w:szCs w:val="15"/>
                <w:lang w:eastAsia="es-MX"/>
              </w:rPr>
            </w:pPr>
            <w:r w:rsidRPr="00255081">
              <w:rPr>
                <w:rFonts w:ascii="Montserrat" w:eastAsia="Times New Roman" w:hAnsi="Montserrat" w:cs="Calibri"/>
                <w:sz w:val="15"/>
                <w:szCs w:val="15"/>
                <w:lang w:eastAsia="es-MX"/>
              </w:rPr>
              <w:t>100%</w:t>
            </w:r>
          </w:p>
        </w:tc>
        <w:tc>
          <w:tcPr>
            <w:tcW w:w="2558" w:type="dxa"/>
            <w:gridSpan w:val="2"/>
            <w:shd w:val="clear" w:color="000000" w:fill="F2F2F2"/>
            <w:noWrap/>
            <w:vAlign w:val="center"/>
          </w:tcPr>
          <w:p w14:paraId="2F6E9241" w14:textId="178E18D1" w:rsidR="00015492" w:rsidRPr="00255081" w:rsidRDefault="00015492" w:rsidP="000A1B05">
            <w:pPr>
              <w:spacing w:after="120" w:line="240" w:lineRule="auto"/>
              <w:jc w:val="right"/>
              <w:rPr>
                <w:rFonts w:ascii="Montserrat" w:eastAsia="Times New Roman" w:hAnsi="Montserrat" w:cs="Calibri"/>
                <w:color w:val="000000"/>
                <w:sz w:val="15"/>
                <w:szCs w:val="15"/>
                <w:lang w:eastAsia="es-MX"/>
              </w:rPr>
            </w:pPr>
            <w:r w:rsidRPr="00255081">
              <w:rPr>
                <w:rFonts w:ascii="Montserrat" w:eastAsia="Times New Roman" w:hAnsi="Montserrat" w:cs="Calibri"/>
                <w:sz w:val="15"/>
                <w:szCs w:val="15"/>
                <w:lang w:eastAsia="es-MX"/>
              </w:rPr>
              <w:t>9,599,250,537</w:t>
            </w:r>
          </w:p>
        </w:tc>
      </w:tr>
      <w:tr w:rsidR="00015492" w:rsidRPr="00995308" w14:paraId="432C4089" w14:textId="77777777" w:rsidTr="000A1B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jc w:val="center"/>
        </w:trPr>
        <w:tc>
          <w:tcPr>
            <w:tcW w:w="5583" w:type="dxa"/>
            <w:shd w:val="clear" w:color="000000" w:fill="F2F2F2"/>
            <w:vAlign w:val="center"/>
          </w:tcPr>
          <w:p w14:paraId="0BCCE4AC" w14:textId="415AC0A0" w:rsidR="00015492" w:rsidRPr="00255081" w:rsidRDefault="00015492" w:rsidP="004B170A">
            <w:pPr>
              <w:spacing w:after="120" w:line="240" w:lineRule="auto"/>
              <w:jc w:val="both"/>
              <w:rPr>
                <w:rFonts w:ascii="Montserrat" w:eastAsia="Times New Roman" w:hAnsi="Montserrat" w:cs="Calibri"/>
                <w:color w:val="000000"/>
                <w:sz w:val="15"/>
                <w:szCs w:val="15"/>
                <w:lang w:eastAsia="es-MX"/>
              </w:rPr>
            </w:pPr>
            <w:r w:rsidRPr="00255081">
              <w:rPr>
                <w:rFonts w:ascii="Montserrat" w:eastAsia="Times New Roman" w:hAnsi="Montserrat" w:cs="Calibri"/>
                <w:sz w:val="15"/>
                <w:szCs w:val="15"/>
                <w:lang w:eastAsia="es-MX"/>
              </w:rPr>
              <w:t>Comité Nacional para el Desarrollo Sustentable de la Caña de Azúcar</w:t>
            </w:r>
          </w:p>
        </w:tc>
        <w:tc>
          <w:tcPr>
            <w:tcW w:w="2463" w:type="dxa"/>
            <w:shd w:val="clear" w:color="000000" w:fill="F2F2F2"/>
            <w:noWrap/>
            <w:vAlign w:val="center"/>
          </w:tcPr>
          <w:p w14:paraId="4E6D5BF9" w14:textId="519C8487" w:rsidR="00015492" w:rsidRPr="00255081" w:rsidRDefault="00015492" w:rsidP="000A1B05">
            <w:pPr>
              <w:spacing w:after="120" w:line="240" w:lineRule="auto"/>
              <w:jc w:val="right"/>
              <w:rPr>
                <w:rFonts w:ascii="Montserrat" w:eastAsia="Times New Roman" w:hAnsi="Montserrat" w:cs="Calibri"/>
                <w:color w:val="000000"/>
                <w:sz w:val="15"/>
                <w:szCs w:val="15"/>
                <w:lang w:eastAsia="es-MX"/>
              </w:rPr>
            </w:pPr>
            <w:r w:rsidRPr="00255081">
              <w:rPr>
                <w:rFonts w:ascii="Montserrat" w:eastAsia="Times New Roman" w:hAnsi="Montserrat" w:cs="Calibri"/>
                <w:sz w:val="15"/>
                <w:szCs w:val="15"/>
                <w:lang w:eastAsia="es-MX"/>
              </w:rPr>
              <w:t>0</w:t>
            </w:r>
          </w:p>
        </w:tc>
        <w:tc>
          <w:tcPr>
            <w:tcW w:w="1192" w:type="dxa"/>
            <w:shd w:val="clear" w:color="000000" w:fill="F2F2F2"/>
            <w:noWrap/>
            <w:vAlign w:val="center"/>
          </w:tcPr>
          <w:p w14:paraId="546E2FDB" w14:textId="7C95170A" w:rsidR="00015492" w:rsidRPr="00255081" w:rsidRDefault="00015492" w:rsidP="000A1B05">
            <w:pPr>
              <w:spacing w:after="120" w:line="240" w:lineRule="auto"/>
              <w:jc w:val="right"/>
              <w:rPr>
                <w:rFonts w:ascii="Montserrat" w:eastAsia="Times New Roman" w:hAnsi="Montserrat" w:cs="Calibri"/>
                <w:color w:val="000000"/>
                <w:sz w:val="15"/>
                <w:szCs w:val="15"/>
                <w:lang w:eastAsia="es-MX"/>
              </w:rPr>
            </w:pPr>
            <w:r w:rsidRPr="00255081">
              <w:rPr>
                <w:rFonts w:ascii="Montserrat" w:eastAsia="Times New Roman" w:hAnsi="Montserrat" w:cs="Calibri"/>
                <w:sz w:val="15"/>
                <w:szCs w:val="15"/>
                <w:lang w:eastAsia="es-MX"/>
              </w:rPr>
              <w:t>100%</w:t>
            </w:r>
          </w:p>
        </w:tc>
        <w:tc>
          <w:tcPr>
            <w:tcW w:w="2558" w:type="dxa"/>
            <w:gridSpan w:val="2"/>
            <w:shd w:val="clear" w:color="000000" w:fill="F2F2F2"/>
            <w:noWrap/>
            <w:vAlign w:val="center"/>
          </w:tcPr>
          <w:p w14:paraId="222EBA94" w14:textId="7EA1DF54" w:rsidR="00015492" w:rsidRPr="00255081" w:rsidRDefault="00015492" w:rsidP="000A1B05">
            <w:pPr>
              <w:spacing w:after="120" w:line="240" w:lineRule="auto"/>
              <w:jc w:val="right"/>
              <w:rPr>
                <w:rFonts w:ascii="Montserrat" w:eastAsia="Times New Roman" w:hAnsi="Montserrat" w:cs="Calibri"/>
                <w:color w:val="000000"/>
                <w:sz w:val="15"/>
                <w:szCs w:val="15"/>
                <w:lang w:eastAsia="es-MX"/>
              </w:rPr>
            </w:pPr>
            <w:r w:rsidRPr="00255081">
              <w:rPr>
                <w:rFonts w:ascii="Montserrat" w:eastAsia="Times New Roman" w:hAnsi="Montserrat" w:cs="Calibri"/>
                <w:sz w:val="15"/>
                <w:szCs w:val="15"/>
                <w:lang w:eastAsia="es-MX"/>
              </w:rPr>
              <w:t>0</w:t>
            </w:r>
          </w:p>
        </w:tc>
      </w:tr>
      <w:tr w:rsidR="00015492" w:rsidRPr="00995308" w14:paraId="1FD750B3" w14:textId="77777777" w:rsidTr="000A1B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jc w:val="center"/>
        </w:trPr>
        <w:tc>
          <w:tcPr>
            <w:tcW w:w="5583" w:type="dxa"/>
            <w:shd w:val="clear" w:color="000000" w:fill="F2F2F2"/>
            <w:vAlign w:val="center"/>
          </w:tcPr>
          <w:p w14:paraId="13B4A967" w14:textId="23018DBB" w:rsidR="00015492" w:rsidRPr="00255081" w:rsidRDefault="00015492" w:rsidP="004B170A">
            <w:pPr>
              <w:spacing w:after="120" w:line="240" w:lineRule="auto"/>
              <w:jc w:val="both"/>
              <w:rPr>
                <w:rFonts w:ascii="Montserrat" w:eastAsia="Times New Roman" w:hAnsi="Montserrat" w:cs="Calibri"/>
                <w:color w:val="000000"/>
                <w:sz w:val="15"/>
                <w:szCs w:val="15"/>
                <w:lang w:eastAsia="es-MX"/>
              </w:rPr>
            </w:pPr>
            <w:r w:rsidRPr="00255081">
              <w:rPr>
                <w:rFonts w:ascii="Montserrat" w:eastAsia="Times New Roman" w:hAnsi="Montserrat" w:cs="Calibri"/>
                <w:sz w:val="15"/>
                <w:szCs w:val="15"/>
                <w:lang w:eastAsia="es-MX"/>
              </w:rPr>
              <w:t>Fideicomiso de Riesgo Compartido</w:t>
            </w:r>
          </w:p>
        </w:tc>
        <w:tc>
          <w:tcPr>
            <w:tcW w:w="2463" w:type="dxa"/>
            <w:shd w:val="clear" w:color="000000" w:fill="F2F2F2"/>
            <w:noWrap/>
            <w:vAlign w:val="center"/>
          </w:tcPr>
          <w:p w14:paraId="14D3A1E6" w14:textId="0DA70E49" w:rsidR="00015492" w:rsidRPr="00255081" w:rsidRDefault="00015492" w:rsidP="000A1B05">
            <w:pPr>
              <w:spacing w:after="120" w:line="240" w:lineRule="auto"/>
              <w:jc w:val="right"/>
              <w:rPr>
                <w:rFonts w:ascii="Montserrat" w:eastAsia="Times New Roman" w:hAnsi="Montserrat" w:cs="Calibri"/>
                <w:color w:val="000000"/>
                <w:sz w:val="15"/>
                <w:szCs w:val="15"/>
                <w:lang w:eastAsia="es-MX"/>
              </w:rPr>
            </w:pPr>
            <w:r w:rsidRPr="00255081">
              <w:rPr>
                <w:rFonts w:ascii="Montserrat" w:eastAsia="Times New Roman" w:hAnsi="Montserrat" w:cs="Calibri"/>
                <w:sz w:val="15"/>
                <w:szCs w:val="15"/>
                <w:lang w:eastAsia="es-MX"/>
              </w:rPr>
              <w:t>28,839,788</w:t>
            </w:r>
          </w:p>
        </w:tc>
        <w:tc>
          <w:tcPr>
            <w:tcW w:w="1192" w:type="dxa"/>
            <w:shd w:val="clear" w:color="000000" w:fill="F2F2F2"/>
            <w:noWrap/>
            <w:vAlign w:val="center"/>
          </w:tcPr>
          <w:p w14:paraId="15F6A0FD" w14:textId="5CDBC7B5" w:rsidR="00015492" w:rsidRPr="00255081" w:rsidRDefault="00015492" w:rsidP="000A1B05">
            <w:pPr>
              <w:spacing w:after="120" w:line="240" w:lineRule="auto"/>
              <w:jc w:val="right"/>
              <w:rPr>
                <w:rFonts w:ascii="Montserrat" w:eastAsia="Times New Roman" w:hAnsi="Montserrat" w:cs="Calibri"/>
                <w:color w:val="000000"/>
                <w:sz w:val="15"/>
                <w:szCs w:val="15"/>
                <w:lang w:eastAsia="es-MX"/>
              </w:rPr>
            </w:pPr>
            <w:r w:rsidRPr="00255081">
              <w:rPr>
                <w:rFonts w:ascii="Montserrat" w:eastAsia="Times New Roman" w:hAnsi="Montserrat" w:cs="Calibri"/>
                <w:sz w:val="15"/>
                <w:szCs w:val="15"/>
                <w:lang w:eastAsia="es-MX"/>
              </w:rPr>
              <w:t>100%</w:t>
            </w:r>
          </w:p>
        </w:tc>
        <w:tc>
          <w:tcPr>
            <w:tcW w:w="2558" w:type="dxa"/>
            <w:gridSpan w:val="2"/>
            <w:shd w:val="clear" w:color="000000" w:fill="F2F2F2"/>
            <w:noWrap/>
            <w:vAlign w:val="center"/>
          </w:tcPr>
          <w:p w14:paraId="318AD8BC" w14:textId="768945A4" w:rsidR="00015492" w:rsidRPr="00255081" w:rsidRDefault="00015492" w:rsidP="000A1B05">
            <w:pPr>
              <w:spacing w:after="120" w:line="240" w:lineRule="auto"/>
              <w:jc w:val="right"/>
              <w:rPr>
                <w:rFonts w:ascii="Montserrat" w:eastAsia="Times New Roman" w:hAnsi="Montserrat" w:cs="Calibri"/>
                <w:color w:val="000000"/>
                <w:sz w:val="15"/>
                <w:szCs w:val="15"/>
                <w:lang w:eastAsia="es-MX"/>
              </w:rPr>
            </w:pPr>
            <w:r w:rsidRPr="00255081">
              <w:rPr>
                <w:rFonts w:ascii="Montserrat" w:eastAsia="Times New Roman" w:hAnsi="Montserrat" w:cs="Calibri"/>
                <w:sz w:val="15"/>
                <w:szCs w:val="15"/>
                <w:lang w:eastAsia="es-MX"/>
              </w:rPr>
              <w:t>28,839,788</w:t>
            </w:r>
          </w:p>
        </w:tc>
      </w:tr>
      <w:tr w:rsidR="00015492" w:rsidRPr="00995308" w14:paraId="253C75CA" w14:textId="77777777" w:rsidTr="000A1B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jc w:val="center"/>
        </w:trPr>
        <w:tc>
          <w:tcPr>
            <w:tcW w:w="5583" w:type="dxa"/>
            <w:shd w:val="clear" w:color="000000" w:fill="F2F2F2"/>
            <w:vAlign w:val="center"/>
          </w:tcPr>
          <w:p w14:paraId="21E0353C" w14:textId="77777777" w:rsidR="0065225C" w:rsidRDefault="0065225C" w:rsidP="004B170A">
            <w:pPr>
              <w:spacing w:after="120" w:line="240" w:lineRule="auto"/>
              <w:jc w:val="both"/>
              <w:rPr>
                <w:rFonts w:ascii="Montserrat" w:eastAsia="Times New Roman" w:hAnsi="Montserrat" w:cs="Calibri"/>
                <w:sz w:val="15"/>
                <w:szCs w:val="15"/>
                <w:lang w:eastAsia="es-MX"/>
              </w:rPr>
            </w:pPr>
          </w:p>
          <w:p w14:paraId="223FA08C" w14:textId="0B418B15" w:rsidR="00015492" w:rsidRPr="00255081" w:rsidRDefault="00015492" w:rsidP="004B170A">
            <w:pPr>
              <w:spacing w:after="120" w:line="240" w:lineRule="auto"/>
              <w:jc w:val="both"/>
              <w:rPr>
                <w:rFonts w:ascii="Montserrat" w:eastAsia="Times New Roman" w:hAnsi="Montserrat" w:cs="Calibri"/>
                <w:color w:val="000000"/>
                <w:sz w:val="15"/>
                <w:szCs w:val="15"/>
                <w:lang w:eastAsia="es-MX"/>
              </w:rPr>
            </w:pPr>
            <w:r w:rsidRPr="00255081">
              <w:rPr>
                <w:rFonts w:ascii="Montserrat" w:eastAsia="Times New Roman" w:hAnsi="Montserrat" w:cs="Calibri"/>
                <w:sz w:val="15"/>
                <w:szCs w:val="15"/>
                <w:lang w:eastAsia="es-MX"/>
              </w:rPr>
              <w:t>Fondo de Empresas Expropiadas del Sector Azucarero</w:t>
            </w:r>
          </w:p>
        </w:tc>
        <w:tc>
          <w:tcPr>
            <w:tcW w:w="2463" w:type="dxa"/>
            <w:shd w:val="clear" w:color="000000" w:fill="F2F2F2"/>
            <w:noWrap/>
            <w:vAlign w:val="center"/>
          </w:tcPr>
          <w:p w14:paraId="316712A5" w14:textId="77777777" w:rsidR="0065225C" w:rsidRDefault="0065225C" w:rsidP="000A1B05">
            <w:pPr>
              <w:spacing w:after="120" w:line="240" w:lineRule="auto"/>
              <w:jc w:val="right"/>
              <w:rPr>
                <w:rFonts w:ascii="Montserrat" w:eastAsia="Times New Roman" w:hAnsi="Montserrat" w:cs="Calibri"/>
                <w:sz w:val="15"/>
                <w:szCs w:val="15"/>
                <w:lang w:eastAsia="es-MX"/>
              </w:rPr>
            </w:pPr>
          </w:p>
          <w:p w14:paraId="7DFED334" w14:textId="6C816AAF" w:rsidR="00015492" w:rsidRPr="00255081" w:rsidRDefault="00015492" w:rsidP="000A1B05">
            <w:pPr>
              <w:spacing w:after="120" w:line="240" w:lineRule="auto"/>
              <w:jc w:val="right"/>
              <w:rPr>
                <w:rFonts w:ascii="Montserrat" w:eastAsia="Times New Roman" w:hAnsi="Montserrat" w:cs="Calibri"/>
                <w:color w:val="000000"/>
                <w:sz w:val="15"/>
                <w:szCs w:val="15"/>
                <w:lang w:eastAsia="es-MX"/>
              </w:rPr>
            </w:pPr>
            <w:r w:rsidRPr="00255081">
              <w:rPr>
                <w:rFonts w:ascii="Montserrat" w:eastAsia="Times New Roman" w:hAnsi="Montserrat" w:cs="Calibri"/>
                <w:sz w:val="15"/>
                <w:szCs w:val="15"/>
                <w:lang w:eastAsia="es-MX"/>
              </w:rPr>
              <w:t>-24,100</w:t>
            </w:r>
          </w:p>
        </w:tc>
        <w:tc>
          <w:tcPr>
            <w:tcW w:w="1192" w:type="dxa"/>
            <w:shd w:val="clear" w:color="000000" w:fill="F2F2F2"/>
            <w:noWrap/>
            <w:vAlign w:val="center"/>
          </w:tcPr>
          <w:p w14:paraId="5A43013B" w14:textId="77777777" w:rsidR="0065225C" w:rsidRDefault="0065225C" w:rsidP="000A1B05">
            <w:pPr>
              <w:spacing w:after="120" w:line="240" w:lineRule="auto"/>
              <w:jc w:val="right"/>
              <w:rPr>
                <w:rFonts w:ascii="Montserrat" w:eastAsia="Times New Roman" w:hAnsi="Montserrat" w:cs="Calibri"/>
                <w:sz w:val="15"/>
                <w:szCs w:val="15"/>
                <w:lang w:eastAsia="es-MX"/>
              </w:rPr>
            </w:pPr>
          </w:p>
          <w:p w14:paraId="33F96282" w14:textId="3BE6B569" w:rsidR="00015492" w:rsidRPr="00255081" w:rsidRDefault="00015492" w:rsidP="000A1B05">
            <w:pPr>
              <w:spacing w:after="120" w:line="240" w:lineRule="auto"/>
              <w:jc w:val="right"/>
              <w:rPr>
                <w:rFonts w:ascii="Montserrat" w:eastAsia="Times New Roman" w:hAnsi="Montserrat" w:cs="Calibri"/>
                <w:color w:val="000000"/>
                <w:sz w:val="15"/>
                <w:szCs w:val="15"/>
                <w:lang w:eastAsia="es-MX"/>
              </w:rPr>
            </w:pPr>
            <w:r w:rsidRPr="00255081">
              <w:rPr>
                <w:rFonts w:ascii="Montserrat" w:eastAsia="Times New Roman" w:hAnsi="Montserrat" w:cs="Calibri"/>
                <w:sz w:val="15"/>
                <w:szCs w:val="15"/>
                <w:lang w:eastAsia="es-MX"/>
              </w:rPr>
              <w:t>100%</w:t>
            </w:r>
          </w:p>
        </w:tc>
        <w:tc>
          <w:tcPr>
            <w:tcW w:w="2558" w:type="dxa"/>
            <w:gridSpan w:val="2"/>
            <w:shd w:val="clear" w:color="000000" w:fill="F2F2F2"/>
            <w:noWrap/>
            <w:vAlign w:val="center"/>
          </w:tcPr>
          <w:p w14:paraId="5793249A" w14:textId="77777777" w:rsidR="0065225C" w:rsidRDefault="0065225C" w:rsidP="000A1B05">
            <w:pPr>
              <w:spacing w:after="120" w:line="240" w:lineRule="auto"/>
              <w:jc w:val="right"/>
              <w:rPr>
                <w:rFonts w:ascii="Montserrat" w:eastAsia="Times New Roman" w:hAnsi="Montserrat" w:cs="Calibri"/>
                <w:sz w:val="15"/>
                <w:szCs w:val="15"/>
                <w:lang w:eastAsia="es-MX"/>
              </w:rPr>
            </w:pPr>
          </w:p>
          <w:p w14:paraId="0144EF5F" w14:textId="1CCA3E1C" w:rsidR="00015492" w:rsidRPr="00255081" w:rsidRDefault="00015492" w:rsidP="000A1B05">
            <w:pPr>
              <w:spacing w:after="120" w:line="240" w:lineRule="auto"/>
              <w:jc w:val="right"/>
              <w:rPr>
                <w:rFonts w:ascii="Montserrat" w:eastAsia="Times New Roman" w:hAnsi="Montserrat" w:cs="Calibri"/>
                <w:color w:val="000000"/>
                <w:sz w:val="15"/>
                <w:szCs w:val="15"/>
                <w:lang w:eastAsia="es-MX"/>
              </w:rPr>
            </w:pPr>
            <w:r w:rsidRPr="00255081">
              <w:rPr>
                <w:rFonts w:ascii="Montserrat" w:eastAsia="Times New Roman" w:hAnsi="Montserrat" w:cs="Calibri"/>
                <w:sz w:val="15"/>
                <w:szCs w:val="15"/>
                <w:lang w:eastAsia="es-MX"/>
              </w:rPr>
              <w:t>0</w:t>
            </w:r>
          </w:p>
        </w:tc>
      </w:tr>
      <w:tr w:rsidR="00015492" w:rsidRPr="00995308" w14:paraId="369620FF" w14:textId="77777777" w:rsidTr="000F03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jc w:val="center"/>
        </w:trPr>
        <w:tc>
          <w:tcPr>
            <w:tcW w:w="5583" w:type="dxa"/>
            <w:shd w:val="clear" w:color="000000" w:fill="F2F2F2"/>
            <w:vAlign w:val="center"/>
          </w:tcPr>
          <w:p w14:paraId="1B7F7B36" w14:textId="219D9109" w:rsidR="00015492" w:rsidRPr="00255081" w:rsidRDefault="00015492" w:rsidP="004B170A">
            <w:pPr>
              <w:spacing w:after="120" w:line="240" w:lineRule="auto"/>
              <w:jc w:val="both"/>
              <w:rPr>
                <w:rFonts w:ascii="Montserrat" w:eastAsia="Times New Roman" w:hAnsi="Montserrat" w:cs="Calibri"/>
                <w:color w:val="000000"/>
                <w:sz w:val="15"/>
                <w:szCs w:val="15"/>
                <w:lang w:eastAsia="es-MX"/>
              </w:rPr>
            </w:pPr>
            <w:r w:rsidRPr="00255081">
              <w:rPr>
                <w:rFonts w:ascii="Montserrat" w:eastAsia="Times New Roman" w:hAnsi="Montserrat" w:cs="Calibri"/>
                <w:sz w:val="15"/>
                <w:szCs w:val="15"/>
                <w:lang w:eastAsia="es-MX"/>
              </w:rPr>
              <w:t>Instituto Nacional para el Desarrollo de Capacidades del Sector Rural, A.C.</w:t>
            </w:r>
          </w:p>
        </w:tc>
        <w:tc>
          <w:tcPr>
            <w:tcW w:w="2463" w:type="dxa"/>
            <w:shd w:val="clear" w:color="000000" w:fill="F2F2F2"/>
            <w:noWrap/>
            <w:vAlign w:val="center"/>
          </w:tcPr>
          <w:p w14:paraId="04A67C45" w14:textId="34D1CB34" w:rsidR="00015492" w:rsidRPr="00255081" w:rsidRDefault="00015492" w:rsidP="000A1B05">
            <w:pPr>
              <w:spacing w:after="120" w:line="240" w:lineRule="auto"/>
              <w:jc w:val="right"/>
              <w:rPr>
                <w:rFonts w:ascii="Montserrat" w:eastAsia="Times New Roman" w:hAnsi="Montserrat" w:cs="Calibri"/>
                <w:color w:val="000000"/>
                <w:sz w:val="15"/>
                <w:szCs w:val="15"/>
                <w:lang w:eastAsia="es-MX"/>
              </w:rPr>
            </w:pPr>
            <w:r w:rsidRPr="00255081">
              <w:rPr>
                <w:rFonts w:ascii="Montserrat" w:eastAsia="Times New Roman" w:hAnsi="Montserrat" w:cs="Calibri"/>
                <w:sz w:val="15"/>
                <w:szCs w:val="15"/>
                <w:lang w:eastAsia="es-MX"/>
              </w:rPr>
              <w:t>-11,404,708</w:t>
            </w:r>
          </w:p>
        </w:tc>
        <w:tc>
          <w:tcPr>
            <w:tcW w:w="1192" w:type="dxa"/>
            <w:shd w:val="clear" w:color="000000" w:fill="F2F2F2"/>
            <w:noWrap/>
            <w:vAlign w:val="center"/>
          </w:tcPr>
          <w:p w14:paraId="01FA18A5" w14:textId="6F6D67EC" w:rsidR="00015492" w:rsidRPr="00255081" w:rsidRDefault="00015492" w:rsidP="000A1B05">
            <w:pPr>
              <w:spacing w:after="120" w:line="240" w:lineRule="auto"/>
              <w:jc w:val="right"/>
              <w:rPr>
                <w:rFonts w:ascii="Montserrat" w:eastAsia="Times New Roman" w:hAnsi="Montserrat" w:cs="Calibri"/>
                <w:color w:val="000000"/>
                <w:sz w:val="15"/>
                <w:szCs w:val="15"/>
                <w:lang w:eastAsia="es-MX"/>
              </w:rPr>
            </w:pPr>
            <w:r w:rsidRPr="00255081">
              <w:rPr>
                <w:rFonts w:ascii="Montserrat" w:eastAsia="Times New Roman" w:hAnsi="Montserrat" w:cs="Calibri"/>
                <w:sz w:val="15"/>
                <w:szCs w:val="15"/>
                <w:lang w:eastAsia="es-MX"/>
              </w:rPr>
              <w:t>100%</w:t>
            </w:r>
          </w:p>
        </w:tc>
        <w:tc>
          <w:tcPr>
            <w:tcW w:w="2558" w:type="dxa"/>
            <w:gridSpan w:val="2"/>
            <w:shd w:val="clear" w:color="000000" w:fill="F2F2F2"/>
            <w:noWrap/>
            <w:vAlign w:val="center"/>
          </w:tcPr>
          <w:p w14:paraId="7290208B" w14:textId="5338C75D" w:rsidR="00015492" w:rsidRPr="00255081" w:rsidRDefault="00015492" w:rsidP="000A1B05">
            <w:pPr>
              <w:spacing w:after="120" w:line="240" w:lineRule="auto"/>
              <w:jc w:val="right"/>
              <w:rPr>
                <w:rFonts w:ascii="Montserrat" w:eastAsia="Times New Roman" w:hAnsi="Montserrat" w:cs="Calibri"/>
                <w:color w:val="000000"/>
                <w:sz w:val="15"/>
                <w:szCs w:val="15"/>
                <w:lang w:eastAsia="es-MX"/>
              </w:rPr>
            </w:pPr>
            <w:r w:rsidRPr="00255081">
              <w:rPr>
                <w:rFonts w:ascii="Montserrat" w:eastAsia="Times New Roman" w:hAnsi="Montserrat" w:cs="Calibri"/>
                <w:sz w:val="15"/>
                <w:szCs w:val="15"/>
                <w:lang w:eastAsia="es-MX"/>
              </w:rPr>
              <w:t>0</w:t>
            </w:r>
          </w:p>
        </w:tc>
      </w:tr>
      <w:tr w:rsidR="00015492" w:rsidRPr="00995308" w14:paraId="7BC68B25" w14:textId="77777777" w:rsidTr="000F03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0"/>
          <w:jc w:val="center"/>
        </w:trPr>
        <w:tc>
          <w:tcPr>
            <w:tcW w:w="5583" w:type="dxa"/>
            <w:shd w:val="clear" w:color="000000" w:fill="F2F2F2"/>
            <w:vAlign w:val="center"/>
          </w:tcPr>
          <w:p w14:paraId="387CA9CF" w14:textId="444513BA" w:rsidR="00015492" w:rsidRPr="00255081" w:rsidRDefault="00015492" w:rsidP="004B170A">
            <w:pPr>
              <w:spacing w:after="120" w:line="240" w:lineRule="auto"/>
              <w:jc w:val="both"/>
              <w:rPr>
                <w:rFonts w:ascii="Montserrat" w:eastAsia="Times New Roman" w:hAnsi="Montserrat" w:cs="Calibri"/>
                <w:color w:val="000000"/>
                <w:sz w:val="15"/>
                <w:szCs w:val="15"/>
                <w:lang w:eastAsia="es-MX"/>
              </w:rPr>
            </w:pPr>
            <w:r w:rsidRPr="00255081">
              <w:rPr>
                <w:rFonts w:ascii="Montserrat" w:eastAsia="Times New Roman" w:hAnsi="Montserrat" w:cs="Calibri"/>
                <w:sz w:val="15"/>
                <w:szCs w:val="15"/>
                <w:lang w:eastAsia="es-MX"/>
              </w:rPr>
              <w:t>Colegio de Postgraduados</w:t>
            </w:r>
          </w:p>
        </w:tc>
        <w:tc>
          <w:tcPr>
            <w:tcW w:w="2463" w:type="dxa"/>
            <w:shd w:val="clear" w:color="000000" w:fill="F2F2F2"/>
            <w:noWrap/>
            <w:vAlign w:val="center"/>
          </w:tcPr>
          <w:p w14:paraId="218B3581" w14:textId="2912915A" w:rsidR="00015492" w:rsidRPr="00255081" w:rsidRDefault="00015492" w:rsidP="000A1B05">
            <w:pPr>
              <w:spacing w:after="120" w:line="240" w:lineRule="auto"/>
              <w:jc w:val="right"/>
              <w:rPr>
                <w:rFonts w:ascii="Montserrat" w:eastAsia="Times New Roman" w:hAnsi="Montserrat" w:cs="Calibri"/>
                <w:color w:val="000000"/>
                <w:sz w:val="15"/>
                <w:szCs w:val="15"/>
                <w:lang w:eastAsia="es-MX"/>
              </w:rPr>
            </w:pPr>
            <w:r w:rsidRPr="00255081">
              <w:rPr>
                <w:rFonts w:ascii="Montserrat" w:eastAsia="Times New Roman" w:hAnsi="Montserrat" w:cs="Calibri"/>
                <w:sz w:val="15"/>
                <w:szCs w:val="15"/>
                <w:lang w:eastAsia="es-MX"/>
              </w:rPr>
              <w:t>3,769,842,327</w:t>
            </w:r>
          </w:p>
        </w:tc>
        <w:tc>
          <w:tcPr>
            <w:tcW w:w="1192" w:type="dxa"/>
            <w:shd w:val="clear" w:color="000000" w:fill="F2F2F2"/>
            <w:noWrap/>
            <w:vAlign w:val="center"/>
          </w:tcPr>
          <w:p w14:paraId="74905E64" w14:textId="485EE7D0" w:rsidR="00015492" w:rsidRPr="00255081" w:rsidRDefault="00015492" w:rsidP="000A1B05">
            <w:pPr>
              <w:spacing w:after="120" w:line="240" w:lineRule="auto"/>
              <w:jc w:val="right"/>
              <w:rPr>
                <w:rFonts w:ascii="Montserrat" w:eastAsia="Times New Roman" w:hAnsi="Montserrat" w:cs="Calibri"/>
                <w:color w:val="000000"/>
                <w:sz w:val="15"/>
                <w:szCs w:val="15"/>
                <w:lang w:eastAsia="es-MX"/>
              </w:rPr>
            </w:pPr>
            <w:r w:rsidRPr="00255081">
              <w:rPr>
                <w:rFonts w:ascii="Montserrat" w:eastAsia="Times New Roman" w:hAnsi="Montserrat" w:cs="Calibri"/>
                <w:sz w:val="15"/>
                <w:szCs w:val="15"/>
                <w:lang w:eastAsia="es-MX"/>
              </w:rPr>
              <w:t>100%</w:t>
            </w:r>
          </w:p>
        </w:tc>
        <w:tc>
          <w:tcPr>
            <w:tcW w:w="2558" w:type="dxa"/>
            <w:gridSpan w:val="2"/>
            <w:shd w:val="clear" w:color="000000" w:fill="F2F2F2"/>
            <w:noWrap/>
            <w:vAlign w:val="center"/>
          </w:tcPr>
          <w:p w14:paraId="61821BEF" w14:textId="7BEFE04A" w:rsidR="00015492" w:rsidRPr="00255081" w:rsidRDefault="00015492" w:rsidP="000A1B05">
            <w:pPr>
              <w:spacing w:after="120" w:line="240" w:lineRule="auto"/>
              <w:jc w:val="right"/>
              <w:rPr>
                <w:rFonts w:ascii="Montserrat" w:eastAsia="Times New Roman" w:hAnsi="Montserrat" w:cs="Calibri"/>
                <w:color w:val="000000"/>
                <w:sz w:val="15"/>
                <w:szCs w:val="15"/>
                <w:lang w:eastAsia="es-MX"/>
              </w:rPr>
            </w:pPr>
            <w:r w:rsidRPr="00255081">
              <w:rPr>
                <w:rFonts w:ascii="Montserrat" w:eastAsia="Times New Roman" w:hAnsi="Montserrat" w:cs="Calibri"/>
                <w:sz w:val="15"/>
                <w:szCs w:val="15"/>
                <w:lang w:eastAsia="es-MX"/>
              </w:rPr>
              <w:t>3,769,842,327</w:t>
            </w:r>
          </w:p>
        </w:tc>
      </w:tr>
      <w:tr w:rsidR="00015492" w:rsidRPr="00995308" w14:paraId="790EC209" w14:textId="77777777" w:rsidTr="000F03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jc w:val="center"/>
        </w:trPr>
        <w:tc>
          <w:tcPr>
            <w:tcW w:w="5583" w:type="dxa"/>
            <w:shd w:val="clear" w:color="000000" w:fill="F2F2F2"/>
            <w:vAlign w:val="center"/>
          </w:tcPr>
          <w:p w14:paraId="0AD5004F" w14:textId="3C7C6CE5" w:rsidR="00015492" w:rsidRPr="00255081" w:rsidRDefault="00015492" w:rsidP="004B170A">
            <w:pPr>
              <w:spacing w:after="120" w:line="240" w:lineRule="auto"/>
              <w:jc w:val="both"/>
              <w:rPr>
                <w:rFonts w:ascii="Montserrat" w:eastAsia="Times New Roman" w:hAnsi="Montserrat" w:cs="Calibri"/>
                <w:color w:val="000000"/>
                <w:sz w:val="15"/>
                <w:szCs w:val="15"/>
                <w:lang w:eastAsia="es-MX"/>
              </w:rPr>
            </w:pPr>
            <w:r w:rsidRPr="00255081">
              <w:rPr>
                <w:rFonts w:ascii="Montserrat" w:eastAsia="Times New Roman" w:hAnsi="Montserrat" w:cs="Calibri"/>
                <w:sz w:val="15"/>
                <w:szCs w:val="15"/>
                <w:lang w:eastAsia="es-MX"/>
              </w:rPr>
              <w:t>Comisión Nacional de las Zonas Áridas</w:t>
            </w:r>
          </w:p>
        </w:tc>
        <w:tc>
          <w:tcPr>
            <w:tcW w:w="2463" w:type="dxa"/>
            <w:shd w:val="clear" w:color="000000" w:fill="F2F2F2"/>
            <w:noWrap/>
            <w:vAlign w:val="center"/>
          </w:tcPr>
          <w:p w14:paraId="28797F89" w14:textId="0C6A6A55" w:rsidR="00015492" w:rsidRPr="00255081" w:rsidRDefault="00015492" w:rsidP="000A1B05">
            <w:pPr>
              <w:spacing w:after="120" w:line="240" w:lineRule="auto"/>
              <w:jc w:val="right"/>
              <w:rPr>
                <w:rFonts w:ascii="Montserrat" w:eastAsia="Times New Roman" w:hAnsi="Montserrat" w:cs="Calibri"/>
                <w:color w:val="000000"/>
                <w:sz w:val="15"/>
                <w:szCs w:val="15"/>
                <w:lang w:eastAsia="es-MX"/>
              </w:rPr>
            </w:pPr>
            <w:r w:rsidRPr="00255081">
              <w:rPr>
                <w:rFonts w:ascii="Montserrat" w:eastAsia="Times New Roman" w:hAnsi="Montserrat" w:cs="Calibri"/>
                <w:sz w:val="15"/>
                <w:szCs w:val="15"/>
                <w:lang w:eastAsia="es-MX"/>
              </w:rPr>
              <w:t>22,321,638</w:t>
            </w:r>
          </w:p>
        </w:tc>
        <w:tc>
          <w:tcPr>
            <w:tcW w:w="1192" w:type="dxa"/>
            <w:shd w:val="clear" w:color="000000" w:fill="F2F2F2"/>
            <w:noWrap/>
            <w:vAlign w:val="center"/>
          </w:tcPr>
          <w:p w14:paraId="581E8462" w14:textId="697DE9E3" w:rsidR="00015492" w:rsidRPr="00255081" w:rsidRDefault="00015492" w:rsidP="000A1B05">
            <w:pPr>
              <w:spacing w:after="120" w:line="240" w:lineRule="auto"/>
              <w:jc w:val="right"/>
              <w:rPr>
                <w:rFonts w:ascii="Montserrat" w:eastAsia="Times New Roman" w:hAnsi="Montserrat" w:cs="Calibri"/>
                <w:color w:val="000000"/>
                <w:sz w:val="15"/>
                <w:szCs w:val="15"/>
                <w:lang w:eastAsia="es-MX"/>
              </w:rPr>
            </w:pPr>
            <w:r w:rsidRPr="00255081">
              <w:rPr>
                <w:rFonts w:ascii="Montserrat" w:eastAsia="Times New Roman" w:hAnsi="Montserrat" w:cs="Calibri"/>
                <w:sz w:val="15"/>
                <w:szCs w:val="15"/>
                <w:lang w:eastAsia="es-MX"/>
              </w:rPr>
              <w:t>100%</w:t>
            </w:r>
          </w:p>
        </w:tc>
        <w:tc>
          <w:tcPr>
            <w:tcW w:w="2558" w:type="dxa"/>
            <w:gridSpan w:val="2"/>
            <w:shd w:val="clear" w:color="000000" w:fill="F2F2F2"/>
            <w:noWrap/>
            <w:vAlign w:val="center"/>
          </w:tcPr>
          <w:p w14:paraId="25C986BC" w14:textId="1E828D59" w:rsidR="00015492" w:rsidRPr="00255081" w:rsidRDefault="00015492" w:rsidP="000A1B05">
            <w:pPr>
              <w:spacing w:after="120" w:line="240" w:lineRule="auto"/>
              <w:jc w:val="right"/>
              <w:rPr>
                <w:rFonts w:ascii="Montserrat" w:eastAsia="Times New Roman" w:hAnsi="Montserrat" w:cs="Calibri"/>
                <w:color w:val="000000"/>
                <w:sz w:val="15"/>
                <w:szCs w:val="15"/>
                <w:lang w:eastAsia="es-MX"/>
              </w:rPr>
            </w:pPr>
            <w:r w:rsidRPr="00255081">
              <w:rPr>
                <w:rFonts w:ascii="Montserrat" w:eastAsia="Times New Roman" w:hAnsi="Montserrat" w:cs="Calibri"/>
                <w:sz w:val="15"/>
                <w:szCs w:val="15"/>
                <w:lang w:eastAsia="es-MX"/>
              </w:rPr>
              <w:t>22,321,638</w:t>
            </w:r>
          </w:p>
        </w:tc>
      </w:tr>
      <w:tr w:rsidR="00015492" w:rsidRPr="00995308" w14:paraId="4BE24F6C" w14:textId="77777777" w:rsidTr="000F03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jc w:val="center"/>
        </w:trPr>
        <w:tc>
          <w:tcPr>
            <w:tcW w:w="5583" w:type="dxa"/>
            <w:shd w:val="clear" w:color="000000" w:fill="F2F2F2"/>
            <w:vAlign w:val="center"/>
          </w:tcPr>
          <w:p w14:paraId="4636CFF3" w14:textId="117547AE" w:rsidR="00015492" w:rsidRPr="00255081" w:rsidRDefault="00015492" w:rsidP="004B170A">
            <w:pPr>
              <w:spacing w:after="120" w:line="240" w:lineRule="auto"/>
              <w:jc w:val="both"/>
              <w:rPr>
                <w:rFonts w:ascii="Montserrat" w:eastAsia="Times New Roman" w:hAnsi="Montserrat" w:cs="Calibri"/>
                <w:color w:val="000000"/>
                <w:sz w:val="15"/>
                <w:szCs w:val="15"/>
                <w:lang w:eastAsia="es-MX"/>
              </w:rPr>
            </w:pPr>
            <w:r w:rsidRPr="00255081">
              <w:rPr>
                <w:rFonts w:ascii="Montserrat" w:eastAsia="Times New Roman" w:hAnsi="Montserrat" w:cs="Calibri"/>
                <w:sz w:val="15"/>
                <w:szCs w:val="15"/>
                <w:lang w:eastAsia="es-MX"/>
              </w:rPr>
              <w:t>Instituto Nacional de Investigaciones Forestales, Agrícolas y Pecuarias</w:t>
            </w:r>
          </w:p>
        </w:tc>
        <w:tc>
          <w:tcPr>
            <w:tcW w:w="2463" w:type="dxa"/>
            <w:shd w:val="clear" w:color="000000" w:fill="F2F2F2"/>
            <w:noWrap/>
            <w:vAlign w:val="center"/>
          </w:tcPr>
          <w:p w14:paraId="3FD480B5" w14:textId="5B4BA877" w:rsidR="00015492" w:rsidRPr="00255081" w:rsidRDefault="00015492" w:rsidP="000A1B05">
            <w:pPr>
              <w:spacing w:after="120" w:line="240" w:lineRule="auto"/>
              <w:jc w:val="right"/>
              <w:rPr>
                <w:rFonts w:ascii="Montserrat" w:eastAsia="Times New Roman" w:hAnsi="Montserrat" w:cs="Calibri"/>
                <w:color w:val="000000"/>
                <w:sz w:val="15"/>
                <w:szCs w:val="15"/>
                <w:lang w:eastAsia="es-MX"/>
              </w:rPr>
            </w:pPr>
            <w:r w:rsidRPr="00255081">
              <w:rPr>
                <w:rFonts w:ascii="Montserrat" w:eastAsia="Times New Roman" w:hAnsi="Montserrat" w:cs="Calibri"/>
                <w:sz w:val="15"/>
                <w:szCs w:val="15"/>
                <w:lang w:eastAsia="es-MX"/>
              </w:rPr>
              <w:t>2,821,258,885</w:t>
            </w:r>
          </w:p>
        </w:tc>
        <w:tc>
          <w:tcPr>
            <w:tcW w:w="1192" w:type="dxa"/>
            <w:shd w:val="clear" w:color="000000" w:fill="F2F2F2"/>
            <w:noWrap/>
            <w:vAlign w:val="center"/>
          </w:tcPr>
          <w:p w14:paraId="565A7B04" w14:textId="008AB74C" w:rsidR="00015492" w:rsidRPr="00255081" w:rsidRDefault="00015492" w:rsidP="000A1B05">
            <w:pPr>
              <w:spacing w:after="120" w:line="240" w:lineRule="auto"/>
              <w:jc w:val="right"/>
              <w:rPr>
                <w:rFonts w:ascii="Montserrat" w:eastAsia="Times New Roman" w:hAnsi="Montserrat" w:cs="Calibri"/>
                <w:color w:val="000000"/>
                <w:sz w:val="15"/>
                <w:szCs w:val="15"/>
                <w:lang w:eastAsia="es-MX"/>
              </w:rPr>
            </w:pPr>
            <w:r w:rsidRPr="00255081">
              <w:rPr>
                <w:rFonts w:ascii="Montserrat" w:eastAsia="Times New Roman" w:hAnsi="Montserrat" w:cs="Calibri"/>
                <w:sz w:val="15"/>
                <w:szCs w:val="15"/>
                <w:lang w:eastAsia="es-MX"/>
              </w:rPr>
              <w:t>100%</w:t>
            </w:r>
          </w:p>
        </w:tc>
        <w:tc>
          <w:tcPr>
            <w:tcW w:w="2558" w:type="dxa"/>
            <w:gridSpan w:val="2"/>
            <w:shd w:val="clear" w:color="000000" w:fill="F2F2F2"/>
            <w:noWrap/>
            <w:vAlign w:val="center"/>
          </w:tcPr>
          <w:p w14:paraId="682E2B6E" w14:textId="64A69ED2" w:rsidR="00015492" w:rsidRPr="00255081" w:rsidRDefault="00015492" w:rsidP="000A1B05">
            <w:pPr>
              <w:spacing w:after="120" w:line="240" w:lineRule="auto"/>
              <w:jc w:val="right"/>
              <w:rPr>
                <w:rFonts w:ascii="Montserrat" w:eastAsia="Times New Roman" w:hAnsi="Montserrat" w:cs="Calibri"/>
                <w:color w:val="000000"/>
                <w:sz w:val="15"/>
                <w:szCs w:val="15"/>
                <w:lang w:eastAsia="es-MX"/>
              </w:rPr>
            </w:pPr>
            <w:r w:rsidRPr="00255081">
              <w:rPr>
                <w:rFonts w:ascii="Montserrat" w:eastAsia="Times New Roman" w:hAnsi="Montserrat" w:cs="Calibri"/>
                <w:sz w:val="15"/>
                <w:szCs w:val="15"/>
                <w:lang w:eastAsia="es-MX"/>
              </w:rPr>
              <w:t>2,821,258,885</w:t>
            </w:r>
          </w:p>
        </w:tc>
      </w:tr>
      <w:tr w:rsidR="00015492" w:rsidRPr="00995308" w14:paraId="7D5620ED" w14:textId="77777777" w:rsidTr="000F03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0"/>
          <w:jc w:val="center"/>
        </w:trPr>
        <w:tc>
          <w:tcPr>
            <w:tcW w:w="5583" w:type="dxa"/>
            <w:shd w:val="clear" w:color="000000" w:fill="F2F2F2"/>
            <w:vAlign w:val="center"/>
          </w:tcPr>
          <w:p w14:paraId="440DB7CD" w14:textId="6727D1AD" w:rsidR="00015492" w:rsidRPr="00255081" w:rsidRDefault="00015492" w:rsidP="004B170A">
            <w:pPr>
              <w:spacing w:after="120" w:line="240" w:lineRule="auto"/>
              <w:jc w:val="both"/>
              <w:rPr>
                <w:rFonts w:ascii="Montserrat" w:eastAsia="Times New Roman" w:hAnsi="Montserrat" w:cs="Calibri"/>
                <w:color w:val="000000"/>
                <w:sz w:val="15"/>
                <w:szCs w:val="15"/>
                <w:lang w:eastAsia="es-MX"/>
              </w:rPr>
            </w:pPr>
            <w:r w:rsidRPr="00255081">
              <w:rPr>
                <w:rFonts w:ascii="Montserrat" w:eastAsia="Times New Roman" w:hAnsi="Montserrat" w:cs="Calibri"/>
                <w:sz w:val="15"/>
                <w:szCs w:val="15"/>
                <w:lang w:eastAsia="es-MX"/>
              </w:rPr>
              <w:t>Instituto Nacional de Pesca y Acuacultura</w:t>
            </w:r>
          </w:p>
        </w:tc>
        <w:tc>
          <w:tcPr>
            <w:tcW w:w="2463" w:type="dxa"/>
            <w:shd w:val="clear" w:color="000000" w:fill="F2F2F2"/>
            <w:noWrap/>
            <w:vAlign w:val="center"/>
          </w:tcPr>
          <w:p w14:paraId="5D511DF2" w14:textId="7DA3DB05" w:rsidR="00015492" w:rsidRPr="00255081" w:rsidRDefault="00015492" w:rsidP="000A1B05">
            <w:pPr>
              <w:spacing w:after="120" w:line="240" w:lineRule="auto"/>
              <w:jc w:val="right"/>
              <w:rPr>
                <w:rFonts w:ascii="Montserrat" w:eastAsia="Times New Roman" w:hAnsi="Montserrat" w:cs="Calibri"/>
                <w:color w:val="000000"/>
                <w:sz w:val="15"/>
                <w:szCs w:val="15"/>
                <w:lang w:eastAsia="es-MX"/>
              </w:rPr>
            </w:pPr>
            <w:r w:rsidRPr="00255081">
              <w:rPr>
                <w:rFonts w:ascii="Montserrat" w:eastAsia="Times New Roman" w:hAnsi="Montserrat" w:cs="Calibri"/>
                <w:sz w:val="15"/>
                <w:szCs w:val="15"/>
                <w:lang w:eastAsia="es-MX"/>
              </w:rPr>
              <w:t>1,197,823,547</w:t>
            </w:r>
          </w:p>
        </w:tc>
        <w:tc>
          <w:tcPr>
            <w:tcW w:w="1192" w:type="dxa"/>
            <w:shd w:val="clear" w:color="000000" w:fill="F2F2F2"/>
            <w:noWrap/>
            <w:vAlign w:val="center"/>
          </w:tcPr>
          <w:p w14:paraId="0BF6AB07" w14:textId="121654B7" w:rsidR="00015492" w:rsidRPr="00255081" w:rsidRDefault="00015492" w:rsidP="000A1B05">
            <w:pPr>
              <w:spacing w:after="120" w:line="240" w:lineRule="auto"/>
              <w:jc w:val="right"/>
              <w:rPr>
                <w:rFonts w:ascii="Montserrat" w:eastAsia="Times New Roman" w:hAnsi="Montserrat" w:cs="Calibri"/>
                <w:color w:val="000000"/>
                <w:sz w:val="15"/>
                <w:szCs w:val="15"/>
                <w:lang w:eastAsia="es-MX"/>
              </w:rPr>
            </w:pPr>
            <w:r w:rsidRPr="00255081">
              <w:rPr>
                <w:rFonts w:ascii="Montserrat" w:eastAsia="Times New Roman" w:hAnsi="Montserrat" w:cs="Calibri"/>
                <w:sz w:val="15"/>
                <w:szCs w:val="15"/>
                <w:lang w:eastAsia="es-MX"/>
              </w:rPr>
              <w:t>100%</w:t>
            </w:r>
          </w:p>
        </w:tc>
        <w:tc>
          <w:tcPr>
            <w:tcW w:w="2558" w:type="dxa"/>
            <w:gridSpan w:val="2"/>
            <w:shd w:val="clear" w:color="000000" w:fill="F2F2F2"/>
            <w:noWrap/>
            <w:vAlign w:val="center"/>
          </w:tcPr>
          <w:p w14:paraId="110BE46B" w14:textId="7DBCBABB" w:rsidR="00015492" w:rsidRPr="00255081" w:rsidRDefault="00015492" w:rsidP="000A1B05">
            <w:pPr>
              <w:spacing w:after="120" w:line="240" w:lineRule="auto"/>
              <w:jc w:val="right"/>
              <w:rPr>
                <w:rFonts w:ascii="Montserrat" w:eastAsia="Times New Roman" w:hAnsi="Montserrat" w:cs="Calibri"/>
                <w:color w:val="000000"/>
                <w:sz w:val="15"/>
                <w:szCs w:val="15"/>
                <w:lang w:eastAsia="es-MX"/>
              </w:rPr>
            </w:pPr>
            <w:r w:rsidRPr="00255081">
              <w:rPr>
                <w:rFonts w:ascii="Montserrat" w:eastAsia="Times New Roman" w:hAnsi="Montserrat" w:cs="Calibri"/>
                <w:sz w:val="15"/>
                <w:szCs w:val="15"/>
                <w:lang w:eastAsia="es-MX"/>
              </w:rPr>
              <w:t>1,197,823,547</w:t>
            </w:r>
          </w:p>
        </w:tc>
      </w:tr>
      <w:tr w:rsidR="00015492" w:rsidRPr="00995308" w14:paraId="2BD8304B" w14:textId="77777777" w:rsidTr="000F03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jc w:val="center"/>
        </w:trPr>
        <w:tc>
          <w:tcPr>
            <w:tcW w:w="5583" w:type="dxa"/>
            <w:shd w:val="clear" w:color="000000" w:fill="F2F2F2"/>
            <w:vAlign w:val="center"/>
          </w:tcPr>
          <w:p w14:paraId="6C3A0D4B" w14:textId="4C54985C" w:rsidR="00015492" w:rsidRPr="00255081" w:rsidRDefault="00015492" w:rsidP="004B170A">
            <w:pPr>
              <w:spacing w:after="120" w:line="240" w:lineRule="auto"/>
              <w:jc w:val="both"/>
              <w:rPr>
                <w:rFonts w:ascii="Montserrat" w:eastAsia="Times New Roman" w:hAnsi="Montserrat" w:cs="Calibri"/>
                <w:color w:val="000000"/>
                <w:sz w:val="15"/>
                <w:szCs w:val="15"/>
                <w:lang w:eastAsia="es-MX"/>
              </w:rPr>
            </w:pPr>
            <w:r w:rsidRPr="00255081">
              <w:rPr>
                <w:rFonts w:ascii="Montserrat" w:eastAsia="Times New Roman" w:hAnsi="Montserrat" w:cs="Calibri"/>
                <w:sz w:val="15"/>
                <w:szCs w:val="15"/>
                <w:lang w:eastAsia="es-MX"/>
              </w:rPr>
              <w:t>Productora Nacional de Biológicos Veterinarios</w:t>
            </w:r>
          </w:p>
        </w:tc>
        <w:tc>
          <w:tcPr>
            <w:tcW w:w="2463" w:type="dxa"/>
            <w:shd w:val="clear" w:color="000000" w:fill="F2F2F2"/>
            <w:noWrap/>
            <w:vAlign w:val="center"/>
          </w:tcPr>
          <w:p w14:paraId="0A1CF75A" w14:textId="6465E826" w:rsidR="00015492" w:rsidRPr="00255081" w:rsidRDefault="00015492" w:rsidP="000A1B05">
            <w:pPr>
              <w:spacing w:after="120" w:line="240" w:lineRule="auto"/>
              <w:jc w:val="right"/>
              <w:rPr>
                <w:rFonts w:ascii="Montserrat" w:eastAsia="Times New Roman" w:hAnsi="Montserrat" w:cs="Calibri"/>
                <w:color w:val="000000"/>
                <w:sz w:val="15"/>
                <w:szCs w:val="15"/>
                <w:lang w:eastAsia="es-MX"/>
              </w:rPr>
            </w:pPr>
            <w:r w:rsidRPr="00255081">
              <w:rPr>
                <w:rFonts w:ascii="Montserrat" w:eastAsia="Times New Roman" w:hAnsi="Montserrat" w:cs="Calibri"/>
                <w:sz w:val="15"/>
                <w:szCs w:val="15"/>
                <w:lang w:eastAsia="es-MX"/>
              </w:rPr>
              <w:t>280,216,901</w:t>
            </w:r>
          </w:p>
        </w:tc>
        <w:tc>
          <w:tcPr>
            <w:tcW w:w="1192" w:type="dxa"/>
            <w:shd w:val="clear" w:color="000000" w:fill="F2F2F2"/>
            <w:noWrap/>
            <w:vAlign w:val="center"/>
          </w:tcPr>
          <w:p w14:paraId="1449E9FA" w14:textId="3487D4C5" w:rsidR="00015492" w:rsidRPr="00255081" w:rsidRDefault="00015492" w:rsidP="000A1B05">
            <w:pPr>
              <w:spacing w:after="120" w:line="240" w:lineRule="auto"/>
              <w:jc w:val="right"/>
              <w:rPr>
                <w:rFonts w:ascii="Montserrat" w:eastAsia="Times New Roman" w:hAnsi="Montserrat" w:cs="Calibri"/>
                <w:color w:val="000000"/>
                <w:sz w:val="15"/>
                <w:szCs w:val="15"/>
                <w:lang w:eastAsia="es-MX"/>
              </w:rPr>
            </w:pPr>
            <w:r w:rsidRPr="00255081">
              <w:rPr>
                <w:rFonts w:ascii="Montserrat" w:eastAsia="Times New Roman" w:hAnsi="Montserrat" w:cs="Calibri"/>
                <w:sz w:val="15"/>
                <w:szCs w:val="15"/>
                <w:lang w:eastAsia="es-MX"/>
              </w:rPr>
              <w:t>100%</w:t>
            </w:r>
          </w:p>
        </w:tc>
        <w:tc>
          <w:tcPr>
            <w:tcW w:w="2558" w:type="dxa"/>
            <w:gridSpan w:val="2"/>
            <w:shd w:val="clear" w:color="000000" w:fill="F2F2F2"/>
            <w:noWrap/>
            <w:vAlign w:val="center"/>
          </w:tcPr>
          <w:p w14:paraId="72A1CAB9" w14:textId="59FA50AC" w:rsidR="00015492" w:rsidRPr="00255081" w:rsidRDefault="00015492" w:rsidP="000A1B05">
            <w:pPr>
              <w:spacing w:after="120" w:line="240" w:lineRule="auto"/>
              <w:jc w:val="right"/>
              <w:rPr>
                <w:rFonts w:ascii="Montserrat" w:eastAsia="Times New Roman" w:hAnsi="Montserrat" w:cs="Calibri"/>
                <w:color w:val="000000"/>
                <w:sz w:val="15"/>
                <w:szCs w:val="15"/>
                <w:lang w:eastAsia="es-MX"/>
              </w:rPr>
            </w:pPr>
            <w:r w:rsidRPr="00255081">
              <w:rPr>
                <w:rFonts w:ascii="Montserrat" w:eastAsia="Times New Roman" w:hAnsi="Montserrat" w:cs="Calibri"/>
                <w:sz w:val="15"/>
                <w:szCs w:val="15"/>
                <w:lang w:eastAsia="es-MX"/>
              </w:rPr>
              <w:t>280,216,901</w:t>
            </w:r>
          </w:p>
        </w:tc>
      </w:tr>
      <w:tr w:rsidR="00015492" w:rsidRPr="00995308" w14:paraId="7F1441B4" w14:textId="77777777" w:rsidTr="000F03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jc w:val="center"/>
        </w:trPr>
        <w:tc>
          <w:tcPr>
            <w:tcW w:w="5583" w:type="dxa"/>
            <w:shd w:val="clear" w:color="000000" w:fill="F2F2F2"/>
            <w:vAlign w:val="center"/>
          </w:tcPr>
          <w:p w14:paraId="1FC16B97" w14:textId="72F5BEC8" w:rsidR="00015492" w:rsidRPr="00255081" w:rsidRDefault="00015492" w:rsidP="004B170A">
            <w:pPr>
              <w:spacing w:after="120" w:line="240" w:lineRule="auto"/>
              <w:jc w:val="both"/>
              <w:rPr>
                <w:rFonts w:ascii="Montserrat" w:eastAsia="Times New Roman" w:hAnsi="Montserrat" w:cs="Calibri"/>
                <w:color w:val="000000"/>
                <w:sz w:val="15"/>
                <w:szCs w:val="15"/>
                <w:lang w:eastAsia="es-MX"/>
              </w:rPr>
            </w:pPr>
            <w:r w:rsidRPr="00255081">
              <w:rPr>
                <w:rFonts w:ascii="Montserrat" w:eastAsia="Times New Roman" w:hAnsi="Montserrat" w:cs="Calibri"/>
                <w:sz w:val="15"/>
                <w:szCs w:val="15"/>
                <w:lang w:eastAsia="es-MX"/>
              </w:rPr>
              <w:t>Diconsa, S.A. de C.V.</w:t>
            </w:r>
          </w:p>
        </w:tc>
        <w:tc>
          <w:tcPr>
            <w:tcW w:w="2463" w:type="dxa"/>
            <w:shd w:val="clear" w:color="000000" w:fill="F2F2F2"/>
            <w:noWrap/>
            <w:vAlign w:val="center"/>
          </w:tcPr>
          <w:p w14:paraId="5A493820" w14:textId="58A4F8DD" w:rsidR="00015492" w:rsidRPr="00255081" w:rsidRDefault="00015492" w:rsidP="000A1B05">
            <w:pPr>
              <w:spacing w:after="120" w:line="240" w:lineRule="auto"/>
              <w:jc w:val="right"/>
              <w:rPr>
                <w:rFonts w:ascii="Montserrat" w:eastAsia="Times New Roman" w:hAnsi="Montserrat" w:cs="Calibri"/>
                <w:color w:val="000000"/>
                <w:sz w:val="15"/>
                <w:szCs w:val="15"/>
                <w:lang w:eastAsia="es-MX"/>
              </w:rPr>
            </w:pPr>
            <w:r w:rsidRPr="00255081">
              <w:rPr>
                <w:rFonts w:ascii="Montserrat" w:eastAsia="Times New Roman" w:hAnsi="Montserrat" w:cs="Calibri"/>
                <w:sz w:val="15"/>
                <w:szCs w:val="15"/>
                <w:lang w:eastAsia="es-MX"/>
              </w:rPr>
              <w:t>861,201,088</w:t>
            </w:r>
          </w:p>
        </w:tc>
        <w:tc>
          <w:tcPr>
            <w:tcW w:w="1192" w:type="dxa"/>
            <w:shd w:val="clear" w:color="000000" w:fill="F2F2F2"/>
            <w:noWrap/>
            <w:vAlign w:val="center"/>
          </w:tcPr>
          <w:p w14:paraId="45FB0D46" w14:textId="4BEC1A04" w:rsidR="00015492" w:rsidRPr="00255081" w:rsidRDefault="00015492" w:rsidP="000A1B05">
            <w:pPr>
              <w:spacing w:after="120" w:line="240" w:lineRule="auto"/>
              <w:jc w:val="right"/>
              <w:rPr>
                <w:rFonts w:ascii="Montserrat" w:eastAsia="Times New Roman" w:hAnsi="Montserrat" w:cs="Calibri"/>
                <w:color w:val="000000"/>
                <w:sz w:val="15"/>
                <w:szCs w:val="15"/>
                <w:lang w:eastAsia="es-MX"/>
              </w:rPr>
            </w:pPr>
            <w:r w:rsidRPr="00255081">
              <w:rPr>
                <w:rFonts w:ascii="Montserrat" w:eastAsia="Times New Roman" w:hAnsi="Montserrat" w:cs="Calibri"/>
                <w:sz w:val="15"/>
                <w:szCs w:val="15"/>
                <w:lang w:eastAsia="es-MX"/>
              </w:rPr>
              <w:t>99%</w:t>
            </w:r>
          </w:p>
        </w:tc>
        <w:tc>
          <w:tcPr>
            <w:tcW w:w="2558" w:type="dxa"/>
            <w:gridSpan w:val="2"/>
            <w:shd w:val="clear" w:color="000000" w:fill="F2F2F2"/>
            <w:noWrap/>
            <w:vAlign w:val="center"/>
          </w:tcPr>
          <w:p w14:paraId="4B39149D" w14:textId="3BAEDC3A" w:rsidR="00015492" w:rsidRPr="00255081" w:rsidRDefault="00015492" w:rsidP="000A1B05">
            <w:pPr>
              <w:spacing w:after="120" w:line="240" w:lineRule="auto"/>
              <w:jc w:val="right"/>
              <w:rPr>
                <w:rFonts w:ascii="Montserrat" w:eastAsia="Times New Roman" w:hAnsi="Montserrat" w:cs="Calibri"/>
                <w:color w:val="000000"/>
                <w:sz w:val="15"/>
                <w:szCs w:val="15"/>
                <w:lang w:eastAsia="es-MX"/>
              </w:rPr>
            </w:pPr>
            <w:r w:rsidRPr="00255081">
              <w:rPr>
                <w:rFonts w:ascii="Montserrat" w:eastAsia="Times New Roman" w:hAnsi="Montserrat" w:cs="Calibri"/>
                <w:sz w:val="15"/>
                <w:szCs w:val="15"/>
                <w:lang w:eastAsia="es-MX"/>
              </w:rPr>
              <w:t>852,589,077</w:t>
            </w:r>
          </w:p>
        </w:tc>
      </w:tr>
      <w:tr w:rsidR="00015492" w:rsidRPr="00995308" w14:paraId="77F2F6D4" w14:textId="77777777" w:rsidTr="000F03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jc w:val="center"/>
        </w:trPr>
        <w:tc>
          <w:tcPr>
            <w:tcW w:w="5583" w:type="dxa"/>
            <w:shd w:val="clear" w:color="000000" w:fill="F2F2F2"/>
            <w:vAlign w:val="center"/>
          </w:tcPr>
          <w:p w14:paraId="4729A0B5" w14:textId="3E436F91" w:rsidR="00015492" w:rsidRPr="00255081" w:rsidRDefault="00015492" w:rsidP="004B170A">
            <w:pPr>
              <w:spacing w:after="120" w:line="240" w:lineRule="auto"/>
              <w:jc w:val="both"/>
              <w:rPr>
                <w:rFonts w:ascii="Montserrat" w:eastAsia="Times New Roman" w:hAnsi="Montserrat" w:cs="Calibri"/>
                <w:color w:val="000000"/>
                <w:sz w:val="15"/>
                <w:szCs w:val="15"/>
                <w:lang w:eastAsia="es-MX"/>
              </w:rPr>
            </w:pPr>
            <w:r w:rsidRPr="00255081">
              <w:rPr>
                <w:rFonts w:ascii="Montserrat" w:eastAsia="Times New Roman" w:hAnsi="Montserrat" w:cs="Calibri"/>
                <w:sz w:val="15"/>
                <w:szCs w:val="15"/>
                <w:lang w:eastAsia="es-MX"/>
              </w:rPr>
              <w:t>Liconsa, S.A. de C.V.</w:t>
            </w:r>
          </w:p>
        </w:tc>
        <w:tc>
          <w:tcPr>
            <w:tcW w:w="2463" w:type="dxa"/>
            <w:shd w:val="clear" w:color="000000" w:fill="F2F2F2"/>
            <w:noWrap/>
            <w:vAlign w:val="center"/>
          </w:tcPr>
          <w:p w14:paraId="23072595" w14:textId="3C1BE6FE" w:rsidR="00015492" w:rsidRPr="00255081" w:rsidRDefault="00015492" w:rsidP="000A1B05">
            <w:pPr>
              <w:spacing w:after="120" w:line="240" w:lineRule="auto"/>
              <w:jc w:val="right"/>
              <w:rPr>
                <w:rFonts w:ascii="Montserrat" w:eastAsia="Times New Roman" w:hAnsi="Montserrat" w:cs="Calibri"/>
                <w:color w:val="000000"/>
                <w:sz w:val="15"/>
                <w:szCs w:val="15"/>
                <w:lang w:eastAsia="es-MX"/>
              </w:rPr>
            </w:pPr>
            <w:r w:rsidRPr="00255081">
              <w:rPr>
                <w:rFonts w:ascii="Montserrat" w:eastAsia="Times New Roman" w:hAnsi="Montserrat" w:cs="Calibri"/>
                <w:sz w:val="15"/>
                <w:szCs w:val="15"/>
                <w:lang w:eastAsia="es-MX"/>
              </w:rPr>
              <w:t>1,968,211,839</w:t>
            </w:r>
          </w:p>
        </w:tc>
        <w:tc>
          <w:tcPr>
            <w:tcW w:w="1192" w:type="dxa"/>
            <w:shd w:val="clear" w:color="000000" w:fill="F2F2F2"/>
            <w:noWrap/>
            <w:vAlign w:val="center"/>
          </w:tcPr>
          <w:p w14:paraId="64399932" w14:textId="15796588" w:rsidR="00015492" w:rsidRPr="00255081" w:rsidRDefault="00015492" w:rsidP="000A1B05">
            <w:pPr>
              <w:spacing w:after="120" w:line="240" w:lineRule="auto"/>
              <w:jc w:val="right"/>
              <w:rPr>
                <w:rFonts w:ascii="Montserrat" w:eastAsia="Times New Roman" w:hAnsi="Montserrat" w:cs="Calibri"/>
                <w:color w:val="000000"/>
                <w:sz w:val="15"/>
                <w:szCs w:val="15"/>
                <w:lang w:eastAsia="es-MX"/>
              </w:rPr>
            </w:pPr>
            <w:r w:rsidRPr="00255081">
              <w:rPr>
                <w:rFonts w:ascii="Montserrat" w:eastAsia="Times New Roman" w:hAnsi="Montserrat" w:cs="Calibri"/>
                <w:sz w:val="15"/>
                <w:szCs w:val="15"/>
                <w:lang w:eastAsia="es-MX"/>
              </w:rPr>
              <w:t>99%</w:t>
            </w:r>
          </w:p>
        </w:tc>
        <w:tc>
          <w:tcPr>
            <w:tcW w:w="2558" w:type="dxa"/>
            <w:gridSpan w:val="2"/>
            <w:shd w:val="clear" w:color="000000" w:fill="F2F2F2"/>
            <w:noWrap/>
            <w:vAlign w:val="center"/>
          </w:tcPr>
          <w:p w14:paraId="10B70BBA" w14:textId="6D38E247" w:rsidR="00015492" w:rsidRPr="00255081" w:rsidRDefault="00015492" w:rsidP="000A1B05">
            <w:pPr>
              <w:spacing w:after="120" w:line="240" w:lineRule="auto"/>
              <w:jc w:val="right"/>
              <w:rPr>
                <w:rFonts w:ascii="Montserrat" w:eastAsia="Times New Roman" w:hAnsi="Montserrat" w:cs="Calibri"/>
                <w:color w:val="000000"/>
                <w:sz w:val="15"/>
                <w:szCs w:val="15"/>
                <w:lang w:eastAsia="es-MX"/>
              </w:rPr>
            </w:pPr>
            <w:r w:rsidRPr="00255081">
              <w:rPr>
                <w:rFonts w:ascii="Montserrat" w:eastAsia="Times New Roman" w:hAnsi="Montserrat" w:cs="Calibri"/>
                <w:sz w:val="15"/>
                <w:szCs w:val="15"/>
                <w:lang w:eastAsia="es-MX"/>
              </w:rPr>
              <w:t>1,968,015,018</w:t>
            </w:r>
          </w:p>
        </w:tc>
      </w:tr>
      <w:tr w:rsidR="00015492" w:rsidRPr="00995308" w14:paraId="5F7441C5" w14:textId="77777777" w:rsidTr="000F03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jc w:val="center"/>
        </w:trPr>
        <w:tc>
          <w:tcPr>
            <w:tcW w:w="5583" w:type="dxa"/>
            <w:shd w:val="clear" w:color="000000" w:fill="F2F2F2"/>
            <w:vAlign w:val="center"/>
          </w:tcPr>
          <w:p w14:paraId="3EF417C1" w14:textId="3A4DAFC2" w:rsidR="00015492" w:rsidRPr="00255081" w:rsidRDefault="00015492" w:rsidP="004B170A">
            <w:pPr>
              <w:spacing w:after="120" w:line="240" w:lineRule="auto"/>
              <w:jc w:val="both"/>
              <w:rPr>
                <w:rFonts w:ascii="Montserrat" w:eastAsia="Times New Roman" w:hAnsi="Montserrat" w:cs="Calibri"/>
                <w:color w:val="000000"/>
                <w:sz w:val="15"/>
                <w:szCs w:val="15"/>
                <w:lang w:eastAsia="es-MX"/>
              </w:rPr>
            </w:pPr>
            <w:r w:rsidRPr="00255081">
              <w:rPr>
                <w:rFonts w:ascii="Montserrat" w:eastAsia="Times New Roman" w:hAnsi="Montserrat" w:cs="Calibri"/>
                <w:sz w:val="15"/>
                <w:szCs w:val="15"/>
                <w:lang w:eastAsia="es-MX"/>
              </w:rPr>
              <w:t>Caminos y Puentes Federales de Ingresos y Servicios Conexos</w:t>
            </w:r>
          </w:p>
        </w:tc>
        <w:tc>
          <w:tcPr>
            <w:tcW w:w="2463" w:type="dxa"/>
            <w:shd w:val="clear" w:color="000000" w:fill="F2F2F2"/>
            <w:noWrap/>
            <w:vAlign w:val="center"/>
          </w:tcPr>
          <w:p w14:paraId="354020F4" w14:textId="515C89F4" w:rsidR="00015492" w:rsidRPr="00255081" w:rsidRDefault="00015492" w:rsidP="000A1B05">
            <w:pPr>
              <w:spacing w:after="120" w:line="240" w:lineRule="auto"/>
              <w:jc w:val="right"/>
              <w:rPr>
                <w:rFonts w:ascii="Montserrat" w:eastAsia="Times New Roman" w:hAnsi="Montserrat" w:cs="Calibri"/>
                <w:color w:val="000000"/>
                <w:sz w:val="15"/>
                <w:szCs w:val="15"/>
                <w:lang w:eastAsia="es-MX"/>
              </w:rPr>
            </w:pPr>
            <w:r w:rsidRPr="00255081">
              <w:rPr>
                <w:rFonts w:ascii="Montserrat" w:eastAsia="Times New Roman" w:hAnsi="Montserrat" w:cs="Calibri"/>
                <w:sz w:val="15"/>
                <w:szCs w:val="15"/>
                <w:lang w:eastAsia="es-MX"/>
              </w:rPr>
              <w:t>3,073,937,675</w:t>
            </w:r>
          </w:p>
        </w:tc>
        <w:tc>
          <w:tcPr>
            <w:tcW w:w="1192" w:type="dxa"/>
            <w:shd w:val="clear" w:color="000000" w:fill="F2F2F2"/>
            <w:noWrap/>
            <w:vAlign w:val="center"/>
          </w:tcPr>
          <w:p w14:paraId="783D024F" w14:textId="662545BB" w:rsidR="00015492" w:rsidRPr="00255081" w:rsidRDefault="00015492" w:rsidP="000A1B05">
            <w:pPr>
              <w:spacing w:after="120" w:line="240" w:lineRule="auto"/>
              <w:jc w:val="right"/>
              <w:rPr>
                <w:rFonts w:ascii="Montserrat" w:eastAsia="Times New Roman" w:hAnsi="Montserrat" w:cs="Calibri"/>
                <w:color w:val="000000"/>
                <w:sz w:val="15"/>
                <w:szCs w:val="15"/>
                <w:lang w:eastAsia="es-MX"/>
              </w:rPr>
            </w:pPr>
            <w:r w:rsidRPr="00255081">
              <w:rPr>
                <w:rFonts w:ascii="Montserrat" w:eastAsia="Times New Roman" w:hAnsi="Montserrat" w:cs="Calibri"/>
                <w:sz w:val="15"/>
                <w:szCs w:val="15"/>
                <w:lang w:eastAsia="es-MX"/>
              </w:rPr>
              <w:t>100%</w:t>
            </w:r>
          </w:p>
        </w:tc>
        <w:tc>
          <w:tcPr>
            <w:tcW w:w="2558" w:type="dxa"/>
            <w:gridSpan w:val="2"/>
            <w:shd w:val="clear" w:color="000000" w:fill="F2F2F2"/>
            <w:noWrap/>
            <w:vAlign w:val="center"/>
          </w:tcPr>
          <w:p w14:paraId="578E9073" w14:textId="3EF10CF2" w:rsidR="00015492" w:rsidRPr="00255081" w:rsidRDefault="00015492" w:rsidP="000A1B05">
            <w:pPr>
              <w:spacing w:after="120" w:line="240" w:lineRule="auto"/>
              <w:jc w:val="right"/>
              <w:rPr>
                <w:rFonts w:ascii="Montserrat" w:eastAsia="Times New Roman" w:hAnsi="Montserrat" w:cs="Calibri"/>
                <w:color w:val="000000"/>
                <w:sz w:val="15"/>
                <w:szCs w:val="15"/>
                <w:lang w:eastAsia="es-MX"/>
              </w:rPr>
            </w:pPr>
            <w:r w:rsidRPr="00255081">
              <w:rPr>
                <w:rFonts w:ascii="Montserrat" w:eastAsia="Times New Roman" w:hAnsi="Montserrat" w:cs="Calibri"/>
                <w:sz w:val="15"/>
                <w:szCs w:val="15"/>
                <w:lang w:eastAsia="es-MX"/>
              </w:rPr>
              <w:t>3,073,937,675</w:t>
            </w:r>
          </w:p>
        </w:tc>
      </w:tr>
      <w:tr w:rsidR="00015492" w:rsidRPr="00995308" w14:paraId="5B2817D6" w14:textId="77777777" w:rsidTr="000F03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jc w:val="center"/>
        </w:trPr>
        <w:tc>
          <w:tcPr>
            <w:tcW w:w="5583" w:type="dxa"/>
            <w:shd w:val="clear" w:color="000000" w:fill="F2F2F2"/>
            <w:vAlign w:val="center"/>
          </w:tcPr>
          <w:p w14:paraId="0A0C10CA" w14:textId="408A7CFA" w:rsidR="00015492" w:rsidRPr="00255081" w:rsidRDefault="00015492" w:rsidP="004B170A">
            <w:pPr>
              <w:spacing w:after="120" w:line="240" w:lineRule="auto"/>
              <w:jc w:val="both"/>
              <w:rPr>
                <w:rFonts w:ascii="Montserrat" w:eastAsia="Times New Roman" w:hAnsi="Montserrat" w:cs="Calibri"/>
                <w:color w:val="000000"/>
                <w:sz w:val="15"/>
                <w:szCs w:val="15"/>
                <w:lang w:eastAsia="es-MX"/>
              </w:rPr>
            </w:pPr>
            <w:r w:rsidRPr="00255081">
              <w:rPr>
                <w:rFonts w:ascii="Montserrat" w:eastAsia="Times New Roman" w:hAnsi="Montserrat" w:cs="Calibri"/>
                <w:sz w:val="15"/>
                <w:szCs w:val="15"/>
                <w:lang w:eastAsia="es-MX"/>
              </w:rPr>
              <w:t>Administración Portuaria Integral de Dos Bocas, S.A. de C.V.</w:t>
            </w:r>
          </w:p>
        </w:tc>
        <w:tc>
          <w:tcPr>
            <w:tcW w:w="2463" w:type="dxa"/>
            <w:shd w:val="clear" w:color="000000" w:fill="F2F2F2"/>
            <w:noWrap/>
            <w:vAlign w:val="center"/>
          </w:tcPr>
          <w:p w14:paraId="0BECD048" w14:textId="1BE94D3A" w:rsidR="00015492" w:rsidRPr="00255081" w:rsidRDefault="00015492" w:rsidP="000A1B05">
            <w:pPr>
              <w:spacing w:after="120" w:line="240" w:lineRule="auto"/>
              <w:jc w:val="right"/>
              <w:rPr>
                <w:rFonts w:ascii="Montserrat" w:eastAsia="Times New Roman" w:hAnsi="Montserrat" w:cs="Calibri"/>
                <w:color w:val="000000"/>
                <w:sz w:val="15"/>
                <w:szCs w:val="15"/>
                <w:lang w:eastAsia="es-MX"/>
              </w:rPr>
            </w:pPr>
            <w:r w:rsidRPr="00255081">
              <w:rPr>
                <w:rFonts w:ascii="Montserrat" w:eastAsia="Times New Roman" w:hAnsi="Montserrat" w:cs="Calibri"/>
                <w:sz w:val="15"/>
                <w:szCs w:val="15"/>
                <w:lang w:eastAsia="es-MX"/>
              </w:rPr>
              <w:t>414,575,435</w:t>
            </w:r>
          </w:p>
        </w:tc>
        <w:tc>
          <w:tcPr>
            <w:tcW w:w="1192" w:type="dxa"/>
            <w:shd w:val="clear" w:color="000000" w:fill="F2F2F2"/>
            <w:noWrap/>
            <w:vAlign w:val="center"/>
          </w:tcPr>
          <w:p w14:paraId="16FF04CB" w14:textId="60446BB5" w:rsidR="00015492" w:rsidRPr="00255081" w:rsidRDefault="00015492" w:rsidP="000A1B05">
            <w:pPr>
              <w:spacing w:after="120" w:line="240" w:lineRule="auto"/>
              <w:jc w:val="right"/>
              <w:rPr>
                <w:rFonts w:ascii="Montserrat" w:eastAsia="Times New Roman" w:hAnsi="Montserrat" w:cs="Calibri"/>
                <w:color w:val="000000"/>
                <w:sz w:val="15"/>
                <w:szCs w:val="15"/>
                <w:lang w:eastAsia="es-MX"/>
              </w:rPr>
            </w:pPr>
            <w:r w:rsidRPr="00255081">
              <w:rPr>
                <w:rFonts w:ascii="Montserrat" w:eastAsia="Times New Roman" w:hAnsi="Montserrat" w:cs="Calibri"/>
                <w:sz w:val="15"/>
                <w:szCs w:val="15"/>
                <w:lang w:eastAsia="es-MX"/>
              </w:rPr>
              <w:t>60%</w:t>
            </w:r>
          </w:p>
        </w:tc>
        <w:tc>
          <w:tcPr>
            <w:tcW w:w="2558" w:type="dxa"/>
            <w:gridSpan w:val="2"/>
            <w:shd w:val="clear" w:color="000000" w:fill="F2F2F2"/>
            <w:noWrap/>
            <w:vAlign w:val="center"/>
          </w:tcPr>
          <w:p w14:paraId="5067A0C8" w14:textId="3BE4DD17" w:rsidR="00015492" w:rsidRPr="00255081" w:rsidRDefault="00015492" w:rsidP="000A1B05">
            <w:pPr>
              <w:spacing w:after="120" w:line="240" w:lineRule="auto"/>
              <w:jc w:val="right"/>
              <w:rPr>
                <w:rFonts w:ascii="Montserrat" w:eastAsia="Times New Roman" w:hAnsi="Montserrat" w:cs="Calibri"/>
                <w:color w:val="000000"/>
                <w:sz w:val="15"/>
                <w:szCs w:val="15"/>
                <w:lang w:eastAsia="es-MX"/>
              </w:rPr>
            </w:pPr>
            <w:r w:rsidRPr="00255081">
              <w:rPr>
                <w:rFonts w:ascii="Montserrat" w:eastAsia="Times New Roman" w:hAnsi="Montserrat" w:cs="Calibri"/>
                <w:sz w:val="15"/>
                <w:szCs w:val="15"/>
                <w:lang w:eastAsia="es-MX"/>
              </w:rPr>
              <w:t>248,745,261</w:t>
            </w:r>
          </w:p>
        </w:tc>
      </w:tr>
      <w:tr w:rsidR="00015492" w:rsidRPr="00995308" w14:paraId="212C5692" w14:textId="77777777" w:rsidTr="000F03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jc w:val="center"/>
        </w:trPr>
        <w:tc>
          <w:tcPr>
            <w:tcW w:w="5583" w:type="dxa"/>
            <w:shd w:val="clear" w:color="000000" w:fill="F2F2F2"/>
            <w:vAlign w:val="center"/>
          </w:tcPr>
          <w:p w14:paraId="2C27586A" w14:textId="56028921" w:rsidR="00015492" w:rsidRPr="00255081" w:rsidRDefault="00015492" w:rsidP="004B170A">
            <w:pPr>
              <w:spacing w:after="120" w:line="240" w:lineRule="auto"/>
              <w:jc w:val="both"/>
              <w:rPr>
                <w:rFonts w:ascii="Montserrat" w:eastAsia="Times New Roman" w:hAnsi="Montserrat" w:cs="Calibri"/>
                <w:color w:val="000000"/>
                <w:sz w:val="15"/>
                <w:szCs w:val="15"/>
                <w:lang w:eastAsia="es-MX"/>
              </w:rPr>
            </w:pPr>
            <w:r w:rsidRPr="00255081">
              <w:rPr>
                <w:rFonts w:ascii="Montserrat" w:eastAsia="Times New Roman" w:hAnsi="Montserrat" w:cs="Calibri"/>
                <w:sz w:val="15"/>
                <w:szCs w:val="15"/>
                <w:lang w:eastAsia="es-MX"/>
              </w:rPr>
              <w:t>Administración Portuaria Integral de Ensenada, S.A. de C.V.</w:t>
            </w:r>
          </w:p>
        </w:tc>
        <w:tc>
          <w:tcPr>
            <w:tcW w:w="2463" w:type="dxa"/>
            <w:shd w:val="clear" w:color="000000" w:fill="F2F2F2"/>
            <w:noWrap/>
            <w:vAlign w:val="center"/>
          </w:tcPr>
          <w:p w14:paraId="7C77B505" w14:textId="3A53A5A8" w:rsidR="00015492" w:rsidRPr="00255081" w:rsidRDefault="00015492" w:rsidP="000A1B05">
            <w:pPr>
              <w:spacing w:after="120" w:line="240" w:lineRule="auto"/>
              <w:jc w:val="right"/>
              <w:rPr>
                <w:rFonts w:ascii="Montserrat" w:eastAsia="Times New Roman" w:hAnsi="Montserrat" w:cs="Calibri"/>
                <w:color w:val="000000"/>
                <w:sz w:val="15"/>
                <w:szCs w:val="15"/>
                <w:lang w:eastAsia="es-MX"/>
              </w:rPr>
            </w:pPr>
            <w:r w:rsidRPr="00255081">
              <w:rPr>
                <w:rFonts w:ascii="Montserrat" w:eastAsia="Times New Roman" w:hAnsi="Montserrat" w:cs="Calibri"/>
                <w:sz w:val="15"/>
                <w:szCs w:val="15"/>
                <w:lang w:eastAsia="es-MX"/>
              </w:rPr>
              <w:t>624,516,871</w:t>
            </w:r>
          </w:p>
        </w:tc>
        <w:tc>
          <w:tcPr>
            <w:tcW w:w="1192" w:type="dxa"/>
            <w:shd w:val="clear" w:color="000000" w:fill="F2F2F2"/>
            <w:noWrap/>
            <w:vAlign w:val="center"/>
          </w:tcPr>
          <w:p w14:paraId="17686AD8" w14:textId="360702BC" w:rsidR="00015492" w:rsidRPr="00255081" w:rsidRDefault="00015492" w:rsidP="000A1B05">
            <w:pPr>
              <w:spacing w:after="120" w:line="240" w:lineRule="auto"/>
              <w:jc w:val="right"/>
              <w:rPr>
                <w:rFonts w:ascii="Montserrat" w:eastAsia="Times New Roman" w:hAnsi="Montserrat" w:cs="Calibri"/>
                <w:color w:val="000000"/>
                <w:sz w:val="15"/>
                <w:szCs w:val="15"/>
                <w:lang w:eastAsia="es-MX"/>
              </w:rPr>
            </w:pPr>
            <w:r w:rsidRPr="00255081">
              <w:rPr>
                <w:rFonts w:ascii="Montserrat" w:eastAsia="Times New Roman" w:hAnsi="Montserrat" w:cs="Calibri"/>
                <w:sz w:val="15"/>
                <w:szCs w:val="15"/>
                <w:lang w:eastAsia="es-MX"/>
              </w:rPr>
              <w:t>99.99%</w:t>
            </w:r>
          </w:p>
        </w:tc>
        <w:tc>
          <w:tcPr>
            <w:tcW w:w="2558" w:type="dxa"/>
            <w:gridSpan w:val="2"/>
            <w:shd w:val="clear" w:color="000000" w:fill="F2F2F2"/>
            <w:noWrap/>
            <w:vAlign w:val="center"/>
          </w:tcPr>
          <w:p w14:paraId="1BD794D9" w14:textId="4600C4EE" w:rsidR="00015492" w:rsidRPr="00255081" w:rsidRDefault="00015492" w:rsidP="000A1B05">
            <w:pPr>
              <w:spacing w:after="120" w:line="240" w:lineRule="auto"/>
              <w:jc w:val="right"/>
              <w:rPr>
                <w:rFonts w:ascii="Montserrat" w:eastAsia="Times New Roman" w:hAnsi="Montserrat" w:cs="Calibri"/>
                <w:color w:val="000000"/>
                <w:sz w:val="15"/>
                <w:szCs w:val="15"/>
                <w:lang w:eastAsia="es-MX"/>
              </w:rPr>
            </w:pPr>
            <w:r w:rsidRPr="00255081">
              <w:rPr>
                <w:rFonts w:ascii="Montserrat" w:eastAsia="Times New Roman" w:hAnsi="Montserrat" w:cs="Calibri"/>
                <w:sz w:val="15"/>
                <w:szCs w:val="15"/>
                <w:lang w:eastAsia="es-MX"/>
              </w:rPr>
              <w:t>624,454,419</w:t>
            </w:r>
          </w:p>
        </w:tc>
      </w:tr>
      <w:tr w:rsidR="00015492" w:rsidRPr="00995308" w14:paraId="36EFC532" w14:textId="77777777" w:rsidTr="000F03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jc w:val="center"/>
        </w:trPr>
        <w:tc>
          <w:tcPr>
            <w:tcW w:w="5583" w:type="dxa"/>
            <w:shd w:val="clear" w:color="000000" w:fill="F2F2F2"/>
            <w:vAlign w:val="center"/>
          </w:tcPr>
          <w:p w14:paraId="3D01F1C3" w14:textId="74FCB85B" w:rsidR="00015492" w:rsidRPr="00255081" w:rsidRDefault="00015492" w:rsidP="004B170A">
            <w:pPr>
              <w:spacing w:after="120" w:line="240" w:lineRule="auto"/>
              <w:jc w:val="both"/>
              <w:rPr>
                <w:rFonts w:ascii="Montserrat" w:eastAsia="Times New Roman" w:hAnsi="Montserrat" w:cs="Calibri"/>
                <w:color w:val="000000"/>
                <w:sz w:val="15"/>
                <w:szCs w:val="15"/>
                <w:lang w:eastAsia="es-MX"/>
              </w:rPr>
            </w:pPr>
            <w:r w:rsidRPr="00255081">
              <w:rPr>
                <w:rFonts w:ascii="Montserrat" w:eastAsia="Times New Roman" w:hAnsi="Montserrat" w:cs="Calibri"/>
                <w:sz w:val="15"/>
                <w:szCs w:val="15"/>
                <w:lang w:eastAsia="es-MX"/>
              </w:rPr>
              <w:t>Administración Portuaria Integral de Mazatlán, S.A. de C.V.</w:t>
            </w:r>
          </w:p>
        </w:tc>
        <w:tc>
          <w:tcPr>
            <w:tcW w:w="2463" w:type="dxa"/>
            <w:shd w:val="clear" w:color="000000" w:fill="F2F2F2"/>
            <w:noWrap/>
            <w:vAlign w:val="center"/>
          </w:tcPr>
          <w:p w14:paraId="0EA48DB3" w14:textId="1E396143" w:rsidR="00015492" w:rsidRPr="00255081" w:rsidRDefault="00015492" w:rsidP="000A1B05">
            <w:pPr>
              <w:spacing w:after="120" w:line="240" w:lineRule="auto"/>
              <w:jc w:val="right"/>
              <w:rPr>
                <w:rFonts w:ascii="Montserrat" w:eastAsia="Times New Roman" w:hAnsi="Montserrat" w:cs="Calibri"/>
                <w:color w:val="000000"/>
                <w:sz w:val="15"/>
                <w:szCs w:val="15"/>
                <w:lang w:eastAsia="es-MX"/>
              </w:rPr>
            </w:pPr>
            <w:r w:rsidRPr="00255081">
              <w:rPr>
                <w:rFonts w:ascii="Montserrat" w:eastAsia="Times New Roman" w:hAnsi="Montserrat" w:cs="Calibri"/>
                <w:sz w:val="15"/>
                <w:szCs w:val="15"/>
                <w:lang w:eastAsia="es-MX"/>
              </w:rPr>
              <w:t>483,015,570</w:t>
            </w:r>
          </w:p>
        </w:tc>
        <w:tc>
          <w:tcPr>
            <w:tcW w:w="1192" w:type="dxa"/>
            <w:shd w:val="clear" w:color="000000" w:fill="F2F2F2"/>
            <w:noWrap/>
            <w:vAlign w:val="center"/>
          </w:tcPr>
          <w:p w14:paraId="59DCC6EB" w14:textId="1A5517E4" w:rsidR="00015492" w:rsidRPr="00255081" w:rsidRDefault="00015492" w:rsidP="000A1B05">
            <w:pPr>
              <w:spacing w:after="120" w:line="240" w:lineRule="auto"/>
              <w:jc w:val="right"/>
              <w:rPr>
                <w:rFonts w:ascii="Montserrat" w:eastAsia="Times New Roman" w:hAnsi="Montserrat" w:cs="Calibri"/>
                <w:color w:val="000000"/>
                <w:sz w:val="15"/>
                <w:szCs w:val="15"/>
                <w:lang w:eastAsia="es-MX"/>
              </w:rPr>
            </w:pPr>
            <w:r w:rsidRPr="00255081">
              <w:rPr>
                <w:rFonts w:ascii="Montserrat" w:eastAsia="Times New Roman" w:hAnsi="Montserrat" w:cs="Calibri"/>
                <w:sz w:val="15"/>
                <w:szCs w:val="15"/>
                <w:lang w:eastAsia="es-MX"/>
              </w:rPr>
              <w:t>99.99%</w:t>
            </w:r>
          </w:p>
        </w:tc>
        <w:tc>
          <w:tcPr>
            <w:tcW w:w="2558" w:type="dxa"/>
            <w:gridSpan w:val="2"/>
            <w:shd w:val="clear" w:color="000000" w:fill="F2F2F2"/>
            <w:noWrap/>
            <w:vAlign w:val="center"/>
          </w:tcPr>
          <w:p w14:paraId="05C81CBC" w14:textId="4D82436B" w:rsidR="00015492" w:rsidRPr="00255081" w:rsidRDefault="00015492" w:rsidP="000A1B05">
            <w:pPr>
              <w:spacing w:after="120" w:line="240" w:lineRule="auto"/>
              <w:jc w:val="right"/>
              <w:rPr>
                <w:rFonts w:ascii="Montserrat" w:eastAsia="Times New Roman" w:hAnsi="Montserrat" w:cs="Calibri"/>
                <w:color w:val="000000"/>
                <w:sz w:val="15"/>
                <w:szCs w:val="15"/>
                <w:lang w:eastAsia="es-MX"/>
              </w:rPr>
            </w:pPr>
            <w:r w:rsidRPr="00255081">
              <w:rPr>
                <w:rFonts w:ascii="Montserrat" w:eastAsia="Times New Roman" w:hAnsi="Montserrat" w:cs="Calibri"/>
                <w:sz w:val="15"/>
                <w:szCs w:val="15"/>
                <w:lang w:eastAsia="es-MX"/>
              </w:rPr>
              <w:t>482,967,268</w:t>
            </w:r>
          </w:p>
        </w:tc>
      </w:tr>
      <w:tr w:rsidR="00015492" w:rsidRPr="00995308" w14:paraId="12E781BC" w14:textId="77777777" w:rsidTr="000F03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jc w:val="center"/>
        </w:trPr>
        <w:tc>
          <w:tcPr>
            <w:tcW w:w="5583" w:type="dxa"/>
            <w:shd w:val="clear" w:color="000000" w:fill="F2F2F2"/>
            <w:vAlign w:val="center"/>
          </w:tcPr>
          <w:p w14:paraId="276CD78C" w14:textId="1961458D" w:rsidR="00015492" w:rsidRPr="00255081" w:rsidRDefault="00015492" w:rsidP="004B170A">
            <w:pPr>
              <w:spacing w:after="120" w:line="240" w:lineRule="auto"/>
              <w:jc w:val="both"/>
              <w:rPr>
                <w:rFonts w:ascii="Montserrat" w:eastAsia="Times New Roman" w:hAnsi="Montserrat" w:cs="Calibri"/>
                <w:color w:val="000000"/>
                <w:sz w:val="15"/>
                <w:szCs w:val="15"/>
                <w:lang w:eastAsia="es-MX"/>
              </w:rPr>
            </w:pPr>
            <w:r w:rsidRPr="00255081">
              <w:rPr>
                <w:rFonts w:ascii="Montserrat" w:eastAsia="Times New Roman" w:hAnsi="Montserrat" w:cs="Calibri"/>
                <w:sz w:val="15"/>
                <w:szCs w:val="15"/>
                <w:lang w:eastAsia="es-MX"/>
              </w:rPr>
              <w:t>Administración Portuaria Integral de Progreso, S.A. de C.V.</w:t>
            </w:r>
          </w:p>
        </w:tc>
        <w:tc>
          <w:tcPr>
            <w:tcW w:w="2463" w:type="dxa"/>
            <w:shd w:val="clear" w:color="000000" w:fill="F2F2F2"/>
            <w:noWrap/>
            <w:vAlign w:val="center"/>
          </w:tcPr>
          <w:p w14:paraId="1595DB2C" w14:textId="43B5F85B" w:rsidR="00015492" w:rsidRPr="00255081" w:rsidRDefault="00015492" w:rsidP="000A1B05">
            <w:pPr>
              <w:spacing w:after="120" w:line="240" w:lineRule="auto"/>
              <w:jc w:val="right"/>
              <w:rPr>
                <w:rFonts w:ascii="Montserrat" w:eastAsia="Times New Roman" w:hAnsi="Montserrat" w:cs="Calibri"/>
                <w:color w:val="000000"/>
                <w:sz w:val="15"/>
                <w:szCs w:val="15"/>
                <w:lang w:eastAsia="es-MX"/>
              </w:rPr>
            </w:pPr>
            <w:r w:rsidRPr="00255081">
              <w:rPr>
                <w:rFonts w:ascii="Montserrat" w:eastAsia="Times New Roman" w:hAnsi="Montserrat" w:cs="Calibri"/>
                <w:sz w:val="15"/>
                <w:szCs w:val="15"/>
                <w:lang w:eastAsia="es-MX"/>
              </w:rPr>
              <w:t>943,945,685</w:t>
            </w:r>
          </w:p>
        </w:tc>
        <w:tc>
          <w:tcPr>
            <w:tcW w:w="1192" w:type="dxa"/>
            <w:shd w:val="clear" w:color="000000" w:fill="F2F2F2"/>
            <w:noWrap/>
            <w:vAlign w:val="center"/>
          </w:tcPr>
          <w:p w14:paraId="3105DB23" w14:textId="3705957F" w:rsidR="00015492" w:rsidRPr="00255081" w:rsidRDefault="00015492" w:rsidP="000A1B05">
            <w:pPr>
              <w:spacing w:after="120" w:line="240" w:lineRule="auto"/>
              <w:jc w:val="right"/>
              <w:rPr>
                <w:rFonts w:ascii="Montserrat" w:eastAsia="Times New Roman" w:hAnsi="Montserrat" w:cs="Calibri"/>
                <w:color w:val="000000"/>
                <w:sz w:val="15"/>
                <w:szCs w:val="15"/>
                <w:lang w:eastAsia="es-MX"/>
              </w:rPr>
            </w:pPr>
            <w:r w:rsidRPr="00255081">
              <w:rPr>
                <w:rFonts w:ascii="Montserrat" w:eastAsia="Times New Roman" w:hAnsi="Montserrat" w:cs="Calibri"/>
                <w:sz w:val="15"/>
                <w:szCs w:val="15"/>
                <w:lang w:eastAsia="es-MX"/>
              </w:rPr>
              <w:t>100%</w:t>
            </w:r>
          </w:p>
        </w:tc>
        <w:tc>
          <w:tcPr>
            <w:tcW w:w="2558" w:type="dxa"/>
            <w:gridSpan w:val="2"/>
            <w:shd w:val="clear" w:color="000000" w:fill="F2F2F2"/>
            <w:noWrap/>
            <w:vAlign w:val="center"/>
          </w:tcPr>
          <w:p w14:paraId="48B49160" w14:textId="6C450C31" w:rsidR="00015492" w:rsidRPr="00255081" w:rsidRDefault="00015492" w:rsidP="000A1B05">
            <w:pPr>
              <w:spacing w:after="120" w:line="240" w:lineRule="auto"/>
              <w:jc w:val="right"/>
              <w:rPr>
                <w:rFonts w:ascii="Montserrat" w:eastAsia="Times New Roman" w:hAnsi="Montserrat" w:cs="Calibri"/>
                <w:color w:val="000000"/>
                <w:sz w:val="15"/>
                <w:szCs w:val="15"/>
                <w:lang w:eastAsia="es-MX"/>
              </w:rPr>
            </w:pPr>
            <w:r w:rsidRPr="00255081">
              <w:rPr>
                <w:rFonts w:ascii="Montserrat" w:eastAsia="Times New Roman" w:hAnsi="Montserrat" w:cs="Calibri"/>
                <w:sz w:val="15"/>
                <w:szCs w:val="15"/>
                <w:lang w:eastAsia="es-MX"/>
              </w:rPr>
              <w:t>943,945,685</w:t>
            </w:r>
          </w:p>
        </w:tc>
      </w:tr>
      <w:tr w:rsidR="00015492" w:rsidRPr="00995308" w14:paraId="5BFC4092" w14:textId="77777777" w:rsidTr="000F03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jc w:val="center"/>
        </w:trPr>
        <w:tc>
          <w:tcPr>
            <w:tcW w:w="5583" w:type="dxa"/>
            <w:shd w:val="clear" w:color="000000" w:fill="F2F2F2"/>
            <w:vAlign w:val="center"/>
          </w:tcPr>
          <w:p w14:paraId="5668B55B" w14:textId="2FF19296" w:rsidR="00015492" w:rsidRPr="00255081" w:rsidRDefault="00015492" w:rsidP="004B170A">
            <w:pPr>
              <w:spacing w:after="120" w:line="240" w:lineRule="auto"/>
              <w:jc w:val="both"/>
              <w:rPr>
                <w:rFonts w:ascii="Montserrat" w:eastAsia="Times New Roman" w:hAnsi="Montserrat" w:cs="Calibri"/>
                <w:color w:val="000000"/>
                <w:sz w:val="15"/>
                <w:szCs w:val="15"/>
                <w:lang w:eastAsia="es-MX"/>
              </w:rPr>
            </w:pPr>
            <w:r w:rsidRPr="00255081">
              <w:rPr>
                <w:rFonts w:ascii="Montserrat" w:eastAsia="Times New Roman" w:hAnsi="Montserrat" w:cs="Calibri"/>
                <w:sz w:val="15"/>
                <w:szCs w:val="15"/>
                <w:lang w:eastAsia="es-MX"/>
              </w:rPr>
              <w:t>Administración Portuaria Integral de Puerto Vallarta, S.A. de C.V.</w:t>
            </w:r>
          </w:p>
        </w:tc>
        <w:tc>
          <w:tcPr>
            <w:tcW w:w="2463" w:type="dxa"/>
            <w:shd w:val="clear" w:color="000000" w:fill="F2F2F2"/>
            <w:noWrap/>
            <w:vAlign w:val="center"/>
          </w:tcPr>
          <w:p w14:paraId="0A023669" w14:textId="619155CA" w:rsidR="00015492" w:rsidRPr="00255081" w:rsidRDefault="00015492" w:rsidP="000A1B05">
            <w:pPr>
              <w:spacing w:after="120" w:line="240" w:lineRule="auto"/>
              <w:jc w:val="right"/>
              <w:rPr>
                <w:rFonts w:ascii="Montserrat" w:eastAsia="Times New Roman" w:hAnsi="Montserrat" w:cs="Calibri"/>
                <w:color w:val="000000"/>
                <w:sz w:val="15"/>
                <w:szCs w:val="15"/>
                <w:lang w:eastAsia="es-MX"/>
              </w:rPr>
            </w:pPr>
            <w:r w:rsidRPr="00255081">
              <w:rPr>
                <w:rFonts w:ascii="Montserrat" w:eastAsia="Times New Roman" w:hAnsi="Montserrat" w:cs="Calibri"/>
                <w:sz w:val="15"/>
                <w:szCs w:val="15"/>
                <w:lang w:eastAsia="es-MX"/>
              </w:rPr>
              <w:t>275,759,206</w:t>
            </w:r>
          </w:p>
        </w:tc>
        <w:tc>
          <w:tcPr>
            <w:tcW w:w="1192" w:type="dxa"/>
            <w:shd w:val="clear" w:color="000000" w:fill="F2F2F2"/>
            <w:noWrap/>
            <w:vAlign w:val="center"/>
          </w:tcPr>
          <w:p w14:paraId="11EDFF2A" w14:textId="1F95034C" w:rsidR="00015492" w:rsidRPr="00255081" w:rsidRDefault="00015492" w:rsidP="000A1B05">
            <w:pPr>
              <w:spacing w:after="120" w:line="240" w:lineRule="auto"/>
              <w:jc w:val="right"/>
              <w:rPr>
                <w:rFonts w:ascii="Montserrat" w:eastAsia="Times New Roman" w:hAnsi="Montserrat" w:cs="Calibri"/>
                <w:color w:val="000000"/>
                <w:sz w:val="15"/>
                <w:szCs w:val="15"/>
                <w:lang w:eastAsia="es-MX"/>
              </w:rPr>
            </w:pPr>
            <w:r w:rsidRPr="00255081">
              <w:rPr>
                <w:rFonts w:ascii="Montserrat" w:eastAsia="Times New Roman" w:hAnsi="Montserrat" w:cs="Calibri"/>
                <w:sz w:val="15"/>
                <w:szCs w:val="15"/>
                <w:lang w:eastAsia="es-MX"/>
              </w:rPr>
              <w:t>100%</w:t>
            </w:r>
          </w:p>
        </w:tc>
        <w:tc>
          <w:tcPr>
            <w:tcW w:w="2558" w:type="dxa"/>
            <w:gridSpan w:val="2"/>
            <w:shd w:val="clear" w:color="000000" w:fill="F2F2F2"/>
            <w:noWrap/>
            <w:vAlign w:val="center"/>
          </w:tcPr>
          <w:p w14:paraId="72629764" w14:textId="32AC3714" w:rsidR="00015492" w:rsidRPr="00255081" w:rsidRDefault="00015492" w:rsidP="000A1B05">
            <w:pPr>
              <w:spacing w:after="120" w:line="240" w:lineRule="auto"/>
              <w:jc w:val="right"/>
              <w:rPr>
                <w:rFonts w:ascii="Montserrat" w:eastAsia="Times New Roman" w:hAnsi="Montserrat" w:cs="Calibri"/>
                <w:color w:val="000000"/>
                <w:sz w:val="15"/>
                <w:szCs w:val="15"/>
                <w:lang w:eastAsia="es-MX"/>
              </w:rPr>
            </w:pPr>
            <w:r w:rsidRPr="00255081">
              <w:rPr>
                <w:rFonts w:ascii="Montserrat" w:eastAsia="Times New Roman" w:hAnsi="Montserrat" w:cs="Calibri"/>
                <w:sz w:val="15"/>
                <w:szCs w:val="15"/>
                <w:lang w:eastAsia="es-MX"/>
              </w:rPr>
              <w:t>275,759,206</w:t>
            </w:r>
          </w:p>
        </w:tc>
      </w:tr>
      <w:tr w:rsidR="00015492" w:rsidRPr="00995308" w14:paraId="761D8BD5" w14:textId="77777777" w:rsidTr="000F03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jc w:val="center"/>
        </w:trPr>
        <w:tc>
          <w:tcPr>
            <w:tcW w:w="5583" w:type="dxa"/>
            <w:shd w:val="clear" w:color="000000" w:fill="F2F2F2"/>
            <w:vAlign w:val="center"/>
          </w:tcPr>
          <w:p w14:paraId="7746084A" w14:textId="13C9C426" w:rsidR="00015492" w:rsidRPr="00255081" w:rsidRDefault="00015492" w:rsidP="004B170A">
            <w:pPr>
              <w:spacing w:after="120" w:line="240" w:lineRule="auto"/>
              <w:jc w:val="both"/>
              <w:rPr>
                <w:rFonts w:ascii="Montserrat" w:eastAsia="Times New Roman" w:hAnsi="Montserrat" w:cs="Calibri"/>
                <w:color w:val="000000"/>
                <w:sz w:val="15"/>
                <w:szCs w:val="15"/>
                <w:lang w:eastAsia="es-MX"/>
              </w:rPr>
            </w:pPr>
            <w:r w:rsidRPr="00255081">
              <w:rPr>
                <w:rFonts w:ascii="Montserrat" w:eastAsia="Times New Roman" w:hAnsi="Montserrat" w:cs="Calibri"/>
                <w:sz w:val="15"/>
                <w:szCs w:val="15"/>
                <w:lang w:eastAsia="es-MX"/>
              </w:rPr>
              <w:t>Administración Portuaria Integral de Topolobampo, S.A. de C.V.</w:t>
            </w:r>
          </w:p>
        </w:tc>
        <w:tc>
          <w:tcPr>
            <w:tcW w:w="2463" w:type="dxa"/>
            <w:shd w:val="clear" w:color="000000" w:fill="F2F2F2"/>
            <w:noWrap/>
            <w:vAlign w:val="center"/>
          </w:tcPr>
          <w:p w14:paraId="54B8E443" w14:textId="3E769D07" w:rsidR="00015492" w:rsidRPr="00255081" w:rsidRDefault="00015492" w:rsidP="000A1B05">
            <w:pPr>
              <w:spacing w:after="120" w:line="240" w:lineRule="auto"/>
              <w:jc w:val="right"/>
              <w:rPr>
                <w:rFonts w:ascii="Montserrat" w:eastAsia="Times New Roman" w:hAnsi="Montserrat" w:cs="Calibri"/>
                <w:color w:val="000000"/>
                <w:sz w:val="15"/>
                <w:szCs w:val="15"/>
                <w:lang w:eastAsia="es-MX"/>
              </w:rPr>
            </w:pPr>
            <w:r w:rsidRPr="00255081">
              <w:rPr>
                <w:rFonts w:ascii="Montserrat" w:eastAsia="Times New Roman" w:hAnsi="Montserrat" w:cs="Calibri"/>
                <w:sz w:val="15"/>
                <w:szCs w:val="15"/>
                <w:lang w:eastAsia="es-MX"/>
              </w:rPr>
              <w:t>786,993,152</w:t>
            </w:r>
          </w:p>
        </w:tc>
        <w:tc>
          <w:tcPr>
            <w:tcW w:w="1192" w:type="dxa"/>
            <w:shd w:val="clear" w:color="000000" w:fill="F2F2F2"/>
            <w:noWrap/>
            <w:vAlign w:val="center"/>
          </w:tcPr>
          <w:p w14:paraId="5419AF09" w14:textId="6772EA5C" w:rsidR="00015492" w:rsidRPr="00255081" w:rsidRDefault="00015492" w:rsidP="000A1B05">
            <w:pPr>
              <w:spacing w:after="120" w:line="240" w:lineRule="auto"/>
              <w:jc w:val="right"/>
              <w:rPr>
                <w:rFonts w:ascii="Montserrat" w:eastAsia="Times New Roman" w:hAnsi="Montserrat" w:cs="Calibri"/>
                <w:color w:val="000000"/>
                <w:sz w:val="15"/>
                <w:szCs w:val="15"/>
                <w:lang w:eastAsia="es-MX"/>
              </w:rPr>
            </w:pPr>
            <w:r w:rsidRPr="00255081">
              <w:rPr>
                <w:rFonts w:ascii="Montserrat" w:eastAsia="Times New Roman" w:hAnsi="Montserrat" w:cs="Calibri"/>
                <w:sz w:val="15"/>
                <w:szCs w:val="15"/>
                <w:lang w:eastAsia="es-MX"/>
              </w:rPr>
              <w:t>99.99%</w:t>
            </w:r>
          </w:p>
        </w:tc>
        <w:tc>
          <w:tcPr>
            <w:tcW w:w="2558" w:type="dxa"/>
            <w:gridSpan w:val="2"/>
            <w:shd w:val="clear" w:color="000000" w:fill="F2F2F2"/>
            <w:noWrap/>
            <w:vAlign w:val="center"/>
          </w:tcPr>
          <w:p w14:paraId="785CDE28" w14:textId="3E95BCF0" w:rsidR="00015492" w:rsidRPr="00255081" w:rsidRDefault="00015492" w:rsidP="000A1B05">
            <w:pPr>
              <w:spacing w:after="120" w:line="240" w:lineRule="auto"/>
              <w:jc w:val="right"/>
              <w:rPr>
                <w:rFonts w:ascii="Montserrat" w:eastAsia="Times New Roman" w:hAnsi="Montserrat" w:cs="Calibri"/>
                <w:color w:val="000000"/>
                <w:sz w:val="15"/>
                <w:szCs w:val="15"/>
                <w:lang w:eastAsia="es-MX"/>
              </w:rPr>
            </w:pPr>
            <w:r w:rsidRPr="00255081">
              <w:rPr>
                <w:rFonts w:ascii="Montserrat" w:eastAsia="Times New Roman" w:hAnsi="Montserrat" w:cs="Calibri"/>
                <w:sz w:val="15"/>
                <w:szCs w:val="15"/>
                <w:lang w:eastAsia="es-MX"/>
              </w:rPr>
              <w:t>786,914,453</w:t>
            </w:r>
          </w:p>
        </w:tc>
      </w:tr>
      <w:tr w:rsidR="00015492" w:rsidRPr="004667B8" w14:paraId="401C6FE6" w14:textId="77777777" w:rsidTr="000F03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jc w:val="center"/>
        </w:trPr>
        <w:tc>
          <w:tcPr>
            <w:tcW w:w="5583" w:type="dxa"/>
            <w:shd w:val="clear" w:color="000000" w:fill="F2F2F2"/>
            <w:vAlign w:val="center"/>
          </w:tcPr>
          <w:p w14:paraId="668A6B1B" w14:textId="2F3D7AEE" w:rsidR="00015492" w:rsidRPr="00255081" w:rsidRDefault="00015492" w:rsidP="004B170A">
            <w:pPr>
              <w:spacing w:after="120" w:line="240" w:lineRule="auto"/>
              <w:jc w:val="both"/>
              <w:rPr>
                <w:rFonts w:ascii="Montserrat" w:eastAsia="Times New Roman" w:hAnsi="Montserrat" w:cs="Calibri"/>
                <w:color w:val="000000"/>
                <w:sz w:val="15"/>
                <w:szCs w:val="15"/>
                <w:lang w:eastAsia="es-MX"/>
              </w:rPr>
            </w:pPr>
            <w:r w:rsidRPr="00255081">
              <w:rPr>
                <w:rFonts w:ascii="Montserrat" w:eastAsia="Times New Roman" w:hAnsi="Montserrat" w:cs="Calibri"/>
                <w:sz w:val="15"/>
                <w:szCs w:val="15"/>
                <w:lang w:eastAsia="es-MX"/>
              </w:rPr>
              <w:t>Administración Portuaria Integral de Tuxpan, S.A. de C.V.</w:t>
            </w:r>
          </w:p>
        </w:tc>
        <w:tc>
          <w:tcPr>
            <w:tcW w:w="2463" w:type="dxa"/>
            <w:shd w:val="clear" w:color="000000" w:fill="F2F2F2"/>
            <w:noWrap/>
            <w:vAlign w:val="center"/>
          </w:tcPr>
          <w:p w14:paraId="673BC70B" w14:textId="64A1CDFB" w:rsidR="00015492" w:rsidRPr="00255081" w:rsidRDefault="00015492" w:rsidP="000A1B05">
            <w:pPr>
              <w:spacing w:after="120" w:line="240" w:lineRule="auto"/>
              <w:jc w:val="right"/>
              <w:rPr>
                <w:rFonts w:ascii="Montserrat" w:eastAsia="Times New Roman" w:hAnsi="Montserrat" w:cs="Calibri"/>
                <w:color w:val="000000"/>
                <w:sz w:val="15"/>
                <w:szCs w:val="15"/>
                <w:lang w:eastAsia="es-MX"/>
              </w:rPr>
            </w:pPr>
            <w:r w:rsidRPr="00255081">
              <w:rPr>
                <w:rFonts w:ascii="Montserrat" w:eastAsia="Times New Roman" w:hAnsi="Montserrat" w:cs="Calibri"/>
                <w:sz w:val="15"/>
                <w:szCs w:val="15"/>
                <w:lang w:eastAsia="es-MX"/>
              </w:rPr>
              <w:t>447,818,753</w:t>
            </w:r>
          </w:p>
        </w:tc>
        <w:tc>
          <w:tcPr>
            <w:tcW w:w="1192" w:type="dxa"/>
            <w:shd w:val="clear" w:color="000000" w:fill="F2F2F2"/>
            <w:noWrap/>
            <w:vAlign w:val="center"/>
          </w:tcPr>
          <w:p w14:paraId="7B4FE1D6" w14:textId="2E680800" w:rsidR="00015492" w:rsidRPr="00255081" w:rsidRDefault="00015492" w:rsidP="000A1B05">
            <w:pPr>
              <w:spacing w:after="120" w:line="240" w:lineRule="auto"/>
              <w:jc w:val="right"/>
              <w:rPr>
                <w:rFonts w:ascii="Montserrat" w:eastAsia="Times New Roman" w:hAnsi="Montserrat" w:cs="Calibri"/>
                <w:color w:val="000000"/>
                <w:sz w:val="15"/>
                <w:szCs w:val="15"/>
                <w:lang w:eastAsia="es-MX"/>
              </w:rPr>
            </w:pPr>
            <w:r w:rsidRPr="00255081">
              <w:rPr>
                <w:rFonts w:ascii="Montserrat" w:eastAsia="Times New Roman" w:hAnsi="Montserrat" w:cs="Calibri"/>
                <w:sz w:val="15"/>
                <w:szCs w:val="15"/>
                <w:lang w:eastAsia="es-MX"/>
              </w:rPr>
              <w:t>100%</w:t>
            </w:r>
          </w:p>
        </w:tc>
        <w:tc>
          <w:tcPr>
            <w:tcW w:w="2558" w:type="dxa"/>
            <w:gridSpan w:val="2"/>
            <w:shd w:val="clear" w:color="000000" w:fill="F2F2F2"/>
            <w:noWrap/>
            <w:vAlign w:val="center"/>
          </w:tcPr>
          <w:p w14:paraId="4297BDB6" w14:textId="6807BE77" w:rsidR="00015492" w:rsidRPr="00255081" w:rsidRDefault="00015492" w:rsidP="000A1B05">
            <w:pPr>
              <w:spacing w:after="120" w:line="240" w:lineRule="auto"/>
              <w:jc w:val="right"/>
              <w:rPr>
                <w:rFonts w:ascii="Montserrat" w:eastAsia="Times New Roman" w:hAnsi="Montserrat" w:cs="Calibri"/>
                <w:color w:val="000000"/>
                <w:sz w:val="15"/>
                <w:szCs w:val="15"/>
                <w:lang w:eastAsia="es-MX"/>
              </w:rPr>
            </w:pPr>
            <w:r w:rsidRPr="00255081">
              <w:rPr>
                <w:rFonts w:ascii="Montserrat" w:eastAsia="Times New Roman" w:hAnsi="Montserrat" w:cs="Calibri"/>
                <w:sz w:val="15"/>
                <w:szCs w:val="15"/>
                <w:lang w:eastAsia="es-MX"/>
              </w:rPr>
              <w:t>447,818,753</w:t>
            </w:r>
          </w:p>
        </w:tc>
      </w:tr>
      <w:tr w:rsidR="00015492" w:rsidRPr="00995308" w14:paraId="0DDB520C" w14:textId="77777777" w:rsidTr="000F03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jc w:val="center"/>
        </w:trPr>
        <w:tc>
          <w:tcPr>
            <w:tcW w:w="5583" w:type="dxa"/>
            <w:shd w:val="clear" w:color="000000" w:fill="F2F2F2"/>
            <w:vAlign w:val="center"/>
          </w:tcPr>
          <w:p w14:paraId="1DFDB195" w14:textId="0C22CC9A" w:rsidR="00015492" w:rsidRPr="00255081" w:rsidRDefault="00015492" w:rsidP="004B170A">
            <w:pPr>
              <w:spacing w:after="120" w:line="240" w:lineRule="auto"/>
              <w:jc w:val="both"/>
              <w:rPr>
                <w:rFonts w:ascii="Montserrat" w:eastAsia="Times New Roman" w:hAnsi="Montserrat" w:cs="Calibri"/>
                <w:color w:val="000000"/>
                <w:sz w:val="15"/>
                <w:szCs w:val="15"/>
                <w:lang w:eastAsia="es-MX"/>
              </w:rPr>
            </w:pPr>
            <w:r w:rsidRPr="00255081">
              <w:rPr>
                <w:rFonts w:ascii="Montserrat" w:eastAsia="Times New Roman" w:hAnsi="Montserrat" w:cs="Calibri"/>
                <w:sz w:val="15"/>
                <w:szCs w:val="15"/>
                <w:lang w:eastAsia="es-MX"/>
              </w:rPr>
              <w:t>Administración Portuaria Integral de Altamira, S.A. de C.V.</w:t>
            </w:r>
          </w:p>
        </w:tc>
        <w:tc>
          <w:tcPr>
            <w:tcW w:w="2463" w:type="dxa"/>
            <w:shd w:val="clear" w:color="000000" w:fill="F2F2F2"/>
            <w:noWrap/>
            <w:vAlign w:val="center"/>
          </w:tcPr>
          <w:p w14:paraId="2892719B" w14:textId="2E0FDC9B" w:rsidR="00015492" w:rsidRPr="00255081" w:rsidRDefault="00015492" w:rsidP="000A1B05">
            <w:pPr>
              <w:spacing w:after="120" w:line="240" w:lineRule="auto"/>
              <w:jc w:val="right"/>
              <w:rPr>
                <w:rFonts w:ascii="Montserrat" w:eastAsia="Times New Roman" w:hAnsi="Montserrat" w:cs="Calibri"/>
                <w:color w:val="000000"/>
                <w:sz w:val="15"/>
                <w:szCs w:val="15"/>
                <w:lang w:eastAsia="es-MX"/>
              </w:rPr>
            </w:pPr>
            <w:r w:rsidRPr="00255081">
              <w:rPr>
                <w:rFonts w:ascii="Montserrat" w:eastAsia="Times New Roman" w:hAnsi="Montserrat" w:cs="Calibri"/>
                <w:sz w:val="15"/>
                <w:szCs w:val="15"/>
                <w:lang w:eastAsia="es-MX"/>
              </w:rPr>
              <w:t>3,153,986,018</w:t>
            </w:r>
          </w:p>
        </w:tc>
        <w:tc>
          <w:tcPr>
            <w:tcW w:w="1192" w:type="dxa"/>
            <w:shd w:val="clear" w:color="000000" w:fill="F2F2F2"/>
            <w:noWrap/>
            <w:vAlign w:val="center"/>
          </w:tcPr>
          <w:p w14:paraId="151CFDEF" w14:textId="318EE3AD" w:rsidR="00015492" w:rsidRPr="00255081" w:rsidRDefault="00015492" w:rsidP="000A1B05">
            <w:pPr>
              <w:spacing w:after="120" w:line="240" w:lineRule="auto"/>
              <w:jc w:val="right"/>
              <w:rPr>
                <w:rFonts w:ascii="Montserrat" w:eastAsia="Times New Roman" w:hAnsi="Montserrat" w:cs="Calibri"/>
                <w:color w:val="000000"/>
                <w:sz w:val="15"/>
                <w:szCs w:val="15"/>
                <w:lang w:eastAsia="es-MX"/>
              </w:rPr>
            </w:pPr>
            <w:r w:rsidRPr="00255081">
              <w:rPr>
                <w:rFonts w:ascii="Montserrat" w:eastAsia="Times New Roman" w:hAnsi="Montserrat" w:cs="Calibri"/>
                <w:sz w:val="15"/>
                <w:szCs w:val="15"/>
                <w:lang w:eastAsia="es-MX"/>
              </w:rPr>
              <w:t>99.99%</w:t>
            </w:r>
          </w:p>
        </w:tc>
        <w:tc>
          <w:tcPr>
            <w:tcW w:w="2558" w:type="dxa"/>
            <w:gridSpan w:val="2"/>
            <w:shd w:val="clear" w:color="000000" w:fill="F2F2F2"/>
            <w:noWrap/>
            <w:vAlign w:val="center"/>
          </w:tcPr>
          <w:p w14:paraId="14467D43" w14:textId="51C1349F" w:rsidR="00015492" w:rsidRPr="00255081" w:rsidRDefault="00015492" w:rsidP="000A1B05">
            <w:pPr>
              <w:spacing w:after="120" w:line="240" w:lineRule="auto"/>
              <w:jc w:val="right"/>
              <w:rPr>
                <w:rFonts w:ascii="Montserrat" w:eastAsia="Times New Roman" w:hAnsi="Montserrat" w:cs="Calibri"/>
                <w:color w:val="000000"/>
                <w:sz w:val="15"/>
                <w:szCs w:val="15"/>
                <w:lang w:eastAsia="es-MX"/>
              </w:rPr>
            </w:pPr>
            <w:r w:rsidRPr="00255081">
              <w:rPr>
                <w:rFonts w:ascii="Montserrat" w:eastAsia="Times New Roman" w:hAnsi="Montserrat" w:cs="Calibri"/>
                <w:sz w:val="15"/>
                <w:szCs w:val="15"/>
                <w:lang w:eastAsia="es-MX"/>
              </w:rPr>
              <w:t>3,153,670,619</w:t>
            </w:r>
          </w:p>
        </w:tc>
      </w:tr>
      <w:tr w:rsidR="00015492" w:rsidRPr="00995308" w14:paraId="436B32AD" w14:textId="77777777" w:rsidTr="000F03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jc w:val="center"/>
        </w:trPr>
        <w:tc>
          <w:tcPr>
            <w:tcW w:w="5583" w:type="dxa"/>
            <w:shd w:val="clear" w:color="000000" w:fill="F2F2F2"/>
            <w:vAlign w:val="center"/>
          </w:tcPr>
          <w:p w14:paraId="31E74172" w14:textId="7C0C8A41" w:rsidR="00015492" w:rsidRPr="00255081" w:rsidRDefault="00015492" w:rsidP="004B170A">
            <w:pPr>
              <w:spacing w:after="120" w:line="240" w:lineRule="auto"/>
              <w:jc w:val="both"/>
              <w:rPr>
                <w:rFonts w:ascii="Montserrat" w:eastAsia="Times New Roman" w:hAnsi="Montserrat" w:cs="Calibri"/>
                <w:color w:val="000000"/>
                <w:sz w:val="15"/>
                <w:szCs w:val="15"/>
                <w:lang w:eastAsia="es-MX"/>
              </w:rPr>
            </w:pPr>
            <w:r w:rsidRPr="00255081">
              <w:rPr>
                <w:rFonts w:ascii="Montserrat" w:eastAsia="Times New Roman" w:hAnsi="Montserrat" w:cs="Calibri"/>
                <w:sz w:val="15"/>
                <w:szCs w:val="15"/>
                <w:lang w:eastAsia="es-MX"/>
              </w:rPr>
              <w:t>Administración Portuaria Integral de Guaymas, S.A. de C.V.</w:t>
            </w:r>
          </w:p>
        </w:tc>
        <w:tc>
          <w:tcPr>
            <w:tcW w:w="2463" w:type="dxa"/>
            <w:shd w:val="clear" w:color="000000" w:fill="F2F2F2"/>
            <w:noWrap/>
            <w:vAlign w:val="center"/>
          </w:tcPr>
          <w:p w14:paraId="0FC676E7" w14:textId="0820DF4B" w:rsidR="00015492" w:rsidRPr="00255081" w:rsidRDefault="00015492" w:rsidP="000A1B05">
            <w:pPr>
              <w:spacing w:after="120" w:line="240" w:lineRule="auto"/>
              <w:jc w:val="right"/>
              <w:rPr>
                <w:rFonts w:ascii="Montserrat" w:eastAsia="Times New Roman" w:hAnsi="Montserrat" w:cs="Calibri"/>
                <w:color w:val="000000"/>
                <w:sz w:val="15"/>
                <w:szCs w:val="15"/>
                <w:lang w:eastAsia="es-MX"/>
              </w:rPr>
            </w:pPr>
            <w:r w:rsidRPr="00255081">
              <w:rPr>
                <w:rFonts w:ascii="Montserrat" w:eastAsia="Times New Roman" w:hAnsi="Montserrat" w:cs="Calibri"/>
                <w:sz w:val="15"/>
                <w:szCs w:val="15"/>
                <w:lang w:eastAsia="es-MX"/>
              </w:rPr>
              <w:t>884,510,443</w:t>
            </w:r>
          </w:p>
        </w:tc>
        <w:tc>
          <w:tcPr>
            <w:tcW w:w="1192" w:type="dxa"/>
            <w:shd w:val="clear" w:color="000000" w:fill="F2F2F2"/>
            <w:noWrap/>
            <w:vAlign w:val="center"/>
          </w:tcPr>
          <w:p w14:paraId="4BCC3025" w14:textId="70230780" w:rsidR="00015492" w:rsidRPr="00255081" w:rsidRDefault="00015492" w:rsidP="000A1B05">
            <w:pPr>
              <w:spacing w:after="120" w:line="240" w:lineRule="auto"/>
              <w:jc w:val="right"/>
              <w:rPr>
                <w:rFonts w:ascii="Montserrat" w:eastAsia="Times New Roman" w:hAnsi="Montserrat" w:cs="Calibri"/>
                <w:color w:val="000000"/>
                <w:sz w:val="15"/>
                <w:szCs w:val="15"/>
                <w:lang w:eastAsia="es-MX"/>
              </w:rPr>
            </w:pPr>
            <w:r w:rsidRPr="00255081">
              <w:rPr>
                <w:rFonts w:ascii="Montserrat" w:eastAsia="Times New Roman" w:hAnsi="Montserrat" w:cs="Calibri"/>
                <w:sz w:val="15"/>
                <w:szCs w:val="15"/>
                <w:lang w:eastAsia="es-MX"/>
              </w:rPr>
              <w:t>100%</w:t>
            </w:r>
          </w:p>
        </w:tc>
        <w:tc>
          <w:tcPr>
            <w:tcW w:w="2558" w:type="dxa"/>
            <w:gridSpan w:val="2"/>
            <w:shd w:val="clear" w:color="000000" w:fill="F2F2F2"/>
            <w:noWrap/>
            <w:vAlign w:val="center"/>
          </w:tcPr>
          <w:p w14:paraId="735FC611" w14:textId="0AE3AFBE" w:rsidR="00015492" w:rsidRPr="00255081" w:rsidRDefault="00015492" w:rsidP="000A1B05">
            <w:pPr>
              <w:spacing w:after="120" w:line="240" w:lineRule="auto"/>
              <w:jc w:val="right"/>
              <w:rPr>
                <w:rFonts w:ascii="Montserrat" w:eastAsia="Times New Roman" w:hAnsi="Montserrat" w:cs="Calibri"/>
                <w:color w:val="000000"/>
                <w:sz w:val="15"/>
                <w:szCs w:val="15"/>
                <w:lang w:eastAsia="es-MX"/>
              </w:rPr>
            </w:pPr>
            <w:r w:rsidRPr="00255081">
              <w:rPr>
                <w:rFonts w:ascii="Montserrat" w:eastAsia="Times New Roman" w:hAnsi="Montserrat" w:cs="Calibri"/>
                <w:sz w:val="15"/>
                <w:szCs w:val="15"/>
                <w:lang w:eastAsia="es-MX"/>
              </w:rPr>
              <w:t>884,510,443</w:t>
            </w:r>
          </w:p>
        </w:tc>
      </w:tr>
      <w:tr w:rsidR="00015492" w:rsidRPr="00995308" w14:paraId="1F282A56" w14:textId="77777777" w:rsidTr="000F03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jc w:val="center"/>
        </w:trPr>
        <w:tc>
          <w:tcPr>
            <w:tcW w:w="5583" w:type="dxa"/>
            <w:shd w:val="clear" w:color="000000" w:fill="F2F2F2"/>
            <w:vAlign w:val="center"/>
          </w:tcPr>
          <w:p w14:paraId="0283ECB8" w14:textId="5BD9B169" w:rsidR="00015492" w:rsidRPr="00255081" w:rsidRDefault="00015492" w:rsidP="004B170A">
            <w:pPr>
              <w:spacing w:after="120" w:line="240" w:lineRule="auto"/>
              <w:jc w:val="both"/>
              <w:rPr>
                <w:rFonts w:ascii="Montserrat" w:eastAsia="Times New Roman" w:hAnsi="Montserrat" w:cs="Calibri"/>
                <w:color w:val="000000"/>
                <w:sz w:val="15"/>
                <w:szCs w:val="15"/>
                <w:lang w:eastAsia="es-MX"/>
              </w:rPr>
            </w:pPr>
            <w:r w:rsidRPr="00255081">
              <w:rPr>
                <w:rFonts w:ascii="Montserrat" w:eastAsia="Times New Roman" w:hAnsi="Montserrat" w:cs="Calibri"/>
                <w:sz w:val="15"/>
                <w:szCs w:val="15"/>
                <w:lang w:eastAsia="es-MX"/>
              </w:rPr>
              <w:t>Administración Portuaria Integral de Lázaro Cárdenas, S.A. de C.V.</w:t>
            </w:r>
          </w:p>
        </w:tc>
        <w:tc>
          <w:tcPr>
            <w:tcW w:w="2463" w:type="dxa"/>
            <w:shd w:val="clear" w:color="000000" w:fill="F2F2F2"/>
            <w:noWrap/>
            <w:vAlign w:val="center"/>
          </w:tcPr>
          <w:p w14:paraId="1A1D0877" w14:textId="4977FB7C" w:rsidR="00015492" w:rsidRPr="00255081" w:rsidRDefault="00015492" w:rsidP="000A1B05">
            <w:pPr>
              <w:spacing w:after="120" w:line="240" w:lineRule="auto"/>
              <w:jc w:val="right"/>
              <w:rPr>
                <w:rFonts w:ascii="Montserrat" w:eastAsia="Times New Roman" w:hAnsi="Montserrat" w:cs="Calibri"/>
                <w:color w:val="000000"/>
                <w:sz w:val="15"/>
                <w:szCs w:val="15"/>
                <w:lang w:eastAsia="es-MX"/>
              </w:rPr>
            </w:pPr>
            <w:r w:rsidRPr="00255081">
              <w:rPr>
                <w:rFonts w:ascii="Montserrat" w:eastAsia="Times New Roman" w:hAnsi="Montserrat" w:cs="Calibri"/>
                <w:sz w:val="15"/>
                <w:szCs w:val="15"/>
                <w:lang w:eastAsia="es-MX"/>
              </w:rPr>
              <w:t>4,955,062,052</w:t>
            </w:r>
          </w:p>
        </w:tc>
        <w:tc>
          <w:tcPr>
            <w:tcW w:w="1192" w:type="dxa"/>
            <w:shd w:val="clear" w:color="000000" w:fill="F2F2F2"/>
            <w:noWrap/>
            <w:vAlign w:val="center"/>
          </w:tcPr>
          <w:p w14:paraId="66DA8ADB" w14:textId="1AF7A4EF" w:rsidR="00015492" w:rsidRPr="00255081" w:rsidRDefault="00015492" w:rsidP="000A1B05">
            <w:pPr>
              <w:spacing w:after="120" w:line="240" w:lineRule="auto"/>
              <w:jc w:val="right"/>
              <w:rPr>
                <w:rFonts w:ascii="Montserrat" w:eastAsia="Times New Roman" w:hAnsi="Montserrat" w:cs="Calibri"/>
                <w:color w:val="000000"/>
                <w:sz w:val="15"/>
                <w:szCs w:val="15"/>
                <w:lang w:eastAsia="es-MX"/>
              </w:rPr>
            </w:pPr>
            <w:r w:rsidRPr="00255081">
              <w:rPr>
                <w:rFonts w:ascii="Montserrat" w:eastAsia="Times New Roman" w:hAnsi="Montserrat" w:cs="Calibri"/>
                <w:sz w:val="15"/>
                <w:szCs w:val="15"/>
                <w:lang w:eastAsia="es-MX"/>
              </w:rPr>
              <w:t>100%</w:t>
            </w:r>
          </w:p>
        </w:tc>
        <w:tc>
          <w:tcPr>
            <w:tcW w:w="2558" w:type="dxa"/>
            <w:gridSpan w:val="2"/>
            <w:shd w:val="clear" w:color="000000" w:fill="F2F2F2"/>
            <w:noWrap/>
            <w:vAlign w:val="center"/>
          </w:tcPr>
          <w:p w14:paraId="690DEB4B" w14:textId="297F12FB" w:rsidR="00015492" w:rsidRPr="00255081" w:rsidRDefault="00015492" w:rsidP="000A1B05">
            <w:pPr>
              <w:spacing w:after="120" w:line="240" w:lineRule="auto"/>
              <w:jc w:val="right"/>
              <w:rPr>
                <w:rFonts w:ascii="Montserrat" w:eastAsia="Times New Roman" w:hAnsi="Montserrat" w:cs="Calibri"/>
                <w:color w:val="000000"/>
                <w:sz w:val="15"/>
                <w:szCs w:val="15"/>
                <w:lang w:eastAsia="es-MX"/>
              </w:rPr>
            </w:pPr>
            <w:r w:rsidRPr="00255081">
              <w:rPr>
                <w:rFonts w:ascii="Montserrat" w:eastAsia="Times New Roman" w:hAnsi="Montserrat" w:cs="Calibri"/>
                <w:sz w:val="15"/>
                <w:szCs w:val="15"/>
                <w:lang w:eastAsia="es-MX"/>
              </w:rPr>
              <w:t>4,955,062,052</w:t>
            </w:r>
          </w:p>
        </w:tc>
      </w:tr>
      <w:tr w:rsidR="00015492" w:rsidRPr="00995308" w14:paraId="60472AFB" w14:textId="77777777" w:rsidTr="000F03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jc w:val="center"/>
        </w:trPr>
        <w:tc>
          <w:tcPr>
            <w:tcW w:w="5583" w:type="dxa"/>
            <w:shd w:val="clear" w:color="000000" w:fill="F2F2F2"/>
            <w:vAlign w:val="center"/>
          </w:tcPr>
          <w:p w14:paraId="62ECEF7F" w14:textId="4C7B1C18" w:rsidR="00015492" w:rsidRPr="00255081" w:rsidRDefault="00015492" w:rsidP="004B170A">
            <w:pPr>
              <w:spacing w:after="120" w:line="240" w:lineRule="auto"/>
              <w:jc w:val="both"/>
              <w:rPr>
                <w:rFonts w:ascii="Montserrat" w:eastAsia="Times New Roman" w:hAnsi="Montserrat" w:cs="Calibri"/>
                <w:color w:val="000000"/>
                <w:sz w:val="15"/>
                <w:szCs w:val="15"/>
                <w:lang w:eastAsia="es-MX"/>
              </w:rPr>
            </w:pPr>
            <w:r w:rsidRPr="00255081">
              <w:rPr>
                <w:rFonts w:ascii="Montserrat" w:eastAsia="Times New Roman" w:hAnsi="Montserrat" w:cs="Calibri"/>
                <w:sz w:val="15"/>
                <w:szCs w:val="15"/>
                <w:lang w:eastAsia="es-MX"/>
              </w:rPr>
              <w:t>Administración Portuaria Integral de Manzanillo, S.A. de C.V.</w:t>
            </w:r>
          </w:p>
        </w:tc>
        <w:tc>
          <w:tcPr>
            <w:tcW w:w="2463" w:type="dxa"/>
            <w:shd w:val="clear" w:color="000000" w:fill="F2F2F2"/>
            <w:noWrap/>
            <w:vAlign w:val="center"/>
          </w:tcPr>
          <w:p w14:paraId="36ACB534" w14:textId="29F19EB6" w:rsidR="00015492" w:rsidRPr="00255081" w:rsidRDefault="00015492" w:rsidP="000A1B05">
            <w:pPr>
              <w:spacing w:after="120" w:line="240" w:lineRule="auto"/>
              <w:jc w:val="right"/>
              <w:rPr>
                <w:rFonts w:ascii="Montserrat" w:eastAsia="Times New Roman" w:hAnsi="Montserrat" w:cs="Calibri"/>
                <w:color w:val="000000"/>
                <w:sz w:val="15"/>
                <w:szCs w:val="15"/>
                <w:lang w:eastAsia="es-MX"/>
              </w:rPr>
            </w:pPr>
            <w:r w:rsidRPr="00255081">
              <w:rPr>
                <w:rFonts w:ascii="Montserrat" w:eastAsia="Times New Roman" w:hAnsi="Montserrat" w:cs="Calibri"/>
                <w:sz w:val="15"/>
                <w:szCs w:val="15"/>
                <w:lang w:eastAsia="es-MX"/>
              </w:rPr>
              <w:t>1,635,563,155</w:t>
            </w:r>
          </w:p>
        </w:tc>
        <w:tc>
          <w:tcPr>
            <w:tcW w:w="1192" w:type="dxa"/>
            <w:shd w:val="clear" w:color="000000" w:fill="F2F2F2"/>
            <w:noWrap/>
            <w:vAlign w:val="center"/>
          </w:tcPr>
          <w:p w14:paraId="1AB04C1B" w14:textId="3562655D" w:rsidR="00015492" w:rsidRPr="00255081" w:rsidRDefault="00015492" w:rsidP="000A1B05">
            <w:pPr>
              <w:spacing w:after="120" w:line="240" w:lineRule="auto"/>
              <w:jc w:val="right"/>
              <w:rPr>
                <w:rFonts w:ascii="Montserrat" w:eastAsia="Times New Roman" w:hAnsi="Montserrat" w:cs="Calibri"/>
                <w:color w:val="000000"/>
                <w:sz w:val="15"/>
                <w:szCs w:val="15"/>
                <w:lang w:eastAsia="es-MX"/>
              </w:rPr>
            </w:pPr>
            <w:r w:rsidRPr="00255081">
              <w:rPr>
                <w:rFonts w:ascii="Montserrat" w:eastAsia="Times New Roman" w:hAnsi="Montserrat" w:cs="Calibri"/>
                <w:sz w:val="15"/>
                <w:szCs w:val="15"/>
                <w:lang w:eastAsia="es-MX"/>
              </w:rPr>
              <w:t>100%</w:t>
            </w:r>
          </w:p>
        </w:tc>
        <w:tc>
          <w:tcPr>
            <w:tcW w:w="2558" w:type="dxa"/>
            <w:gridSpan w:val="2"/>
            <w:shd w:val="clear" w:color="000000" w:fill="F2F2F2"/>
            <w:noWrap/>
            <w:vAlign w:val="center"/>
          </w:tcPr>
          <w:p w14:paraId="786474D5" w14:textId="1AD771EF" w:rsidR="00015492" w:rsidRPr="00255081" w:rsidRDefault="00015492" w:rsidP="000A1B05">
            <w:pPr>
              <w:spacing w:after="120" w:line="240" w:lineRule="auto"/>
              <w:jc w:val="right"/>
              <w:rPr>
                <w:rFonts w:ascii="Montserrat" w:eastAsia="Times New Roman" w:hAnsi="Montserrat" w:cs="Calibri"/>
                <w:color w:val="000000"/>
                <w:sz w:val="15"/>
                <w:szCs w:val="15"/>
                <w:lang w:eastAsia="es-MX"/>
              </w:rPr>
            </w:pPr>
            <w:r w:rsidRPr="00255081">
              <w:rPr>
                <w:rFonts w:ascii="Montserrat" w:eastAsia="Times New Roman" w:hAnsi="Montserrat" w:cs="Calibri"/>
                <w:sz w:val="15"/>
                <w:szCs w:val="15"/>
                <w:lang w:eastAsia="es-MX"/>
              </w:rPr>
              <w:t>1,635,563,155</w:t>
            </w:r>
          </w:p>
        </w:tc>
      </w:tr>
      <w:tr w:rsidR="00015492" w:rsidRPr="00995308" w14:paraId="54619E8C" w14:textId="77777777" w:rsidTr="000F03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jc w:val="center"/>
        </w:trPr>
        <w:tc>
          <w:tcPr>
            <w:tcW w:w="5583" w:type="dxa"/>
            <w:shd w:val="clear" w:color="000000" w:fill="F2F2F2"/>
            <w:vAlign w:val="center"/>
          </w:tcPr>
          <w:p w14:paraId="2548C10B" w14:textId="563AACCC" w:rsidR="00015492" w:rsidRPr="00255081" w:rsidRDefault="00015492" w:rsidP="004B170A">
            <w:pPr>
              <w:spacing w:after="120" w:line="240" w:lineRule="auto"/>
              <w:jc w:val="both"/>
              <w:rPr>
                <w:rFonts w:ascii="Montserrat" w:eastAsia="Times New Roman" w:hAnsi="Montserrat" w:cs="Calibri"/>
                <w:color w:val="000000"/>
                <w:sz w:val="15"/>
                <w:szCs w:val="15"/>
                <w:lang w:eastAsia="es-MX"/>
              </w:rPr>
            </w:pPr>
            <w:r w:rsidRPr="00255081">
              <w:rPr>
                <w:rFonts w:ascii="Montserrat" w:eastAsia="Times New Roman" w:hAnsi="Montserrat" w:cs="Calibri"/>
                <w:sz w:val="15"/>
                <w:szCs w:val="15"/>
                <w:lang w:eastAsia="es-MX"/>
              </w:rPr>
              <w:t>Administración Portuaria Integral de Puerto Madero, S.A. de C.V.</w:t>
            </w:r>
          </w:p>
        </w:tc>
        <w:tc>
          <w:tcPr>
            <w:tcW w:w="2463" w:type="dxa"/>
            <w:shd w:val="clear" w:color="000000" w:fill="F2F2F2"/>
            <w:noWrap/>
            <w:vAlign w:val="center"/>
          </w:tcPr>
          <w:p w14:paraId="73227F03" w14:textId="2403F92F" w:rsidR="00015492" w:rsidRPr="00255081" w:rsidRDefault="00015492" w:rsidP="000A1B05">
            <w:pPr>
              <w:spacing w:after="120" w:line="240" w:lineRule="auto"/>
              <w:jc w:val="right"/>
              <w:rPr>
                <w:rFonts w:ascii="Montserrat" w:eastAsia="Times New Roman" w:hAnsi="Montserrat" w:cs="Calibri"/>
                <w:color w:val="000000"/>
                <w:sz w:val="15"/>
                <w:szCs w:val="15"/>
                <w:lang w:eastAsia="es-MX"/>
              </w:rPr>
            </w:pPr>
            <w:r w:rsidRPr="00255081">
              <w:rPr>
                <w:rFonts w:ascii="Montserrat" w:eastAsia="Times New Roman" w:hAnsi="Montserrat" w:cs="Calibri"/>
                <w:sz w:val="15"/>
                <w:szCs w:val="15"/>
                <w:lang w:eastAsia="es-MX"/>
              </w:rPr>
              <w:t>155,504,797</w:t>
            </w:r>
          </w:p>
        </w:tc>
        <w:tc>
          <w:tcPr>
            <w:tcW w:w="1192" w:type="dxa"/>
            <w:shd w:val="clear" w:color="000000" w:fill="F2F2F2"/>
            <w:noWrap/>
            <w:vAlign w:val="center"/>
          </w:tcPr>
          <w:p w14:paraId="0D6F82E4" w14:textId="477B4934" w:rsidR="00015492" w:rsidRPr="00255081" w:rsidRDefault="00015492" w:rsidP="000A1B05">
            <w:pPr>
              <w:spacing w:after="120" w:line="240" w:lineRule="auto"/>
              <w:jc w:val="right"/>
              <w:rPr>
                <w:rFonts w:ascii="Montserrat" w:eastAsia="Times New Roman" w:hAnsi="Montserrat" w:cs="Calibri"/>
                <w:color w:val="000000"/>
                <w:sz w:val="15"/>
                <w:szCs w:val="15"/>
                <w:lang w:eastAsia="es-MX"/>
              </w:rPr>
            </w:pPr>
            <w:r w:rsidRPr="00255081">
              <w:rPr>
                <w:rFonts w:ascii="Montserrat" w:eastAsia="Times New Roman" w:hAnsi="Montserrat" w:cs="Calibri"/>
                <w:sz w:val="15"/>
                <w:szCs w:val="15"/>
                <w:lang w:eastAsia="es-MX"/>
              </w:rPr>
              <w:t>100%</w:t>
            </w:r>
          </w:p>
        </w:tc>
        <w:tc>
          <w:tcPr>
            <w:tcW w:w="2558" w:type="dxa"/>
            <w:gridSpan w:val="2"/>
            <w:shd w:val="clear" w:color="000000" w:fill="F2F2F2"/>
            <w:noWrap/>
            <w:vAlign w:val="center"/>
          </w:tcPr>
          <w:p w14:paraId="09FD0E6B" w14:textId="5FB43485" w:rsidR="00015492" w:rsidRPr="00255081" w:rsidRDefault="00015492" w:rsidP="000A1B05">
            <w:pPr>
              <w:spacing w:after="120" w:line="240" w:lineRule="auto"/>
              <w:jc w:val="right"/>
              <w:rPr>
                <w:rFonts w:ascii="Montserrat" w:eastAsia="Times New Roman" w:hAnsi="Montserrat" w:cs="Calibri"/>
                <w:color w:val="000000"/>
                <w:sz w:val="15"/>
                <w:szCs w:val="15"/>
                <w:lang w:eastAsia="es-MX"/>
              </w:rPr>
            </w:pPr>
            <w:r w:rsidRPr="00255081">
              <w:rPr>
                <w:rFonts w:ascii="Montserrat" w:eastAsia="Times New Roman" w:hAnsi="Montserrat" w:cs="Calibri"/>
                <w:sz w:val="15"/>
                <w:szCs w:val="15"/>
                <w:lang w:eastAsia="es-MX"/>
              </w:rPr>
              <w:t>155,504,797</w:t>
            </w:r>
          </w:p>
        </w:tc>
      </w:tr>
      <w:tr w:rsidR="00015492" w:rsidRPr="00995308" w14:paraId="17F3400A" w14:textId="77777777" w:rsidTr="000F03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jc w:val="center"/>
        </w:trPr>
        <w:tc>
          <w:tcPr>
            <w:tcW w:w="5583" w:type="dxa"/>
            <w:shd w:val="clear" w:color="000000" w:fill="F2F2F2"/>
            <w:vAlign w:val="center"/>
          </w:tcPr>
          <w:p w14:paraId="400C4A5C" w14:textId="1F4FA9FC" w:rsidR="00015492" w:rsidRPr="00255081" w:rsidRDefault="00015492" w:rsidP="004B170A">
            <w:pPr>
              <w:spacing w:after="120" w:line="240" w:lineRule="auto"/>
              <w:jc w:val="both"/>
              <w:rPr>
                <w:rFonts w:ascii="Montserrat" w:eastAsia="Times New Roman" w:hAnsi="Montserrat" w:cs="Calibri"/>
                <w:color w:val="000000"/>
                <w:sz w:val="15"/>
                <w:szCs w:val="15"/>
                <w:lang w:eastAsia="es-MX"/>
              </w:rPr>
            </w:pPr>
            <w:r w:rsidRPr="00255081">
              <w:rPr>
                <w:rFonts w:ascii="Montserrat" w:eastAsia="Times New Roman" w:hAnsi="Montserrat" w:cs="Calibri"/>
                <w:sz w:val="15"/>
                <w:szCs w:val="15"/>
                <w:lang w:eastAsia="es-MX"/>
              </w:rPr>
              <w:t>Administración Portuaria Integral de Tampico, S.A. de C.V.</w:t>
            </w:r>
          </w:p>
        </w:tc>
        <w:tc>
          <w:tcPr>
            <w:tcW w:w="2463" w:type="dxa"/>
            <w:shd w:val="clear" w:color="000000" w:fill="F2F2F2"/>
            <w:noWrap/>
            <w:vAlign w:val="center"/>
          </w:tcPr>
          <w:p w14:paraId="328D7BAC" w14:textId="4E38EFF4" w:rsidR="00015492" w:rsidRPr="00255081" w:rsidRDefault="00015492" w:rsidP="000A1B05">
            <w:pPr>
              <w:spacing w:after="120" w:line="240" w:lineRule="auto"/>
              <w:jc w:val="right"/>
              <w:rPr>
                <w:rFonts w:ascii="Montserrat" w:eastAsia="Times New Roman" w:hAnsi="Montserrat" w:cs="Calibri"/>
                <w:color w:val="000000"/>
                <w:sz w:val="15"/>
                <w:szCs w:val="15"/>
                <w:lang w:eastAsia="es-MX"/>
              </w:rPr>
            </w:pPr>
            <w:r w:rsidRPr="00255081">
              <w:rPr>
                <w:rFonts w:ascii="Montserrat" w:eastAsia="Times New Roman" w:hAnsi="Montserrat" w:cs="Calibri"/>
                <w:sz w:val="15"/>
                <w:szCs w:val="15"/>
                <w:lang w:eastAsia="es-MX"/>
              </w:rPr>
              <w:t>471,522,919</w:t>
            </w:r>
          </w:p>
        </w:tc>
        <w:tc>
          <w:tcPr>
            <w:tcW w:w="1192" w:type="dxa"/>
            <w:shd w:val="clear" w:color="000000" w:fill="F2F2F2"/>
            <w:noWrap/>
            <w:vAlign w:val="center"/>
          </w:tcPr>
          <w:p w14:paraId="78CE3D90" w14:textId="795A4173" w:rsidR="00015492" w:rsidRPr="00255081" w:rsidRDefault="00015492" w:rsidP="000A1B05">
            <w:pPr>
              <w:spacing w:after="120" w:line="240" w:lineRule="auto"/>
              <w:jc w:val="right"/>
              <w:rPr>
                <w:rFonts w:ascii="Montserrat" w:eastAsia="Times New Roman" w:hAnsi="Montserrat" w:cs="Calibri"/>
                <w:color w:val="000000"/>
                <w:sz w:val="15"/>
                <w:szCs w:val="15"/>
                <w:lang w:eastAsia="es-MX"/>
              </w:rPr>
            </w:pPr>
            <w:r w:rsidRPr="00255081">
              <w:rPr>
                <w:rFonts w:ascii="Montserrat" w:eastAsia="Times New Roman" w:hAnsi="Montserrat" w:cs="Calibri"/>
                <w:sz w:val="15"/>
                <w:szCs w:val="15"/>
                <w:lang w:eastAsia="es-MX"/>
              </w:rPr>
              <w:t>100%</w:t>
            </w:r>
          </w:p>
        </w:tc>
        <w:tc>
          <w:tcPr>
            <w:tcW w:w="2558" w:type="dxa"/>
            <w:gridSpan w:val="2"/>
            <w:shd w:val="clear" w:color="000000" w:fill="F2F2F2"/>
            <w:noWrap/>
            <w:vAlign w:val="center"/>
          </w:tcPr>
          <w:p w14:paraId="1B1CB37A" w14:textId="168DC281" w:rsidR="00015492" w:rsidRPr="00255081" w:rsidRDefault="00015492" w:rsidP="000A1B05">
            <w:pPr>
              <w:spacing w:after="120" w:line="240" w:lineRule="auto"/>
              <w:jc w:val="right"/>
              <w:rPr>
                <w:rFonts w:ascii="Montserrat" w:eastAsia="Times New Roman" w:hAnsi="Montserrat" w:cs="Calibri"/>
                <w:color w:val="000000"/>
                <w:sz w:val="15"/>
                <w:szCs w:val="15"/>
                <w:lang w:eastAsia="es-MX"/>
              </w:rPr>
            </w:pPr>
            <w:r w:rsidRPr="00255081">
              <w:rPr>
                <w:rFonts w:ascii="Montserrat" w:eastAsia="Times New Roman" w:hAnsi="Montserrat" w:cs="Calibri"/>
                <w:sz w:val="15"/>
                <w:szCs w:val="15"/>
                <w:lang w:eastAsia="es-MX"/>
              </w:rPr>
              <w:t>471,522,919</w:t>
            </w:r>
          </w:p>
        </w:tc>
      </w:tr>
      <w:tr w:rsidR="00015492" w:rsidRPr="00995308" w14:paraId="2458B875" w14:textId="77777777" w:rsidTr="000F03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jc w:val="center"/>
        </w:trPr>
        <w:tc>
          <w:tcPr>
            <w:tcW w:w="5583" w:type="dxa"/>
            <w:shd w:val="clear" w:color="000000" w:fill="F2F2F2"/>
            <w:vAlign w:val="center"/>
          </w:tcPr>
          <w:p w14:paraId="69EC7DE5" w14:textId="576B8DBA" w:rsidR="00015492" w:rsidRPr="00255081" w:rsidRDefault="00015492" w:rsidP="004B170A">
            <w:pPr>
              <w:spacing w:after="120" w:line="240" w:lineRule="auto"/>
              <w:jc w:val="both"/>
              <w:rPr>
                <w:rFonts w:ascii="Montserrat" w:eastAsia="Times New Roman" w:hAnsi="Montserrat" w:cs="Calibri"/>
                <w:color w:val="000000"/>
                <w:sz w:val="15"/>
                <w:szCs w:val="15"/>
                <w:lang w:eastAsia="es-MX"/>
              </w:rPr>
            </w:pPr>
            <w:r w:rsidRPr="00255081">
              <w:rPr>
                <w:rFonts w:ascii="Montserrat" w:eastAsia="Times New Roman" w:hAnsi="Montserrat" w:cs="Calibri"/>
                <w:sz w:val="15"/>
                <w:szCs w:val="15"/>
                <w:lang w:eastAsia="es-MX"/>
              </w:rPr>
              <w:t>Administración Portuaria Integral de Veracruz, S.A. de C.V.</w:t>
            </w:r>
          </w:p>
        </w:tc>
        <w:tc>
          <w:tcPr>
            <w:tcW w:w="2463" w:type="dxa"/>
            <w:shd w:val="clear" w:color="000000" w:fill="F2F2F2"/>
            <w:noWrap/>
            <w:vAlign w:val="center"/>
          </w:tcPr>
          <w:p w14:paraId="30A6B839" w14:textId="5429019E" w:rsidR="00015492" w:rsidRPr="00255081" w:rsidRDefault="00015492" w:rsidP="000A1B05">
            <w:pPr>
              <w:spacing w:after="120" w:line="240" w:lineRule="auto"/>
              <w:jc w:val="right"/>
              <w:rPr>
                <w:rFonts w:ascii="Montserrat" w:eastAsia="Times New Roman" w:hAnsi="Montserrat" w:cs="Calibri"/>
                <w:color w:val="000000"/>
                <w:sz w:val="15"/>
                <w:szCs w:val="15"/>
                <w:lang w:eastAsia="es-MX"/>
              </w:rPr>
            </w:pPr>
            <w:r w:rsidRPr="00255081">
              <w:rPr>
                <w:rFonts w:ascii="Montserrat" w:eastAsia="Times New Roman" w:hAnsi="Montserrat" w:cs="Calibri"/>
                <w:sz w:val="15"/>
                <w:szCs w:val="15"/>
                <w:lang w:eastAsia="es-MX"/>
              </w:rPr>
              <w:t>6,350,486,865</w:t>
            </w:r>
          </w:p>
        </w:tc>
        <w:tc>
          <w:tcPr>
            <w:tcW w:w="1192" w:type="dxa"/>
            <w:shd w:val="clear" w:color="000000" w:fill="F2F2F2"/>
            <w:noWrap/>
            <w:vAlign w:val="center"/>
          </w:tcPr>
          <w:p w14:paraId="06F62A1E" w14:textId="442FFD90" w:rsidR="00015492" w:rsidRPr="00255081" w:rsidRDefault="00015492" w:rsidP="000A1B05">
            <w:pPr>
              <w:spacing w:after="120" w:line="240" w:lineRule="auto"/>
              <w:jc w:val="right"/>
              <w:rPr>
                <w:rFonts w:ascii="Montserrat" w:eastAsia="Times New Roman" w:hAnsi="Montserrat" w:cs="Calibri"/>
                <w:color w:val="000000"/>
                <w:sz w:val="15"/>
                <w:szCs w:val="15"/>
                <w:lang w:eastAsia="es-MX"/>
              </w:rPr>
            </w:pPr>
            <w:r w:rsidRPr="00255081">
              <w:rPr>
                <w:rFonts w:ascii="Montserrat" w:eastAsia="Times New Roman" w:hAnsi="Montserrat" w:cs="Calibri"/>
                <w:sz w:val="15"/>
                <w:szCs w:val="15"/>
                <w:lang w:eastAsia="es-MX"/>
              </w:rPr>
              <w:t>100%</w:t>
            </w:r>
          </w:p>
        </w:tc>
        <w:tc>
          <w:tcPr>
            <w:tcW w:w="2558" w:type="dxa"/>
            <w:gridSpan w:val="2"/>
            <w:shd w:val="clear" w:color="000000" w:fill="F2F2F2"/>
            <w:noWrap/>
            <w:vAlign w:val="center"/>
          </w:tcPr>
          <w:p w14:paraId="2CBA7859" w14:textId="001F5E20" w:rsidR="00015492" w:rsidRPr="00255081" w:rsidRDefault="00015492" w:rsidP="000A1B05">
            <w:pPr>
              <w:spacing w:after="120" w:line="240" w:lineRule="auto"/>
              <w:jc w:val="right"/>
              <w:rPr>
                <w:rFonts w:ascii="Montserrat" w:eastAsia="Times New Roman" w:hAnsi="Montserrat" w:cs="Calibri"/>
                <w:color w:val="000000"/>
                <w:sz w:val="15"/>
                <w:szCs w:val="15"/>
                <w:lang w:eastAsia="es-MX"/>
              </w:rPr>
            </w:pPr>
            <w:r w:rsidRPr="00255081">
              <w:rPr>
                <w:rFonts w:ascii="Montserrat" w:eastAsia="Times New Roman" w:hAnsi="Montserrat" w:cs="Calibri"/>
                <w:sz w:val="15"/>
                <w:szCs w:val="15"/>
                <w:lang w:eastAsia="es-MX"/>
              </w:rPr>
              <w:t>6,350,486,865</w:t>
            </w:r>
          </w:p>
        </w:tc>
      </w:tr>
      <w:tr w:rsidR="00015492" w:rsidRPr="00995308" w14:paraId="021A882A" w14:textId="77777777" w:rsidTr="000F03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jc w:val="center"/>
        </w:trPr>
        <w:tc>
          <w:tcPr>
            <w:tcW w:w="5583" w:type="dxa"/>
            <w:shd w:val="clear" w:color="000000" w:fill="F2F2F2"/>
            <w:vAlign w:val="center"/>
          </w:tcPr>
          <w:p w14:paraId="7AA91C38" w14:textId="6A753D53" w:rsidR="00015492" w:rsidRPr="00255081" w:rsidRDefault="00015492" w:rsidP="004B170A">
            <w:pPr>
              <w:spacing w:after="120" w:line="240" w:lineRule="auto"/>
              <w:jc w:val="both"/>
              <w:rPr>
                <w:rFonts w:ascii="Montserrat" w:eastAsia="Times New Roman" w:hAnsi="Montserrat" w:cs="Calibri"/>
                <w:color w:val="000000"/>
                <w:sz w:val="15"/>
                <w:szCs w:val="15"/>
                <w:lang w:eastAsia="es-MX"/>
              </w:rPr>
            </w:pPr>
            <w:r w:rsidRPr="00255081">
              <w:rPr>
                <w:rFonts w:ascii="Montserrat" w:eastAsia="Times New Roman" w:hAnsi="Montserrat" w:cs="Calibri"/>
                <w:sz w:val="15"/>
                <w:szCs w:val="15"/>
                <w:lang w:eastAsia="es-MX"/>
              </w:rPr>
              <w:t>Administración Portuaria Integral de Coatzacoalcos, S.A. de C.V.</w:t>
            </w:r>
          </w:p>
        </w:tc>
        <w:tc>
          <w:tcPr>
            <w:tcW w:w="2463" w:type="dxa"/>
            <w:shd w:val="clear" w:color="000000" w:fill="F2F2F2"/>
            <w:noWrap/>
            <w:vAlign w:val="center"/>
          </w:tcPr>
          <w:p w14:paraId="44AC87A1" w14:textId="2EBE989B" w:rsidR="00015492" w:rsidRPr="00255081" w:rsidRDefault="00015492" w:rsidP="000A1B05">
            <w:pPr>
              <w:spacing w:after="120" w:line="240" w:lineRule="auto"/>
              <w:jc w:val="right"/>
              <w:rPr>
                <w:rFonts w:ascii="Montserrat" w:eastAsia="Times New Roman" w:hAnsi="Montserrat" w:cs="Calibri"/>
                <w:color w:val="000000"/>
                <w:sz w:val="15"/>
                <w:szCs w:val="15"/>
                <w:lang w:eastAsia="es-MX"/>
              </w:rPr>
            </w:pPr>
            <w:r w:rsidRPr="00255081">
              <w:rPr>
                <w:rFonts w:ascii="Montserrat" w:eastAsia="Times New Roman" w:hAnsi="Montserrat" w:cs="Calibri"/>
                <w:sz w:val="15"/>
                <w:szCs w:val="15"/>
                <w:lang w:eastAsia="es-MX"/>
              </w:rPr>
              <w:t>1,300,708,373</w:t>
            </w:r>
          </w:p>
        </w:tc>
        <w:tc>
          <w:tcPr>
            <w:tcW w:w="1192" w:type="dxa"/>
            <w:shd w:val="clear" w:color="000000" w:fill="F2F2F2"/>
            <w:noWrap/>
            <w:vAlign w:val="center"/>
          </w:tcPr>
          <w:p w14:paraId="29DC0BEC" w14:textId="60F14B06" w:rsidR="00015492" w:rsidRPr="00255081" w:rsidRDefault="00015492" w:rsidP="000A1B05">
            <w:pPr>
              <w:spacing w:after="120" w:line="240" w:lineRule="auto"/>
              <w:jc w:val="right"/>
              <w:rPr>
                <w:rFonts w:ascii="Montserrat" w:eastAsia="Times New Roman" w:hAnsi="Montserrat" w:cs="Calibri"/>
                <w:color w:val="000000"/>
                <w:sz w:val="15"/>
                <w:szCs w:val="15"/>
                <w:lang w:eastAsia="es-MX"/>
              </w:rPr>
            </w:pPr>
            <w:r w:rsidRPr="00255081">
              <w:rPr>
                <w:rFonts w:ascii="Montserrat" w:eastAsia="Times New Roman" w:hAnsi="Montserrat" w:cs="Calibri"/>
                <w:sz w:val="15"/>
                <w:szCs w:val="15"/>
                <w:lang w:eastAsia="es-MX"/>
              </w:rPr>
              <w:t>100%</w:t>
            </w:r>
          </w:p>
        </w:tc>
        <w:tc>
          <w:tcPr>
            <w:tcW w:w="2558" w:type="dxa"/>
            <w:gridSpan w:val="2"/>
            <w:shd w:val="clear" w:color="000000" w:fill="F2F2F2"/>
            <w:noWrap/>
            <w:vAlign w:val="center"/>
          </w:tcPr>
          <w:p w14:paraId="79C22DCE" w14:textId="23D8016B" w:rsidR="00015492" w:rsidRPr="00255081" w:rsidRDefault="00015492" w:rsidP="000A1B05">
            <w:pPr>
              <w:spacing w:after="120" w:line="240" w:lineRule="auto"/>
              <w:jc w:val="right"/>
              <w:rPr>
                <w:rFonts w:ascii="Montserrat" w:eastAsia="Times New Roman" w:hAnsi="Montserrat" w:cs="Calibri"/>
                <w:color w:val="000000"/>
                <w:sz w:val="15"/>
                <w:szCs w:val="15"/>
                <w:lang w:eastAsia="es-MX"/>
              </w:rPr>
            </w:pPr>
            <w:r w:rsidRPr="00255081">
              <w:rPr>
                <w:rFonts w:ascii="Montserrat" w:eastAsia="Times New Roman" w:hAnsi="Montserrat" w:cs="Calibri"/>
                <w:sz w:val="15"/>
                <w:szCs w:val="15"/>
                <w:lang w:eastAsia="es-MX"/>
              </w:rPr>
              <w:t>1,300,708,373</w:t>
            </w:r>
          </w:p>
        </w:tc>
      </w:tr>
      <w:tr w:rsidR="00015492" w:rsidRPr="00995308" w14:paraId="60C070D2" w14:textId="77777777" w:rsidTr="000F03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jc w:val="center"/>
        </w:trPr>
        <w:tc>
          <w:tcPr>
            <w:tcW w:w="5583" w:type="dxa"/>
            <w:shd w:val="clear" w:color="000000" w:fill="F2F2F2"/>
            <w:vAlign w:val="center"/>
          </w:tcPr>
          <w:p w14:paraId="4EE65C9E" w14:textId="30BB305A" w:rsidR="00015492" w:rsidRPr="00255081" w:rsidRDefault="00015492" w:rsidP="004B170A">
            <w:pPr>
              <w:spacing w:after="120" w:line="240" w:lineRule="auto"/>
              <w:jc w:val="both"/>
              <w:rPr>
                <w:rFonts w:ascii="Montserrat" w:eastAsia="Times New Roman" w:hAnsi="Montserrat" w:cs="Calibri"/>
                <w:color w:val="000000"/>
                <w:sz w:val="15"/>
                <w:szCs w:val="15"/>
                <w:lang w:eastAsia="es-MX"/>
              </w:rPr>
            </w:pPr>
            <w:r w:rsidRPr="00255081">
              <w:rPr>
                <w:rFonts w:ascii="Montserrat" w:eastAsia="Times New Roman" w:hAnsi="Montserrat" w:cs="Calibri"/>
                <w:sz w:val="15"/>
                <w:szCs w:val="15"/>
                <w:lang w:eastAsia="es-MX"/>
              </w:rPr>
              <w:t>Administración Portuaria Integral de Salina Cruz, S.A. de C.V.</w:t>
            </w:r>
          </w:p>
        </w:tc>
        <w:tc>
          <w:tcPr>
            <w:tcW w:w="2463" w:type="dxa"/>
            <w:shd w:val="clear" w:color="000000" w:fill="F2F2F2"/>
            <w:noWrap/>
            <w:vAlign w:val="center"/>
          </w:tcPr>
          <w:p w14:paraId="767BFD6D" w14:textId="183AB54E" w:rsidR="00015492" w:rsidRPr="00255081" w:rsidRDefault="00015492" w:rsidP="000A1B05">
            <w:pPr>
              <w:spacing w:after="120" w:line="240" w:lineRule="auto"/>
              <w:jc w:val="right"/>
              <w:rPr>
                <w:rFonts w:ascii="Montserrat" w:eastAsia="Times New Roman" w:hAnsi="Montserrat" w:cs="Calibri"/>
                <w:color w:val="000000"/>
                <w:sz w:val="15"/>
                <w:szCs w:val="15"/>
                <w:lang w:eastAsia="es-MX"/>
              </w:rPr>
            </w:pPr>
            <w:r w:rsidRPr="00255081">
              <w:rPr>
                <w:rFonts w:ascii="Montserrat" w:eastAsia="Times New Roman" w:hAnsi="Montserrat" w:cs="Calibri"/>
                <w:sz w:val="15"/>
                <w:szCs w:val="15"/>
                <w:lang w:eastAsia="es-MX"/>
              </w:rPr>
              <w:t>487,639,674</w:t>
            </w:r>
          </w:p>
        </w:tc>
        <w:tc>
          <w:tcPr>
            <w:tcW w:w="1192" w:type="dxa"/>
            <w:shd w:val="clear" w:color="000000" w:fill="F2F2F2"/>
            <w:noWrap/>
            <w:vAlign w:val="center"/>
          </w:tcPr>
          <w:p w14:paraId="0DB64240" w14:textId="1F4A2530" w:rsidR="00015492" w:rsidRPr="00255081" w:rsidRDefault="00015492" w:rsidP="000A1B05">
            <w:pPr>
              <w:spacing w:after="120" w:line="240" w:lineRule="auto"/>
              <w:jc w:val="right"/>
              <w:rPr>
                <w:rFonts w:ascii="Montserrat" w:eastAsia="Times New Roman" w:hAnsi="Montserrat" w:cs="Calibri"/>
                <w:color w:val="000000"/>
                <w:sz w:val="15"/>
                <w:szCs w:val="15"/>
                <w:lang w:eastAsia="es-MX"/>
              </w:rPr>
            </w:pPr>
            <w:r w:rsidRPr="00255081">
              <w:rPr>
                <w:rFonts w:ascii="Montserrat" w:eastAsia="Times New Roman" w:hAnsi="Montserrat" w:cs="Calibri"/>
                <w:sz w:val="15"/>
                <w:szCs w:val="15"/>
                <w:lang w:eastAsia="es-MX"/>
              </w:rPr>
              <w:t>100%</w:t>
            </w:r>
          </w:p>
        </w:tc>
        <w:tc>
          <w:tcPr>
            <w:tcW w:w="2558" w:type="dxa"/>
            <w:gridSpan w:val="2"/>
            <w:shd w:val="clear" w:color="000000" w:fill="F2F2F2"/>
            <w:noWrap/>
            <w:vAlign w:val="center"/>
          </w:tcPr>
          <w:p w14:paraId="24184A46" w14:textId="7A817096" w:rsidR="00015492" w:rsidRPr="00255081" w:rsidRDefault="00015492" w:rsidP="000A1B05">
            <w:pPr>
              <w:spacing w:after="120" w:line="240" w:lineRule="auto"/>
              <w:jc w:val="right"/>
              <w:rPr>
                <w:rFonts w:ascii="Montserrat" w:eastAsia="Times New Roman" w:hAnsi="Montserrat" w:cs="Calibri"/>
                <w:color w:val="000000"/>
                <w:sz w:val="15"/>
                <w:szCs w:val="15"/>
                <w:lang w:eastAsia="es-MX"/>
              </w:rPr>
            </w:pPr>
            <w:r w:rsidRPr="00255081">
              <w:rPr>
                <w:rFonts w:ascii="Montserrat" w:eastAsia="Times New Roman" w:hAnsi="Montserrat" w:cs="Calibri"/>
                <w:sz w:val="15"/>
                <w:szCs w:val="15"/>
                <w:lang w:eastAsia="es-MX"/>
              </w:rPr>
              <w:t>487,639,674</w:t>
            </w:r>
          </w:p>
        </w:tc>
      </w:tr>
      <w:tr w:rsidR="00015492" w:rsidRPr="00995308" w14:paraId="10D23A50" w14:textId="77777777" w:rsidTr="006522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jc w:val="center"/>
        </w:trPr>
        <w:tc>
          <w:tcPr>
            <w:tcW w:w="5583" w:type="dxa"/>
            <w:shd w:val="clear" w:color="000000" w:fill="F2F2F2"/>
            <w:vAlign w:val="center"/>
          </w:tcPr>
          <w:p w14:paraId="51B5123D" w14:textId="52C915A4" w:rsidR="00015492" w:rsidRPr="00255081" w:rsidRDefault="00015492" w:rsidP="004B170A">
            <w:pPr>
              <w:spacing w:after="120" w:line="240" w:lineRule="auto"/>
              <w:jc w:val="both"/>
              <w:rPr>
                <w:rFonts w:ascii="Montserrat" w:eastAsia="Times New Roman" w:hAnsi="Montserrat" w:cs="Calibri"/>
                <w:color w:val="000000"/>
                <w:sz w:val="15"/>
                <w:szCs w:val="15"/>
                <w:lang w:eastAsia="es-MX"/>
              </w:rPr>
            </w:pPr>
            <w:r w:rsidRPr="00255081">
              <w:rPr>
                <w:rFonts w:ascii="Montserrat" w:eastAsia="Times New Roman" w:hAnsi="Montserrat" w:cs="Calibri"/>
                <w:sz w:val="15"/>
                <w:szCs w:val="15"/>
                <w:lang w:eastAsia="es-MX"/>
              </w:rPr>
              <w:t>Ferrocarril del Istmo de Tehuantepec, S.A. de C.V.</w:t>
            </w:r>
          </w:p>
        </w:tc>
        <w:tc>
          <w:tcPr>
            <w:tcW w:w="2463" w:type="dxa"/>
            <w:shd w:val="clear" w:color="000000" w:fill="F2F2F2"/>
            <w:noWrap/>
            <w:vAlign w:val="center"/>
          </w:tcPr>
          <w:p w14:paraId="2A8981DB" w14:textId="075004D5" w:rsidR="00015492" w:rsidRPr="00255081" w:rsidRDefault="00015492" w:rsidP="000A1B05">
            <w:pPr>
              <w:spacing w:after="120" w:line="240" w:lineRule="auto"/>
              <w:jc w:val="right"/>
              <w:rPr>
                <w:rFonts w:ascii="Montserrat" w:eastAsia="Times New Roman" w:hAnsi="Montserrat" w:cs="Calibri"/>
                <w:color w:val="000000"/>
                <w:sz w:val="15"/>
                <w:szCs w:val="15"/>
                <w:lang w:eastAsia="es-MX"/>
              </w:rPr>
            </w:pPr>
            <w:r w:rsidRPr="00255081">
              <w:rPr>
                <w:rFonts w:ascii="Montserrat" w:eastAsia="Times New Roman" w:hAnsi="Montserrat" w:cs="Calibri"/>
                <w:sz w:val="15"/>
                <w:szCs w:val="15"/>
                <w:lang w:eastAsia="es-MX"/>
              </w:rPr>
              <w:t>5,989,559,535</w:t>
            </w:r>
          </w:p>
        </w:tc>
        <w:tc>
          <w:tcPr>
            <w:tcW w:w="1192" w:type="dxa"/>
            <w:shd w:val="clear" w:color="000000" w:fill="F2F2F2"/>
            <w:noWrap/>
            <w:vAlign w:val="center"/>
          </w:tcPr>
          <w:p w14:paraId="78478446" w14:textId="23D60119" w:rsidR="00015492" w:rsidRPr="00255081" w:rsidRDefault="00015492" w:rsidP="000A1B05">
            <w:pPr>
              <w:spacing w:after="120" w:line="240" w:lineRule="auto"/>
              <w:jc w:val="right"/>
              <w:rPr>
                <w:rFonts w:ascii="Montserrat" w:eastAsia="Times New Roman" w:hAnsi="Montserrat" w:cs="Calibri"/>
                <w:color w:val="000000"/>
                <w:sz w:val="15"/>
                <w:szCs w:val="15"/>
                <w:lang w:eastAsia="es-MX"/>
              </w:rPr>
            </w:pPr>
            <w:r w:rsidRPr="00255081">
              <w:rPr>
                <w:rFonts w:ascii="Montserrat" w:eastAsia="Times New Roman" w:hAnsi="Montserrat" w:cs="Calibri"/>
                <w:sz w:val="15"/>
                <w:szCs w:val="15"/>
                <w:lang w:eastAsia="es-MX"/>
              </w:rPr>
              <w:t>100%</w:t>
            </w:r>
          </w:p>
        </w:tc>
        <w:tc>
          <w:tcPr>
            <w:tcW w:w="2558" w:type="dxa"/>
            <w:gridSpan w:val="2"/>
            <w:shd w:val="clear" w:color="000000" w:fill="F2F2F2"/>
            <w:noWrap/>
            <w:vAlign w:val="center"/>
          </w:tcPr>
          <w:p w14:paraId="6AAA69D6" w14:textId="63F4EBE1" w:rsidR="00015492" w:rsidRPr="00255081" w:rsidRDefault="00015492" w:rsidP="000A1B05">
            <w:pPr>
              <w:spacing w:after="120" w:line="240" w:lineRule="auto"/>
              <w:jc w:val="right"/>
              <w:rPr>
                <w:rFonts w:ascii="Montserrat" w:eastAsia="Times New Roman" w:hAnsi="Montserrat" w:cs="Calibri"/>
                <w:color w:val="000000"/>
                <w:sz w:val="15"/>
                <w:szCs w:val="15"/>
                <w:lang w:eastAsia="es-MX"/>
              </w:rPr>
            </w:pPr>
            <w:r w:rsidRPr="00255081">
              <w:rPr>
                <w:rFonts w:ascii="Montserrat" w:eastAsia="Times New Roman" w:hAnsi="Montserrat" w:cs="Calibri"/>
                <w:sz w:val="15"/>
                <w:szCs w:val="15"/>
                <w:lang w:eastAsia="es-MX"/>
              </w:rPr>
              <w:t>5,989,559,535</w:t>
            </w:r>
          </w:p>
        </w:tc>
      </w:tr>
      <w:tr w:rsidR="00015492" w:rsidRPr="00995308" w14:paraId="57C13D54" w14:textId="77777777" w:rsidTr="006522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0"/>
          <w:jc w:val="center"/>
        </w:trPr>
        <w:tc>
          <w:tcPr>
            <w:tcW w:w="5583" w:type="dxa"/>
            <w:shd w:val="clear" w:color="000000" w:fill="F2F2F2"/>
            <w:vAlign w:val="center"/>
          </w:tcPr>
          <w:p w14:paraId="4025822E" w14:textId="77777777" w:rsidR="0065225C" w:rsidRDefault="0065225C" w:rsidP="004B170A">
            <w:pPr>
              <w:spacing w:after="120" w:line="240" w:lineRule="auto"/>
              <w:jc w:val="both"/>
              <w:rPr>
                <w:rFonts w:ascii="Montserrat" w:eastAsia="Times New Roman" w:hAnsi="Montserrat" w:cs="Calibri"/>
                <w:sz w:val="15"/>
                <w:szCs w:val="15"/>
                <w:lang w:eastAsia="es-MX"/>
              </w:rPr>
            </w:pPr>
          </w:p>
          <w:p w14:paraId="6C13D891" w14:textId="08F171D3" w:rsidR="00015492" w:rsidRPr="00255081" w:rsidRDefault="00015492" w:rsidP="004B170A">
            <w:pPr>
              <w:spacing w:after="120" w:line="240" w:lineRule="auto"/>
              <w:jc w:val="both"/>
              <w:rPr>
                <w:rFonts w:ascii="Montserrat" w:eastAsia="Times New Roman" w:hAnsi="Montserrat" w:cs="Calibri"/>
                <w:color w:val="000000"/>
                <w:sz w:val="15"/>
                <w:szCs w:val="15"/>
                <w:lang w:eastAsia="es-MX"/>
              </w:rPr>
            </w:pPr>
            <w:r w:rsidRPr="00255081">
              <w:rPr>
                <w:rFonts w:ascii="Montserrat" w:eastAsia="Times New Roman" w:hAnsi="Montserrat" w:cs="Calibri"/>
                <w:sz w:val="15"/>
                <w:szCs w:val="15"/>
                <w:lang w:eastAsia="es-MX"/>
              </w:rPr>
              <w:t>Organismo Promotor de Inversiones en Telecomunicaciones</w:t>
            </w:r>
          </w:p>
        </w:tc>
        <w:tc>
          <w:tcPr>
            <w:tcW w:w="2463" w:type="dxa"/>
            <w:shd w:val="clear" w:color="000000" w:fill="F2F2F2"/>
            <w:noWrap/>
            <w:vAlign w:val="center"/>
          </w:tcPr>
          <w:p w14:paraId="7DAC0B25" w14:textId="77777777" w:rsidR="0065225C" w:rsidRDefault="0065225C" w:rsidP="000A1B05">
            <w:pPr>
              <w:spacing w:after="120" w:line="240" w:lineRule="auto"/>
              <w:jc w:val="right"/>
              <w:rPr>
                <w:rFonts w:ascii="Montserrat" w:eastAsia="Times New Roman" w:hAnsi="Montserrat" w:cs="Calibri"/>
                <w:sz w:val="15"/>
                <w:szCs w:val="15"/>
                <w:lang w:eastAsia="es-MX"/>
              </w:rPr>
            </w:pPr>
          </w:p>
          <w:p w14:paraId="506813C8" w14:textId="31A86E0A" w:rsidR="00015492" w:rsidRPr="00255081" w:rsidRDefault="00015492" w:rsidP="000A1B05">
            <w:pPr>
              <w:spacing w:after="120" w:line="240" w:lineRule="auto"/>
              <w:jc w:val="right"/>
              <w:rPr>
                <w:rFonts w:ascii="Montserrat" w:eastAsia="Times New Roman" w:hAnsi="Montserrat" w:cs="Calibri"/>
                <w:color w:val="000000"/>
                <w:sz w:val="15"/>
                <w:szCs w:val="15"/>
                <w:lang w:eastAsia="es-MX"/>
              </w:rPr>
            </w:pPr>
            <w:r w:rsidRPr="00255081">
              <w:rPr>
                <w:rFonts w:ascii="Montserrat" w:eastAsia="Times New Roman" w:hAnsi="Montserrat" w:cs="Calibri"/>
                <w:sz w:val="15"/>
                <w:szCs w:val="15"/>
                <w:lang w:eastAsia="es-MX"/>
              </w:rPr>
              <w:t>1,582,178</w:t>
            </w:r>
          </w:p>
        </w:tc>
        <w:tc>
          <w:tcPr>
            <w:tcW w:w="1192" w:type="dxa"/>
            <w:shd w:val="clear" w:color="000000" w:fill="F2F2F2"/>
            <w:noWrap/>
            <w:vAlign w:val="center"/>
          </w:tcPr>
          <w:p w14:paraId="4C348014" w14:textId="77777777" w:rsidR="0065225C" w:rsidRDefault="0065225C" w:rsidP="000A1B05">
            <w:pPr>
              <w:spacing w:after="120" w:line="240" w:lineRule="auto"/>
              <w:jc w:val="right"/>
              <w:rPr>
                <w:rFonts w:ascii="Montserrat" w:eastAsia="Times New Roman" w:hAnsi="Montserrat" w:cs="Calibri"/>
                <w:sz w:val="15"/>
                <w:szCs w:val="15"/>
                <w:lang w:eastAsia="es-MX"/>
              </w:rPr>
            </w:pPr>
          </w:p>
          <w:p w14:paraId="43CBC915" w14:textId="25924CED" w:rsidR="00015492" w:rsidRPr="00255081" w:rsidRDefault="00015492" w:rsidP="000A1B05">
            <w:pPr>
              <w:spacing w:after="120" w:line="240" w:lineRule="auto"/>
              <w:jc w:val="right"/>
              <w:rPr>
                <w:rFonts w:ascii="Montserrat" w:eastAsia="Times New Roman" w:hAnsi="Montserrat" w:cs="Calibri"/>
                <w:color w:val="000000"/>
                <w:sz w:val="15"/>
                <w:szCs w:val="15"/>
                <w:lang w:eastAsia="es-MX"/>
              </w:rPr>
            </w:pPr>
            <w:r w:rsidRPr="00255081">
              <w:rPr>
                <w:rFonts w:ascii="Montserrat" w:eastAsia="Times New Roman" w:hAnsi="Montserrat" w:cs="Calibri"/>
                <w:sz w:val="15"/>
                <w:szCs w:val="15"/>
                <w:lang w:eastAsia="es-MX"/>
              </w:rPr>
              <w:t>0%</w:t>
            </w:r>
          </w:p>
        </w:tc>
        <w:tc>
          <w:tcPr>
            <w:tcW w:w="2558" w:type="dxa"/>
            <w:gridSpan w:val="2"/>
            <w:shd w:val="clear" w:color="000000" w:fill="F2F2F2"/>
            <w:noWrap/>
            <w:vAlign w:val="center"/>
          </w:tcPr>
          <w:p w14:paraId="15226000" w14:textId="77777777" w:rsidR="0065225C" w:rsidRDefault="0065225C" w:rsidP="000A1B05">
            <w:pPr>
              <w:spacing w:after="120" w:line="240" w:lineRule="auto"/>
              <w:jc w:val="right"/>
              <w:rPr>
                <w:rFonts w:ascii="Montserrat" w:eastAsia="Times New Roman" w:hAnsi="Montserrat" w:cs="Calibri"/>
                <w:sz w:val="15"/>
                <w:szCs w:val="15"/>
                <w:lang w:eastAsia="es-MX"/>
              </w:rPr>
            </w:pPr>
          </w:p>
          <w:p w14:paraId="7BEDF3E8" w14:textId="789DEB06" w:rsidR="00015492" w:rsidRPr="00255081" w:rsidRDefault="00015492" w:rsidP="000A1B05">
            <w:pPr>
              <w:spacing w:after="120" w:line="240" w:lineRule="auto"/>
              <w:jc w:val="right"/>
              <w:rPr>
                <w:rFonts w:ascii="Montserrat" w:eastAsia="Times New Roman" w:hAnsi="Montserrat" w:cs="Calibri"/>
                <w:color w:val="000000"/>
                <w:sz w:val="15"/>
                <w:szCs w:val="15"/>
                <w:lang w:eastAsia="es-MX"/>
              </w:rPr>
            </w:pPr>
            <w:r w:rsidRPr="00255081">
              <w:rPr>
                <w:rFonts w:ascii="Montserrat" w:eastAsia="Times New Roman" w:hAnsi="Montserrat" w:cs="Calibri"/>
                <w:sz w:val="15"/>
                <w:szCs w:val="15"/>
                <w:lang w:eastAsia="es-MX"/>
              </w:rPr>
              <w:t>0</w:t>
            </w:r>
          </w:p>
        </w:tc>
      </w:tr>
      <w:tr w:rsidR="00015492" w:rsidRPr="00995308" w14:paraId="038175A3" w14:textId="77777777" w:rsidTr="006522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jc w:val="center"/>
        </w:trPr>
        <w:tc>
          <w:tcPr>
            <w:tcW w:w="5583" w:type="dxa"/>
            <w:shd w:val="clear" w:color="000000" w:fill="F2F2F2"/>
            <w:vAlign w:val="center"/>
          </w:tcPr>
          <w:p w14:paraId="2B5AB514" w14:textId="5D4E3798" w:rsidR="00015492" w:rsidRPr="00255081" w:rsidRDefault="00015492" w:rsidP="004B170A">
            <w:pPr>
              <w:spacing w:after="120" w:line="240" w:lineRule="auto"/>
              <w:jc w:val="both"/>
              <w:rPr>
                <w:rFonts w:ascii="Montserrat" w:eastAsia="Times New Roman" w:hAnsi="Montserrat" w:cs="Calibri"/>
                <w:color w:val="000000"/>
                <w:sz w:val="15"/>
                <w:szCs w:val="15"/>
                <w:lang w:eastAsia="es-MX"/>
              </w:rPr>
            </w:pPr>
            <w:r w:rsidRPr="00255081">
              <w:rPr>
                <w:rFonts w:ascii="Montserrat" w:eastAsia="Times New Roman" w:hAnsi="Montserrat" w:cs="Calibri"/>
                <w:sz w:val="15"/>
                <w:szCs w:val="15"/>
                <w:lang w:eastAsia="es-MX"/>
              </w:rPr>
              <w:t>Fideicomiso de Formación y Capacitación para el Personal de la Marina Mercante Nacional</w:t>
            </w:r>
          </w:p>
        </w:tc>
        <w:tc>
          <w:tcPr>
            <w:tcW w:w="2463" w:type="dxa"/>
            <w:shd w:val="clear" w:color="000000" w:fill="F2F2F2"/>
            <w:noWrap/>
            <w:vAlign w:val="center"/>
          </w:tcPr>
          <w:p w14:paraId="51E199E1" w14:textId="1CB7AA26" w:rsidR="00015492" w:rsidRPr="00255081" w:rsidRDefault="00015492" w:rsidP="000A1B05">
            <w:pPr>
              <w:spacing w:after="120" w:line="240" w:lineRule="auto"/>
              <w:jc w:val="right"/>
              <w:rPr>
                <w:rFonts w:ascii="Montserrat" w:eastAsia="Times New Roman" w:hAnsi="Montserrat" w:cs="Calibri"/>
                <w:color w:val="000000"/>
                <w:sz w:val="15"/>
                <w:szCs w:val="15"/>
                <w:lang w:eastAsia="es-MX"/>
              </w:rPr>
            </w:pPr>
            <w:r w:rsidRPr="00255081">
              <w:rPr>
                <w:rFonts w:ascii="Montserrat" w:eastAsia="Times New Roman" w:hAnsi="Montserrat" w:cs="Calibri"/>
                <w:sz w:val="15"/>
                <w:szCs w:val="15"/>
                <w:lang w:eastAsia="es-MX"/>
              </w:rPr>
              <w:t>94,413,514</w:t>
            </w:r>
          </w:p>
        </w:tc>
        <w:tc>
          <w:tcPr>
            <w:tcW w:w="1192" w:type="dxa"/>
            <w:shd w:val="clear" w:color="000000" w:fill="F2F2F2"/>
            <w:noWrap/>
            <w:vAlign w:val="center"/>
          </w:tcPr>
          <w:p w14:paraId="56D92FDE" w14:textId="4D0724CF" w:rsidR="00015492" w:rsidRPr="00255081" w:rsidRDefault="00015492" w:rsidP="000A1B05">
            <w:pPr>
              <w:spacing w:after="120" w:line="240" w:lineRule="auto"/>
              <w:jc w:val="right"/>
              <w:rPr>
                <w:rFonts w:ascii="Montserrat" w:eastAsia="Times New Roman" w:hAnsi="Montserrat" w:cs="Calibri"/>
                <w:color w:val="000000"/>
                <w:sz w:val="15"/>
                <w:szCs w:val="15"/>
                <w:lang w:eastAsia="es-MX"/>
              </w:rPr>
            </w:pPr>
            <w:r w:rsidRPr="00255081">
              <w:rPr>
                <w:rFonts w:ascii="Montserrat" w:eastAsia="Times New Roman" w:hAnsi="Montserrat" w:cs="Calibri"/>
                <w:sz w:val="15"/>
                <w:szCs w:val="15"/>
                <w:lang w:eastAsia="es-MX"/>
              </w:rPr>
              <w:t>100%</w:t>
            </w:r>
          </w:p>
        </w:tc>
        <w:tc>
          <w:tcPr>
            <w:tcW w:w="2558" w:type="dxa"/>
            <w:gridSpan w:val="2"/>
            <w:shd w:val="clear" w:color="000000" w:fill="F2F2F2"/>
            <w:noWrap/>
            <w:vAlign w:val="center"/>
          </w:tcPr>
          <w:p w14:paraId="650E3D66" w14:textId="261BEB19" w:rsidR="00015492" w:rsidRPr="00255081" w:rsidRDefault="00015492" w:rsidP="000A1B05">
            <w:pPr>
              <w:spacing w:after="120" w:line="240" w:lineRule="auto"/>
              <w:jc w:val="right"/>
              <w:rPr>
                <w:rFonts w:ascii="Montserrat" w:eastAsia="Times New Roman" w:hAnsi="Montserrat" w:cs="Calibri"/>
                <w:color w:val="000000"/>
                <w:sz w:val="15"/>
                <w:szCs w:val="15"/>
                <w:lang w:eastAsia="es-MX"/>
              </w:rPr>
            </w:pPr>
            <w:r w:rsidRPr="00255081">
              <w:rPr>
                <w:rFonts w:ascii="Montserrat" w:eastAsia="Times New Roman" w:hAnsi="Montserrat" w:cs="Calibri"/>
                <w:sz w:val="15"/>
                <w:szCs w:val="15"/>
                <w:lang w:eastAsia="es-MX"/>
              </w:rPr>
              <w:t>94,413,514</w:t>
            </w:r>
          </w:p>
        </w:tc>
      </w:tr>
      <w:tr w:rsidR="00015492" w:rsidRPr="00995308" w14:paraId="6EE115E4" w14:textId="77777777" w:rsidTr="000F03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jc w:val="center"/>
        </w:trPr>
        <w:tc>
          <w:tcPr>
            <w:tcW w:w="5583" w:type="dxa"/>
            <w:shd w:val="clear" w:color="000000" w:fill="F2F2F2"/>
            <w:vAlign w:val="center"/>
          </w:tcPr>
          <w:p w14:paraId="188AAB49" w14:textId="1816E604" w:rsidR="00015492" w:rsidRPr="00255081" w:rsidRDefault="00015492" w:rsidP="004B170A">
            <w:pPr>
              <w:spacing w:after="120" w:line="240" w:lineRule="auto"/>
              <w:jc w:val="both"/>
              <w:rPr>
                <w:rFonts w:ascii="Montserrat" w:eastAsia="Times New Roman" w:hAnsi="Montserrat" w:cs="Calibri"/>
                <w:color w:val="000000"/>
                <w:sz w:val="15"/>
                <w:szCs w:val="15"/>
                <w:lang w:eastAsia="es-MX"/>
              </w:rPr>
            </w:pPr>
            <w:r w:rsidRPr="00255081">
              <w:rPr>
                <w:rFonts w:ascii="Montserrat" w:eastAsia="Times New Roman" w:hAnsi="Montserrat" w:cs="Calibri"/>
                <w:sz w:val="15"/>
                <w:szCs w:val="15"/>
                <w:lang w:eastAsia="es-MX"/>
              </w:rPr>
              <w:t>Servicio Postal Mexicano</w:t>
            </w:r>
          </w:p>
        </w:tc>
        <w:tc>
          <w:tcPr>
            <w:tcW w:w="2463" w:type="dxa"/>
            <w:shd w:val="clear" w:color="000000" w:fill="F2F2F2"/>
            <w:noWrap/>
            <w:vAlign w:val="center"/>
          </w:tcPr>
          <w:p w14:paraId="1AD9C46C" w14:textId="4182E951" w:rsidR="00015492" w:rsidRPr="00255081" w:rsidRDefault="00015492" w:rsidP="000A1B05">
            <w:pPr>
              <w:spacing w:after="120" w:line="240" w:lineRule="auto"/>
              <w:jc w:val="right"/>
              <w:rPr>
                <w:rFonts w:ascii="Montserrat" w:eastAsia="Times New Roman" w:hAnsi="Montserrat" w:cs="Calibri"/>
                <w:color w:val="000000"/>
                <w:sz w:val="15"/>
                <w:szCs w:val="15"/>
                <w:lang w:eastAsia="es-MX"/>
              </w:rPr>
            </w:pPr>
            <w:r w:rsidRPr="00255081">
              <w:rPr>
                <w:rFonts w:ascii="Montserrat" w:eastAsia="Times New Roman" w:hAnsi="Montserrat" w:cs="Calibri"/>
                <w:sz w:val="15"/>
                <w:szCs w:val="15"/>
                <w:lang w:eastAsia="es-MX"/>
              </w:rPr>
              <w:t>1,085,027,533</w:t>
            </w:r>
          </w:p>
        </w:tc>
        <w:tc>
          <w:tcPr>
            <w:tcW w:w="1192" w:type="dxa"/>
            <w:shd w:val="clear" w:color="000000" w:fill="F2F2F2"/>
            <w:noWrap/>
            <w:vAlign w:val="center"/>
          </w:tcPr>
          <w:p w14:paraId="2F511FDA" w14:textId="563D954D" w:rsidR="00015492" w:rsidRPr="00255081" w:rsidRDefault="00015492" w:rsidP="000A1B05">
            <w:pPr>
              <w:spacing w:after="120" w:line="240" w:lineRule="auto"/>
              <w:jc w:val="right"/>
              <w:rPr>
                <w:rFonts w:ascii="Montserrat" w:eastAsia="Times New Roman" w:hAnsi="Montserrat" w:cs="Calibri"/>
                <w:color w:val="000000"/>
                <w:sz w:val="15"/>
                <w:szCs w:val="15"/>
                <w:lang w:eastAsia="es-MX"/>
              </w:rPr>
            </w:pPr>
            <w:r w:rsidRPr="00255081">
              <w:rPr>
                <w:rFonts w:ascii="Montserrat" w:eastAsia="Times New Roman" w:hAnsi="Montserrat" w:cs="Calibri"/>
                <w:sz w:val="15"/>
                <w:szCs w:val="15"/>
                <w:lang w:eastAsia="es-MX"/>
              </w:rPr>
              <w:t>100%</w:t>
            </w:r>
          </w:p>
        </w:tc>
        <w:tc>
          <w:tcPr>
            <w:tcW w:w="2558" w:type="dxa"/>
            <w:gridSpan w:val="2"/>
            <w:shd w:val="clear" w:color="000000" w:fill="F2F2F2"/>
            <w:noWrap/>
            <w:vAlign w:val="center"/>
          </w:tcPr>
          <w:p w14:paraId="563FC603" w14:textId="139592C0" w:rsidR="00015492" w:rsidRPr="00255081" w:rsidRDefault="00015492" w:rsidP="000A1B05">
            <w:pPr>
              <w:spacing w:after="120" w:line="240" w:lineRule="auto"/>
              <w:jc w:val="right"/>
              <w:rPr>
                <w:rFonts w:ascii="Montserrat" w:eastAsia="Times New Roman" w:hAnsi="Montserrat" w:cs="Calibri"/>
                <w:color w:val="000000"/>
                <w:sz w:val="15"/>
                <w:szCs w:val="15"/>
                <w:lang w:eastAsia="es-MX"/>
              </w:rPr>
            </w:pPr>
            <w:r w:rsidRPr="00255081">
              <w:rPr>
                <w:rFonts w:ascii="Montserrat" w:eastAsia="Times New Roman" w:hAnsi="Montserrat" w:cs="Calibri"/>
                <w:sz w:val="15"/>
                <w:szCs w:val="15"/>
                <w:lang w:eastAsia="es-MX"/>
              </w:rPr>
              <w:t>1,085,027,533</w:t>
            </w:r>
          </w:p>
        </w:tc>
      </w:tr>
      <w:tr w:rsidR="00015492" w:rsidRPr="00995308" w14:paraId="13E4C511" w14:textId="77777777" w:rsidTr="000F03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jc w:val="center"/>
        </w:trPr>
        <w:tc>
          <w:tcPr>
            <w:tcW w:w="5583" w:type="dxa"/>
            <w:shd w:val="clear" w:color="000000" w:fill="F2F2F2"/>
            <w:vAlign w:val="center"/>
          </w:tcPr>
          <w:p w14:paraId="4C11B64D" w14:textId="6C2B992D" w:rsidR="00015492" w:rsidRPr="00255081" w:rsidRDefault="00015492" w:rsidP="004B170A">
            <w:pPr>
              <w:spacing w:after="120" w:line="240" w:lineRule="auto"/>
              <w:jc w:val="both"/>
              <w:rPr>
                <w:rFonts w:ascii="Montserrat" w:eastAsia="Times New Roman" w:hAnsi="Montserrat" w:cs="Calibri"/>
                <w:color w:val="000000"/>
                <w:sz w:val="15"/>
                <w:szCs w:val="15"/>
                <w:lang w:eastAsia="es-MX"/>
              </w:rPr>
            </w:pPr>
            <w:r w:rsidRPr="00255081">
              <w:rPr>
                <w:rFonts w:ascii="Montserrat" w:eastAsia="Times New Roman" w:hAnsi="Montserrat" w:cs="Calibri"/>
                <w:sz w:val="15"/>
                <w:szCs w:val="15"/>
                <w:lang w:eastAsia="es-MX"/>
              </w:rPr>
              <w:t>Aeropuertos y Servicios Auxiliares</w:t>
            </w:r>
          </w:p>
        </w:tc>
        <w:tc>
          <w:tcPr>
            <w:tcW w:w="2463" w:type="dxa"/>
            <w:shd w:val="clear" w:color="000000" w:fill="F2F2F2"/>
            <w:noWrap/>
            <w:vAlign w:val="center"/>
          </w:tcPr>
          <w:p w14:paraId="5E8B8628" w14:textId="5FA053D9" w:rsidR="00015492" w:rsidRPr="00255081" w:rsidRDefault="00015492" w:rsidP="000A1B05">
            <w:pPr>
              <w:spacing w:after="120" w:line="240" w:lineRule="auto"/>
              <w:jc w:val="right"/>
              <w:rPr>
                <w:rFonts w:ascii="Montserrat" w:eastAsia="Times New Roman" w:hAnsi="Montserrat" w:cs="Calibri"/>
                <w:color w:val="000000"/>
                <w:sz w:val="15"/>
                <w:szCs w:val="15"/>
                <w:lang w:eastAsia="es-MX"/>
              </w:rPr>
            </w:pPr>
            <w:r w:rsidRPr="00255081">
              <w:rPr>
                <w:rFonts w:ascii="Montserrat" w:eastAsia="Times New Roman" w:hAnsi="Montserrat" w:cs="Calibri"/>
                <w:sz w:val="15"/>
                <w:szCs w:val="15"/>
                <w:lang w:eastAsia="es-MX"/>
              </w:rPr>
              <w:t>12,495,341,209</w:t>
            </w:r>
          </w:p>
        </w:tc>
        <w:tc>
          <w:tcPr>
            <w:tcW w:w="1192" w:type="dxa"/>
            <w:shd w:val="clear" w:color="000000" w:fill="F2F2F2"/>
            <w:noWrap/>
            <w:vAlign w:val="center"/>
          </w:tcPr>
          <w:p w14:paraId="29A692BC" w14:textId="24BD9974" w:rsidR="00015492" w:rsidRPr="00255081" w:rsidRDefault="00015492" w:rsidP="000A1B05">
            <w:pPr>
              <w:spacing w:after="120" w:line="240" w:lineRule="auto"/>
              <w:jc w:val="right"/>
              <w:rPr>
                <w:rFonts w:ascii="Montserrat" w:eastAsia="Times New Roman" w:hAnsi="Montserrat" w:cs="Calibri"/>
                <w:color w:val="000000"/>
                <w:sz w:val="15"/>
                <w:szCs w:val="15"/>
                <w:lang w:eastAsia="es-MX"/>
              </w:rPr>
            </w:pPr>
            <w:r w:rsidRPr="00255081">
              <w:rPr>
                <w:rFonts w:ascii="Montserrat" w:eastAsia="Times New Roman" w:hAnsi="Montserrat" w:cs="Calibri"/>
                <w:sz w:val="15"/>
                <w:szCs w:val="15"/>
                <w:lang w:eastAsia="es-MX"/>
              </w:rPr>
              <w:t>100%</w:t>
            </w:r>
          </w:p>
        </w:tc>
        <w:tc>
          <w:tcPr>
            <w:tcW w:w="2558" w:type="dxa"/>
            <w:gridSpan w:val="2"/>
            <w:shd w:val="clear" w:color="000000" w:fill="F2F2F2"/>
            <w:noWrap/>
            <w:vAlign w:val="center"/>
          </w:tcPr>
          <w:p w14:paraId="765806D8" w14:textId="18B4C704" w:rsidR="00015492" w:rsidRPr="00255081" w:rsidRDefault="00015492" w:rsidP="000A1B05">
            <w:pPr>
              <w:spacing w:after="120" w:line="240" w:lineRule="auto"/>
              <w:jc w:val="right"/>
              <w:rPr>
                <w:rFonts w:ascii="Montserrat" w:eastAsia="Times New Roman" w:hAnsi="Montserrat" w:cs="Calibri"/>
                <w:color w:val="000000"/>
                <w:sz w:val="15"/>
                <w:szCs w:val="15"/>
                <w:lang w:eastAsia="es-MX"/>
              </w:rPr>
            </w:pPr>
            <w:r w:rsidRPr="00255081">
              <w:rPr>
                <w:rFonts w:ascii="Montserrat" w:eastAsia="Times New Roman" w:hAnsi="Montserrat" w:cs="Calibri"/>
                <w:sz w:val="15"/>
                <w:szCs w:val="15"/>
                <w:lang w:eastAsia="es-MX"/>
              </w:rPr>
              <w:t>12,495,341,209</w:t>
            </w:r>
          </w:p>
        </w:tc>
      </w:tr>
      <w:tr w:rsidR="00015492" w:rsidRPr="00995308" w14:paraId="2B5FA3F7" w14:textId="77777777" w:rsidTr="000F03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jc w:val="center"/>
        </w:trPr>
        <w:tc>
          <w:tcPr>
            <w:tcW w:w="5583" w:type="dxa"/>
            <w:shd w:val="clear" w:color="000000" w:fill="F2F2F2"/>
            <w:vAlign w:val="center"/>
          </w:tcPr>
          <w:p w14:paraId="4A68CAE2" w14:textId="6A43B00E" w:rsidR="00015492" w:rsidRPr="00255081" w:rsidRDefault="00015492" w:rsidP="004B170A">
            <w:pPr>
              <w:spacing w:after="120" w:line="240" w:lineRule="auto"/>
              <w:jc w:val="both"/>
              <w:rPr>
                <w:rFonts w:ascii="Montserrat" w:eastAsia="Times New Roman" w:hAnsi="Montserrat" w:cs="Calibri"/>
                <w:color w:val="000000"/>
                <w:sz w:val="15"/>
                <w:szCs w:val="15"/>
                <w:lang w:eastAsia="es-MX"/>
              </w:rPr>
            </w:pPr>
            <w:r w:rsidRPr="00255081">
              <w:rPr>
                <w:rFonts w:ascii="Montserrat" w:eastAsia="Times New Roman" w:hAnsi="Montserrat" w:cs="Calibri"/>
                <w:sz w:val="15"/>
                <w:szCs w:val="15"/>
                <w:lang w:eastAsia="es-MX"/>
              </w:rPr>
              <w:t>Agencia Espacial Mexicana</w:t>
            </w:r>
          </w:p>
        </w:tc>
        <w:tc>
          <w:tcPr>
            <w:tcW w:w="2463" w:type="dxa"/>
            <w:shd w:val="clear" w:color="000000" w:fill="F2F2F2"/>
            <w:noWrap/>
            <w:vAlign w:val="center"/>
          </w:tcPr>
          <w:p w14:paraId="313C124D" w14:textId="41C5ED7D" w:rsidR="00015492" w:rsidRPr="00255081" w:rsidRDefault="00015492" w:rsidP="000A1B05">
            <w:pPr>
              <w:spacing w:after="120" w:line="240" w:lineRule="auto"/>
              <w:jc w:val="right"/>
              <w:rPr>
                <w:rFonts w:ascii="Montserrat" w:eastAsia="Times New Roman" w:hAnsi="Montserrat" w:cs="Calibri"/>
                <w:color w:val="000000"/>
                <w:sz w:val="15"/>
                <w:szCs w:val="15"/>
                <w:lang w:eastAsia="es-MX"/>
              </w:rPr>
            </w:pPr>
            <w:r w:rsidRPr="00255081">
              <w:rPr>
                <w:rFonts w:ascii="Montserrat" w:eastAsia="Times New Roman" w:hAnsi="Montserrat" w:cs="Calibri"/>
                <w:sz w:val="15"/>
                <w:szCs w:val="15"/>
                <w:lang w:eastAsia="es-MX"/>
              </w:rPr>
              <w:t>91,167,136</w:t>
            </w:r>
          </w:p>
        </w:tc>
        <w:tc>
          <w:tcPr>
            <w:tcW w:w="1192" w:type="dxa"/>
            <w:shd w:val="clear" w:color="000000" w:fill="F2F2F2"/>
            <w:noWrap/>
            <w:vAlign w:val="center"/>
          </w:tcPr>
          <w:p w14:paraId="6896D169" w14:textId="6134BD88" w:rsidR="00015492" w:rsidRPr="00255081" w:rsidRDefault="00015492" w:rsidP="000A1B05">
            <w:pPr>
              <w:spacing w:after="120" w:line="240" w:lineRule="auto"/>
              <w:jc w:val="right"/>
              <w:rPr>
                <w:rFonts w:ascii="Montserrat" w:eastAsia="Times New Roman" w:hAnsi="Montserrat" w:cs="Calibri"/>
                <w:color w:val="000000"/>
                <w:sz w:val="15"/>
                <w:szCs w:val="15"/>
                <w:lang w:eastAsia="es-MX"/>
              </w:rPr>
            </w:pPr>
            <w:r w:rsidRPr="00255081">
              <w:rPr>
                <w:rFonts w:ascii="Montserrat" w:eastAsia="Times New Roman" w:hAnsi="Montserrat" w:cs="Calibri"/>
                <w:sz w:val="15"/>
                <w:szCs w:val="15"/>
                <w:lang w:eastAsia="es-MX"/>
              </w:rPr>
              <w:t>100%</w:t>
            </w:r>
          </w:p>
        </w:tc>
        <w:tc>
          <w:tcPr>
            <w:tcW w:w="2558" w:type="dxa"/>
            <w:gridSpan w:val="2"/>
            <w:shd w:val="clear" w:color="000000" w:fill="F2F2F2"/>
            <w:noWrap/>
            <w:vAlign w:val="center"/>
          </w:tcPr>
          <w:p w14:paraId="7CECA73F" w14:textId="3F58048A" w:rsidR="00015492" w:rsidRPr="00255081" w:rsidRDefault="00015492" w:rsidP="000A1B05">
            <w:pPr>
              <w:spacing w:after="120" w:line="240" w:lineRule="auto"/>
              <w:jc w:val="right"/>
              <w:rPr>
                <w:rFonts w:ascii="Montserrat" w:eastAsia="Times New Roman" w:hAnsi="Montserrat" w:cs="Calibri"/>
                <w:color w:val="000000"/>
                <w:sz w:val="15"/>
                <w:szCs w:val="15"/>
                <w:lang w:eastAsia="es-MX"/>
              </w:rPr>
            </w:pPr>
            <w:r w:rsidRPr="00255081">
              <w:rPr>
                <w:rFonts w:ascii="Montserrat" w:eastAsia="Times New Roman" w:hAnsi="Montserrat" w:cs="Calibri"/>
                <w:sz w:val="15"/>
                <w:szCs w:val="15"/>
                <w:lang w:eastAsia="es-MX"/>
              </w:rPr>
              <w:t>91,167,136</w:t>
            </w:r>
          </w:p>
        </w:tc>
      </w:tr>
      <w:tr w:rsidR="00015492" w:rsidRPr="00995308" w14:paraId="20B5BB5E" w14:textId="77777777" w:rsidTr="000F03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jc w:val="center"/>
        </w:trPr>
        <w:tc>
          <w:tcPr>
            <w:tcW w:w="5583" w:type="dxa"/>
            <w:shd w:val="clear" w:color="000000" w:fill="F2F2F2"/>
            <w:vAlign w:val="center"/>
          </w:tcPr>
          <w:p w14:paraId="0F220C68" w14:textId="2EB2FED2" w:rsidR="00015492" w:rsidRPr="00255081" w:rsidRDefault="00015492" w:rsidP="004B170A">
            <w:pPr>
              <w:spacing w:after="120" w:line="240" w:lineRule="auto"/>
              <w:jc w:val="both"/>
              <w:rPr>
                <w:rFonts w:ascii="Montserrat" w:eastAsia="Times New Roman" w:hAnsi="Montserrat" w:cs="Calibri"/>
                <w:color w:val="000000"/>
                <w:sz w:val="15"/>
                <w:szCs w:val="15"/>
                <w:lang w:eastAsia="es-MX"/>
              </w:rPr>
            </w:pPr>
            <w:r w:rsidRPr="00255081">
              <w:rPr>
                <w:rFonts w:ascii="Montserrat" w:eastAsia="Times New Roman" w:hAnsi="Montserrat" w:cs="Calibri"/>
                <w:sz w:val="15"/>
                <w:szCs w:val="15"/>
                <w:lang w:eastAsia="es-MX"/>
              </w:rPr>
              <w:t>Telecomunicaciones de México</w:t>
            </w:r>
          </w:p>
        </w:tc>
        <w:tc>
          <w:tcPr>
            <w:tcW w:w="2463" w:type="dxa"/>
            <w:shd w:val="clear" w:color="000000" w:fill="F2F2F2"/>
            <w:noWrap/>
            <w:vAlign w:val="center"/>
          </w:tcPr>
          <w:p w14:paraId="2842A4CF" w14:textId="23E68C37" w:rsidR="00015492" w:rsidRPr="00255081" w:rsidRDefault="00015492" w:rsidP="000A1B05">
            <w:pPr>
              <w:spacing w:after="120" w:line="240" w:lineRule="auto"/>
              <w:jc w:val="right"/>
              <w:rPr>
                <w:rFonts w:ascii="Montserrat" w:eastAsia="Times New Roman" w:hAnsi="Montserrat" w:cs="Calibri"/>
                <w:color w:val="000000"/>
                <w:sz w:val="15"/>
                <w:szCs w:val="15"/>
                <w:lang w:eastAsia="es-MX"/>
              </w:rPr>
            </w:pPr>
            <w:r w:rsidRPr="00255081">
              <w:rPr>
                <w:rFonts w:ascii="Montserrat" w:eastAsia="Times New Roman" w:hAnsi="Montserrat" w:cs="Calibri"/>
                <w:sz w:val="15"/>
                <w:szCs w:val="15"/>
                <w:lang w:eastAsia="es-MX"/>
              </w:rPr>
              <w:t>4,052,401,353</w:t>
            </w:r>
          </w:p>
        </w:tc>
        <w:tc>
          <w:tcPr>
            <w:tcW w:w="1192" w:type="dxa"/>
            <w:shd w:val="clear" w:color="000000" w:fill="F2F2F2"/>
            <w:noWrap/>
            <w:vAlign w:val="center"/>
          </w:tcPr>
          <w:p w14:paraId="1FB9676D" w14:textId="5E9DF039" w:rsidR="00015492" w:rsidRPr="00255081" w:rsidRDefault="00015492" w:rsidP="000A1B05">
            <w:pPr>
              <w:spacing w:after="120" w:line="240" w:lineRule="auto"/>
              <w:jc w:val="right"/>
              <w:rPr>
                <w:rFonts w:ascii="Montserrat" w:eastAsia="Times New Roman" w:hAnsi="Montserrat" w:cs="Calibri"/>
                <w:color w:val="000000"/>
                <w:sz w:val="15"/>
                <w:szCs w:val="15"/>
                <w:lang w:eastAsia="es-MX"/>
              </w:rPr>
            </w:pPr>
            <w:r w:rsidRPr="00255081">
              <w:rPr>
                <w:rFonts w:ascii="Montserrat" w:eastAsia="Times New Roman" w:hAnsi="Montserrat" w:cs="Calibri"/>
                <w:sz w:val="15"/>
                <w:szCs w:val="15"/>
                <w:lang w:eastAsia="es-MX"/>
              </w:rPr>
              <w:t>100%</w:t>
            </w:r>
          </w:p>
        </w:tc>
        <w:tc>
          <w:tcPr>
            <w:tcW w:w="2558" w:type="dxa"/>
            <w:gridSpan w:val="2"/>
            <w:shd w:val="clear" w:color="000000" w:fill="F2F2F2"/>
            <w:noWrap/>
            <w:vAlign w:val="center"/>
          </w:tcPr>
          <w:p w14:paraId="26C18C5A" w14:textId="6C15972B" w:rsidR="00015492" w:rsidRPr="00255081" w:rsidRDefault="00015492" w:rsidP="000A1B05">
            <w:pPr>
              <w:spacing w:after="120" w:line="240" w:lineRule="auto"/>
              <w:jc w:val="right"/>
              <w:rPr>
                <w:rFonts w:ascii="Montserrat" w:eastAsia="Times New Roman" w:hAnsi="Montserrat" w:cs="Calibri"/>
                <w:color w:val="000000"/>
                <w:sz w:val="15"/>
                <w:szCs w:val="15"/>
                <w:lang w:eastAsia="es-MX"/>
              </w:rPr>
            </w:pPr>
            <w:r w:rsidRPr="00255081">
              <w:rPr>
                <w:rFonts w:ascii="Montserrat" w:eastAsia="Times New Roman" w:hAnsi="Montserrat" w:cs="Calibri"/>
                <w:sz w:val="15"/>
                <w:szCs w:val="15"/>
                <w:lang w:eastAsia="es-MX"/>
              </w:rPr>
              <w:t>4,052,401,353</w:t>
            </w:r>
          </w:p>
        </w:tc>
      </w:tr>
      <w:tr w:rsidR="00015492" w:rsidRPr="00995308" w14:paraId="081EF314" w14:textId="77777777" w:rsidTr="000F03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jc w:val="center"/>
        </w:trPr>
        <w:tc>
          <w:tcPr>
            <w:tcW w:w="5583" w:type="dxa"/>
            <w:shd w:val="clear" w:color="000000" w:fill="F2F2F2"/>
            <w:vAlign w:val="center"/>
          </w:tcPr>
          <w:p w14:paraId="76E1D9AA" w14:textId="13552C02" w:rsidR="00015492" w:rsidRPr="00255081" w:rsidRDefault="00015492" w:rsidP="004B170A">
            <w:pPr>
              <w:spacing w:after="120" w:line="240" w:lineRule="auto"/>
              <w:jc w:val="both"/>
              <w:rPr>
                <w:rFonts w:ascii="Montserrat" w:eastAsia="Times New Roman" w:hAnsi="Montserrat" w:cs="Calibri"/>
                <w:color w:val="000000"/>
                <w:sz w:val="15"/>
                <w:szCs w:val="15"/>
                <w:lang w:eastAsia="es-MX"/>
              </w:rPr>
            </w:pPr>
            <w:r w:rsidRPr="00255081">
              <w:rPr>
                <w:rFonts w:ascii="Montserrat" w:eastAsia="Times New Roman" w:hAnsi="Montserrat" w:cs="Calibri"/>
                <w:sz w:val="15"/>
                <w:szCs w:val="15"/>
                <w:lang w:eastAsia="es-MX"/>
              </w:rPr>
              <w:t>Grupo Aeroportuario de la Ciudad de México, S.A. de C.V.</w:t>
            </w:r>
          </w:p>
        </w:tc>
        <w:tc>
          <w:tcPr>
            <w:tcW w:w="2463" w:type="dxa"/>
            <w:shd w:val="clear" w:color="000000" w:fill="F2F2F2"/>
            <w:noWrap/>
            <w:vAlign w:val="center"/>
          </w:tcPr>
          <w:p w14:paraId="51684AC3" w14:textId="4586050B" w:rsidR="00015492" w:rsidRPr="00255081" w:rsidRDefault="00015492" w:rsidP="000A1B05">
            <w:pPr>
              <w:spacing w:after="120" w:line="240" w:lineRule="auto"/>
              <w:jc w:val="right"/>
              <w:rPr>
                <w:rFonts w:ascii="Montserrat" w:eastAsia="Times New Roman" w:hAnsi="Montserrat" w:cs="Calibri"/>
                <w:color w:val="000000"/>
                <w:sz w:val="15"/>
                <w:szCs w:val="15"/>
                <w:lang w:eastAsia="es-MX"/>
              </w:rPr>
            </w:pPr>
            <w:r w:rsidRPr="00255081">
              <w:rPr>
                <w:rFonts w:ascii="Montserrat" w:eastAsia="Times New Roman" w:hAnsi="Montserrat" w:cs="Calibri"/>
                <w:sz w:val="15"/>
                <w:szCs w:val="15"/>
                <w:lang w:eastAsia="es-MX"/>
              </w:rPr>
              <w:t>42,635,671,455</w:t>
            </w:r>
          </w:p>
        </w:tc>
        <w:tc>
          <w:tcPr>
            <w:tcW w:w="1192" w:type="dxa"/>
            <w:shd w:val="clear" w:color="000000" w:fill="F2F2F2"/>
            <w:noWrap/>
            <w:vAlign w:val="center"/>
          </w:tcPr>
          <w:p w14:paraId="29090C5C" w14:textId="417C594D" w:rsidR="00015492" w:rsidRPr="00255081" w:rsidRDefault="00015492" w:rsidP="000A1B05">
            <w:pPr>
              <w:spacing w:after="120" w:line="240" w:lineRule="auto"/>
              <w:jc w:val="right"/>
              <w:rPr>
                <w:rFonts w:ascii="Montserrat" w:eastAsia="Times New Roman" w:hAnsi="Montserrat" w:cs="Calibri"/>
                <w:color w:val="000000"/>
                <w:sz w:val="15"/>
                <w:szCs w:val="15"/>
                <w:lang w:eastAsia="es-MX"/>
              </w:rPr>
            </w:pPr>
            <w:r w:rsidRPr="00255081">
              <w:rPr>
                <w:rFonts w:ascii="Montserrat" w:eastAsia="Times New Roman" w:hAnsi="Montserrat" w:cs="Calibri"/>
                <w:sz w:val="15"/>
                <w:szCs w:val="15"/>
                <w:lang w:eastAsia="es-MX"/>
              </w:rPr>
              <w:t>99.99%</w:t>
            </w:r>
          </w:p>
        </w:tc>
        <w:tc>
          <w:tcPr>
            <w:tcW w:w="2558" w:type="dxa"/>
            <w:gridSpan w:val="2"/>
            <w:shd w:val="clear" w:color="000000" w:fill="F2F2F2"/>
            <w:noWrap/>
            <w:vAlign w:val="center"/>
          </w:tcPr>
          <w:p w14:paraId="5B2BE004" w14:textId="5A7AC4CD" w:rsidR="00015492" w:rsidRPr="00255081" w:rsidRDefault="00015492" w:rsidP="000A1B05">
            <w:pPr>
              <w:spacing w:after="120" w:line="240" w:lineRule="auto"/>
              <w:jc w:val="right"/>
              <w:rPr>
                <w:rFonts w:ascii="Montserrat" w:eastAsia="Times New Roman" w:hAnsi="Montserrat" w:cs="Calibri"/>
                <w:color w:val="000000"/>
                <w:sz w:val="15"/>
                <w:szCs w:val="15"/>
                <w:lang w:eastAsia="es-MX"/>
              </w:rPr>
            </w:pPr>
            <w:r w:rsidRPr="00255081">
              <w:rPr>
                <w:rFonts w:ascii="Montserrat" w:eastAsia="Times New Roman" w:hAnsi="Montserrat" w:cs="Calibri"/>
                <w:sz w:val="15"/>
                <w:szCs w:val="15"/>
                <w:lang w:eastAsia="es-MX"/>
              </w:rPr>
              <w:t>42,631,407,888</w:t>
            </w:r>
          </w:p>
        </w:tc>
      </w:tr>
      <w:tr w:rsidR="00015492" w:rsidRPr="00995308" w14:paraId="100F83DF" w14:textId="77777777" w:rsidTr="000F03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jc w:val="center"/>
        </w:trPr>
        <w:tc>
          <w:tcPr>
            <w:tcW w:w="5583" w:type="dxa"/>
            <w:shd w:val="clear" w:color="000000" w:fill="F2F2F2"/>
            <w:vAlign w:val="center"/>
          </w:tcPr>
          <w:p w14:paraId="265FEB5B" w14:textId="32DCC08B" w:rsidR="00015492" w:rsidRPr="00255081" w:rsidRDefault="00015492" w:rsidP="004B170A">
            <w:pPr>
              <w:spacing w:after="120" w:line="240" w:lineRule="auto"/>
              <w:jc w:val="both"/>
              <w:rPr>
                <w:rFonts w:ascii="Montserrat" w:eastAsia="Times New Roman" w:hAnsi="Montserrat" w:cs="Calibri"/>
                <w:color w:val="000000"/>
                <w:sz w:val="15"/>
                <w:szCs w:val="15"/>
                <w:lang w:eastAsia="es-MX"/>
              </w:rPr>
            </w:pPr>
            <w:r w:rsidRPr="00255081">
              <w:rPr>
                <w:rFonts w:ascii="Montserrat" w:eastAsia="Times New Roman" w:hAnsi="Montserrat" w:cs="Calibri"/>
                <w:sz w:val="15"/>
                <w:szCs w:val="15"/>
                <w:lang w:eastAsia="es-MX"/>
              </w:rPr>
              <w:t>Servicios Aeroportuarios de la Ciudad de México, S.A. de C.V.</w:t>
            </w:r>
          </w:p>
        </w:tc>
        <w:tc>
          <w:tcPr>
            <w:tcW w:w="2463" w:type="dxa"/>
            <w:shd w:val="clear" w:color="000000" w:fill="F2F2F2"/>
            <w:noWrap/>
            <w:vAlign w:val="center"/>
          </w:tcPr>
          <w:p w14:paraId="48D4D887" w14:textId="59D366B1" w:rsidR="00015492" w:rsidRPr="00255081" w:rsidRDefault="00015492" w:rsidP="000A1B05">
            <w:pPr>
              <w:spacing w:after="120" w:line="240" w:lineRule="auto"/>
              <w:jc w:val="right"/>
              <w:rPr>
                <w:rFonts w:ascii="Montserrat" w:eastAsia="Times New Roman" w:hAnsi="Montserrat" w:cs="Calibri"/>
                <w:color w:val="000000"/>
                <w:sz w:val="15"/>
                <w:szCs w:val="15"/>
                <w:lang w:eastAsia="es-MX"/>
              </w:rPr>
            </w:pPr>
            <w:r w:rsidRPr="00255081">
              <w:rPr>
                <w:rFonts w:ascii="Montserrat" w:eastAsia="Times New Roman" w:hAnsi="Montserrat" w:cs="Calibri"/>
                <w:sz w:val="15"/>
                <w:szCs w:val="15"/>
                <w:lang w:eastAsia="es-MX"/>
              </w:rPr>
              <w:t>84,793,571</w:t>
            </w:r>
          </w:p>
        </w:tc>
        <w:tc>
          <w:tcPr>
            <w:tcW w:w="1192" w:type="dxa"/>
            <w:shd w:val="clear" w:color="000000" w:fill="F2F2F2"/>
            <w:noWrap/>
            <w:vAlign w:val="center"/>
          </w:tcPr>
          <w:p w14:paraId="28837E0C" w14:textId="1E17781C" w:rsidR="00015492" w:rsidRPr="00255081" w:rsidRDefault="00015492" w:rsidP="000A1B05">
            <w:pPr>
              <w:spacing w:after="120" w:line="240" w:lineRule="auto"/>
              <w:jc w:val="right"/>
              <w:rPr>
                <w:rFonts w:ascii="Montserrat" w:eastAsia="Times New Roman" w:hAnsi="Montserrat" w:cs="Calibri"/>
                <w:color w:val="000000"/>
                <w:sz w:val="15"/>
                <w:szCs w:val="15"/>
                <w:lang w:eastAsia="es-MX"/>
              </w:rPr>
            </w:pPr>
            <w:r w:rsidRPr="00255081">
              <w:rPr>
                <w:rFonts w:ascii="Montserrat" w:eastAsia="Times New Roman" w:hAnsi="Montserrat" w:cs="Calibri"/>
                <w:sz w:val="15"/>
                <w:szCs w:val="15"/>
                <w:lang w:eastAsia="es-MX"/>
              </w:rPr>
              <w:t>0.01%</w:t>
            </w:r>
          </w:p>
        </w:tc>
        <w:tc>
          <w:tcPr>
            <w:tcW w:w="2558" w:type="dxa"/>
            <w:gridSpan w:val="2"/>
            <w:shd w:val="clear" w:color="000000" w:fill="F2F2F2"/>
            <w:noWrap/>
            <w:vAlign w:val="center"/>
          </w:tcPr>
          <w:p w14:paraId="57876561" w14:textId="05677B8E" w:rsidR="00015492" w:rsidRPr="00255081" w:rsidRDefault="00015492" w:rsidP="000A1B05">
            <w:pPr>
              <w:spacing w:after="120" w:line="240" w:lineRule="auto"/>
              <w:jc w:val="right"/>
              <w:rPr>
                <w:rFonts w:ascii="Montserrat" w:eastAsia="Times New Roman" w:hAnsi="Montserrat" w:cs="Calibri"/>
                <w:color w:val="000000"/>
                <w:sz w:val="15"/>
                <w:szCs w:val="15"/>
                <w:lang w:eastAsia="es-MX"/>
              </w:rPr>
            </w:pPr>
            <w:r w:rsidRPr="00255081">
              <w:rPr>
                <w:rFonts w:ascii="Montserrat" w:eastAsia="Times New Roman" w:hAnsi="Montserrat" w:cs="Calibri"/>
                <w:sz w:val="15"/>
                <w:szCs w:val="15"/>
                <w:lang w:eastAsia="es-MX"/>
              </w:rPr>
              <w:t>8,479</w:t>
            </w:r>
          </w:p>
        </w:tc>
      </w:tr>
      <w:tr w:rsidR="00015492" w:rsidRPr="00995308" w14:paraId="37028E1A" w14:textId="77777777" w:rsidTr="000F03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jc w:val="center"/>
        </w:trPr>
        <w:tc>
          <w:tcPr>
            <w:tcW w:w="5583" w:type="dxa"/>
            <w:shd w:val="clear" w:color="000000" w:fill="F2F2F2"/>
            <w:vAlign w:val="center"/>
          </w:tcPr>
          <w:p w14:paraId="3E42AE25" w14:textId="69002D45" w:rsidR="00015492" w:rsidRPr="00255081" w:rsidRDefault="00015492" w:rsidP="004B170A">
            <w:pPr>
              <w:spacing w:after="120" w:line="240" w:lineRule="auto"/>
              <w:jc w:val="both"/>
              <w:rPr>
                <w:rFonts w:ascii="Montserrat" w:eastAsia="Times New Roman" w:hAnsi="Montserrat" w:cs="Calibri"/>
                <w:color w:val="000000"/>
                <w:sz w:val="15"/>
                <w:szCs w:val="15"/>
                <w:lang w:eastAsia="es-MX"/>
              </w:rPr>
            </w:pPr>
            <w:r w:rsidRPr="00255081">
              <w:rPr>
                <w:rFonts w:ascii="Montserrat" w:eastAsia="Times New Roman" w:hAnsi="Montserrat" w:cs="Calibri"/>
                <w:sz w:val="15"/>
                <w:szCs w:val="15"/>
                <w:lang w:eastAsia="es-MX"/>
              </w:rPr>
              <w:t>Aeropuerto Internacional de la Ciudad de México, S.A. de C.V.</w:t>
            </w:r>
          </w:p>
        </w:tc>
        <w:tc>
          <w:tcPr>
            <w:tcW w:w="2463" w:type="dxa"/>
            <w:shd w:val="clear" w:color="000000" w:fill="F2F2F2"/>
            <w:noWrap/>
            <w:vAlign w:val="center"/>
          </w:tcPr>
          <w:p w14:paraId="1F1FA920" w14:textId="46D59A3D" w:rsidR="00015492" w:rsidRPr="00255081" w:rsidRDefault="00015492" w:rsidP="000A1B05">
            <w:pPr>
              <w:spacing w:after="120" w:line="240" w:lineRule="auto"/>
              <w:jc w:val="right"/>
              <w:rPr>
                <w:rFonts w:ascii="Montserrat" w:eastAsia="Times New Roman" w:hAnsi="Montserrat" w:cs="Calibri"/>
                <w:color w:val="000000"/>
                <w:sz w:val="15"/>
                <w:szCs w:val="15"/>
                <w:lang w:eastAsia="es-MX"/>
              </w:rPr>
            </w:pPr>
            <w:r w:rsidRPr="00255081">
              <w:rPr>
                <w:rFonts w:ascii="Montserrat" w:eastAsia="Times New Roman" w:hAnsi="Montserrat" w:cs="Calibri"/>
                <w:sz w:val="15"/>
                <w:szCs w:val="15"/>
                <w:lang w:eastAsia="es-MX"/>
              </w:rPr>
              <w:t>5,927,033,320</w:t>
            </w:r>
          </w:p>
        </w:tc>
        <w:tc>
          <w:tcPr>
            <w:tcW w:w="1192" w:type="dxa"/>
            <w:shd w:val="clear" w:color="000000" w:fill="F2F2F2"/>
            <w:noWrap/>
            <w:vAlign w:val="center"/>
          </w:tcPr>
          <w:p w14:paraId="1CA7FAF5" w14:textId="0B8AFEC3" w:rsidR="00015492" w:rsidRPr="00255081" w:rsidRDefault="00015492" w:rsidP="000A1B05">
            <w:pPr>
              <w:spacing w:after="120" w:line="240" w:lineRule="auto"/>
              <w:jc w:val="right"/>
              <w:rPr>
                <w:rFonts w:ascii="Montserrat" w:eastAsia="Times New Roman" w:hAnsi="Montserrat" w:cs="Calibri"/>
                <w:color w:val="000000"/>
                <w:sz w:val="15"/>
                <w:szCs w:val="15"/>
                <w:lang w:eastAsia="es-MX"/>
              </w:rPr>
            </w:pPr>
            <w:r w:rsidRPr="00255081">
              <w:rPr>
                <w:rFonts w:ascii="Montserrat" w:eastAsia="Times New Roman" w:hAnsi="Montserrat" w:cs="Calibri"/>
                <w:sz w:val="15"/>
                <w:szCs w:val="15"/>
                <w:lang w:eastAsia="es-MX"/>
              </w:rPr>
              <w:t>0.01%</w:t>
            </w:r>
          </w:p>
        </w:tc>
        <w:tc>
          <w:tcPr>
            <w:tcW w:w="2558" w:type="dxa"/>
            <w:gridSpan w:val="2"/>
            <w:shd w:val="clear" w:color="000000" w:fill="F2F2F2"/>
            <w:noWrap/>
            <w:vAlign w:val="center"/>
          </w:tcPr>
          <w:p w14:paraId="735343AC" w14:textId="6E5C4831" w:rsidR="00015492" w:rsidRPr="00255081" w:rsidRDefault="00015492" w:rsidP="000A1B05">
            <w:pPr>
              <w:spacing w:after="120" w:line="240" w:lineRule="auto"/>
              <w:jc w:val="right"/>
              <w:rPr>
                <w:rFonts w:ascii="Montserrat" w:eastAsia="Times New Roman" w:hAnsi="Montserrat" w:cs="Calibri"/>
                <w:color w:val="000000"/>
                <w:sz w:val="15"/>
                <w:szCs w:val="15"/>
                <w:lang w:eastAsia="es-MX"/>
              </w:rPr>
            </w:pPr>
            <w:r w:rsidRPr="00255081">
              <w:rPr>
                <w:rFonts w:ascii="Montserrat" w:eastAsia="Times New Roman" w:hAnsi="Montserrat" w:cs="Calibri"/>
                <w:sz w:val="15"/>
                <w:szCs w:val="15"/>
                <w:lang w:eastAsia="es-MX"/>
              </w:rPr>
              <w:t>592,703</w:t>
            </w:r>
          </w:p>
        </w:tc>
      </w:tr>
      <w:tr w:rsidR="00015492" w:rsidRPr="00995308" w14:paraId="26C0FCC7" w14:textId="77777777" w:rsidTr="000F03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jc w:val="center"/>
        </w:trPr>
        <w:tc>
          <w:tcPr>
            <w:tcW w:w="5583" w:type="dxa"/>
            <w:shd w:val="clear" w:color="000000" w:fill="F2F2F2"/>
            <w:vAlign w:val="center"/>
          </w:tcPr>
          <w:p w14:paraId="78125535" w14:textId="32D435F7" w:rsidR="00015492" w:rsidRPr="00255081" w:rsidRDefault="00015492" w:rsidP="004B170A">
            <w:pPr>
              <w:spacing w:after="120" w:line="240" w:lineRule="auto"/>
              <w:jc w:val="both"/>
              <w:rPr>
                <w:rFonts w:ascii="Montserrat" w:eastAsia="Times New Roman" w:hAnsi="Montserrat" w:cs="Calibri"/>
                <w:color w:val="000000"/>
                <w:sz w:val="15"/>
                <w:szCs w:val="15"/>
                <w:lang w:eastAsia="es-MX"/>
              </w:rPr>
            </w:pPr>
            <w:r w:rsidRPr="00255081">
              <w:rPr>
                <w:rFonts w:ascii="Montserrat" w:eastAsia="Times New Roman" w:hAnsi="Montserrat" w:cs="Calibri"/>
                <w:sz w:val="15"/>
                <w:szCs w:val="15"/>
                <w:lang w:eastAsia="es-MX"/>
              </w:rPr>
              <w:t xml:space="preserve">Centro Nacional de Metrología </w:t>
            </w:r>
          </w:p>
        </w:tc>
        <w:tc>
          <w:tcPr>
            <w:tcW w:w="2463" w:type="dxa"/>
            <w:shd w:val="clear" w:color="000000" w:fill="F2F2F2"/>
            <w:noWrap/>
            <w:vAlign w:val="center"/>
          </w:tcPr>
          <w:p w14:paraId="725BC351" w14:textId="751DA3B1" w:rsidR="00015492" w:rsidRPr="00255081" w:rsidRDefault="00015492" w:rsidP="000A1B05">
            <w:pPr>
              <w:spacing w:after="120" w:line="240" w:lineRule="auto"/>
              <w:jc w:val="right"/>
              <w:rPr>
                <w:rFonts w:ascii="Montserrat" w:eastAsia="Times New Roman" w:hAnsi="Montserrat" w:cs="Calibri"/>
                <w:color w:val="000000"/>
                <w:sz w:val="15"/>
                <w:szCs w:val="15"/>
                <w:lang w:eastAsia="es-MX"/>
              </w:rPr>
            </w:pPr>
            <w:r w:rsidRPr="00255081">
              <w:rPr>
                <w:rFonts w:ascii="Montserrat" w:eastAsia="Times New Roman" w:hAnsi="Montserrat" w:cs="Calibri"/>
                <w:sz w:val="15"/>
                <w:szCs w:val="15"/>
                <w:lang w:eastAsia="es-MX"/>
              </w:rPr>
              <w:t>492,484,804</w:t>
            </w:r>
          </w:p>
        </w:tc>
        <w:tc>
          <w:tcPr>
            <w:tcW w:w="1192" w:type="dxa"/>
            <w:shd w:val="clear" w:color="000000" w:fill="F2F2F2"/>
            <w:noWrap/>
            <w:vAlign w:val="center"/>
          </w:tcPr>
          <w:p w14:paraId="4560FE60" w14:textId="0D1DBA22" w:rsidR="00015492" w:rsidRPr="00255081" w:rsidRDefault="00015492" w:rsidP="000A1B05">
            <w:pPr>
              <w:spacing w:after="120" w:line="240" w:lineRule="auto"/>
              <w:jc w:val="right"/>
              <w:rPr>
                <w:rFonts w:ascii="Montserrat" w:eastAsia="Times New Roman" w:hAnsi="Montserrat" w:cs="Calibri"/>
                <w:color w:val="000000"/>
                <w:sz w:val="15"/>
                <w:szCs w:val="15"/>
                <w:lang w:eastAsia="es-MX"/>
              </w:rPr>
            </w:pPr>
            <w:r w:rsidRPr="00255081">
              <w:rPr>
                <w:rFonts w:ascii="Montserrat" w:eastAsia="Times New Roman" w:hAnsi="Montserrat" w:cs="Calibri"/>
                <w:sz w:val="15"/>
                <w:szCs w:val="15"/>
                <w:lang w:eastAsia="es-MX"/>
              </w:rPr>
              <w:t>100%</w:t>
            </w:r>
          </w:p>
        </w:tc>
        <w:tc>
          <w:tcPr>
            <w:tcW w:w="2558" w:type="dxa"/>
            <w:gridSpan w:val="2"/>
            <w:shd w:val="clear" w:color="000000" w:fill="F2F2F2"/>
            <w:noWrap/>
            <w:vAlign w:val="center"/>
          </w:tcPr>
          <w:p w14:paraId="350B7DC5" w14:textId="487A7581" w:rsidR="00015492" w:rsidRPr="00255081" w:rsidRDefault="00015492" w:rsidP="000A1B05">
            <w:pPr>
              <w:spacing w:after="120" w:line="240" w:lineRule="auto"/>
              <w:jc w:val="right"/>
              <w:rPr>
                <w:rFonts w:ascii="Montserrat" w:eastAsia="Times New Roman" w:hAnsi="Montserrat" w:cs="Calibri"/>
                <w:color w:val="000000"/>
                <w:sz w:val="15"/>
                <w:szCs w:val="15"/>
                <w:lang w:eastAsia="es-MX"/>
              </w:rPr>
            </w:pPr>
            <w:r w:rsidRPr="00255081">
              <w:rPr>
                <w:rFonts w:ascii="Montserrat" w:eastAsia="Times New Roman" w:hAnsi="Montserrat" w:cs="Calibri"/>
                <w:sz w:val="15"/>
                <w:szCs w:val="15"/>
                <w:lang w:eastAsia="es-MX"/>
              </w:rPr>
              <w:t>492,484,804</w:t>
            </w:r>
          </w:p>
        </w:tc>
      </w:tr>
      <w:tr w:rsidR="00015492" w:rsidRPr="00995308" w14:paraId="533E22DB" w14:textId="77777777" w:rsidTr="000F03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jc w:val="center"/>
        </w:trPr>
        <w:tc>
          <w:tcPr>
            <w:tcW w:w="5583" w:type="dxa"/>
            <w:shd w:val="clear" w:color="000000" w:fill="F2F2F2"/>
            <w:vAlign w:val="center"/>
          </w:tcPr>
          <w:p w14:paraId="54AE13CA" w14:textId="12271DB6" w:rsidR="00015492" w:rsidRPr="00255081" w:rsidRDefault="00015492" w:rsidP="004B170A">
            <w:pPr>
              <w:spacing w:after="120" w:line="240" w:lineRule="auto"/>
              <w:jc w:val="both"/>
              <w:rPr>
                <w:rFonts w:ascii="Montserrat" w:eastAsia="Times New Roman" w:hAnsi="Montserrat" w:cs="Calibri"/>
                <w:color w:val="000000"/>
                <w:sz w:val="15"/>
                <w:szCs w:val="15"/>
                <w:lang w:eastAsia="es-MX"/>
              </w:rPr>
            </w:pPr>
            <w:r w:rsidRPr="00255081">
              <w:rPr>
                <w:rFonts w:ascii="Montserrat" w:eastAsia="Times New Roman" w:hAnsi="Montserrat" w:cs="Calibri"/>
                <w:sz w:val="15"/>
                <w:szCs w:val="15"/>
                <w:lang w:eastAsia="es-MX"/>
              </w:rPr>
              <w:t xml:space="preserve">Instituto Mexicano de la Propiedad Industrial </w:t>
            </w:r>
          </w:p>
        </w:tc>
        <w:tc>
          <w:tcPr>
            <w:tcW w:w="2463" w:type="dxa"/>
            <w:shd w:val="clear" w:color="000000" w:fill="F2F2F2"/>
            <w:noWrap/>
            <w:vAlign w:val="center"/>
          </w:tcPr>
          <w:p w14:paraId="353A20BF" w14:textId="594471C6" w:rsidR="00015492" w:rsidRPr="00255081" w:rsidRDefault="00015492" w:rsidP="000A1B05">
            <w:pPr>
              <w:spacing w:after="120" w:line="240" w:lineRule="auto"/>
              <w:jc w:val="right"/>
              <w:rPr>
                <w:rFonts w:ascii="Montserrat" w:eastAsia="Times New Roman" w:hAnsi="Montserrat" w:cs="Calibri"/>
                <w:color w:val="000000"/>
                <w:sz w:val="15"/>
                <w:szCs w:val="15"/>
                <w:lang w:eastAsia="es-MX"/>
              </w:rPr>
            </w:pPr>
            <w:r w:rsidRPr="00255081">
              <w:rPr>
                <w:rFonts w:ascii="Montserrat" w:eastAsia="Times New Roman" w:hAnsi="Montserrat" w:cs="Calibri"/>
                <w:sz w:val="15"/>
                <w:szCs w:val="15"/>
                <w:lang w:eastAsia="es-MX"/>
              </w:rPr>
              <w:t>2,280,952,854</w:t>
            </w:r>
          </w:p>
        </w:tc>
        <w:tc>
          <w:tcPr>
            <w:tcW w:w="1192" w:type="dxa"/>
            <w:shd w:val="clear" w:color="000000" w:fill="F2F2F2"/>
            <w:noWrap/>
            <w:vAlign w:val="center"/>
          </w:tcPr>
          <w:p w14:paraId="12071C9A" w14:textId="31CDB0D1" w:rsidR="00015492" w:rsidRPr="00255081" w:rsidRDefault="00015492" w:rsidP="000A1B05">
            <w:pPr>
              <w:spacing w:after="120" w:line="240" w:lineRule="auto"/>
              <w:jc w:val="right"/>
              <w:rPr>
                <w:rFonts w:ascii="Montserrat" w:eastAsia="Times New Roman" w:hAnsi="Montserrat" w:cs="Calibri"/>
                <w:color w:val="000000"/>
                <w:sz w:val="15"/>
                <w:szCs w:val="15"/>
                <w:lang w:eastAsia="es-MX"/>
              </w:rPr>
            </w:pPr>
            <w:r w:rsidRPr="00255081">
              <w:rPr>
                <w:rFonts w:ascii="Montserrat" w:eastAsia="Times New Roman" w:hAnsi="Montserrat" w:cs="Calibri"/>
                <w:sz w:val="15"/>
                <w:szCs w:val="15"/>
                <w:lang w:eastAsia="es-MX"/>
              </w:rPr>
              <w:t>100%</w:t>
            </w:r>
          </w:p>
        </w:tc>
        <w:tc>
          <w:tcPr>
            <w:tcW w:w="2558" w:type="dxa"/>
            <w:gridSpan w:val="2"/>
            <w:shd w:val="clear" w:color="000000" w:fill="F2F2F2"/>
            <w:noWrap/>
            <w:vAlign w:val="center"/>
          </w:tcPr>
          <w:p w14:paraId="35E0F1EC" w14:textId="3B050D61" w:rsidR="00015492" w:rsidRPr="00255081" w:rsidRDefault="00015492" w:rsidP="000A1B05">
            <w:pPr>
              <w:spacing w:after="120" w:line="240" w:lineRule="auto"/>
              <w:jc w:val="right"/>
              <w:rPr>
                <w:rFonts w:ascii="Montserrat" w:eastAsia="Times New Roman" w:hAnsi="Montserrat" w:cs="Calibri"/>
                <w:color w:val="000000"/>
                <w:sz w:val="15"/>
                <w:szCs w:val="15"/>
                <w:lang w:eastAsia="es-MX"/>
              </w:rPr>
            </w:pPr>
            <w:r w:rsidRPr="00255081">
              <w:rPr>
                <w:rFonts w:ascii="Montserrat" w:eastAsia="Times New Roman" w:hAnsi="Montserrat" w:cs="Calibri"/>
                <w:sz w:val="15"/>
                <w:szCs w:val="15"/>
                <w:lang w:eastAsia="es-MX"/>
              </w:rPr>
              <w:t>2,280,952,854</w:t>
            </w:r>
          </w:p>
        </w:tc>
      </w:tr>
      <w:tr w:rsidR="00015492" w:rsidRPr="00995308" w14:paraId="6B310763" w14:textId="77777777" w:rsidTr="000F03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jc w:val="center"/>
        </w:trPr>
        <w:tc>
          <w:tcPr>
            <w:tcW w:w="5583" w:type="dxa"/>
            <w:shd w:val="clear" w:color="000000" w:fill="F2F2F2"/>
            <w:vAlign w:val="center"/>
          </w:tcPr>
          <w:p w14:paraId="11CC18A8" w14:textId="2E976C27" w:rsidR="00015492" w:rsidRPr="00255081" w:rsidRDefault="00015492" w:rsidP="004B170A">
            <w:pPr>
              <w:spacing w:after="120" w:line="240" w:lineRule="auto"/>
              <w:jc w:val="both"/>
              <w:rPr>
                <w:rFonts w:ascii="Montserrat" w:eastAsia="Times New Roman" w:hAnsi="Montserrat" w:cs="Calibri"/>
                <w:color w:val="000000"/>
                <w:sz w:val="15"/>
                <w:szCs w:val="15"/>
                <w:lang w:eastAsia="es-MX"/>
              </w:rPr>
            </w:pPr>
            <w:r w:rsidRPr="00255081">
              <w:rPr>
                <w:rFonts w:ascii="Montserrat" w:eastAsia="Times New Roman" w:hAnsi="Montserrat" w:cs="Calibri"/>
                <w:sz w:val="15"/>
                <w:szCs w:val="15"/>
                <w:lang w:eastAsia="es-MX"/>
              </w:rPr>
              <w:t>Procuraduría Federal de</w:t>
            </w:r>
            <w:r w:rsidR="00F067C3">
              <w:rPr>
                <w:rFonts w:ascii="Montserrat" w:eastAsia="Times New Roman" w:hAnsi="Montserrat" w:cs="Calibri"/>
                <w:sz w:val="15"/>
                <w:szCs w:val="15"/>
                <w:lang w:eastAsia="es-MX"/>
              </w:rPr>
              <w:t>l Consumidor</w:t>
            </w:r>
          </w:p>
        </w:tc>
        <w:tc>
          <w:tcPr>
            <w:tcW w:w="2463" w:type="dxa"/>
            <w:shd w:val="clear" w:color="000000" w:fill="F2F2F2"/>
            <w:noWrap/>
            <w:vAlign w:val="center"/>
          </w:tcPr>
          <w:p w14:paraId="5DDAAA7D" w14:textId="48C3A2C2" w:rsidR="00015492" w:rsidRPr="00255081" w:rsidRDefault="00015492" w:rsidP="000A1B05">
            <w:pPr>
              <w:spacing w:after="120" w:line="240" w:lineRule="auto"/>
              <w:jc w:val="right"/>
              <w:rPr>
                <w:rFonts w:ascii="Montserrat" w:eastAsia="Times New Roman" w:hAnsi="Montserrat" w:cs="Calibri"/>
                <w:color w:val="000000"/>
                <w:sz w:val="15"/>
                <w:szCs w:val="15"/>
                <w:lang w:eastAsia="es-MX"/>
              </w:rPr>
            </w:pPr>
            <w:r w:rsidRPr="00255081">
              <w:rPr>
                <w:rFonts w:ascii="Montserrat" w:eastAsia="Times New Roman" w:hAnsi="Montserrat" w:cs="Calibri"/>
                <w:sz w:val="15"/>
                <w:szCs w:val="15"/>
                <w:lang w:eastAsia="es-MX"/>
              </w:rPr>
              <w:t>597,753,373</w:t>
            </w:r>
          </w:p>
        </w:tc>
        <w:tc>
          <w:tcPr>
            <w:tcW w:w="1192" w:type="dxa"/>
            <w:shd w:val="clear" w:color="000000" w:fill="F2F2F2"/>
            <w:noWrap/>
            <w:vAlign w:val="center"/>
          </w:tcPr>
          <w:p w14:paraId="28CB65DD" w14:textId="1447BF80" w:rsidR="00015492" w:rsidRPr="00255081" w:rsidRDefault="00015492" w:rsidP="000A1B05">
            <w:pPr>
              <w:spacing w:after="120" w:line="240" w:lineRule="auto"/>
              <w:jc w:val="right"/>
              <w:rPr>
                <w:rFonts w:ascii="Montserrat" w:eastAsia="Times New Roman" w:hAnsi="Montserrat" w:cs="Calibri"/>
                <w:color w:val="000000"/>
                <w:sz w:val="15"/>
                <w:szCs w:val="15"/>
                <w:lang w:eastAsia="es-MX"/>
              </w:rPr>
            </w:pPr>
            <w:r w:rsidRPr="00255081">
              <w:rPr>
                <w:rFonts w:ascii="Montserrat" w:eastAsia="Times New Roman" w:hAnsi="Montserrat" w:cs="Calibri"/>
                <w:sz w:val="15"/>
                <w:szCs w:val="15"/>
                <w:lang w:eastAsia="es-MX"/>
              </w:rPr>
              <w:t>100%</w:t>
            </w:r>
          </w:p>
        </w:tc>
        <w:tc>
          <w:tcPr>
            <w:tcW w:w="2558" w:type="dxa"/>
            <w:gridSpan w:val="2"/>
            <w:shd w:val="clear" w:color="000000" w:fill="F2F2F2"/>
            <w:noWrap/>
            <w:vAlign w:val="center"/>
          </w:tcPr>
          <w:p w14:paraId="1E0F8AB5" w14:textId="1F8A4EDE" w:rsidR="00015492" w:rsidRPr="00255081" w:rsidRDefault="00015492" w:rsidP="000A1B05">
            <w:pPr>
              <w:spacing w:after="120" w:line="240" w:lineRule="auto"/>
              <w:jc w:val="right"/>
              <w:rPr>
                <w:rFonts w:ascii="Montserrat" w:eastAsia="Times New Roman" w:hAnsi="Montserrat" w:cs="Calibri"/>
                <w:color w:val="000000"/>
                <w:sz w:val="15"/>
                <w:szCs w:val="15"/>
                <w:lang w:eastAsia="es-MX"/>
              </w:rPr>
            </w:pPr>
            <w:r w:rsidRPr="00255081">
              <w:rPr>
                <w:rFonts w:ascii="Montserrat" w:eastAsia="Times New Roman" w:hAnsi="Montserrat" w:cs="Calibri"/>
                <w:sz w:val="15"/>
                <w:szCs w:val="15"/>
                <w:lang w:eastAsia="es-MX"/>
              </w:rPr>
              <w:t>597,753,373</w:t>
            </w:r>
          </w:p>
        </w:tc>
      </w:tr>
      <w:tr w:rsidR="00015492" w:rsidRPr="00995308" w14:paraId="22A73E3E" w14:textId="77777777" w:rsidTr="000F03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jc w:val="center"/>
        </w:trPr>
        <w:tc>
          <w:tcPr>
            <w:tcW w:w="5583" w:type="dxa"/>
            <w:shd w:val="clear" w:color="000000" w:fill="F2F2F2"/>
            <w:vAlign w:val="center"/>
          </w:tcPr>
          <w:p w14:paraId="52F556E7" w14:textId="021CF115" w:rsidR="00015492" w:rsidRPr="00255081" w:rsidRDefault="00015492" w:rsidP="004B170A">
            <w:pPr>
              <w:spacing w:after="120" w:line="240" w:lineRule="auto"/>
              <w:jc w:val="both"/>
              <w:rPr>
                <w:rFonts w:ascii="Montserrat" w:eastAsia="Times New Roman" w:hAnsi="Montserrat" w:cs="Calibri"/>
                <w:color w:val="000000"/>
                <w:sz w:val="15"/>
                <w:szCs w:val="15"/>
                <w:lang w:eastAsia="es-MX"/>
              </w:rPr>
            </w:pPr>
            <w:r w:rsidRPr="00255081">
              <w:rPr>
                <w:rFonts w:ascii="Montserrat" w:eastAsia="Times New Roman" w:hAnsi="Montserrat" w:cs="Calibri"/>
                <w:sz w:val="15"/>
                <w:szCs w:val="15"/>
                <w:lang w:eastAsia="es-MX"/>
              </w:rPr>
              <w:t xml:space="preserve">Servicio Geológico Mexicano </w:t>
            </w:r>
          </w:p>
        </w:tc>
        <w:tc>
          <w:tcPr>
            <w:tcW w:w="2463" w:type="dxa"/>
            <w:shd w:val="clear" w:color="000000" w:fill="F2F2F2"/>
            <w:noWrap/>
            <w:vAlign w:val="center"/>
          </w:tcPr>
          <w:p w14:paraId="2913B22A" w14:textId="6325E0BB" w:rsidR="00015492" w:rsidRPr="00255081" w:rsidRDefault="00015492" w:rsidP="000A1B05">
            <w:pPr>
              <w:spacing w:after="120" w:line="240" w:lineRule="auto"/>
              <w:jc w:val="right"/>
              <w:rPr>
                <w:rFonts w:ascii="Montserrat" w:eastAsia="Times New Roman" w:hAnsi="Montserrat" w:cs="Calibri"/>
                <w:color w:val="000000"/>
                <w:sz w:val="15"/>
                <w:szCs w:val="15"/>
                <w:lang w:eastAsia="es-MX"/>
              </w:rPr>
            </w:pPr>
            <w:r w:rsidRPr="00255081">
              <w:rPr>
                <w:rFonts w:ascii="Montserrat" w:eastAsia="Times New Roman" w:hAnsi="Montserrat" w:cs="Calibri"/>
                <w:sz w:val="15"/>
                <w:szCs w:val="15"/>
                <w:lang w:eastAsia="es-MX"/>
              </w:rPr>
              <w:t>1,565,856,101</w:t>
            </w:r>
          </w:p>
        </w:tc>
        <w:tc>
          <w:tcPr>
            <w:tcW w:w="1192" w:type="dxa"/>
            <w:shd w:val="clear" w:color="000000" w:fill="F2F2F2"/>
            <w:noWrap/>
            <w:vAlign w:val="center"/>
          </w:tcPr>
          <w:p w14:paraId="73A6AB5A" w14:textId="3F2B3F40" w:rsidR="00015492" w:rsidRPr="00255081" w:rsidRDefault="00015492" w:rsidP="000A1B05">
            <w:pPr>
              <w:spacing w:after="120" w:line="240" w:lineRule="auto"/>
              <w:jc w:val="right"/>
              <w:rPr>
                <w:rFonts w:ascii="Montserrat" w:eastAsia="Times New Roman" w:hAnsi="Montserrat" w:cs="Calibri"/>
                <w:color w:val="000000"/>
                <w:sz w:val="15"/>
                <w:szCs w:val="15"/>
                <w:lang w:eastAsia="es-MX"/>
              </w:rPr>
            </w:pPr>
            <w:r w:rsidRPr="00255081">
              <w:rPr>
                <w:rFonts w:ascii="Montserrat" w:eastAsia="Times New Roman" w:hAnsi="Montserrat" w:cs="Calibri"/>
                <w:sz w:val="15"/>
                <w:szCs w:val="15"/>
                <w:lang w:eastAsia="es-MX"/>
              </w:rPr>
              <w:t>100%</w:t>
            </w:r>
          </w:p>
        </w:tc>
        <w:tc>
          <w:tcPr>
            <w:tcW w:w="2558" w:type="dxa"/>
            <w:gridSpan w:val="2"/>
            <w:shd w:val="clear" w:color="000000" w:fill="F2F2F2"/>
            <w:noWrap/>
            <w:vAlign w:val="center"/>
          </w:tcPr>
          <w:p w14:paraId="5C08A171" w14:textId="79264181" w:rsidR="00015492" w:rsidRPr="00255081" w:rsidRDefault="00015492" w:rsidP="000A1B05">
            <w:pPr>
              <w:spacing w:after="120" w:line="240" w:lineRule="auto"/>
              <w:jc w:val="right"/>
              <w:rPr>
                <w:rFonts w:ascii="Montserrat" w:eastAsia="Times New Roman" w:hAnsi="Montserrat" w:cs="Calibri"/>
                <w:color w:val="000000"/>
                <w:sz w:val="15"/>
                <w:szCs w:val="15"/>
                <w:lang w:eastAsia="es-MX"/>
              </w:rPr>
            </w:pPr>
            <w:r w:rsidRPr="00255081">
              <w:rPr>
                <w:rFonts w:ascii="Montserrat" w:eastAsia="Times New Roman" w:hAnsi="Montserrat" w:cs="Calibri"/>
                <w:sz w:val="15"/>
                <w:szCs w:val="15"/>
                <w:lang w:eastAsia="es-MX"/>
              </w:rPr>
              <w:t>1,565,856,101</w:t>
            </w:r>
          </w:p>
        </w:tc>
      </w:tr>
      <w:tr w:rsidR="00015492" w:rsidRPr="00995308" w14:paraId="75DEFA08" w14:textId="77777777" w:rsidTr="000F03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jc w:val="center"/>
        </w:trPr>
        <w:tc>
          <w:tcPr>
            <w:tcW w:w="5583" w:type="dxa"/>
            <w:shd w:val="clear" w:color="000000" w:fill="F2F2F2"/>
            <w:vAlign w:val="center"/>
          </w:tcPr>
          <w:p w14:paraId="050B8FFE" w14:textId="2B596F19" w:rsidR="00015492" w:rsidRPr="00255081" w:rsidRDefault="00015492" w:rsidP="004B170A">
            <w:pPr>
              <w:spacing w:after="120" w:line="240" w:lineRule="auto"/>
              <w:jc w:val="both"/>
              <w:rPr>
                <w:rFonts w:ascii="Montserrat" w:eastAsia="Times New Roman" w:hAnsi="Montserrat" w:cs="Calibri"/>
                <w:color w:val="000000"/>
                <w:sz w:val="15"/>
                <w:szCs w:val="15"/>
                <w:lang w:eastAsia="es-MX"/>
              </w:rPr>
            </w:pPr>
            <w:r w:rsidRPr="00255081">
              <w:rPr>
                <w:rFonts w:ascii="Montserrat" w:eastAsia="Times New Roman" w:hAnsi="Montserrat" w:cs="Calibri"/>
                <w:sz w:val="15"/>
                <w:szCs w:val="15"/>
                <w:lang w:eastAsia="es-MX"/>
              </w:rPr>
              <w:t xml:space="preserve">Exportadora de Sal, S.A. de C.V. </w:t>
            </w:r>
          </w:p>
        </w:tc>
        <w:tc>
          <w:tcPr>
            <w:tcW w:w="2463" w:type="dxa"/>
            <w:shd w:val="clear" w:color="000000" w:fill="F2F2F2"/>
            <w:noWrap/>
            <w:vAlign w:val="center"/>
          </w:tcPr>
          <w:p w14:paraId="279FB0FB" w14:textId="1CF3F933" w:rsidR="00015492" w:rsidRPr="00255081" w:rsidRDefault="00015492" w:rsidP="000A1B05">
            <w:pPr>
              <w:spacing w:after="120" w:line="240" w:lineRule="auto"/>
              <w:jc w:val="right"/>
              <w:rPr>
                <w:rFonts w:ascii="Montserrat" w:eastAsia="Times New Roman" w:hAnsi="Montserrat" w:cs="Calibri"/>
                <w:color w:val="000000"/>
                <w:sz w:val="15"/>
                <w:szCs w:val="15"/>
                <w:lang w:eastAsia="es-MX"/>
              </w:rPr>
            </w:pPr>
            <w:r w:rsidRPr="00255081">
              <w:rPr>
                <w:rFonts w:ascii="Montserrat" w:eastAsia="Times New Roman" w:hAnsi="Montserrat" w:cs="Calibri"/>
                <w:sz w:val="15"/>
                <w:szCs w:val="15"/>
                <w:lang w:eastAsia="es-MX"/>
              </w:rPr>
              <w:t>3,397,753,981</w:t>
            </w:r>
          </w:p>
        </w:tc>
        <w:tc>
          <w:tcPr>
            <w:tcW w:w="1192" w:type="dxa"/>
            <w:shd w:val="clear" w:color="000000" w:fill="F2F2F2"/>
            <w:noWrap/>
            <w:vAlign w:val="center"/>
          </w:tcPr>
          <w:p w14:paraId="34555F62" w14:textId="56ABE581" w:rsidR="00015492" w:rsidRPr="00255081" w:rsidRDefault="00015492" w:rsidP="000A1B05">
            <w:pPr>
              <w:spacing w:after="120" w:line="240" w:lineRule="auto"/>
              <w:jc w:val="right"/>
              <w:rPr>
                <w:rFonts w:ascii="Montserrat" w:eastAsia="Times New Roman" w:hAnsi="Montserrat" w:cs="Calibri"/>
                <w:color w:val="000000"/>
                <w:sz w:val="15"/>
                <w:szCs w:val="15"/>
                <w:lang w:eastAsia="es-MX"/>
              </w:rPr>
            </w:pPr>
            <w:r w:rsidRPr="00255081">
              <w:rPr>
                <w:rFonts w:ascii="Montserrat" w:eastAsia="Times New Roman" w:hAnsi="Montserrat" w:cs="Calibri"/>
                <w:sz w:val="15"/>
                <w:szCs w:val="15"/>
                <w:lang w:eastAsia="es-MX"/>
              </w:rPr>
              <w:t>51%</w:t>
            </w:r>
          </w:p>
        </w:tc>
        <w:tc>
          <w:tcPr>
            <w:tcW w:w="2558" w:type="dxa"/>
            <w:gridSpan w:val="2"/>
            <w:shd w:val="clear" w:color="000000" w:fill="F2F2F2"/>
            <w:noWrap/>
            <w:vAlign w:val="center"/>
          </w:tcPr>
          <w:p w14:paraId="4A38F00B" w14:textId="1B9066C0" w:rsidR="00015492" w:rsidRPr="00255081" w:rsidRDefault="00015492" w:rsidP="000A1B05">
            <w:pPr>
              <w:spacing w:after="120" w:line="240" w:lineRule="auto"/>
              <w:jc w:val="right"/>
              <w:rPr>
                <w:rFonts w:ascii="Montserrat" w:eastAsia="Times New Roman" w:hAnsi="Montserrat" w:cs="Calibri"/>
                <w:color w:val="000000"/>
                <w:sz w:val="15"/>
                <w:szCs w:val="15"/>
                <w:lang w:eastAsia="es-MX"/>
              </w:rPr>
            </w:pPr>
            <w:r w:rsidRPr="00255081">
              <w:rPr>
                <w:rFonts w:ascii="Montserrat" w:eastAsia="Times New Roman" w:hAnsi="Montserrat" w:cs="Calibri"/>
                <w:sz w:val="15"/>
                <w:szCs w:val="15"/>
                <w:lang w:eastAsia="es-MX"/>
              </w:rPr>
              <w:t>1,732,854,530</w:t>
            </w:r>
          </w:p>
        </w:tc>
      </w:tr>
      <w:tr w:rsidR="00015492" w:rsidRPr="00995308" w14:paraId="35CF716E" w14:textId="77777777" w:rsidTr="000F03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jc w:val="center"/>
        </w:trPr>
        <w:tc>
          <w:tcPr>
            <w:tcW w:w="5583" w:type="dxa"/>
            <w:shd w:val="clear" w:color="000000" w:fill="F2F2F2"/>
            <w:vAlign w:val="center"/>
          </w:tcPr>
          <w:p w14:paraId="062B04F6" w14:textId="2107DBF7" w:rsidR="00015492" w:rsidRPr="00255081" w:rsidRDefault="00015492" w:rsidP="004B170A">
            <w:pPr>
              <w:spacing w:after="120" w:line="240" w:lineRule="auto"/>
              <w:jc w:val="both"/>
              <w:rPr>
                <w:rFonts w:ascii="Montserrat" w:eastAsia="Times New Roman" w:hAnsi="Montserrat" w:cs="Calibri"/>
                <w:color w:val="000000"/>
                <w:sz w:val="15"/>
                <w:szCs w:val="15"/>
                <w:lang w:eastAsia="es-MX"/>
              </w:rPr>
            </w:pPr>
            <w:r w:rsidRPr="00255081">
              <w:rPr>
                <w:rFonts w:ascii="Montserrat" w:eastAsia="Times New Roman" w:hAnsi="Montserrat" w:cs="Calibri"/>
                <w:sz w:val="15"/>
                <w:szCs w:val="15"/>
                <w:lang w:eastAsia="es-MX"/>
              </w:rPr>
              <w:t xml:space="preserve">Fideicomiso de Fomento Minero </w:t>
            </w:r>
          </w:p>
        </w:tc>
        <w:tc>
          <w:tcPr>
            <w:tcW w:w="2463" w:type="dxa"/>
            <w:shd w:val="clear" w:color="000000" w:fill="F2F2F2"/>
            <w:noWrap/>
            <w:vAlign w:val="center"/>
          </w:tcPr>
          <w:p w14:paraId="3B6A152E" w14:textId="79FE76EC" w:rsidR="00015492" w:rsidRPr="00255081" w:rsidRDefault="00015492" w:rsidP="000A1B05">
            <w:pPr>
              <w:spacing w:after="120" w:line="240" w:lineRule="auto"/>
              <w:jc w:val="right"/>
              <w:rPr>
                <w:rFonts w:ascii="Montserrat" w:eastAsia="Times New Roman" w:hAnsi="Montserrat" w:cs="Calibri"/>
                <w:color w:val="000000"/>
                <w:sz w:val="15"/>
                <w:szCs w:val="15"/>
                <w:lang w:eastAsia="es-MX"/>
              </w:rPr>
            </w:pPr>
            <w:r w:rsidRPr="00255081">
              <w:rPr>
                <w:rFonts w:ascii="Montserrat" w:eastAsia="Times New Roman" w:hAnsi="Montserrat" w:cs="Calibri"/>
                <w:sz w:val="15"/>
                <w:szCs w:val="15"/>
                <w:lang w:eastAsia="es-MX"/>
              </w:rPr>
              <w:t>5,133,526,476</w:t>
            </w:r>
          </w:p>
        </w:tc>
        <w:tc>
          <w:tcPr>
            <w:tcW w:w="1192" w:type="dxa"/>
            <w:shd w:val="clear" w:color="000000" w:fill="F2F2F2"/>
            <w:noWrap/>
            <w:vAlign w:val="center"/>
          </w:tcPr>
          <w:p w14:paraId="6FBB47F2" w14:textId="32252D2D" w:rsidR="00015492" w:rsidRPr="00255081" w:rsidRDefault="00015492" w:rsidP="000A1B05">
            <w:pPr>
              <w:spacing w:after="120" w:line="240" w:lineRule="auto"/>
              <w:jc w:val="right"/>
              <w:rPr>
                <w:rFonts w:ascii="Montserrat" w:eastAsia="Times New Roman" w:hAnsi="Montserrat" w:cs="Calibri"/>
                <w:color w:val="000000"/>
                <w:sz w:val="15"/>
                <w:szCs w:val="15"/>
                <w:lang w:eastAsia="es-MX"/>
              </w:rPr>
            </w:pPr>
            <w:r w:rsidRPr="00255081">
              <w:rPr>
                <w:rFonts w:ascii="Montserrat" w:eastAsia="Times New Roman" w:hAnsi="Montserrat" w:cs="Calibri"/>
                <w:sz w:val="15"/>
                <w:szCs w:val="15"/>
                <w:lang w:eastAsia="es-MX"/>
              </w:rPr>
              <w:t>100%</w:t>
            </w:r>
          </w:p>
        </w:tc>
        <w:tc>
          <w:tcPr>
            <w:tcW w:w="2558" w:type="dxa"/>
            <w:gridSpan w:val="2"/>
            <w:shd w:val="clear" w:color="000000" w:fill="F2F2F2"/>
            <w:noWrap/>
            <w:vAlign w:val="center"/>
          </w:tcPr>
          <w:p w14:paraId="7EC3FEA1" w14:textId="5742F17C" w:rsidR="00015492" w:rsidRPr="00255081" w:rsidRDefault="00015492" w:rsidP="000A1B05">
            <w:pPr>
              <w:spacing w:after="120" w:line="240" w:lineRule="auto"/>
              <w:jc w:val="right"/>
              <w:rPr>
                <w:rFonts w:ascii="Montserrat" w:eastAsia="Times New Roman" w:hAnsi="Montserrat" w:cs="Calibri"/>
                <w:color w:val="000000"/>
                <w:sz w:val="15"/>
                <w:szCs w:val="15"/>
                <w:lang w:eastAsia="es-MX"/>
              </w:rPr>
            </w:pPr>
            <w:r w:rsidRPr="00255081">
              <w:rPr>
                <w:rFonts w:ascii="Montserrat" w:eastAsia="Times New Roman" w:hAnsi="Montserrat" w:cs="Calibri"/>
                <w:sz w:val="15"/>
                <w:szCs w:val="15"/>
                <w:lang w:eastAsia="es-MX"/>
              </w:rPr>
              <w:t>5,133,526,476</w:t>
            </w:r>
          </w:p>
        </w:tc>
      </w:tr>
      <w:tr w:rsidR="00015492" w:rsidRPr="00995308" w14:paraId="54955058" w14:textId="77777777" w:rsidTr="000F03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jc w:val="center"/>
        </w:trPr>
        <w:tc>
          <w:tcPr>
            <w:tcW w:w="5583" w:type="dxa"/>
            <w:shd w:val="clear" w:color="000000" w:fill="F2F2F2"/>
            <w:vAlign w:val="center"/>
          </w:tcPr>
          <w:p w14:paraId="723F5456" w14:textId="3E370F98" w:rsidR="00015492" w:rsidRPr="00255081" w:rsidRDefault="00015492" w:rsidP="004B170A">
            <w:pPr>
              <w:spacing w:after="120" w:line="240" w:lineRule="auto"/>
              <w:jc w:val="both"/>
              <w:rPr>
                <w:rFonts w:ascii="Montserrat" w:eastAsia="Times New Roman" w:hAnsi="Montserrat" w:cs="Calibri"/>
                <w:color w:val="000000"/>
                <w:sz w:val="15"/>
                <w:szCs w:val="15"/>
                <w:lang w:eastAsia="es-MX"/>
              </w:rPr>
            </w:pPr>
            <w:r w:rsidRPr="00255081">
              <w:rPr>
                <w:rFonts w:ascii="Montserrat" w:eastAsia="Times New Roman" w:hAnsi="Montserrat" w:cs="Calibri"/>
                <w:sz w:val="15"/>
                <w:szCs w:val="15"/>
                <w:lang w:eastAsia="es-MX"/>
              </w:rPr>
              <w:t>ProMéxico</w:t>
            </w:r>
          </w:p>
        </w:tc>
        <w:tc>
          <w:tcPr>
            <w:tcW w:w="2463" w:type="dxa"/>
            <w:shd w:val="clear" w:color="000000" w:fill="F2F2F2"/>
            <w:noWrap/>
            <w:vAlign w:val="center"/>
          </w:tcPr>
          <w:p w14:paraId="02935D1C" w14:textId="615E031F" w:rsidR="00015492" w:rsidRPr="00255081" w:rsidRDefault="00015492" w:rsidP="000A1B05">
            <w:pPr>
              <w:spacing w:after="120" w:line="240" w:lineRule="auto"/>
              <w:jc w:val="right"/>
              <w:rPr>
                <w:rFonts w:ascii="Montserrat" w:eastAsia="Times New Roman" w:hAnsi="Montserrat" w:cs="Calibri"/>
                <w:color w:val="000000"/>
                <w:sz w:val="15"/>
                <w:szCs w:val="15"/>
                <w:lang w:eastAsia="es-MX"/>
              </w:rPr>
            </w:pPr>
            <w:r w:rsidRPr="00255081">
              <w:rPr>
                <w:rFonts w:ascii="Montserrat" w:eastAsia="Times New Roman" w:hAnsi="Montserrat" w:cs="Calibri"/>
                <w:sz w:val="15"/>
                <w:szCs w:val="15"/>
                <w:lang w:eastAsia="es-MX"/>
              </w:rPr>
              <w:t>309,579,106</w:t>
            </w:r>
          </w:p>
        </w:tc>
        <w:tc>
          <w:tcPr>
            <w:tcW w:w="1192" w:type="dxa"/>
            <w:shd w:val="clear" w:color="000000" w:fill="F2F2F2"/>
            <w:noWrap/>
            <w:vAlign w:val="center"/>
          </w:tcPr>
          <w:p w14:paraId="6A67A401" w14:textId="6EAAB259" w:rsidR="00015492" w:rsidRPr="00255081" w:rsidRDefault="00015492" w:rsidP="000A1B05">
            <w:pPr>
              <w:spacing w:after="120" w:line="240" w:lineRule="auto"/>
              <w:jc w:val="right"/>
              <w:rPr>
                <w:rFonts w:ascii="Montserrat" w:eastAsia="Times New Roman" w:hAnsi="Montserrat" w:cs="Calibri"/>
                <w:color w:val="000000"/>
                <w:sz w:val="15"/>
                <w:szCs w:val="15"/>
                <w:lang w:eastAsia="es-MX"/>
              </w:rPr>
            </w:pPr>
            <w:r w:rsidRPr="00255081">
              <w:rPr>
                <w:rFonts w:ascii="Montserrat" w:eastAsia="Times New Roman" w:hAnsi="Montserrat" w:cs="Calibri"/>
                <w:sz w:val="15"/>
                <w:szCs w:val="15"/>
                <w:lang w:eastAsia="es-MX"/>
              </w:rPr>
              <w:t>100%</w:t>
            </w:r>
          </w:p>
        </w:tc>
        <w:tc>
          <w:tcPr>
            <w:tcW w:w="2558" w:type="dxa"/>
            <w:gridSpan w:val="2"/>
            <w:shd w:val="clear" w:color="000000" w:fill="F2F2F2"/>
            <w:noWrap/>
            <w:vAlign w:val="center"/>
          </w:tcPr>
          <w:p w14:paraId="250BBA58" w14:textId="2588E45D" w:rsidR="00015492" w:rsidRPr="00255081" w:rsidRDefault="00015492" w:rsidP="000A1B05">
            <w:pPr>
              <w:spacing w:after="120" w:line="240" w:lineRule="auto"/>
              <w:jc w:val="right"/>
              <w:rPr>
                <w:rFonts w:ascii="Montserrat" w:eastAsia="Times New Roman" w:hAnsi="Montserrat" w:cs="Calibri"/>
                <w:color w:val="000000"/>
                <w:sz w:val="15"/>
                <w:szCs w:val="15"/>
                <w:lang w:eastAsia="es-MX"/>
              </w:rPr>
            </w:pPr>
            <w:r w:rsidRPr="00255081">
              <w:rPr>
                <w:rFonts w:ascii="Montserrat" w:eastAsia="Times New Roman" w:hAnsi="Montserrat" w:cs="Calibri"/>
                <w:sz w:val="15"/>
                <w:szCs w:val="15"/>
                <w:lang w:eastAsia="es-MX"/>
              </w:rPr>
              <w:t>309,579,106</w:t>
            </w:r>
          </w:p>
        </w:tc>
      </w:tr>
      <w:tr w:rsidR="00015492" w:rsidRPr="00995308" w14:paraId="49462F8F" w14:textId="77777777" w:rsidTr="000F03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jc w:val="center"/>
        </w:trPr>
        <w:tc>
          <w:tcPr>
            <w:tcW w:w="5583" w:type="dxa"/>
            <w:shd w:val="clear" w:color="000000" w:fill="F2F2F2"/>
            <w:vAlign w:val="center"/>
          </w:tcPr>
          <w:p w14:paraId="7F383441" w14:textId="0FAD8A25" w:rsidR="00015492" w:rsidRPr="00255081" w:rsidRDefault="00015492" w:rsidP="004B170A">
            <w:pPr>
              <w:spacing w:after="120" w:line="240" w:lineRule="auto"/>
              <w:jc w:val="both"/>
              <w:rPr>
                <w:rFonts w:ascii="Montserrat" w:eastAsia="Times New Roman" w:hAnsi="Montserrat" w:cs="Calibri"/>
                <w:color w:val="000000"/>
                <w:sz w:val="15"/>
                <w:szCs w:val="15"/>
                <w:lang w:eastAsia="es-MX"/>
              </w:rPr>
            </w:pPr>
            <w:r w:rsidRPr="00255081">
              <w:rPr>
                <w:rFonts w:ascii="Montserrat" w:eastAsia="Times New Roman" w:hAnsi="Montserrat" w:cs="Calibri"/>
                <w:sz w:val="15"/>
                <w:szCs w:val="15"/>
                <w:lang w:eastAsia="es-MX"/>
              </w:rPr>
              <w:t>Universidad  Autónoma Metropolitana</w:t>
            </w:r>
          </w:p>
        </w:tc>
        <w:tc>
          <w:tcPr>
            <w:tcW w:w="2463" w:type="dxa"/>
            <w:shd w:val="clear" w:color="000000" w:fill="F2F2F2"/>
            <w:noWrap/>
            <w:vAlign w:val="center"/>
          </w:tcPr>
          <w:p w14:paraId="2A399E38" w14:textId="0F99766D" w:rsidR="00015492" w:rsidRPr="00255081" w:rsidRDefault="00015492" w:rsidP="000A1B05">
            <w:pPr>
              <w:spacing w:after="120" w:line="240" w:lineRule="auto"/>
              <w:jc w:val="right"/>
              <w:rPr>
                <w:rFonts w:ascii="Montserrat" w:eastAsia="Times New Roman" w:hAnsi="Montserrat" w:cs="Calibri"/>
                <w:color w:val="000000"/>
                <w:sz w:val="15"/>
                <w:szCs w:val="15"/>
                <w:lang w:eastAsia="es-MX"/>
              </w:rPr>
            </w:pPr>
            <w:r w:rsidRPr="00255081">
              <w:rPr>
                <w:rFonts w:ascii="Montserrat" w:eastAsia="Times New Roman" w:hAnsi="Montserrat" w:cs="Calibri"/>
                <w:sz w:val="15"/>
                <w:szCs w:val="15"/>
                <w:lang w:eastAsia="es-MX"/>
              </w:rPr>
              <w:t>4,374,715,346</w:t>
            </w:r>
          </w:p>
        </w:tc>
        <w:tc>
          <w:tcPr>
            <w:tcW w:w="1192" w:type="dxa"/>
            <w:shd w:val="clear" w:color="000000" w:fill="F2F2F2"/>
            <w:noWrap/>
            <w:vAlign w:val="center"/>
          </w:tcPr>
          <w:p w14:paraId="7F77A6E0" w14:textId="0D60E3EE" w:rsidR="00015492" w:rsidRPr="00255081" w:rsidRDefault="00015492" w:rsidP="000A1B05">
            <w:pPr>
              <w:spacing w:after="120" w:line="240" w:lineRule="auto"/>
              <w:jc w:val="right"/>
              <w:rPr>
                <w:rFonts w:ascii="Montserrat" w:eastAsia="Times New Roman" w:hAnsi="Montserrat" w:cs="Calibri"/>
                <w:color w:val="000000"/>
                <w:sz w:val="15"/>
                <w:szCs w:val="15"/>
                <w:lang w:eastAsia="es-MX"/>
              </w:rPr>
            </w:pPr>
            <w:r w:rsidRPr="00255081">
              <w:rPr>
                <w:rFonts w:ascii="Montserrat" w:eastAsia="Times New Roman" w:hAnsi="Montserrat" w:cs="Calibri"/>
                <w:sz w:val="15"/>
                <w:szCs w:val="15"/>
                <w:lang w:eastAsia="es-MX"/>
              </w:rPr>
              <w:t>0%</w:t>
            </w:r>
          </w:p>
        </w:tc>
        <w:tc>
          <w:tcPr>
            <w:tcW w:w="2558" w:type="dxa"/>
            <w:gridSpan w:val="2"/>
            <w:shd w:val="clear" w:color="000000" w:fill="F2F2F2"/>
            <w:noWrap/>
            <w:vAlign w:val="center"/>
          </w:tcPr>
          <w:p w14:paraId="2C49EC18" w14:textId="5914DB01" w:rsidR="00015492" w:rsidRPr="00255081" w:rsidRDefault="00015492" w:rsidP="000A1B05">
            <w:pPr>
              <w:spacing w:after="120" w:line="240" w:lineRule="auto"/>
              <w:jc w:val="right"/>
              <w:rPr>
                <w:rFonts w:ascii="Montserrat" w:eastAsia="Times New Roman" w:hAnsi="Montserrat" w:cs="Calibri"/>
                <w:color w:val="000000"/>
                <w:sz w:val="15"/>
                <w:szCs w:val="15"/>
                <w:lang w:eastAsia="es-MX"/>
              </w:rPr>
            </w:pPr>
            <w:r w:rsidRPr="00255081">
              <w:rPr>
                <w:rFonts w:ascii="Montserrat" w:eastAsia="Times New Roman" w:hAnsi="Montserrat" w:cs="Calibri"/>
                <w:sz w:val="15"/>
                <w:szCs w:val="15"/>
                <w:lang w:eastAsia="es-MX"/>
              </w:rPr>
              <w:t>0</w:t>
            </w:r>
          </w:p>
        </w:tc>
      </w:tr>
      <w:tr w:rsidR="00015492" w:rsidRPr="00995308" w14:paraId="2C9BCC6C" w14:textId="77777777" w:rsidTr="000F03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jc w:val="center"/>
        </w:trPr>
        <w:tc>
          <w:tcPr>
            <w:tcW w:w="5583" w:type="dxa"/>
            <w:shd w:val="clear" w:color="000000" w:fill="F2F2F2"/>
            <w:vAlign w:val="center"/>
          </w:tcPr>
          <w:p w14:paraId="249B5F23" w14:textId="1022A263" w:rsidR="00015492" w:rsidRPr="00255081" w:rsidRDefault="00015492" w:rsidP="004B170A">
            <w:pPr>
              <w:spacing w:after="120" w:line="240" w:lineRule="auto"/>
              <w:jc w:val="both"/>
              <w:rPr>
                <w:rFonts w:ascii="Montserrat" w:eastAsia="Times New Roman" w:hAnsi="Montserrat" w:cs="Calibri"/>
                <w:color w:val="000000"/>
                <w:sz w:val="15"/>
                <w:szCs w:val="15"/>
                <w:lang w:eastAsia="es-MX"/>
              </w:rPr>
            </w:pPr>
            <w:r w:rsidRPr="00255081">
              <w:rPr>
                <w:rFonts w:ascii="Montserrat" w:eastAsia="Times New Roman" w:hAnsi="Montserrat" w:cs="Calibri"/>
                <w:sz w:val="15"/>
                <w:szCs w:val="15"/>
                <w:lang w:eastAsia="es-MX"/>
              </w:rPr>
              <w:t>Universidad Nacional Autónoma de México</w:t>
            </w:r>
          </w:p>
        </w:tc>
        <w:tc>
          <w:tcPr>
            <w:tcW w:w="2463" w:type="dxa"/>
            <w:shd w:val="clear" w:color="000000" w:fill="F2F2F2"/>
            <w:noWrap/>
            <w:vAlign w:val="center"/>
          </w:tcPr>
          <w:p w14:paraId="779D818D" w14:textId="1BBC6E75" w:rsidR="00015492" w:rsidRPr="00255081" w:rsidRDefault="00015492" w:rsidP="000A1B05">
            <w:pPr>
              <w:spacing w:after="120" w:line="240" w:lineRule="auto"/>
              <w:jc w:val="right"/>
              <w:rPr>
                <w:rFonts w:ascii="Montserrat" w:eastAsia="Times New Roman" w:hAnsi="Montserrat" w:cs="Calibri"/>
                <w:color w:val="000000"/>
                <w:sz w:val="15"/>
                <w:szCs w:val="15"/>
                <w:lang w:eastAsia="es-MX"/>
              </w:rPr>
            </w:pPr>
            <w:r w:rsidRPr="00255081">
              <w:rPr>
                <w:rFonts w:ascii="Montserrat" w:eastAsia="Times New Roman" w:hAnsi="Montserrat" w:cs="Calibri"/>
                <w:sz w:val="15"/>
                <w:szCs w:val="15"/>
                <w:lang w:eastAsia="es-MX"/>
              </w:rPr>
              <w:t>38,116,840,192</w:t>
            </w:r>
          </w:p>
        </w:tc>
        <w:tc>
          <w:tcPr>
            <w:tcW w:w="1192" w:type="dxa"/>
            <w:shd w:val="clear" w:color="000000" w:fill="F2F2F2"/>
            <w:noWrap/>
            <w:vAlign w:val="center"/>
          </w:tcPr>
          <w:p w14:paraId="707FF522" w14:textId="26E644B7" w:rsidR="00015492" w:rsidRPr="00255081" w:rsidRDefault="00015492" w:rsidP="000A1B05">
            <w:pPr>
              <w:spacing w:after="120" w:line="240" w:lineRule="auto"/>
              <w:jc w:val="right"/>
              <w:rPr>
                <w:rFonts w:ascii="Montserrat" w:eastAsia="Times New Roman" w:hAnsi="Montserrat" w:cs="Calibri"/>
                <w:color w:val="000000"/>
                <w:sz w:val="15"/>
                <w:szCs w:val="15"/>
                <w:lang w:eastAsia="es-MX"/>
              </w:rPr>
            </w:pPr>
            <w:r w:rsidRPr="00255081">
              <w:rPr>
                <w:rFonts w:ascii="Montserrat" w:eastAsia="Times New Roman" w:hAnsi="Montserrat" w:cs="Calibri"/>
                <w:sz w:val="15"/>
                <w:szCs w:val="15"/>
                <w:lang w:eastAsia="es-MX"/>
              </w:rPr>
              <w:t>100%</w:t>
            </w:r>
          </w:p>
        </w:tc>
        <w:tc>
          <w:tcPr>
            <w:tcW w:w="2558" w:type="dxa"/>
            <w:gridSpan w:val="2"/>
            <w:shd w:val="clear" w:color="000000" w:fill="F2F2F2"/>
            <w:noWrap/>
            <w:vAlign w:val="center"/>
          </w:tcPr>
          <w:p w14:paraId="77EBFD61" w14:textId="6AE6DB86" w:rsidR="00015492" w:rsidRPr="00255081" w:rsidRDefault="00015492" w:rsidP="000A1B05">
            <w:pPr>
              <w:spacing w:after="120" w:line="240" w:lineRule="auto"/>
              <w:jc w:val="right"/>
              <w:rPr>
                <w:rFonts w:ascii="Montserrat" w:eastAsia="Times New Roman" w:hAnsi="Montserrat" w:cs="Calibri"/>
                <w:color w:val="000000"/>
                <w:sz w:val="15"/>
                <w:szCs w:val="15"/>
                <w:lang w:eastAsia="es-MX"/>
              </w:rPr>
            </w:pPr>
            <w:r w:rsidRPr="00255081">
              <w:rPr>
                <w:rFonts w:ascii="Montserrat" w:eastAsia="Times New Roman" w:hAnsi="Montserrat" w:cs="Calibri"/>
                <w:sz w:val="15"/>
                <w:szCs w:val="15"/>
                <w:lang w:eastAsia="es-MX"/>
              </w:rPr>
              <w:t>38,116,840,192</w:t>
            </w:r>
          </w:p>
        </w:tc>
      </w:tr>
      <w:tr w:rsidR="00015492" w:rsidRPr="00995308" w14:paraId="2473E007" w14:textId="77777777" w:rsidTr="000F03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0"/>
          <w:jc w:val="center"/>
        </w:trPr>
        <w:tc>
          <w:tcPr>
            <w:tcW w:w="5583" w:type="dxa"/>
            <w:shd w:val="clear" w:color="000000" w:fill="F2F2F2"/>
            <w:vAlign w:val="center"/>
          </w:tcPr>
          <w:p w14:paraId="6FFE28E4" w14:textId="3580829D" w:rsidR="00015492" w:rsidRPr="00255081" w:rsidRDefault="00015492" w:rsidP="004B170A">
            <w:pPr>
              <w:spacing w:after="120" w:line="240" w:lineRule="auto"/>
              <w:jc w:val="both"/>
              <w:rPr>
                <w:rFonts w:ascii="Montserrat" w:eastAsia="Times New Roman" w:hAnsi="Montserrat" w:cs="Calibri"/>
                <w:color w:val="000000"/>
                <w:sz w:val="15"/>
                <w:szCs w:val="15"/>
                <w:lang w:eastAsia="es-MX"/>
              </w:rPr>
            </w:pPr>
            <w:r w:rsidRPr="00255081">
              <w:rPr>
                <w:rFonts w:ascii="Montserrat" w:eastAsia="Times New Roman" w:hAnsi="Montserrat" w:cs="Calibri"/>
                <w:sz w:val="15"/>
                <w:szCs w:val="15"/>
                <w:lang w:eastAsia="es-MX"/>
              </w:rPr>
              <w:t>Centro de Enseñanza Técnica Industrial</w:t>
            </w:r>
          </w:p>
        </w:tc>
        <w:tc>
          <w:tcPr>
            <w:tcW w:w="2463" w:type="dxa"/>
            <w:shd w:val="clear" w:color="000000" w:fill="F2F2F2"/>
            <w:noWrap/>
            <w:vAlign w:val="center"/>
          </w:tcPr>
          <w:p w14:paraId="0473B4FC" w14:textId="1E1FA045" w:rsidR="00015492" w:rsidRPr="00255081" w:rsidRDefault="00015492" w:rsidP="000A1B05">
            <w:pPr>
              <w:spacing w:after="120" w:line="240" w:lineRule="auto"/>
              <w:jc w:val="right"/>
              <w:rPr>
                <w:rFonts w:ascii="Montserrat" w:eastAsia="Times New Roman" w:hAnsi="Montserrat" w:cs="Calibri"/>
                <w:color w:val="000000"/>
                <w:sz w:val="15"/>
                <w:szCs w:val="15"/>
                <w:lang w:eastAsia="es-MX"/>
              </w:rPr>
            </w:pPr>
            <w:r w:rsidRPr="00255081">
              <w:rPr>
                <w:rFonts w:ascii="Montserrat" w:eastAsia="Times New Roman" w:hAnsi="Montserrat" w:cs="Calibri"/>
                <w:sz w:val="15"/>
                <w:szCs w:val="15"/>
                <w:lang w:eastAsia="es-MX"/>
              </w:rPr>
              <w:t>243,795,378</w:t>
            </w:r>
          </w:p>
        </w:tc>
        <w:tc>
          <w:tcPr>
            <w:tcW w:w="1192" w:type="dxa"/>
            <w:shd w:val="clear" w:color="000000" w:fill="F2F2F2"/>
            <w:noWrap/>
            <w:vAlign w:val="center"/>
          </w:tcPr>
          <w:p w14:paraId="65F2C84A" w14:textId="3E544BBC" w:rsidR="00015492" w:rsidRPr="00255081" w:rsidRDefault="00015492" w:rsidP="000A1B05">
            <w:pPr>
              <w:spacing w:after="120" w:line="240" w:lineRule="auto"/>
              <w:jc w:val="right"/>
              <w:rPr>
                <w:rFonts w:ascii="Montserrat" w:eastAsia="Times New Roman" w:hAnsi="Montserrat" w:cs="Calibri"/>
                <w:color w:val="000000"/>
                <w:sz w:val="15"/>
                <w:szCs w:val="15"/>
                <w:lang w:eastAsia="es-MX"/>
              </w:rPr>
            </w:pPr>
            <w:r w:rsidRPr="00255081">
              <w:rPr>
                <w:rFonts w:ascii="Montserrat" w:eastAsia="Times New Roman" w:hAnsi="Montserrat" w:cs="Calibri"/>
                <w:sz w:val="15"/>
                <w:szCs w:val="15"/>
                <w:lang w:eastAsia="es-MX"/>
              </w:rPr>
              <w:t>0%</w:t>
            </w:r>
          </w:p>
        </w:tc>
        <w:tc>
          <w:tcPr>
            <w:tcW w:w="2558" w:type="dxa"/>
            <w:gridSpan w:val="2"/>
            <w:shd w:val="clear" w:color="000000" w:fill="F2F2F2"/>
            <w:noWrap/>
            <w:vAlign w:val="center"/>
          </w:tcPr>
          <w:p w14:paraId="2DFAA72F" w14:textId="42EA4EE0" w:rsidR="00015492" w:rsidRPr="00255081" w:rsidRDefault="00015492" w:rsidP="000A1B05">
            <w:pPr>
              <w:spacing w:after="120" w:line="240" w:lineRule="auto"/>
              <w:jc w:val="right"/>
              <w:rPr>
                <w:rFonts w:ascii="Montserrat" w:eastAsia="Times New Roman" w:hAnsi="Montserrat" w:cs="Calibri"/>
                <w:color w:val="000000"/>
                <w:sz w:val="15"/>
                <w:szCs w:val="15"/>
                <w:lang w:eastAsia="es-MX"/>
              </w:rPr>
            </w:pPr>
            <w:r w:rsidRPr="00255081">
              <w:rPr>
                <w:rFonts w:ascii="Montserrat" w:eastAsia="Times New Roman" w:hAnsi="Montserrat" w:cs="Calibri"/>
                <w:sz w:val="15"/>
                <w:szCs w:val="15"/>
                <w:lang w:eastAsia="es-MX"/>
              </w:rPr>
              <w:t>0</w:t>
            </w:r>
          </w:p>
        </w:tc>
      </w:tr>
      <w:tr w:rsidR="00015492" w:rsidRPr="00995308" w14:paraId="26DB27C1" w14:textId="77777777" w:rsidTr="000F03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jc w:val="center"/>
        </w:trPr>
        <w:tc>
          <w:tcPr>
            <w:tcW w:w="5583" w:type="dxa"/>
            <w:shd w:val="clear" w:color="000000" w:fill="F2F2F2"/>
            <w:vAlign w:val="center"/>
          </w:tcPr>
          <w:p w14:paraId="0C66365A" w14:textId="31E0D093" w:rsidR="00015492" w:rsidRPr="00255081" w:rsidRDefault="00015492" w:rsidP="004B170A">
            <w:pPr>
              <w:spacing w:after="120" w:line="240" w:lineRule="auto"/>
              <w:jc w:val="both"/>
              <w:rPr>
                <w:rFonts w:ascii="Montserrat" w:eastAsia="Times New Roman" w:hAnsi="Montserrat" w:cs="Calibri"/>
                <w:color w:val="000000"/>
                <w:sz w:val="15"/>
                <w:szCs w:val="15"/>
                <w:lang w:eastAsia="es-MX"/>
              </w:rPr>
            </w:pPr>
            <w:r w:rsidRPr="00255081">
              <w:rPr>
                <w:rFonts w:ascii="Montserrat" w:eastAsia="Times New Roman" w:hAnsi="Montserrat" w:cs="Calibri"/>
                <w:sz w:val="15"/>
                <w:szCs w:val="15"/>
                <w:lang w:eastAsia="es-MX"/>
              </w:rPr>
              <w:t>Centro de Investigación y Estudios Avanzados de Instituto Politécnico Nacional</w:t>
            </w:r>
          </w:p>
        </w:tc>
        <w:tc>
          <w:tcPr>
            <w:tcW w:w="2463" w:type="dxa"/>
            <w:shd w:val="clear" w:color="000000" w:fill="F2F2F2"/>
            <w:noWrap/>
            <w:vAlign w:val="center"/>
          </w:tcPr>
          <w:p w14:paraId="483FCAF3" w14:textId="18AE7225" w:rsidR="00015492" w:rsidRPr="00255081" w:rsidRDefault="00015492" w:rsidP="000A1B05">
            <w:pPr>
              <w:spacing w:after="120" w:line="240" w:lineRule="auto"/>
              <w:jc w:val="right"/>
              <w:rPr>
                <w:rFonts w:ascii="Montserrat" w:eastAsia="Times New Roman" w:hAnsi="Montserrat" w:cs="Calibri"/>
                <w:color w:val="000000"/>
                <w:sz w:val="15"/>
                <w:szCs w:val="15"/>
                <w:lang w:eastAsia="es-MX"/>
              </w:rPr>
            </w:pPr>
            <w:r w:rsidRPr="00255081">
              <w:rPr>
                <w:rFonts w:ascii="Montserrat" w:eastAsia="Times New Roman" w:hAnsi="Montserrat" w:cs="Calibri"/>
                <w:sz w:val="15"/>
                <w:szCs w:val="15"/>
                <w:lang w:eastAsia="es-MX"/>
              </w:rPr>
              <w:t>5,056,902,960</w:t>
            </w:r>
          </w:p>
        </w:tc>
        <w:tc>
          <w:tcPr>
            <w:tcW w:w="1192" w:type="dxa"/>
            <w:shd w:val="clear" w:color="000000" w:fill="F2F2F2"/>
            <w:noWrap/>
            <w:vAlign w:val="center"/>
          </w:tcPr>
          <w:p w14:paraId="5259A537" w14:textId="775DA7A4" w:rsidR="00015492" w:rsidRPr="00255081" w:rsidRDefault="00015492" w:rsidP="000A1B05">
            <w:pPr>
              <w:spacing w:after="120" w:line="240" w:lineRule="auto"/>
              <w:jc w:val="right"/>
              <w:rPr>
                <w:rFonts w:ascii="Montserrat" w:eastAsia="Times New Roman" w:hAnsi="Montserrat" w:cs="Calibri"/>
                <w:color w:val="000000"/>
                <w:sz w:val="15"/>
                <w:szCs w:val="15"/>
                <w:lang w:eastAsia="es-MX"/>
              </w:rPr>
            </w:pPr>
            <w:r w:rsidRPr="00255081">
              <w:rPr>
                <w:rFonts w:ascii="Montserrat" w:eastAsia="Times New Roman" w:hAnsi="Montserrat" w:cs="Calibri"/>
                <w:sz w:val="15"/>
                <w:szCs w:val="15"/>
                <w:lang w:eastAsia="es-MX"/>
              </w:rPr>
              <w:t>100%</w:t>
            </w:r>
          </w:p>
        </w:tc>
        <w:tc>
          <w:tcPr>
            <w:tcW w:w="2558" w:type="dxa"/>
            <w:gridSpan w:val="2"/>
            <w:shd w:val="clear" w:color="000000" w:fill="F2F2F2"/>
            <w:noWrap/>
            <w:vAlign w:val="center"/>
          </w:tcPr>
          <w:p w14:paraId="5424201F" w14:textId="5EF5333D" w:rsidR="00015492" w:rsidRPr="00255081" w:rsidRDefault="00015492" w:rsidP="000A1B05">
            <w:pPr>
              <w:spacing w:after="120" w:line="240" w:lineRule="auto"/>
              <w:jc w:val="right"/>
              <w:rPr>
                <w:rFonts w:ascii="Montserrat" w:eastAsia="Times New Roman" w:hAnsi="Montserrat" w:cs="Calibri"/>
                <w:color w:val="000000"/>
                <w:sz w:val="15"/>
                <w:szCs w:val="15"/>
                <w:lang w:eastAsia="es-MX"/>
              </w:rPr>
            </w:pPr>
            <w:r w:rsidRPr="00255081">
              <w:rPr>
                <w:rFonts w:ascii="Montserrat" w:eastAsia="Times New Roman" w:hAnsi="Montserrat" w:cs="Calibri"/>
                <w:sz w:val="15"/>
                <w:szCs w:val="15"/>
                <w:lang w:eastAsia="es-MX"/>
              </w:rPr>
              <w:t>5,056,902,960</w:t>
            </w:r>
          </w:p>
        </w:tc>
      </w:tr>
      <w:tr w:rsidR="00015492" w:rsidRPr="00995308" w14:paraId="5802AB9E" w14:textId="77777777" w:rsidTr="000F03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jc w:val="center"/>
        </w:trPr>
        <w:tc>
          <w:tcPr>
            <w:tcW w:w="5583" w:type="dxa"/>
            <w:shd w:val="clear" w:color="000000" w:fill="F2F2F2"/>
            <w:vAlign w:val="center"/>
          </w:tcPr>
          <w:p w14:paraId="4090E6C3" w14:textId="7FBBA451" w:rsidR="00015492" w:rsidRPr="00255081" w:rsidRDefault="00015492" w:rsidP="004B170A">
            <w:pPr>
              <w:spacing w:after="120" w:line="240" w:lineRule="auto"/>
              <w:jc w:val="both"/>
              <w:rPr>
                <w:rFonts w:ascii="Montserrat" w:eastAsia="Times New Roman" w:hAnsi="Montserrat" w:cs="Calibri"/>
                <w:color w:val="000000"/>
                <w:sz w:val="15"/>
                <w:szCs w:val="15"/>
                <w:lang w:eastAsia="es-MX"/>
              </w:rPr>
            </w:pPr>
            <w:r w:rsidRPr="00255081">
              <w:rPr>
                <w:rFonts w:ascii="Montserrat" w:eastAsia="Times New Roman" w:hAnsi="Montserrat" w:cs="Calibri"/>
                <w:sz w:val="15"/>
                <w:szCs w:val="15"/>
                <w:lang w:eastAsia="es-MX"/>
              </w:rPr>
              <w:t>Colegio de Bachilleres</w:t>
            </w:r>
          </w:p>
        </w:tc>
        <w:tc>
          <w:tcPr>
            <w:tcW w:w="2463" w:type="dxa"/>
            <w:shd w:val="clear" w:color="000000" w:fill="F2F2F2"/>
            <w:noWrap/>
            <w:vAlign w:val="center"/>
          </w:tcPr>
          <w:p w14:paraId="11F1A3E7" w14:textId="5C9BAC9D" w:rsidR="00015492" w:rsidRPr="00255081" w:rsidRDefault="00015492" w:rsidP="000A1B05">
            <w:pPr>
              <w:spacing w:after="120" w:line="240" w:lineRule="auto"/>
              <w:jc w:val="right"/>
              <w:rPr>
                <w:rFonts w:ascii="Montserrat" w:eastAsia="Times New Roman" w:hAnsi="Montserrat" w:cs="Calibri"/>
                <w:color w:val="000000"/>
                <w:sz w:val="15"/>
                <w:szCs w:val="15"/>
                <w:lang w:eastAsia="es-MX"/>
              </w:rPr>
            </w:pPr>
            <w:r w:rsidRPr="00255081">
              <w:rPr>
                <w:rFonts w:ascii="Montserrat" w:eastAsia="Times New Roman" w:hAnsi="Montserrat" w:cs="Calibri"/>
                <w:sz w:val="15"/>
                <w:szCs w:val="15"/>
                <w:lang w:eastAsia="es-MX"/>
              </w:rPr>
              <w:t>3,710,235,860</w:t>
            </w:r>
          </w:p>
        </w:tc>
        <w:tc>
          <w:tcPr>
            <w:tcW w:w="1192" w:type="dxa"/>
            <w:shd w:val="clear" w:color="000000" w:fill="F2F2F2"/>
            <w:noWrap/>
            <w:vAlign w:val="center"/>
          </w:tcPr>
          <w:p w14:paraId="7E299F51" w14:textId="5B39E02B" w:rsidR="00015492" w:rsidRPr="00255081" w:rsidRDefault="00015492" w:rsidP="000A1B05">
            <w:pPr>
              <w:spacing w:after="120" w:line="240" w:lineRule="auto"/>
              <w:jc w:val="right"/>
              <w:rPr>
                <w:rFonts w:ascii="Montserrat" w:eastAsia="Times New Roman" w:hAnsi="Montserrat" w:cs="Calibri"/>
                <w:color w:val="000000"/>
                <w:sz w:val="15"/>
                <w:szCs w:val="15"/>
                <w:lang w:eastAsia="es-MX"/>
              </w:rPr>
            </w:pPr>
            <w:r w:rsidRPr="00255081">
              <w:rPr>
                <w:rFonts w:ascii="Montserrat" w:eastAsia="Times New Roman" w:hAnsi="Montserrat" w:cs="Calibri"/>
                <w:sz w:val="15"/>
                <w:szCs w:val="15"/>
                <w:lang w:eastAsia="es-MX"/>
              </w:rPr>
              <w:t>100%</w:t>
            </w:r>
          </w:p>
        </w:tc>
        <w:tc>
          <w:tcPr>
            <w:tcW w:w="2558" w:type="dxa"/>
            <w:gridSpan w:val="2"/>
            <w:shd w:val="clear" w:color="000000" w:fill="F2F2F2"/>
            <w:noWrap/>
            <w:vAlign w:val="center"/>
          </w:tcPr>
          <w:p w14:paraId="1DD1F4CB" w14:textId="5659C95B" w:rsidR="00015492" w:rsidRPr="00255081" w:rsidRDefault="00015492" w:rsidP="000A1B05">
            <w:pPr>
              <w:spacing w:after="120" w:line="240" w:lineRule="auto"/>
              <w:jc w:val="right"/>
              <w:rPr>
                <w:rFonts w:ascii="Montserrat" w:eastAsia="Times New Roman" w:hAnsi="Montserrat" w:cs="Calibri"/>
                <w:color w:val="000000"/>
                <w:sz w:val="15"/>
                <w:szCs w:val="15"/>
                <w:lang w:eastAsia="es-MX"/>
              </w:rPr>
            </w:pPr>
            <w:r w:rsidRPr="00255081">
              <w:rPr>
                <w:rFonts w:ascii="Montserrat" w:eastAsia="Times New Roman" w:hAnsi="Montserrat" w:cs="Calibri"/>
                <w:sz w:val="15"/>
                <w:szCs w:val="15"/>
                <w:lang w:eastAsia="es-MX"/>
              </w:rPr>
              <w:t>3,710,235,860</w:t>
            </w:r>
          </w:p>
        </w:tc>
      </w:tr>
      <w:tr w:rsidR="00015492" w:rsidRPr="00995308" w14:paraId="73334F77" w14:textId="77777777" w:rsidTr="000F03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0"/>
          <w:jc w:val="center"/>
        </w:trPr>
        <w:tc>
          <w:tcPr>
            <w:tcW w:w="5583" w:type="dxa"/>
            <w:shd w:val="clear" w:color="000000" w:fill="F2F2F2"/>
            <w:vAlign w:val="center"/>
          </w:tcPr>
          <w:p w14:paraId="797EBB10" w14:textId="4D8E8BF0" w:rsidR="00015492" w:rsidRPr="00255081" w:rsidRDefault="00015492" w:rsidP="004B170A">
            <w:pPr>
              <w:spacing w:after="120" w:line="240" w:lineRule="auto"/>
              <w:jc w:val="both"/>
              <w:rPr>
                <w:rFonts w:ascii="Montserrat" w:eastAsia="Times New Roman" w:hAnsi="Montserrat" w:cs="Calibri"/>
                <w:color w:val="000000"/>
                <w:sz w:val="15"/>
                <w:szCs w:val="15"/>
                <w:lang w:eastAsia="es-MX"/>
              </w:rPr>
            </w:pPr>
            <w:r w:rsidRPr="00255081">
              <w:rPr>
                <w:rFonts w:ascii="Montserrat" w:eastAsia="Times New Roman" w:hAnsi="Montserrat" w:cs="Calibri"/>
                <w:sz w:val="15"/>
                <w:szCs w:val="15"/>
                <w:lang w:eastAsia="es-MX"/>
              </w:rPr>
              <w:t>Colegio Nacional de Educación Profesional Técnica</w:t>
            </w:r>
          </w:p>
        </w:tc>
        <w:tc>
          <w:tcPr>
            <w:tcW w:w="2463" w:type="dxa"/>
            <w:shd w:val="clear" w:color="000000" w:fill="F2F2F2"/>
            <w:noWrap/>
            <w:vAlign w:val="center"/>
          </w:tcPr>
          <w:p w14:paraId="0DDB5FE2" w14:textId="709B54E5" w:rsidR="00015492" w:rsidRPr="00255081" w:rsidRDefault="00015492" w:rsidP="000A1B05">
            <w:pPr>
              <w:spacing w:after="120" w:line="240" w:lineRule="auto"/>
              <w:jc w:val="right"/>
              <w:rPr>
                <w:rFonts w:ascii="Montserrat" w:eastAsia="Times New Roman" w:hAnsi="Montserrat" w:cs="Calibri"/>
                <w:color w:val="000000"/>
                <w:sz w:val="15"/>
                <w:szCs w:val="15"/>
                <w:lang w:eastAsia="es-MX"/>
              </w:rPr>
            </w:pPr>
            <w:r w:rsidRPr="00255081">
              <w:rPr>
                <w:rFonts w:ascii="Montserrat" w:eastAsia="Times New Roman" w:hAnsi="Montserrat" w:cs="Calibri"/>
                <w:sz w:val="15"/>
                <w:szCs w:val="15"/>
                <w:lang w:eastAsia="es-MX"/>
              </w:rPr>
              <w:t>1,736,637,680</w:t>
            </w:r>
          </w:p>
        </w:tc>
        <w:tc>
          <w:tcPr>
            <w:tcW w:w="1192" w:type="dxa"/>
            <w:shd w:val="clear" w:color="000000" w:fill="F2F2F2"/>
            <w:noWrap/>
            <w:vAlign w:val="center"/>
          </w:tcPr>
          <w:p w14:paraId="33FA1960" w14:textId="1214C5D0" w:rsidR="00015492" w:rsidRPr="00255081" w:rsidRDefault="00015492" w:rsidP="000A1B05">
            <w:pPr>
              <w:spacing w:after="120" w:line="240" w:lineRule="auto"/>
              <w:jc w:val="right"/>
              <w:rPr>
                <w:rFonts w:ascii="Montserrat" w:eastAsia="Times New Roman" w:hAnsi="Montserrat" w:cs="Calibri"/>
                <w:color w:val="000000"/>
                <w:sz w:val="15"/>
                <w:szCs w:val="15"/>
                <w:lang w:eastAsia="es-MX"/>
              </w:rPr>
            </w:pPr>
            <w:r w:rsidRPr="00255081">
              <w:rPr>
                <w:rFonts w:ascii="Montserrat" w:eastAsia="Times New Roman" w:hAnsi="Montserrat" w:cs="Calibri"/>
                <w:sz w:val="15"/>
                <w:szCs w:val="15"/>
                <w:lang w:eastAsia="es-MX"/>
              </w:rPr>
              <w:t>100%</w:t>
            </w:r>
          </w:p>
        </w:tc>
        <w:tc>
          <w:tcPr>
            <w:tcW w:w="2558" w:type="dxa"/>
            <w:gridSpan w:val="2"/>
            <w:shd w:val="clear" w:color="000000" w:fill="F2F2F2"/>
            <w:noWrap/>
            <w:vAlign w:val="center"/>
          </w:tcPr>
          <w:p w14:paraId="1CAC3B2A" w14:textId="41F57057" w:rsidR="00015492" w:rsidRPr="00255081" w:rsidRDefault="00015492" w:rsidP="000A1B05">
            <w:pPr>
              <w:spacing w:after="120" w:line="240" w:lineRule="auto"/>
              <w:jc w:val="right"/>
              <w:rPr>
                <w:rFonts w:ascii="Montserrat" w:eastAsia="Times New Roman" w:hAnsi="Montserrat" w:cs="Calibri"/>
                <w:color w:val="000000"/>
                <w:sz w:val="15"/>
                <w:szCs w:val="15"/>
                <w:lang w:eastAsia="es-MX"/>
              </w:rPr>
            </w:pPr>
            <w:r w:rsidRPr="00255081">
              <w:rPr>
                <w:rFonts w:ascii="Montserrat" w:eastAsia="Times New Roman" w:hAnsi="Montserrat" w:cs="Calibri"/>
                <w:sz w:val="15"/>
                <w:szCs w:val="15"/>
                <w:lang w:eastAsia="es-MX"/>
              </w:rPr>
              <w:t>1,736,637,680</w:t>
            </w:r>
          </w:p>
        </w:tc>
      </w:tr>
      <w:tr w:rsidR="00015492" w:rsidRPr="00995308" w14:paraId="4E6236BC" w14:textId="77777777" w:rsidTr="000F03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jc w:val="center"/>
        </w:trPr>
        <w:tc>
          <w:tcPr>
            <w:tcW w:w="5583" w:type="dxa"/>
            <w:shd w:val="clear" w:color="000000" w:fill="F2F2F2"/>
            <w:vAlign w:val="center"/>
          </w:tcPr>
          <w:p w14:paraId="127C7F25" w14:textId="7FE380C9" w:rsidR="00015492" w:rsidRPr="00255081" w:rsidRDefault="00015492" w:rsidP="004B170A">
            <w:pPr>
              <w:spacing w:after="120" w:line="240" w:lineRule="auto"/>
              <w:jc w:val="both"/>
              <w:rPr>
                <w:rFonts w:ascii="Montserrat" w:eastAsia="Times New Roman" w:hAnsi="Montserrat" w:cs="Calibri"/>
                <w:color w:val="000000"/>
                <w:sz w:val="15"/>
                <w:szCs w:val="15"/>
                <w:lang w:eastAsia="es-MX"/>
              </w:rPr>
            </w:pPr>
            <w:r w:rsidRPr="00255081">
              <w:rPr>
                <w:rFonts w:ascii="Montserrat" w:eastAsia="Times New Roman" w:hAnsi="Montserrat" w:cs="Calibri"/>
                <w:sz w:val="15"/>
                <w:szCs w:val="15"/>
                <w:lang w:eastAsia="es-MX"/>
              </w:rPr>
              <w:t>Comisión de Operación y Fomento de Actividades Académicas del Instituto Politécnico Nacional</w:t>
            </w:r>
          </w:p>
        </w:tc>
        <w:tc>
          <w:tcPr>
            <w:tcW w:w="2463" w:type="dxa"/>
            <w:shd w:val="clear" w:color="000000" w:fill="F2F2F2"/>
            <w:noWrap/>
            <w:vAlign w:val="center"/>
          </w:tcPr>
          <w:p w14:paraId="4D266C1B" w14:textId="55D08E49" w:rsidR="00015492" w:rsidRPr="00255081" w:rsidRDefault="00015492" w:rsidP="000A1B05">
            <w:pPr>
              <w:spacing w:after="120" w:line="240" w:lineRule="auto"/>
              <w:jc w:val="right"/>
              <w:rPr>
                <w:rFonts w:ascii="Montserrat" w:eastAsia="Times New Roman" w:hAnsi="Montserrat" w:cs="Calibri"/>
                <w:color w:val="000000"/>
                <w:sz w:val="15"/>
                <w:szCs w:val="15"/>
                <w:lang w:eastAsia="es-MX"/>
              </w:rPr>
            </w:pPr>
            <w:r w:rsidRPr="00255081">
              <w:rPr>
                <w:rFonts w:ascii="Montserrat" w:eastAsia="Times New Roman" w:hAnsi="Montserrat" w:cs="Calibri"/>
                <w:sz w:val="15"/>
                <w:szCs w:val="15"/>
                <w:lang w:eastAsia="es-MX"/>
              </w:rPr>
              <w:t>405,654,471</w:t>
            </w:r>
          </w:p>
        </w:tc>
        <w:tc>
          <w:tcPr>
            <w:tcW w:w="1192" w:type="dxa"/>
            <w:shd w:val="clear" w:color="000000" w:fill="F2F2F2"/>
            <w:noWrap/>
            <w:vAlign w:val="center"/>
          </w:tcPr>
          <w:p w14:paraId="560E3474" w14:textId="3CEF7CAF" w:rsidR="00015492" w:rsidRPr="00255081" w:rsidRDefault="00015492" w:rsidP="000A1B05">
            <w:pPr>
              <w:spacing w:after="120" w:line="240" w:lineRule="auto"/>
              <w:jc w:val="right"/>
              <w:rPr>
                <w:rFonts w:ascii="Montserrat" w:eastAsia="Times New Roman" w:hAnsi="Montserrat" w:cs="Calibri"/>
                <w:color w:val="000000"/>
                <w:sz w:val="15"/>
                <w:szCs w:val="15"/>
                <w:lang w:eastAsia="es-MX"/>
              </w:rPr>
            </w:pPr>
            <w:r w:rsidRPr="00255081">
              <w:rPr>
                <w:rFonts w:ascii="Montserrat" w:eastAsia="Times New Roman" w:hAnsi="Montserrat" w:cs="Calibri"/>
                <w:sz w:val="15"/>
                <w:szCs w:val="15"/>
                <w:lang w:eastAsia="es-MX"/>
              </w:rPr>
              <w:t>100%</w:t>
            </w:r>
          </w:p>
        </w:tc>
        <w:tc>
          <w:tcPr>
            <w:tcW w:w="2558" w:type="dxa"/>
            <w:gridSpan w:val="2"/>
            <w:shd w:val="clear" w:color="000000" w:fill="F2F2F2"/>
            <w:noWrap/>
            <w:vAlign w:val="center"/>
          </w:tcPr>
          <w:p w14:paraId="79FF2E83" w14:textId="4A8F0A35" w:rsidR="00015492" w:rsidRPr="00255081" w:rsidRDefault="00015492" w:rsidP="000A1B05">
            <w:pPr>
              <w:spacing w:after="120" w:line="240" w:lineRule="auto"/>
              <w:jc w:val="right"/>
              <w:rPr>
                <w:rFonts w:ascii="Montserrat" w:eastAsia="Times New Roman" w:hAnsi="Montserrat" w:cs="Calibri"/>
                <w:color w:val="000000"/>
                <w:sz w:val="15"/>
                <w:szCs w:val="15"/>
                <w:lang w:eastAsia="es-MX"/>
              </w:rPr>
            </w:pPr>
            <w:r w:rsidRPr="00255081">
              <w:rPr>
                <w:rFonts w:ascii="Montserrat" w:eastAsia="Times New Roman" w:hAnsi="Montserrat" w:cs="Calibri"/>
                <w:sz w:val="15"/>
                <w:szCs w:val="15"/>
                <w:lang w:eastAsia="es-MX"/>
              </w:rPr>
              <w:t>405,654,471</w:t>
            </w:r>
          </w:p>
        </w:tc>
      </w:tr>
      <w:tr w:rsidR="00015492" w:rsidRPr="00995308" w14:paraId="6425ADED" w14:textId="77777777" w:rsidTr="000F03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jc w:val="center"/>
        </w:trPr>
        <w:tc>
          <w:tcPr>
            <w:tcW w:w="5583" w:type="dxa"/>
            <w:shd w:val="clear" w:color="000000" w:fill="F2F2F2"/>
            <w:vAlign w:val="center"/>
          </w:tcPr>
          <w:p w14:paraId="28DABAD7" w14:textId="24A46A0B" w:rsidR="00015492" w:rsidRPr="00255081" w:rsidRDefault="00015492" w:rsidP="004B170A">
            <w:pPr>
              <w:spacing w:after="120" w:line="240" w:lineRule="auto"/>
              <w:jc w:val="both"/>
              <w:rPr>
                <w:rFonts w:ascii="Montserrat" w:eastAsia="Times New Roman" w:hAnsi="Montserrat" w:cs="Calibri"/>
                <w:color w:val="000000"/>
                <w:sz w:val="15"/>
                <w:szCs w:val="15"/>
                <w:lang w:eastAsia="es-MX"/>
              </w:rPr>
            </w:pPr>
            <w:r w:rsidRPr="00255081">
              <w:rPr>
                <w:rFonts w:ascii="Montserrat" w:eastAsia="Times New Roman" w:hAnsi="Montserrat" w:cs="Calibri"/>
                <w:sz w:val="15"/>
                <w:szCs w:val="15"/>
                <w:lang w:eastAsia="es-MX"/>
              </w:rPr>
              <w:t>Comisión Nacional de Cultura Física y Deporte</w:t>
            </w:r>
          </w:p>
        </w:tc>
        <w:tc>
          <w:tcPr>
            <w:tcW w:w="2463" w:type="dxa"/>
            <w:shd w:val="clear" w:color="000000" w:fill="F2F2F2"/>
            <w:noWrap/>
            <w:vAlign w:val="center"/>
          </w:tcPr>
          <w:p w14:paraId="6A3E9D33" w14:textId="5284FF70" w:rsidR="00015492" w:rsidRPr="00255081" w:rsidRDefault="00015492" w:rsidP="000A1B05">
            <w:pPr>
              <w:spacing w:after="120" w:line="240" w:lineRule="auto"/>
              <w:jc w:val="right"/>
              <w:rPr>
                <w:rFonts w:ascii="Montserrat" w:eastAsia="Times New Roman" w:hAnsi="Montserrat" w:cs="Calibri"/>
                <w:color w:val="000000"/>
                <w:sz w:val="15"/>
                <w:szCs w:val="15"/>
                <w:lang w:eastAsia="es-MX"/>
              </w:rPr>
            </w:pPr>
            <w:r w:rsidRPr="00255081">
              <w:rPr>
                <w:rFonts w:ascii="Montserrat" w:eastAsia="Times New Roman" w:hAnsi="Montserrat" w:cs="Calibri"/>
                <w:sz w:val="15"/>
                <w:szCs w:val="15"/>
                <w:lang w:eastAsia="es-MX"/>
              </w:rPr>
              <w:t>2,596,859,638</w:t>
            </w:r>
          </w:p>
        </w:tc>
        <w:tc>
          <w:tcPr>
            <w:tcW w:w="1192" w:type="dxa"/>
            <w:shd w:val="clear" w:color="000000" w:fill="F2F2F2"/>
            <w:noWrap/>
            <w:vAlign w:val="center"/>
          </w:tcPr>
          <w:p w14:paraId="7F219839" w14:textId="5348448D" w:rsidR="00015492" w:rsidRPr="00255081" w:rsidRDefault="00015492" w:rsidP="000A1B05">
            <w:pPr>
              <w:spacing w:after="120" w:line="240" w:lineRule="auto"/>
              <w:jc w:val="right"/>
              <w:rPr>
                <w:rFonts w:ascii="Montserrat" w:eastAsia="Times New Roman" w:hAnsi="Montserrat" w:cs="Calibri"/>
                <w:color w:val="000000"/>
                <w:sz w:val="15"/>
                <w:szCs w:val="15"/>
                <w:lang w:eastAsia="es-MX"/>
              </w:rPr>
            </w:pPr>
            <w:r w:rsidRPr="00255081">
              <w:rPr>
                <w:rFonts w:ascii="Montserrat" w:eastAsia="Times New Roman" w:hAnsi="Montserrat" w:cs="Calibri"/>
                <w:sz w:val="15"/>
                <w:szCs w:val="15"/>
                <w:lang w:eastAsia="es-MX"/>
              </w:rPr>
              <w:t>100%</w:t>
            </w:r>
          </w:p>
        </w:tc>
        <w:tc>
          <w:tcPr>
            <w:tcW w:w="2558" w:type="dxa"/>
            <w:gridSpan w:val="2"/>
            <w:shd w:val="clear" w:color="000000" w:fill="F2F2F2"/>
            <w:noWrap/>
            <w:vAlign w:val="center"/>
          </w:tcPr>
          <w:p w14:paraId="46D9B5B9" w14:textId="167ABF66" w:rsidR="00015492" w:rsidRPr="00255081" w:rsidRDefault="00015492" w:rsidP="000A1B05">
            <w:pPr>
              <w:spacing w:after="120" w:line="240" w:lineRule="auto"/>
              <w:jc w:val="right"/>
              <w:rPr>
                <w:rFonts w:ascii="Montserrat" w:eastAsia="Times New Roman" w:hAnsi="Montserrat" w:cs="Calibri"/>
                <w:color w:val="000000"/>
                <w:sz w:val="15"/>
                <w:szCs w:val="15"/>
                <w:lang w:eastAsia="es-MX"/>
              </w:rPr>
            </w:pPr>
            <w:r w:rsidRPr="00255081">
              <w:rPr>
                <w:rFonts w:ascii="Montserrat" w:eastAsia="Times New Roman" w:hAnsi="Montserrat" w:cs="Calibri"/>
                <w:sz w:val="15"/>
                <w:szCs w:val="15"/>
                <w:lang w:eastAsia="es-MX"/>
              </w:rPr>
              <w:t>2,596,859,638</w:t>
            </w:r>
          </w:p>
        </w:tc>
      </w:tr>
      <w:tr w:rsidR="00015492" w:rsidRPr="00995308" w14:paraId="3EA5A177" w14:textId="77777777" w:rsidTr="000F03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jc w:val="center"/>
        </w:trPr>
        <w:tc>
          <w:tcPr>
            <w:tcW w:w="5583" w:type="dxa"/>
            <w:shd w:val="clear" w:color="000000" w:fill="F2F2F2"/>
            <w:vAlign w:val="center"/>
          </w:tcPr>
          <w:p w14:paraId="148E585C" w14:textId="7E0D6E4A" w:rsidR="00015492" w:rsidRPr="00255081" w:rsidRDefault="00015492" w:rsidP="004B170A">
            <w:pPr>
              <w:spacing w:after="120" w:line="240" w:lineRule="auto"/>
              <w:jc w:val="both"/>
              <w:rPr>
                <w:rFonts w:ascii="Montserrat" w:eastAsia="Times New Roman" w:hAnsi="Montserrat" w:cs="Calibri"/>
                <w:color w:val="000000"/>
                <w:sz w:val="15"/>
                <w:szCs w:val="15"/>
                <w:lang w:eastAsia="es-MX"/>
              </w:rPr>
            </w:pPr>
            <w:r w:rsidRPr="00255081">
              <w:rPr>
                <w:rFonts w:ascii="Montserrat" w:eastAsia="Times New Roman" w:hAnsi="Montserrat" w:cs="Calibri"/>
                <w:sz w:val="15"/>
                <w:szCs w:val="15"/>
                <w:lang w:eastAsia="es-MX"/>
              </w:rPr>
              <w:t>Comisión Nacional de Libros de Texto Gratuitos</w:t>
            </w:r>
          </w:p>
        </w:tc>
        <w:tc>
          <w:tcPr>
            <w:tcW w:w="2463" w:type="dxa"/>
            <w:shd w:val="clear" w:color="000000" w:fill="F2F2F2"/>
            <w:noWrap/>
            <w:vAlign w:val="center"/>
          </w:tcPr>
          <w:p w14:paraId="33E06D2E" w14:textId="644CFC99" w:rsidR="00015492" w:rsidRPr="00255081" w:rsidRDefault="00015492" w:rsidP="000A1B05">
            <w:pPr>
              <w:spacing w:after="120" w:line="240" w:lineRule="auto"/>
              <w:jc w:val="right"/>
              <w:rPr>
                <w:rFonts w:ascii="Montserrat" w:eastAsia="Times New Roman" w:hAnsi="Montserrat" w:cs="Calibri"/>
                <w:color w:val="000000"/>
                <w:sz w:val="15"/>
                <w:szCs w:val="15"/>
                <w:lang w:eastAsia="es-MX"/>
              </w:rPr>
            </w:pPr>
            <w:r w:rsidRPr="00255081">
              <w:rPr>
                <w:rFonts w:ascii="Montserrat" w:eastAsia="Times New Roman" w:hAnsi="Montserrat" w:cs="Calibri"/>
                <w:sz w:val="15"/>
                <w:szCs w:val="15"/>
                <w:lang w:eastAsia="es-MX"/>
              </w:rPr>
              <w:t>1,010,740,275</w:t>
            </w:r>
          </w:p>
        </w:tc>
        <w:tc>
          <w:tcPr>
            <w:tcW w:w="1192" w:type="dxa"/>
            <w:shd w:val="clear" w:color="000000" w:fill="F2F2F2"/>
            <w:noWrap/>
            <w:vAlign w:val="center"/>
          </w:tcPr>
          <w:p w14:paraId="43C95A8C" w14:textId="78837330" w:rsidR="00015492" w:rsidRPr="00255081" w:rsidRDefault="00015492" w:rsidP="000A1B05">
            <w:pPr>
              <w:spacing w:after="120" w:line="240" w:lineRule="auto"/>
              <w:jc w:val="right"/>
              <w:rPr>
                <w:rFonts w:ascii="Montserrat" w:eastAsia="Times New Roman" w:hAnsi="Montserrat" w:cs="Calibri"/>
                <w:color w:val="000000"/>
                <w:sz w:val="15"/>
                <w:szCs w:val="15"/>
                <w:lang w:eastAsia="es-MX"/>
              </w:rPr>
            </w:pPr>
            <w:r w:rsidRPr="00255081">
              <w:rPr>
                <w:rFonts w:ascii="Montserrat" w:eastAsia="Times New Roman" w:hAnsi="Montserrat" w:cs="Calibri"/>
                <w:sz w:val="15"/>
                <w:szCs w:val="15"/>
                <w:lang w:eastAsia="es-MX"/>
              </w:rPr>
              <w:t>100%</w:t>
            </w:r>
          </w:p>
        </w:tc>
        <w:tc>
          <w:tcPr>
            <w:tcW w:w="2558" w:type="dxa"/>
            <w:gridSpan w:val="2"/>
            <w:shd w:val="clear" w:color="000000" w:fill="F2F2F2"/>
            <w:noWrap/>
            <w:vAlign w:val="center"/>
          </w:tcPr>
          <w:p w14:paraId="1EA388B9" w14:textId="65E6F112" w:rsidR="00015492" w:rsidRPr="00255081" w:rsidRDefault="00015492" w:rsidP="000A1B05">
            <w:pPr>
              <w:spacing w:after="120" w:line="240" w:lineRule="auto"/>
              <w:jc w:val="right"/>
              <w:rPr>
                <w:rFonts w:ascii="Montserrat" w:eastAsia="Times New Roman" w:hAnsi="Montserrat" w:cs="Calibri"/>
                <w:color w:val="000000"/>
                <w:sz w:val="15"/>
                <w:szCs w:val="15"/>
                <w:lang w:eastAsia="es-MX"/>
              </w:rPr>
            </w:pPr>
            <w:r w:rsidRPr="00255081">
              <w:rPr>
                <w:rFonts w:ascii="Montserrat" w:eastAsia="Times New Roman" w:hAnsi="Montserrat" w:cs="Calibri"/>
                <w:sz w:val="15"/>
                <w:szCs w:val="15"/>
                <w:lang w:eastAsia="es-MX"/>
              </w:rPr>
              <w:t>1,010,740,275</w:t>
            </w:r>
          </w:p>
        </w:tc>
      </w:tr>
      <w:tr w:rsidR="00015492" w:rsidRPr="00995308" w14:paraId="35BF5606" w14:textId="77777777" w:rsidTr="000F03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jc w:val="center"/>
        </w:trPr>
        <w:tc>
          <w:tcPr>
            <w:tcW w:w="5583" w:type="dxa"/>
            <w:shd w:val="clear" w:color="000000" w:fill="F2F2F2"/>
            <w:vAlign w:val="center"/>
          </w:tcPr>
          <w:p w14:paraId="62C9A695" w14:textId="77777777" w:rsidR="0065225C" w:rsidRDefault="0065225C" w:rsidP="004B170A">
            <w:pPr>
              <w:spacing w:after="120" w:line="240" w:lineRule="auto"/>
              <w:jc w:val="both"/>
              <w:rPr>
                <w:rFonts w:ascii="Montserrat" w:eastAsia="Times New Roman" w:hAnsi="Montserrat" w:cs="Calibri"/>
                <w:sz w:val="15"/>
                <w:szCs w:val="15"/>
                <w:lang w:eastAsia="es-MX"/>
              </w:rPr>
            </w:pPr>
          </w:p>
          <w:p w14:paraId="73302A92" w14:textId="67BB2A76" w:rsidR="00015492" w:rsidRPr="00255081" w:rsidRDefault="00015492" w:rsidP="004B170A">
            <w:pPr>
              <w:spacing w:after="120" w:line="240" w:lineRule="auto"/>
              <w:jc w:val="both"/>
              <w:rPr>
                <w:rFonts w:ascii="Montserrat" w:eastAsia="Times New Roman" w:hAnsi="Montserrat" w:cs="Calibri"/>
                <w:color w:val="000000"/>
                <w:sz w:val="15"/>
                <w:szCs w:val="15"/>
                <w:lang w:eastAsia="es-MX"/>
              </w:rPr>
            </w:pPr>
            <w:r w:rsidRPr="00255081">
              <w:rPr>
                <w:rFonts w:ascii="Montserrat" w:eastAsia="Times New Roman" w:hAnsi="Montserrat" w:cs="Calibri"/>
                <w:sz w:val="15"/>
                <w:szCs w:val="15"/>
                <w:lang w:eastAsia="es-MX"/>
              </w:rPr>
              <w:t>Consejo Nacional de Fomento Educativo</w:t>
            </w:r>
          </w:p>
        </w:tc>
        <w:tc>
          <w:tcPr>
            <w:tcW w:w="2463" w:type="dxa"/>
            <w:shd w:val="clear" w:color="000000" w:fill="F2F2F2"/>
            <w:noWrap/>
            <w:vAlign w:val="center"/>
          </w:tcPr>
          <w:p w14:paraId="6D088003" w14:textId="77777777" w:rsidR="0065225C" w:rsidRDefault="0065225C" w:rsidP="000A1B05">
            <w:pPr>
              <w:spacing w:after="120" w:line="240" w:lineRule="auto"/>
              <w:jc w:val="right"/>
              <w:rPr>
                <w:rFonts w:ascii="Montserrat" w:eastAsia="Times New Roman" w:hAnsi="Montserrat" w:cs="Calibri"/>
                <w:sz w:val="15"/>
                <w:szCs w:val="15"/>
                <w:lang w:eastAsia="es-MX"/>
              </w:rPr>
            </w:pPr>
          </w:p>
          <w:p w14:paraId="19DE19CE" w14:textId="1258D26D" w:rsidR="00015492" w:rsidRPr="00255081" w:rsidRDefault="00015492" w:rsidP="000A1B05">
            <w:pPr>
              <w:spacing w:after="120" w:line="240" w:lineRule="auto"/>
              <w:jc w:val="right"/>
              <w:rPr>
                <w:rFonts w:ascii="Montserrat" w:eastAsia="Times New Roman" w:hAnsi="Montserrat" w:cs="Calibri"/>
                <w:color w:val="000000"/>
                <w:sz w:val="15"/>
                <w:szCs w:val="15"/>
                <w:lang w:eastAsia="es-MX"/>
              </w:rPr>
            </w:pPr>
            <w:r w:rsidRPr="00255081">
              <w:rPr>
                <w:rFonts w:ascii="Montserrat" w:eastAsia="Times New Roman" w:hAnsi="Montserrat" w:cs="Calibri"/>
                <w:sz w:val="15"/>
                <w:szCs w:val="15"/>
                <w:lang w:eastAsia="es-MX"/>
              </w:rPr>
              <w:t>810,126,585</w:t>
            </w:r>
          </w:p>
        </w:tc>
        <w:tc>
          <w:tcPr>
            <w:tcW w:w="1192" w:type="dxa"/>
            <w:shd w:val="clear" w:color="000000" w:fill="F2F2F2"/>
            <w:noWrap/>
            <w:vAlign w:val="center"/>
          </w:tcPr>
          <w:p w14:paraId="7A23E3C7" w14:textId="77777777" w:rsidR="0065225C" w:rsidRDefault="0065225C" w:rsidP="000A1B05">
            <w:pPr>
              <w:spacing w:after="120" w:line="240" w:lineRule="auto"/>
              <w:jc w:val="right"/>
              <w:rPr>
                <w:rFonts w:ascii="Montserrat" w:eastAsia="Times New Roman" w:hAnsi="Montserrat" w:cs="Calibri"/>
                <w:sz w:val="15"/>
                <w:szCs w:val="15"/>
                <w:lang w:eastAsia="es-MX"/>
              </w:rPr>
            </w:pPr>
          </w:p>
          <w:p w14:paraId="7890A390" w14:textId="748D661A" w:rsidR="00015492" w:rsidRPr="00255081" w:rsidRDefault="00015492" w:rsidP="000A1B05">
            <w:pPr>
              <w:spacing w:after="120" w:line="240" w:lineRule="auto"/>
              <w:jc w:val="right"/>
              <w:rPr>
                <w:rFonts w:ascii="Montserrat" w:eastAsia="Times New Roman" w:hAnsi="Montserrat" w:cs="Calibri"/>
                <w:color w:val="000000"/>
                <w:sz w:val="15"/>
                <w:szCs w:val="15"/>
                <w:lang w:eastAsia="es-MX"/>
              </w:rPr>
            </w:pPr>
            <w:r w:rsidRPr="00255081">
              <w:rPr>
                <w:rFonts w:ascii="Montserrat" w:eastAsia="Times New Roman" w:hAnsi="Montserrat" w:cs="Calibri"/>
                <w:sz w:val="15"/>
                <w:szCs w:val="15"/>
                <w:lang w:eastAsia="es-MX"/>
              </w:rPr>
              <w:t>100%</w:t>
            </w:r>
          </w:p>
        </w:tc>
        <w:tc>
          <w:tcPr>
            <w:tcW w:w="2558" w:type="dxa"/>
            <w:gridSpan w:val="2"/>
            <w:shd w:val="clear" w:color="000000" w:fill="F2F2F2"/>
            <w:noWrap/>
            <w:vAlign w:val="center"/>
          </w:tcPr>
          <w:p w14:paraId="4DE650B0" w14:textId="77777777" w:rsidR="0065225C" w:rsidRDefault="0065225C" w:rsidP="000A1B05">
            <w:pPr>
              <w:spacing w:after="120" w:line="240" w:lineRule="auto"/>
              <w:jc w:val="right"/>
              <w:rPr>
                <w:rFonts w:ascii="Montserrat" w:eastAsia="Times New Roman" w:hAnsi="Montserrat" w:cs="Calibri"/>
                <w:sz w:val="15"/>
                <w:szCs w:val="15"/>
                <w:lang w:eastAsia="es-MX"/>
              </w:rPr>
            </w:pPr>
          </w:p>
          <w:p w14:paraId="5FDFC033" w14:textId="6F92F0B9" w:rsidR="00015492" w:rsidRPr="00255081" w:rsidRDefault="00015492" w:rsidP="000A1B05">
            <w:pPr>
              <w:spacing w:after="120" w:line="240" w:lineRule="auto"/>
              <w:jc w:val="right"/>
              <w:rPr>
                <w:rFonts w:ascii="Montserrat" w:eastAsia="Times New Roman" w:hAnsi="Montserrat" w:cs="Calibri"/>
                <w:color w:val="000000"/>
                <w:sz w:val="15"/>
                <w:szCs w:val="15"/>
                <w:lang w:eastAsia="es-MX"/>
              </w:rPr>
            </w:pPr>
            <w:r w:rsidRPr="00255081">
              <w:rPr>
                <w:rFonts w:ascii="Montserrat" w:eastAsia="Times New Roman" w:hAnsi="Montserrat" w:cs="Calibri"/>
                <w:sz w:val="15"/>
                <w:szCs w:val="15"/>
                <w:lang w:eastAsia="es-MX"/>
              </w:rPr>
              <w:t>810,126,585</w:t>
            </w:r>
          </w:p>
        </w:tc>
      </w:tr>
      <w:tr w:rsidR="00015492" w:rsidRPr="00995308" w14:paraId="6B9996F7" w14:textId="77777777" w:rsidTr="006522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0"/>
          <w:jc w:val="center"/>
        </w:trPr>
        <w:tc>
          <w:tcPr>
            <w:tcW w:w="5583" w:type="dxa"/>
            <w:shd w:val="clear" w:color="000000" w:fill="F2F2F2"/>
            <w:vAlign w:val="center"/>
          </w:tcPr>
          <w:p w14:paraId="08540690" w14:textId="7329DE04" w:rsidR="00015492" w:rsidRPr="00255081" w:rsidRDefault="00015492" w:rsidP="004B170A">
            <w:pPr>
              <w:spacing w:after="120" w:line="240" w:lineRule="auto"/>
              <w:jc w:val="both"/>
              <w:rPr>
                <w:rFonts w:ascii="Montserrat" w:eastAsia="Times New Roman" w:hAnsi="Montserrat" w:cs="Calibri"/>
                <w:color w:val="000000"/>
                <w:sz w:val="15"/>
                <w:szCs w:val="15"/>
                <w:lang w:eastAsia="es-MX"/>
              </w:rPr>
            </w:pPr>
            <w:r w:rsidRPr="00255081">
              <w:rPr>
                <w:rFonts w:ascii="Montserrat" w:eastAsia="Times New Roman" w:hAnsi="Montserrat" w:cs="Calibri"/>
                <w:sz w:val="15"/>
                <w:szCs w:val="15"/>
                <w:lang w:eastAsia="es-MX"/>
              </w:rPr>
              <w:t>El Colegio de México, A.C.</w:t>
            </w:r>
          </w:p>
        </w:tc>
        <w:tc>
          <w:tcPr>
            <w:tcW w:w="2463" w:type="dxa"/>
            <w:shd w:val="clear" w:color="000000" w:fill="F2F2F2"/>
            <w:noWrap/>
            <w:vAlign w:val="center"/>
          </w:tcPr>
          <w:p w14:paraId="1A8C88BF" w14:textId="2837468D" w:rsidR="00015492" w:rsidRPr="00255081" w:rsidRDefault="00015492" w:rsidP="000A1B05">
            <w:pPr>
              <w:spacing w:after="120" w:line="240" w:lineRule="auto"/>
              <w:jc w:val="right"/>
              <w:rPr>
                <w:rFonts w:ascii="Montserrat" w:eastAsia="Times New Roman" w:hAnsi="Montserrat" w:cs="Calibri"/>
                <w:color w:val="000000"/>
                <w:sz w:val="15"/>
                <w:szCs w:val="15"/>
                <w:lang w:eastAsia="es-MX"/>
              </w:rPr>
            </w:pPr>
            <w:r w:rsidRPr="00255081">
              <w:rPr>
                <w:rFonts w:ascii="Montserrat" w:eastAsia="Times New Roman" w:hAnsi="Montserrat" w:cs="Calibri"/>
                <w:sz w:val="15"/>
                <w:szCs w:val="15"/>
                <w:lang w:eastAsia="es-MX"/>
              </w:rPr>
              <w:t>1,153,429,006</w:t>
            </w:r>
          </w:p>
        </w:tc>
        <w:tc>
          <w:tcPr>
            <w:tcW w:w="1192" w:type="dxa"/>
            <w:shd w:val="clear" w:color="000000" w:fill="F2F2F2"/>
            <w:noWrap/>
            <w:vAlign w:val="center"/>
          </w:tcPr>
          <w:p w14:paraId="1C66D756" w14:textId="6B9A55E1" w:rsidR="00015492" w:rsidRPr="00255081" w:rsidRDefault="00015492" w:rsidP="000A1B05">
            <w:pPr>
              <w:spacing w:after="120" w:line="240" w:lineRule="auto"/>
              <w:jc w:val="right"/>
              <w:rPr>
                <w:rFonts w:ascii="Montserrat" w:eastAsia="Times New Roman" w:hAnsi="Montserrat" w:cs="Calibri"/>
                <w:color w:val="000000"/>
                <w:sz w:val="15"/>
                <w:szCs w:val="15"/>
                <w:lang w:eastAsia="es-MX"/>
              </w:rPr>
            </w:pPr>
            <w:r w:rsidRPr="00255081">
              <w:rPr>
                <w:rFonts w:ascii="Montserrat" w:eastAsia="Times New Roman" w:hAnsi="Montserrat" w:cs="Calibri"/>
                <w:sz w:val="15"/>
                <w:szCs w:val="15"/>
                <w:lang w:eastAsia="es-MX"/>
              </w:rPr>
              <w:t>100%</w:t>
            </w:r>
          </w:p>
        </w:tc>
        <w:tc>
          <w:tcPr>
            <w:tcW w:w="2558" w:type="dxa"/>
            <w:gridSpan w:val="2"/>
            <w:shd w:val="clear" w:color="000000" w:fill="F2F2F2"/>
            <w:noWrap/>
            <w:vAlign w:val="center"/>
          </w:tcPr>
          <w:p w14:paraId="305FD0D0" w14:textId="1ADD7D98" w:rsidR="00015492" w:rsidRPr="00255081" w:rsidRDefault="00015492" w:rsidP="000A1B05">
            <w:pPr>
              <w:spacing w:after="120" w:line="240" w:lineRule="auto"/>
              <w:jc w:val="right"/>
              <w:rPr>
                <w:rFonts w:ascii="Montserrat" w:eastAsia="Times New Roman" w:hAnsi="Montserrat" w:cs="Calibri"/>
                <w:color w:val="000000"/>
                <w:sz w:val="15"/>
                <w:szCs w:val="15"/>
                <w:lang w:eastAsia="es-MX"/>
              </w:rPr>
            </w:pPr>
            <w:r w:rsidRPr="00255081">
              <w:rPr>
                <w:rFonts w:ascii="Montserrat" w:eastAsia="Times New Roman" w:hAnsi="Montserrat" w:cs="Calibri"/>
                <w:sz w:val="15"/>
                <w:szCs w:val="15"/>
                <w:lang w:eastAsia="es-MX"/>
              </w:rPr>
              <w:t>1,153,429,006</w:t>
            </w:r>
          </w:p>
        </w:tc>
      </w:tr>
      <w:tr w:rsidR="00015492" w:rsidRPr="00995308" w14:paraId="31AA76D1" w14:textId="77777777" w:rsidTr="006522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9"/>
          <w:jc w:val="center"/>
        </w:trPr>
        <w:tc>
          <w:tcPr>
            <w:tcW w:w="5583" w:type="dxa"/>
            <w:shd w:val="clear" w:color="000000" w:fill="F2F2F2"/>
            <w:vAlign w:val="center"/>
          </w:tcPr>
          <w:p w14:paraId="7E417857" w14:textId="3E27F694" w:rsidR="00015492" w:rsidRPr="00255081" w:rsidRDefault="00015492" w:rsidP="004B170A">
            <w:pPr>
              <w:spacing w:after="120" w:line="240" w:lineRule="auto"/>
              <w:jc w:val="both"/>
              <w:rPr>
                <w:rFonts w:ascii="Montserrat" w:eastAsia="Times New Roman" w:hAnsi="Montserrat" w:cs="Calibri"/>
                <w:color w:val="000000"/>
                <w:sz w:val="15"/>
                <w:szCs w:val="15"/>
                <w:lang w:eastAsia="es-MX"/>
              </w:rPr>
            </w:pPr>
            <w:r w:rsidRPr="00255081">
              <w:rPr>
                <w:rFonts w:ascii="Montserrat" w:eastAsia="Times New Roman" w:hAnsi="Montserrat" w:cs="Calibri"/>
                <w:sz w:val="15"/>
                <w:szCs w:val="15"/>
                <w:lang w:eastAsia="es-MX"/>
              </w:rPr>
              <w:t>Fideicomiso de los Sistemas Normalizados de Competencia Laboral y de Certificación  de Competencia Laboral</w:t>
            </w:r>
          </w:p>
        </w:tc>
        <w:tc>
          <w:tcPr>
            <w:tcW w:w="2463" w:type="dxa"/>
            <w:shd w:val="clear" w:color="000000" w:fill="F2F2F2"/>
            <w:noWrap/>
            <w:vAlign w:val="center"/>
          </w:tcPr>
          <w:p w14:paraId="30B29020" w14:textId="1E2B54C0" w:rsidR="00015492" w:rsidRPr="00255081" w:rsidRDefault="00015492" w:rsidP="000A1B05">
            <w:pPr>
              <w:spacing w:after="120" w:line="240" w:lineRule="auto"/>
              <w:jc w:val="right"/>
              <w:rPr>
                <w:rFonts w:ascii="Montserrat" w:eastAsia="Times New Roman" w:hAnsi="Montserrat" w:cs="Calibri"/>
                <w:color w:val="000000"/>
                <w:sz w:val="15"/>
                <w:szCs w:val="15"/>
                <w:lang w:eastAsia="es-MX"/>
              </w:rPr>
            </w:pPr>
            <w:r w:rsidRPr="00255081">
              <w:rPr>
                <w:rFonts w:ascii="Montserrat" w:eastAsia="Times New Roman" w:hAnsi="Montserrat" w:cs="Calibri"/>
                <w:sz w:val="15"/>
                <w:szCs w:val="15"/>
                <w:lang w:eastAsia="es-MX"/>
              </w:rPr>
              <w:t>113,019,598</w:t>
            </w:r>
          </w:p>
        </w:tc>
        <w:tc>
          <w:tcPr>
            <w:tcW w:w="1192" w:type="dxa"/>
            <w:shd w:val="clear" w:color="000000" w:fill="F2F2F2"/>
            <w:noWrap/>
            <w:vAlign w:val="center"/>
          </w:tcPr>
          <w:p w14:paraId="4D4FF277" w14:textId="7F5EFA13" w:rsidR="00015492" w:rsidRPr="00255081" w:rsidRDefault="00015492" w:rsidP="000A1B05">
            <w:pPr>
              <w:spacing w:after="120" w:line="240" w:lineRule="auto"/>
              <w:jc w:val="right"/>
              <w:rPr>
                <w:rFonts w:ascii="Montserrat" w:eastAsia="Times New Roman" w:hAnsi="Montserrat" w:cs="Calibri"/>
                <w:color w:val="000000"/>
                <w:sz w:val="15"/>
                <w:szCs w:val="15"/>
                <w:lang w:eastAsia="es-MX"/>
              </w:rPr>
            </w:pPr>
            <w:r w:rsidRPr="00255081">
              <w:rPr>
                <w:rFonts w:ascii="Montserrat" w:eastAsia="Times New Roman" w:hAnsi="Montserrat" w:cs="Calibri"/>
                <w:sz w:val="15"/>
                <w:szCs w:val="15"/>
                <w:lang w:eastAsia="es-MX"/>
              </w:rPr>
              <w:t>100%</w:t>
            </w:r>
          </w:p>
        </w:tc>
        <w:tc>
          <w:tcPr>
            <w:tcW w:w="2558" w:type="dxa"/>
            <w:gridSpan w:val="2"/>
            <w:shd w:val="clear" w:color="000000" w:fill="F2F2F2"/>
            <w:noWrap/>
            <w:vAlign w:val="center"/>
          </w:tcPr>
          <w:p w14:paraId="0F15AD14" w14:textId="79ACB12C" w:rsidR="00015492" w:rsidRPr="00255081" w:rsidRDefault="00015492" w:rsidP="000A1B05">
            <w:pPr>
              <w:spacing w:after="120" w:line="240" w:lineRule="auto"/>
              <w:jc w:val="right"/>
              <w:rPr>
                <w:rFonts w:ascii="Montserrat" w:eastAsia="Times New Roman" w:hAnsi="Montserrat" w:cs="Calibri"/>
                <w:color w:val="000000"/>
                <w:sz w:val="15"/>
                <w:szCs w:val="15"/>
                <w:lang w:eastAsia="es-MX"/>
              </w:rPr>
            </w:pPr>
            <w:r w:rsidRPr="00255081">
              <w:rPr>
                <w:rFonts w:ascii="Montserrat" w:eastAsia="Times New Roman" w:hAnsi="Montserrat" w:cs="Calibri"/>
                <w:sz w:val="15"/>
                <w:szCs w:val="15"/>
                <w:lang w:eastAsia="es-MX"/>
              </w:rPr>
              <w:t>113,019,598</w:t>
            </w:r>
          </w:p>
        </w:tc>
      </w:tr>
      <w:tr w:rsidR="00015492" w:rsidRPr="00995308" w14:paraId="7885853E" w14:textId="77777777" w:rsidTr="000F03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jc w:val="center"/>
        </w:trPr>
        <w:tc>
          <w:tcPr>
            <w:tcW w:w="5583" w:type="dxa"/>
            <w:shd w:val="clear" w:color="000000" w:fill="F2F2F2"/>
            <w:vAlign w:val="center"/>
          </w:tcPr>
          <w:p w14:paraId="739CEF16" w14:textId="7115D201" w:rsidR="00015492" w:rsidRPr="00255081" w:rsidRDefault="00015492" w:rsidP="004B170A">
            <w:pPr>
              <w:spacing w:after="120" w:line="240" w:lineRule="auto"/>
              <w:jc w:val="both"/>
              <w:rPr>
                <w:rFonts w:ascii="Montserrat" w:eastAsia="Times New Roman" w:hAnsi="Montserrat" w:cs="Calibri"/>
                <w:color w:val="000000"/>
                <w:sz w:val="15"/>
                <w:szCs w:val="15"/>
                <w:lang w:eastAsia="es-MX"/>
              </w:rPr>
            </w:pPr>
            <w:r w:rsidRPr="00255081">
              <w:rPr>
                <w:rFonts w:ascii="Montserrat" w:eastAsia="Times New Roman" w:hAnsi="Montserrat" w:cs="Calibri"/>
                <w:sz w:val="15"/>
                <w:szCs w:val="15"/>
                <w:lang w:eastAsia="es-MX"/>
              </w:rPr>
              <w:t>Fondo de Cultura Económica</w:t>
            </w:r>
          </w:p>
        </w:tc>
        <w:tc>
          <w:tcPr>
            <w:tcW w:w="2463" w:type="dxa"/>
            <w:shd w:val="clear" w:color="000000" w:fill="F2F2F2"/>
            <w:noWrap/>
            <w:vAlign w:val="center"/>
          </w:tcPr>
          <w:p w14:paraId="668D23EA" w14:textId="6D26554A" w:rsidR="00015492" w:rsidRPr="00255081" w:rsidRDefault="00015492" w:rsidP="000A1B05">
            <w:pPr>
              <w:spacing w:after="120" w:line="240" w:lineRule="auto"/>
              <w:jc w:val="right"/>
              <w:rPr>
                <w:rFonts w:ascii="Montserrat" w:eastAsia="Times New Roman" w:hAnsi="Montserrat" w:cs="Calibri"/>
                <w:color w:val="000000"/>
                <w:sz w:val="15"/>
                <w:szCs w:val="15"/>
                <w:lang w:eastAsia="es-MX"/>
              </w:rPr>
            </w:pPr>
            <w:r w:rsidRPr="00255081">
              <w:rPr>
                <w:rFonts w:ascii="Montserrat" w:eastAsia="Times New Roman" w:hAnsi="Montserrat" w:cs="Calibri"/>
                <w:sz w:val="15"/>
                <w:szCs w:val="15"/>
                <w:lang w:eastAsia="es-MX"/>
              </w:rPr>
              <w:t>1,834,610,127</w:t>
            </w:r>
          </w:p>
        </w:tc>
        <w:tc>
          <w:tcPr>
            <w:tcW w:w="1192" w:type="dxa"/>
            <w:shd w:val="clear" w:color="000000" w:fill="F2F2F2"/>
            <w:noWrap/>
            <w:vAlign w:val="center"/>
          </w:tcPr>
          <w:p w14:paraId="4FA7AAD6" w14:textId="72A2EB7F" w:rsidR="00015492" w:rsidRPr="00255081" w:rsidRDefault="00015492" w:rsidP="000A1B05">
            <w:pPr>
              <w:spacing w:after="120" w:line="240" w:lineRule="auto"/>
              <w:jc w:val="right"/>
              <w:rPr>
                <w:rFonts w:ascii="Montserrat" w:eastAsia="Times New Roman" w:hAnsi="Montserrat" w:cs="Calibri"/>
                <w:color w:val="000000"/>
                <w:sz w:val="15"/>
                <w:szCs w:val="15"/>
                <w:lang w:eastAsia="es-MX"/>
              </w:rPr>
            </w:pPr>
            <w:r w:rsidRPr="00255081">
              <w:rPr>
                <w:rFonts w:ascii="Montserrat" w:eastAsia="Times New Roman" w:hAnsi="Montserrat" w:cs="Calibri"/>
                <w:sz w:val="15"/>
                <w:szCs w:val="15"/>
                <w:lang w:eastAsia="es-MX"/>
              </w:rPr>
              <w:t>100%</w:t>
            </w:r>
          </w:p>
        </w:tc>
        <w:tc>
          <w:tcPr>
            <w:tcW w:w="2558" w:type="dxa"/>
            <w:gridSpan w:val="2"/>
            <w:shd w:val="clear" w:color="000000" w:fill="F2F2F2"/>
            <w:noWrap/>
            <w:vAlign w:val="center"/>
          </w:tcPr>
          <w:p w14:paraId="6E51C3FB" w14:textId="6F314B77" w:rsidR="00015492" w:rsidRPr="00255081" w:rsidRDefault="00015492" w:rsidP="000A1B05">
            <w:pPr>
              <w:spacing w:after="120" w:line="240" w:lineRule="auto"/>
              <w:jc w:val="right"/>
              <w:rPr>
                <w:rFonts w:ascii="Montserrat" w:eastAsia="Times New Roman" w:hAnsi="Montserrat" w:cs="Calibri"/>
                <w:color w:val="000000"/>
                <w:sz w:val="15"/>
                <w:szCs w:val="15"/>
                <w:lang w:eastAsia="es-MX"/>
              </w:rPr>
            </w:pPr>
            <w:r w:rsidRPr="00255081">
              <w:rPr>
                <w:rFonts w:ascii="Montserrat" w:eastAsia="Times New Roman" w:hAnsi="Montserrat" w:cs="Calibri"/>
                <w:sz w:val="15"/>
                <w:szCs w:val="15"/>
                <w:lang w:eastAsia="es-MX"/>
              </w:rPr>
              <w:t>1,834,610,127</w:t>
            </w:r>
          </w:p>
        </w:tc>
      </w:tr>
      <w:tr w:rsidR="00015492" w:rsidRPr="00995308" w14:paraId="0D40CCD7" w14:textId="77777777" w:rsidTr="000F03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jc w:val="center"/>
        </w:trPr>
        <w:tc>
          <w:tcPr>
            <w:tcW w:w="5583" w:type="dxa"/>
            <w:shd w:val="clear" w:color="000000" w:fill="F2F2F2"/>
            <w:vAlign w:val="center"/>
          </w:tcPr>
          <w:p w14:paraId="35559402" w14:textId="5128F676" w:rsidR="00015492" w:rsidRPr="00255081" w:rsidRDefault="00015492" w:rsidP="004B170A">
            <w:pPr>
              <w:spacing w:after="120" w:line="240" w:lineRule="auto"/>
              <w:jc w:val="both"/>
              <w:rPr>
                <w:rFonts w:ascii="Montserrat" w:eastAsia="Times New Roman" w:hAnsi="Montserrat" w:cs="Calibri"/>
                <w:color w:val="000000"/>
                <w:sz w:val="15"/>
                <w:szCs w:val="15"/>
                <w:lang w:eastAsia="es-MX"/>
              </w:rPr>
            </w:pPr>
            <w:r w:rsidRPr="00255081">
              <w:rPr>
                <w:rFonts w:ascii="Montserrat" w:eastAsia="Times New Roman" w:hAnsi="Montserrat" w:cs="Calibri"/>
                <w:sz w:val="15"/>
                <w:szCs w:val="15"/>
                <w:lang w:eastAsia="es-MX"/>
              </w:rPr>
              <w:t>Impresora y Encuadernadora Progreso, S.A. de C.V.</w:t>
            </w:r>
          </w:p>
        </w:tc>
        <w:tc>
          <w:tcPr>
            <w:tcW w:w="2463" w:type="dxa"/>
            <w:shd w:val="clear" w:color="000000" w:fill="F2F2F2"/>
            <w:noWrap/>
            <w:vAlign w:val="center"/>
          </w:tcPr>
          <w:p w14:paraId="2F1BED90" w14:textId="2B83EBCE" w:rsidR="00015492" w:rsidRPr="00255081" w:rsidRDefault="00015492" w:rsidP="000A1B05">
            <w:pPr>
              <w:spacing w:after="120" w:line="240" w:lineRule="auto"/>
              <w:jc w:val="right"/>
              <w:rPr>
                <w:rFonts w:ascii="Montserrat" w:eastAsia="Times New Roman" w:hAnsi="Montserrat" w:cs="Calibri"/>
                <w:color w:val="000000"/>
                <w:sz w:val="15"/>
                <w:szCs w:val="15"/>
                <w:lang w:eastAsia="es-MX"/>
              </w:rPr>
            </w:pPr>
            <w:r w:rsidRPr="00255081">
              <w:rPr>
                <w:rFonts w:ascii="Montserrat" w:eastAsia="Times New Roman" w:hAnsi="Montserrat" w:cs="Calibri"/>
                <w:sz w:val="15"/>
                <w:szCs w:val="15"/>
                <w:lang w:eastAsia="es-MX"/>
              </w:rPr>
              <w:t>421,978,908</w:t>
            </w:r>
          </w:p>
        </w:tc>
        <w:tc>
          <w:tcPr>
            <w:tcW w:w="1192" w:type="dxa"/>
            <w:shd w:val="clear" w:color="000000" w:fill="F2F2F2"/>
            <w:noWrap/>
            <w:vAlign w:val="center"/>
          </w:tcPr>
          <w:p w14:paraId="5D75892C" w14:textId="7EF9F6A1" w:rsidR="00015492" w:rsidRPr="00255081" w:rsidRDefault="00015492" w:rsidP="000A1B05">
            <w:pPr>
              <w:spacing w:after="120" w:line="240" w:lineRule="auto"/>
              <w:jc w:val="right"/>
              <w:rPr>
                <w:rFonts w:ascii="Montserrat" w:eastAsia="Times New Roman" w:hAnsi="Montserrat" w:cs="Calibri"/>
                <w:color w:val="000000"/>
                <w:sz w:val="15"/>
                <w:szCs w:val="15"/>
                <w:lang w:eastAsia="es-MX"/>
              </w:rPr>
            </w:pPr>
            <w:r w:rsidRPr="00255081">
              <w:rPr>
                <w:rFonts w:ascii="Montserrat" w:eastAsia="Times New Roman" w:hAnsi="Montserrat" w:cs="Calibri"/>
                <w:sz w:val="15"/>
                <w:szCs w:val="15"/>
                <w:lang w:eastAsia="es-MX"/>
              </w:rPr>
              <w:t>100%</w:t>
            </w:r>
          </w:p>
        </w:tc>
        <w:tc>
          <w:tcPr>
            <w:tcW w:w="2558" w:type="dxa"/>
            <w:gridSpan w:val="2"/>
            <w:shd w:val="clear" w:color="000000" w:fill="F2F2F2"/>
            <w:noWrap/>
            <w:vAlign w:val="center"/>
          </w:tcPr>
          <w:p w14:paraId="011C515A" w14:textId="5677728D" w:rsidR="00015492" w:rsidRPr="00255081" w:rsidRDefault="00015492" w:rsidP="000A1B05">
            <w:pPr>
              <w:spacing w:after="120" w:line="240" w:lineRule="auto"/>
              <w:jc w:val="right"/>
              <w:rPr>
                <w:rFonts w:ascii="Montserrat" w:eastAsia="Times New Roman" w:hAnsi="Montserrat" w:cs="Calibri"/>
                <w:color w:val="000000"/>
                <w:sz w:val="15"/>
                <w:szCs w:val="15"/>
                <w:lang w:eastAsia="es-MX"/>
              </w:rPr>
            </w:pPr>
            <w:r w:rsidRPr="00255081">
              <w:rPr>
                <w:rFonts w:ascii="Montserrat" w:eastAsia="Times New Roman" w:hAnsi="Montserrat" w:cs="Calibri"/>
                <w:sz w:val="15"/>
                <w:szCs w:val="15"/>
                <w:lang w:eastAsia="es-MX"/>
              </w:rPr>
              <w:t>421,978,908</w:t>
            </w:r>
          </w:p>
        </w:tc>
      </w:tr>
      <w:tr w:rsidR="00015492" w:rsidRPr="00995308" w14:paraId="00FA0852" w14:textId="77777777" w:rsidTr="000F03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jc w:val="center"/>
        </w:trPr>
        <w:tc>
          <w:tcPr>
            <w:tcW w:w="5583" w:type="dxa"/>
            <w:shd w:val="clear" w:color="000000" w:fill="F2F2F2"/>
            <w:vAlign w:val="center"/>
          </w:tcPr>
          <w:p w14:paraId="09FF18F8" w14:textId="3F727300" w:rsidR="00015492" w:rsidRPr="00255081" w:rsidRDefault="00015492" w:rsidP="004B170A">
            <w:pPr>
              <w:spacing w:after="120" w:line="240" w:lineRule="auto"/>
              <w:jc w:val="both"/>
              <w:rPr>
                <w:rFonts w:ascii="Montserrat" w:eastAsia="Times New Roman" w:hAnsi="Montserrat" w:cs="Calibri"/>
                <w:color w:val="000000"/>
                <w:sz w:val="15"/>
                <w:szCs w:val="15"/>
                <w:lang w:eastAsia="es-MX"/>
              </w:rPr>
            </w:pPr>
            <w:r w:rsidRPr="00255081">
              <w:rPr>
                <w:rFonts w:ascii="Montserrat" w:eastAsia="Times New Roman" w:hAnsi="Montserrat" w:cs="Calibri"/>
                <w:sz w:val="15"/>
                <w:szCs w:val="15"/>
                <w:lang w:eastAsia="es-MX"/>
              </w:rPr>
              <w:t>Instituto Nacional para la Educación de los Adultos</w:t>
            </w:r>
          </w:p>
        </w:tc>
        <w:tc>
          <w:tcPr>
            <w:tcW w:w="2463" w:type="dxa"/>
            <w:shd w:val="clear" w:color="000000" w:fill="F2F2F2"/>
            <w:noWrap/>
            <w:vAlign w:val="center"/>
          </w:tcPr>
          <w:p w14:paraId="1A6D92CD" w14:textId="24B2906F" w:rsidR="00015492" w:rsidRPr="00255081" w:rsidRDefault="00015492" w:rsidP="000A1B05">
            <w:pPr>
              <w:spacing w:after="120" w:line="240" w:lineRule="auto"/>
              <w:jc w:val="right"/>
              <w:rPr>
                <w:rFonts w:ascii="Montserrat" w:eastAsia="Times New Roman" w:hAnsi="Montserrat" w:cs="Calibri"/>
                <w:color w:val="000000"/>
                <w:sz w:val="15"/>
                <w:szCs w:val="15"/>
                <w:lang w:eastAsia="es-MX"/>
              </w:rPr>
            </w:pPr>
            <w:r w:rsidRPr="00255081">
              <w:rPr>
                <w:rFonts w:ascii="Montserrat" w:eastAsia="Times New Roman" w:hAnsi="Montserrat" w:cs="Calibri"/>
                <w:sz w:val="15"/>
                <w:szCs w:val="15"/>
                <w:lang w:eastAsia="es-MX"/>
              </w:rPr>
              <w:t>367,409,204</w:t>
            </w:r>
          </w:p>
        </w:tc>
        <w:tc>
          <w:tcPr>
            <w:tcW w:w="1192" w:type="dxa"/>
            <w:shd w:val="clear" w:color="000000" w:fill="F2F2F2"/>
            <w:noWrap/>
            <w:vAlign w:val="center"/>
          </w:tcPr>
          <w:p w14:paraId="78A5787E" w14:textId="715BA619" w:rsidR="00015492" w:rsidRPr="00255081" w:rsidRDefault="00015492" w:rsidP="000A1B05">
            <w:pPr>
              <w:spacing w:after="120" w:line="240" w:lineRule="auto"/>
              <w:jc w:val="right"/>
              <w:rPr>
                <w:rFonts w:ascii="Montserrat" w:eastAsia="Times New Roman" w:hAnsi="Montserrat" w:cs="Calibri"/>
                <w:color w:val="000000"/>
                <w:sz w:val="15"/>
                <w:szCs w:val="15"/>
                <w:lang w:eastAsia="es-MX"/>
              </w:rPr>
            </w:pPr>
            <w:r w:rsidRPr="00255081">
              <w:rPr>
                <w:rFonts w:ascii="Montserrat" w:eastAsia="Times New Roman" w:hAnsi="Montserrat" w:cs="Calibri"/>
                <w:sz w:val="15"/>
                <w:szCs w:val="15"/>
                <w:lang w:eastAsia="es-MX"/>
              </w:rPr>
              <w:t>100%</w:t>
            </w:r>
          </w:p>
        </w:tc>
        <w:tc>
          <w:tcPr>
            <w:tcW w:w="2558" w:type="dxa"/>
            <w:gridSpan w:val="2"/>
            <w:shd w:val="clear" w:color="000000" w:fill="F2F2F2"/>
            <w:noWrap/>
            <w:vAlign w:val="center"/>
          </w:tcPr>
          <w:p w14:paraId="7F0C788C" w14:textId="63FFFAA0" w:rsidR="00015492" w:rsidRPr="00255081" w:rsidRDefault="00015492" w:rsidP="000A1B05">
            <w:pPr>
              <w:spacing w:after="120" w:line="240" w:lineRule="auto"/>
              <w:jc w:val="right"/>
              <w:rPr>
                <w:rFonts w:ascii="Montserrat" w:eastAsia="Times New Roman" w:hAnsi="Montserrat" w:cs="Calibri"/>
                <w:color w:val="000000"/>
                <w:sz w:val="15"/>
                <w:szCs w:val="15"/>
                <w:lang w:eastAsia="es-MX"/>
              </w:rPr>
            </w:pPr>
            <w:r w:rsidRPr="00255081">
              <w:rPr>
                <w:rFonts w:ascii="Montserrat" w:eastAsia="Times New Roman" w:hAnsi="Montserrat" w:cs="Calibri"/>
                <w:sz w:val="15"/>
                <w:szCs w:val="15"/>
                <w:lang w:eastAsia="es-MX"/>
              </w:rPr>
              <w:t>367,409,204</w:t>
            </w:r>
          </w:p>
        </w:tc>
      </w:tr>
      <w:tr w:rsidR="00015492" w:rsidRPr="00995308" w14:paraId="274D68B8" w14:textId="77777777" w:rsidTr="000F03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jc w:val="center"/>
        </w:trPr>
        <w:tc>
          <w:tcPr>
            <w:tcW w:w="5583" w:type="dxa"/>
            <w:shd w:val="clear" w:color="000000" w:fill="F2F2F2"/>
            <w:vAlign w:val="center"/>
          </w:tcPr>
          <w:p w14:paraId="131DD981" w14:textId="6E3EBB8A" w:rsidR="00015492" w:rsidRPr="00255081" w:rsidRDefault="00015492" w:rsidP="004B170A">
            <w:pPr>
              <w:spacing w:after="120" w:line="240" w:lineRule="auto"/>
              <w:jc w:val="both"/>
              <w:rPr>
                <w:rFonts w:ascii="Montserrat" w:eastAsia="Times New Roman" w:hAnsi="Montserrat" w:cs="Calibri"/>
                <w:color w:val="000000"/>
                <w:sz w:val="15"/>
                <w:szCs w:val="15"/>
                <w:lang w:eastAsia="es-MX"/>
              </w:rPr>
            </w:pPr>
            <w:r w:rsidRPr="00255081">
              <w:rPr>
                <w:rFonts w:ascii="Montserrat" w:eastAsia="Times New Roman" w:hAnsi="Montserrat" w:cs="Calibri"/>
                <w:sz w:val="15"/>
                <w:szCs w:val="15"/>
                <w:lang w:eastAsia="es-MX"/>
              </w:rPr>
              <w:t>Instituto Nacional de la Infraestructura Física Educativa</w:t>
            </w:r>
          </w:p>
        </w:tc>
        <w:tc>
          <w:tcPr>
            <w:tcW w:w="2463" w:type="dxa"/>
            <w:shd w:val="clear" w:color="000000" w:fill="F2F2F2"/>
            <w:noWrap/>
            <w:vAlign w:val="center"/>
          </w:tcPr>
          <w:p w14:paraId="7B2DE7AD" w14:textId="77ADA127" w:rsidR="00015492" w:rsidRPr="00255081" w:rsidRDefault="00015492" w:rsidP="000A1B05">
            <w:pPr>
              <w:spacing w:after="120" w:line="240" w:lineRule="auto"/>
              <w:jc w:val="right"/>
              <w:rPr>
                <w:rFonts w:ascii="Montserrat" w:eastAsia="Times New Roman" w:hAnsi="Montserrat" w:cs="Calibri"/>
                <w:color w:val="000000"/>
                <w:sz w:val="15"/>
                <w:szCs w:val="15"/>
                <w:lang w:eastAsia="es-MX"/>
              </w:rPr>
            </w:pPr>
            <w:r w:rsidRPr="00255081">
              <w:rPr>
                <w:rFonts w:ascii="Montserrat" w:eastAsia="Times New Roman" w:hAnsi="Montserrat" w:cs="Calibri"/>
                <w:sz w:val="15"/>
                <w:szCs w:val="15"/>
                <w:lang w:eastAsia="es-MX"/>
              </w:rPr>
              <w:t>2,241,066,551</w:t>
            </w:r>
          </w:p>
        </w:tc>
        <w:tc>
          <w:tcPr>
            <w:tcW w:w="1192" w:type="dxa"/>
            <w:shd w:val="clear" w:color="000000" w:fill="F2F2F2"/>
            <w:noWrap/>
            <w:vAlign w:val="center"/>
          </w:tcPr>
          <w:p w14:paraId="2B1DDDEF" w14:textId="5B0C5778" w:rsidR="00015492" w:rsidRPr="00255081" w:rsidRDefault="00015492" w:rsidP="000A1B05">
            <w:pPr>
              <w:spacing w:after="120" w:line="240" w:lineRule="auto"/>
              <w:jc w:val="right"/>
              <w:rPr>
                <w:rFonts w:ascii="Montserrat" w:eastAsia="Times New Roman" w:hAnsi="Montserrat" w:cs="Calibri"/>
                <w:color w:val="000000"/>
                <w:sz w:val="15"/>
                <w:szCs w:val="15"/>
                <w:lang w:eastAsia="es-MX"/>
              </w:rPr>
            </w:pPr>
            <w:r w:rsidRPr="00255081">
              <w:rPr>
                <w:rFonts w:ascii="Montserrat" w:eastAsia="Times New Roman" w:hAnsi="Montserrat" w:cs="Calibri"/>
                <w:sz w:val="15"/>
                <w:szCs w:val="15"/>
                <w:lang w:eastAsia="es-MX"/>
              </w:rPr>
              <w:t>100%</w:t>
            </w:r>
          </w:p>
        </w:tc>
        <w:tc>
          <w:tcPr>
            <w:tcW w:w="2558" w:type="dxa"/>
            <w:gridSpan w:val="2"/>
            <w:shd w:val="clear" w:color="000000" w:fill="F2F2F2"/>
            <w:noWrap/>
            <w:vAlign w:val="center"/>
          </w:tcPr>
          <w:p w14:paraId="33D7E248" w14:textId="03846BA4" w:rsidR="00015492" w:rsidRPr="00255081" w:rsidRDefault="00015492" w:rsidP="000A1B05">
            <w:pPr>
              <w:spacing w:after="120" w:line="240" w:lineRule="auto"/>
              <w:jc w:val="right"/>
              <w:rPr>
                <w:rFonts w:ascii="Montserrat" w:eastAsia="Times New Roman" w:hAnsi="Montserrat" w:cs="Calibri"/>
                <w:color w:val="000000"/>
                <w:sz w:val="15"/>
                <w:szCs w:val="15"/>
                <w:lang w:eastAsia="es-MX"/>
              </w:rPr>
            </w:pPr>
            <w:r w:rsidRPr="00255081">
              <w:rPr>
                <w:rFonts w:ascii="Montserrat" w:eastAsia="Times New Roman" w:hAnsi="Montserrat" w:cs="Calibri"/>
                <w:sz w:val="15"/>
                <w:szCs w:val="15"/>
                <w:lang w:eastAsia="es-MX"/>
              </w:rPr>
              <w:t>2,241,066,551</w:t>
            </w:r>
          </w:p>
        </w:tc>
      </w:tr>
      <w:tr w:rsidR="00015492" w:rsidRPr="00995308" w14:paraId="3EC27426" w14:textId="77777777" w:rsidTr="000F03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jc w:val="center"/>
        </w:trPr>
        <w:tc>
          <w:tcPr>
            <w:tcW w:w="5583" w:type="dxa"/>
            <w:shd w:val="clear" w:color="000000" w:fill="F2F2F2"/>
            <w:vAlign w:val="center"/>
          </w:tcPr>
          <w:p w14:paraId="5FB71EF4" w14:textId="0A222C47" w:rsidR="00015492" w:rsidRPr="00255081" w:rsidRDefault="00015492" w:rsidP="004B170A">
            <w:pPr>
              <w:spacing w:after="120" w:line="240" w:lineRule="auto"/>
              <w:jc w:val="both"/>
              <w:rPr>
                <w:rFonts w:ascii="Montserrat" w:eastAsia="Times New Roman" w:hAnsi="Montserrat" w:cs="Calibri"/>
                <w:color w:val="000000"/>
                <w:sz w:val="15"/>
                <w:szCs w:val="15"/>
                <w:lang w:eastAsia="es-MX"/>
              </w:rPr>
            </w:pPr>
            <w:r w:rsidRPr="00255081">
              <w:rPr>
                <w:rFonts w:ascii="Montserrat" w:eastAsia="Times New Roman" w:hAnsi="Montserrat" w:cs="Calibri"/>
                <w:sz w:val="15"/>
                <w:szCs w:val="15"/>
                <w:lang w:eastAsia="es-MX"/>
              </w:rPr>
              <w:t>Instituto Mexicano de la Radio</w:t>
            </w:r>
          </w:p>
        </w:tc>
        <w:tc>
          <w:tcPr>
            <w:tcW w:w="2463" w:type="dxa"/>
            <w:shd w:val="clear" w:color="000000" w:fill="F2F2F2"/>
            <w:noWrap/>
            <w:vAlign w:val="center"/>
          </w:tcPr>
          <w:p w14:paraId="0F2B54C1" w14:textId="5C094E06" w:rsidR="00015492" w:rsidRPr="00255081" w:rsidRDefault="00015492" w:rsidP="000A1B05">
            <w:pPr>
              <w:spacing w:after="120" w:line="240" w:lineRule="auto"/>
              <w:jc w:val="right"/>
              <w:rPr>
                <w:rFonts w:ascii="Montserrat" w:eastAsia="Times New Roman" w:hAnsi="Montserrat" w:cs="Calibri"/>
                <w:color w:val="000000"/>
                <w:sz w:val="15"/>
                <w:szCs w:val="15"/>
                <w:lang w:eastAsia="es-MX"/>
              </w:rPr>
            </w:pPr>
            <w:r w:rsidRPr="00255081">
              <w:rPr>
                <w:rFonts w:ascii="Montserrat" w:eastAsia="Times New Roman" w:hAnsi="Montserrat" w:cs="Calibri"/>
                <w:sz w:val="15"/>
                <w:szCs w:val="15"/>
                <w:lang w:eastAsia="es-MX"/>
              </w:rPr>
              <w:t>206,874,564</w:t>
            </w:r>
          </w:p>
        </w:tc>
        <w:tc>
          <w:tcPr>
            <w:tcW w:w="1192" w:type="dxa"/>
            <w:shd w:val="clear" w:color="000000" w:fill="F2F2F2"/>
            <w:noWrap/>
            <w:vAlign w:val="center"/>
          </w:tcPr>
          <w:p w14:paraId="0C5F28FD" w14:textId="6C0318CA" w:rsidR="00015492" w:rsidRPr="00255081" w:rsidRDefault="00015492" w:rsidP="000A1B05">
            <w:pPr>
              <w:spacing w:after="120" w:line="240" w:lineRule="auto"/>
              <w:jc w:val="right"/>
              <w:rPr>
                <w:rFonts w:ascii="Montserrat" w:eastAsia="Times New Roman" w:hAnsi="Montserrat" w:cs="Calibri"/>
                <w:color w:val="000000"/>
                <w:sz w:val="15"/>
                <w:szCs w:val="15"/>
                <w:lang w:eastAsia="es-MX"/>
              </w:rPr>
            </w:pPr>
            <w:r w:rsidRPr="00255081">
              <w:rPr>
                <w:rFonts w:ascii="Montserrat" w:eastAsia="Times New Roman" w:hAnsi="Montserrat" w:cs="Calibri"/>
                <w:sz w:val="15"/>
                <w:szCs w:val="15"/>
                <w:lang w:eastAsia="es-MX"/>
              </w:rPr>
              <w:t>100%</w:t>
            </w:r>
          </w:p>
        </w:tc>
        <w:tc>
          <w:tcPr>
            <w:tcW w:w="2558" w:type="dxa"/>
            <w:gridSpan w:val="2"/>
            <w:shd w:val="clear" w:color="000000" w:fill="F2F2F2"/>
            <w:noWrap/>
            <w:vAlign w:val="center"/>
          </w:tcPr>
          <w:p w14:paraId="39B42037" w14:textId="4DDAEAB4" w:rsidR="00015492" w:rsidRPr="00255081" w:rsidRDefault="00015492" w:rsidP="000A1B05">
            <w:pPr>
              <w:spacing w:after="120" w:line="240" w:lineRule="auto"/>
              <w:jc w:val="right"/>
              <w:rPr>
                <w:rFonts w:ascii="Montserrat" w:eastAsia="Times New Roman" w:hAnsi="Montserrat" w:cs="Calibri"/>
                <w:color w:val="000000"/>
                <w:sz w:val="15"/>
                <w:szCs w:val="15"/>
                <w:lang w:eastAsia="es-MX"/>
              </w:rPr>
            </w:pPr>
            <w:r w:rsidRPr="00255081">
              <w:rPr>
                <w:rFonts w:ascii="Montserrat" w:eastAsia="Times New Roman" w:hAnsi="Montserrat" w:cs="Calibri"/>
                <w:sz w:val="15"/>
                <w:szCs w:val="15"/>
                <w:lang w:eastAsia="es-MX"/>
              </w:rPr>
              <w:t>206,874,564</w:t>
            </w:r>
          </w:p>
        </w:tc>
      </w:tr>
      <w:tr w:rsidR="00015492" w:rsidRPr="00995308" w14:paraId="2342DFA3" w14:textId="77777777" w:rsidTr="000F03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jc w:val="center"/>
        </w:trPr>
        <w:tc>
          <w:tcPr>
            <w:tcW w:w="5583" w:type="dxa"/>
            <w:shd w:val="clear" w:color="000000" w:fill="F2F2F2"/>
            <w:vAlign w:val="center"/>
          </w:tcPr>
          <w:p w14:paraId="44EEB08B" w14:textId="626AD5D4" w:rsidR="00015492" w:rsidRPr="00255081" w:rsidRDefault="00015492" w:rsidP="004B170A">
            <w:pPr>
              <w:spacing w:after="120" w:line="240" w:lineRule="auto"/>
              <w:jc w:val="both"/>
              <w:rPr>
                <w:rFonts w:ascii="Montserrat" w:eastAsia="Times New Roman" w:hAnsi="Montserrat" w:cs="Calibri"/>
                <w:color w:val="000000"/>
                <w:sz w:val="15"/>
                <w:szCs w:val="15"/>
                <w:lang w:eastAsia="es-MX"/>
              </w:rPr>
            </w:pPr>
            <w:r w:rsidRPr="00255081">
              <w:rPr>
                <w:rFonts w:ascii="Montserrat" w:eastAsia="Times New Roman" w:hAnsi="Montserrat" w:cs="Calibri"/>
                <w:sz w:val="15"/>
                <w:szCs w:val="15"/>
                <w:lang w:eastAsia="es-MX"/>
              </w:rPr>
              <w:t>Organismo Coordinador de las Universidades para el Bienestar Benito Juárez García</w:t>
            </w:r>
          </w:p>
        </w:tc>
        <w:tc>
          <w:tcPr>
            <w:tcW w:w="2463" w:type="dxa"/>
            <w:shd w:val="clear" w:color="000000" w:fill="F2F2F2"/>
            <w:noWrap/>
            <w:vAlign w:val="center"/>
          </w:tcPr>
          <w:p w14:paraId="13F79D10" w14:textId="379A0912" w:rsidR="00015492" w:rsidRPr="00255081" w:rsidRDefault="00015492" w:rsidP="000A1B05">
            <w:pPr>
              <w:spacing w:after="120" w:line="240" w:lineRule="auto"/>
              <w:jc w:val="right"/>
              <w:rPr>
                <w:rFonts w:ascii="Montserrat" w:eastAsia="Times New Roman" w:hAnsi="Montserrat" w:cs="Calibri"/>
                <w:color w:val="000000"/>
                <w:sz w:val="15"/>
                <w:szCs w:val="15"/>
                <w:lang w:eastAsia="es-MX"/>
              </w:rPr>
            </w:pPr>
            <w:r w:rsidRPr="00255081">
              <w:rPr>
                <w:rFonts w:ascii="Montserrat" w:eastAsia="Times New Roman" w:hAnsi="Montserrat" w:cs="Calibri"/>
                <w:sz w:val="15"/>
                <w:szCs w:val="15"/>
                <w:lang w:eastAsia="es-MX"/>
              </w:rPr>
              <w:t>0</w:t>
            </w:r>
          </w:p>
        </w:tc>
        <w:tc>
          <w:tcPr>
            <w:tcW w:w="1192" w:type="dxa"/>
            <w:shd w:val="clear" w:color="000000" w:fill="F2F2F2"/>
            <w:noWrap/>
            <w:vAlign w:val="center"/>
          </w:tcPr>
          <w:p w14:paraId="1D513D1D" w14:textId="2B5AD653" w:rsidR="00015492" w:rsidRPr="00255081" w:rsidRDefault="00015492" w:rsidP="000A1B05">
            <w:pPr>
              <w:spacing w:after="120" w:line="240" w:lineRule="auto"/>
              <w:jc w:val="right"/>
              <w:rPr>
                <w:rFonts w:ascii="Montserrat" w:eastAsia="Times New Roman" w:hAnsi="Montserrat" w:cs="Calibri"/>
                <w:color w:val="000000"/>
                <w:sz w:val="15"/>
                <w:szCs w:val="15"/>
                <w:lang w:eastAsia="es-MX"/>
              </w:rPr>
            </w:pPr>
            <w:r w:rsidRPr="00255081">
              <w:rPr>
                <w:rFonts w:ascii="Montserrat" w:eastAsia="Times New Roman" w:hAnsi="Montserrat" w:cs="Calibri"/>
                <w:sz w:val="15"/>
                <w:szCs w:val="15"/>
                <w:lang w:eastAsia="es-MX"/>
              </w:rPr>
              <w:t>100%</w:t>
            </w:r>
          </w:p>
        </w:tc>
        <w:tc>
          <w:tcPr>
            <w:tcW w:w="2558" w:type="dxa"/>
            <w:gridSpan w:val="2"/>
            <w:shd w:val="clear" w:color="000000" w:fill="F2F2F2"/>
            <w:noWrap/>
            <w:vAlign w:val="center"/>
          </w:tcPr>
          <w:p w14:paraId="50A25441" w14:textId="56DCFF60" w:rsidR="00015492" w:rsidRPr="00255081" w:rsidRDefault="00015492" w:rsidP="000A1B05">
            <w:pPr>
              <w:spacing w:after="120" w:line="240" w:lineRule="auto"/>
              <w:jc w:val="right"/>
              <w:rPr>
                <w:rFonts w:ascii="Montserrat" w:eastAsia="Times New Roman" w:hAnsi="Montserrat" w:cs="Calibri"/>
                <w:color w:val="000000"/>
                <w:sz w:val="15"/>
                <w:szCs w:val="15"/>
                <w:lang w:eastAsia="es-MX"/>
              </w:rPr>
            </w:pPr>
            <w:r w:rsidRPr="00255081">
              <w:rPr>
                <w:rFonts w:ascii="Montserrat" w:eastAsia="Times New Roman" w:hAnsi="Montserrat" w:cs="Calibri"/>
                <w:sz w:val="15"/>
                <w:szCs w:val="15"/>
                <w:lang w:eastAsia="es-MX"/>
              </w:rPr>
              <w:t>0</w:t>
            </w:r>
          </w:p>
        </w:tc>
      </w:tr>
      <w:tr w:rsidR="00015492" w:rsidRPr="00995308" w14:paraId="7A38E4B5" w14:textId="77777777" w:rsidTr="000F03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jc w:val="center"/>
        </w:trPr>
        <w:tc>
          <w:tcPr>
            <w:tcW w:w="5583" w:type="dxa"/>
            <w:shd w:val="clear" w:color="000000" w:fill="F2F2F2"/>
            <w:vAlign w:val="center"/>
          </w:tcPr>
          <w:p w14:paraId="578A415C" w14:textId="1B26C7E1" w:rsidR="00015492" w:rsidRPr="00255081" w:rsidRDefault="00015492" w:rsidP="004B170A">
            <w:pPr>
              <w:spacing w:after="120" w:line="240" w:lineRule="auto"/>
              <w:jc w:val="both"/>
              <w:rPr>
                <w:rFonts w:ascii="Montserrat" w:eastAsia="Times New Roman" w:hAnsi="Montserrat" w:cs="Calibri"/>
                <w:color w:val="000000"/>
                <w:sz w:val="15"/>
                <w:szCs w:val="15"/>
                <w:lang w:eastAsia="es-MX"/>
              </w:rPr>
            </w:pPr>
            <w:r w:rsidRPr="00255081">
              <w:rPr>
                <w:rFonts w:ascii="Montserrat" w:eastAsia="Times New Roman" w:hAnsi="Montserrat" w:cs="Calibri"/>
                <w:sz w:val="15"/>
                <w:szCs w:val="15"/>
                <w:lang w:eastAsia="es-MX"/>
              </w:rPr>
              <w:t>Patronato de Obras e Instalaciones de Instituto Politécnico Nacional</w:t>
            </w:r>
          </w:p>
        </w:tc>
        <w:tc>
          <w:tcPr>
            <w:tcW w:w="2463" w:type="dxa"/>
            <w:shd w:val="clear" w:color="000000" w:fill="F2F2F2"/>
            <w:noWrap/>
            <w:vAlign w:val="center"/>
          </w:tcPr>
          <w:p w14:paraId="6DFA5BC2" w14:textId="39CECC65" w:rsidR="00015492" w:rsidRPr="00255081" w:rsidRDefault="00015492" w:rsidP="000A1B05">
            <w:pPr>
              <w:spacing w:after="120" w:line="240" w:lineRule="auto"/>
              <w:jc w:val="right"/>
              <w:rPr>
                <w:rFonts w:ascii="Montserrat" w:eastAsia="Times New Roman" w:hAnsi="Montserrat" w:cs="Calibri"/>
                <w:color w:val="000000"/>
                <w:sz w:val="15"/>
                <w:szCs w:val="15"/>
                <w:lang w:eastAsia="es-MX"/>
              </w:rPr>
            </w:pPr>
            <w:r w:rsidRPr="00255081">
              <w:rPr>
                <w:rFonts w:ascii="Montserrat" w:eastAsia="Times New Roman" w:hAnsi="Montserrat" w:cs="Calibri"/>
                <w:sz w:val="15"/>
                <w:szCs w:val="15"/>
                <w:lang w:eastAsia="es-MX"/>
              </w:rPr>
              <w:t>195,746,771</w:t>
            </w:r>
          </w:p>
        </w:tc>
        <w:tc>
          <w:tcPr>
            <w:tcW w:w="1192" w:type="dxa"/>
            <w:shd w:val="clear" w:color="000000" w:fill="F2F2F2"/>
            <w:noWrap/>
            <w:vAlign w:val="center"/>
          </w:tcPr>
          <w:p w14:paraId="389F0C8D" w14:textId="4D84075F" w:rsidR="00015492" w:rsidRPr="00255081" w:rsidRDefault="00015492" w:rsidP="000A1B05">
            <w:pPr>
              <w:spacing w:after="120" w:line="240" w:lineRule="auto"/>
              <w:jc w:val="right"/>
              <w:rPr>
                <w:rFonts w:ascii="Montserrat" w:eastAsia="Times New Roman" w:hAnsi="Montserrat" w:cs="Calibri"/>
                <w:color w:val="000000"/>
                <w:sz w:val="15"/>
                <w:szCs w:val="15"/>
                <w:lang w:eastAsia="es-MX"/>
              </w:rPr>
            </w:pPr>
            <w:r w:rsidRPr="00255081">
              <w:rPr>
                <w:rFonts w:ascii="Montserrat" w:eastAsia="Times New Roman" w:hAnsi="Montserrat" w:cs="Calibri"/>
                <w:sz w:val="15"/>
                <w:szCs w:val="15"/>
                <w:lang w:eastAsia="es-MX"/>
              </w:rPr>
              <w:t>100%</w:t>
            </w:r>
          </w:p>
        </w:tc>
        <w:tc>
          <w:tcPr>
            <w:tcW w:w="2558" w:type="dxa"/>
            <w:gridSpan w:val="2"/>
            <w:shd w:val="clear" w:color="000000" w:fill="F2F2F2"/>
            <w:noWrap/>
            <w:vAlign w:val="center"/>
          </w:tcPr>
          <w:p w14:paraId="48B1466D" w14:textId="5D1BA8B1" w:rsidR="00015492" w:rsidRPr="00255081" w:rsidRDefault="00015492" w:rsidP="000A1B05">
            <w:pPr>
              <w:spacing w:after="120" w:line="240" w:lineRule="auto"/>
              <w:jc w:val="right"/>
              <w:rPr>
                <w:rFonts w:ascii="Montserrat" w:eastAsia="Times New Roman" w:hAnsi="Montserrat" w:cs="Calibri"/>
                <w:color w:val="000000"/>
                <w:sz w:val="15"/>
                <w:szCs w:val="15"/>
                <w:lang w:eastAsia="es-MX"/>
              </w:rPr>
            </w:pPr>
            <w:r w:rsidRPr="00255081">
              <w:rPr>
                <w:rFonts w:ascii="Montserrat" w:eastAsia="Times New Roman" w:hAnsi="Montserrat" w:cs="Calibri"/>
                <w:sz w:val="15"/>
                <w:szCs w:val="15"/>
                <w:lang w:eastAsia="es-MX"/>
              </w:rPr>
              <w:t>195,746,771</w:t>
            </w:r>
          </w:p>
        </w:tc>
      </w:tr>
      <w:tr w:rsidR="00015492" w:rsidRPr="00995308" w14:paraId="59DD2759" w14:textId="77777777" w:rsidTr="000F03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jc w:val="center"/>
        </w:trPr>
        <w:tc>
          <w:tcPr>
            <w:tcW w:w="5583" w:type="dxa"/>
            <w:shd w:val="clear" w:color="000000" w:fill="F2F2F2"/>
            <w:vAlign w:val="center"/>
          </w:tcPr>
          <w:p w14:paraId="73AAE1E5" w14:textId="09237EB2" w:rsidR="00015492" w:rsidRPr="00255081" w:rsidRDefault="00015492" w:rsidP="004B170A">
            <w:pPr>
              <w:spacing w:after="120" w:line="240" w:lineRule="auto"/>
              <w:jc w:val="both"/>
              <w:rPr>
                <w:rFonts w:ascii="Montserrat" w:eastAsia="Times New Roman" w:hAnsi="Montserrat" w:cs="Calibri"/>
                <w:color w:val="000000"/>
                <w:sz w:val="15"/>
                <w:szCs w:val="15"/>
                <w:lang w:eastAsia="es-MX"/>
              </w:rPr>
            </w:pPr>
            <w:r w:rsidRPr="00255081">
              <w:rPr>
                <w:rFonts w:ascii="Montserrat" w:eastAsia="Times New Roman" w:hAnsi="Montserrat" w:cs="Calibri"/>
                <w:sz w:val="15"/>
                <w:szCs w:val="15"/>
                <w:lang w:eastAsia="es-MX"/>
              </w:rPr>
              <w:t>Universidad Autónoma Agraria Antonio Narro</w:t>
            </w:r>
          </w:p>
        </w:tc>
        <w:tc>
          <w:tcPr>
            <w:tcW w:w="2463" w:type="dxa"/>
            <w:shd w:val="clear" w:color="000000" w:fill="F2F2F2"/>
            <w:noWrap/>
            <w:vAlign w:val="center"/>
          </w:tcPr>
          <w:p w14:paraId="7DA90EFD" w14:textId="31C037D3" w:rsidR="00015492" w:rsidRPr="00255081" w:rsidRDefault="00015492" w:rsidP="000A1B05">
            <w:pPr>
              <w:spacing w:after="120" w:line="240" w:lineRule="auto"/>
              <w:jc w:val="right"/>
              <w:rPr>
                <w:rFonts w:ascii="Montserrat" w:eastAsia="Times New Roman" w:hAnsi="Montserrat" w:cs="Calibri"/>
                <w:color w:val="000000"/>
                <w:sz w:val="15"/>
                <w:szCs w:val="15"/>
                <w:lang w:eastAsia="es-MX"/>
              </w:rPr>
            </w:pPr>
            <w:r w:rsidRPr="00255081">
              <w:rPr>
                <w:rFonts w:ascii="Montserrat" w:eastAsia="Times New Roman" w:hAnsi="Montserrat" w:cs="Calibri"/>
                <w:sz w:val="15"/>
                <w:szCs w:val="15"/>
                <w:lang w:eastAsia="es-MX"/>
              </w:rPr>
              <w:t>993,751,410</w:t>
            </w:r>
          </w:p>
        </w:tc>
        <w:tc>
          <w:tcPr>
            <w:tcW w:w="1192" w:type="dxa"/>
            <w:shd w:val="clear" w:color="000000" w:fill="F2F2F2"/>
            <w:noWrap/>
            <w:vAlign w:val="center"/>
          </w:tcPr>
          <w:p w14:paraId="59B10967" w14:textId="362A663B" w:rsidR="00015492" w:rsidRPr="00255081" w:rsidRDefault="00015492" w:rsidP="000A1B05">
            <w:pPr>
              <w:spacing w:after="120" w:line="240" w:lineRule="auto"/>
              <w:jc w:val="right"/>
              <w:rPr>
                <w:rFonts w:ascii="Montserrat" w:eastAsia="Times New Roman" w:hAnsi="Montserrat" w:cs="Calibri"/>
                <w:color w:val="000000"/>
                <w:sz w:val="15"/>
                <w:szCs w:val="15"/>
                <w:lang w:eastAsia="es-MX"/>
              </w:rPr>
            </w:pPr>
            <w:r w:rsidRPr="00255081">
              <w:rPr>
                <w:rFonts w:ascii="Montserrat" w:eastAsia="Times New Roman" w:hAnsi="Montserrat" w:cs="Calibri"/>
                <w:sz w:val="15"/>
                <w:szCs w:val="15"/>
                <w:lang w:eastAsia="es-MX"/>
              </w:rPr>
              <w:t>100%</w:t>
            </w:r>
          </w:p>
        </w:tc>
        <w:tc>
          <w:tcPr>
            <w:tcW w:w="2558" w:type="dxa"/>
            <w:gridSpan w:val="2"/>
            <w:shd w:val="clear" w:color="000000" w:fill="F2F2F2"/>
            <w:noWrap/>
            <w:vAlign w:val="center"/>
          </w:tcPr>
          <w:p w14:paraId="77C29A3E" w14:textId="13A0B157" w:rsidR="00015492" w:rsidRPr="00255081" w:rsidRDefault="00015492" w:rsidP="000A1B05">
            <w:pPr>
              <w:spacing w:after="120" w:line="240" w:lineRule="auto"/>
              <w:jc w:val="right"/>
              <w:rPr>
                <w:rFonts w:ascii="Montserrat" w:eastAsia="Times New Roman" w:hAnsi="Montserrat" w:cs="Calibri"/>
                <w:color w:val="000000"/>
                <w:sz w:val="15"/>
                <w:szCs w:val="15"/>
                <w:lang w:eastAsia="es-MX"/>
              </w:rPr>
            </w:pPr>
            <w:r w:rsidRPr="00255081">
              <w:rPr>
                <w:rFonts w:ascii="Montserrat" w:eastAsia="Times New Roman" w:hAnsi="Montserrat" w:cs="Calibri"/>
                <w:sz w:val="15"/>
                <w:szCs w:val="15"/>
                <w:lang w:eastAsia="es-MX"/>
              </w:rPr>
              <w:t>993,751,410</w:t>
            </w:r>
          </w:p>
        </w:tc>
      </w:tr>
      <w:tr w:rsidR="00015492" w:rsidRPr="00995308" w14:paraId="52FF4EE0" w14:textId="77777777" w:rsidTr="000F03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jc w:val="center"/>
        </w:trPr>
        <w:tc>
          <w:tcPr>
            <w:tcW w:w="5583" w:type="dxa"/>
            <w:shd w:val="clear" w:color="000000" w:fill="F2F2F2"/>
            <w:vAlign w:val="center"/>
          </w:tcPr>
          <w:p w14:paraId="143B7327" w14:textId="16C00A29" w:rsidR="00015492" w:rsidRPr="00255081" w:rsidRDefault="00015492" w:rsidP="004B170A">
            <w:pPr>
              <w:spacing w:after="120" w:line="240" w:lineRule="auto"/>
              <w:jc w:val="both"/>
              <w:rPr>
                <w:rFonts w:ascii="Montserrat" w:eastAsia="Times New Roman" w:hAnsi="Montserrat" w:cs="Calibri"/>
                <w:color w:val="000000"/>
                <w:sz w:val="15"/>
                <w:szCs w:val="15"/>
                <w:lang w:eastAsia="es-MX"/>
              </w:rPr>
            </w:pPr>
            <w:r w:rsidRPr="00255081">
              <w:rPr>
                <w:rFonts w:ascii="Montserrat" w:eastAsia="Times New Roman" w:hAnsi="Montserrat" w:cs="Calibri"/>
                <w:sz w:val="15"/>
                <w:szCs w:val="15"/>
                <w:lang w:eastAsia="es-MX"/>
              </w:rPr>
              <w:t>Centro Regional de Alta Especialidad de Chiapas</w:t>
            </w:r>
          </w:p>
        </w:tc>
        <w:tc>
          <w:tcPr>
            <w:tcW w:w="2463" w:type="dxa"/>
            <w:shd w:val="clear" w:color="000000" w:fill="F2F2F2"/>
            <w:noWrap/>
            <w:vAlign w:val="center"/>
          </w:tcPr>
          <w:p w14:paraId="47BD4F46" w14:textId="6052792B" w:rsidR="00015492" w:rsidRPr="00255081" w:rsidRDefault="00015492" w:rsidP="000A1B05">
            <w:pPr>
              <w:spacing w:after="120" w:line="240" w:lineRule="auto"/>
              <w:jc w:val="right"/>
              <w:rPr>
                <w:rFonts w:ascii="Montserrat" w:eastAsia="Times New Roman" w:hAnsi="Montserrat" w:cs="Calibri"/>
                <w:color w:val="000000"/>
                <w:sz w:val="15"/>
                <w:szCs w:val="15"/>
                <w:lang w:eastAsia="es-MX"/>
              </w:rPr>
            </w:pPr>
            <w:r w:rsidRPr="00255081">
              <w:rPr>
                <w:rFonts w:ascii="Montserrat" w:eastAsia="Times New Roman" w:hAnsi="Montserrat" w:cs="Calibri"/>
                <w:sz w:val="15"/>
                <w:szCs w:val="15"/>
                <w:lang w:eastAsia="es-MX"/>
              </w:rPr>
              <w:t>247,020,087</w:t>
            </w:r>
          </w:p>
        </w:tc>
        <w:tc>
          <w:tcPr>
            <w:tcW w:w="1192" w:type="dxa"/>
            <w:shd w:val="clear" w:color="000000" w:fill="F2F2F2"/>
            <w:noWrap/>
            <w:vAlign w:val="center"/>
          </w:tcPr>
          <w:p w14:paraId="4496FB6F" w14:textId="56FF6240" w:rsidR="00015492" w:rsidRPr="00255081" w:rsidRDefault="00015492" w:rsidP="000A1B05">
            <w:pPr>
              <w:spacing w:after="120" w:line="240" w:lineRule="auto"/>
              <w:jc w:val="right"/>
              <w:rPr>
                <w:rFonts w:ascii="Montserrat" w:eastAsia="Times New Roman" w:hAnsi="Montserrat" w:cs="Calibri"/>
                <w:color w:val="000000"/>
                <w:sz w:val="15"/>
                <w:szCs w:val="15"/>
                <w:lang w:eastAsia="es-MX"/>
              </w:rPr>
            </w:pPr>
            <w:r w:rsidRPr="00255081">
              <w:rPr>
                <w:rFonts w:ascii="Montserrat" w:eastAsia="Times New Roman" w:hAnsi="Montserrat" w:cs="Calibri"/>
                <w:sz w:val="15"/>
                <w:szCs w:val="15"/>
                <w:lang w:eastAsia="es-MX"/>
              </w:rPr>
              <w:t>100%</w:t>
            </w:r>
          </w:p>
        </w:tc>
        <w:tc>
          <w:tcPr>
            <w:tcW w:w="2558" w:type="dxa"/>
            <w:gridSpan w:val="2"/>
            <w:shd w:val="clear" w:color="000000" w:fill="F2F2F2"/>
            <w:noWrap/>
            <w:vAlign w:val="center"/>
          </w:tcPr>
          <w:p w14:paraId="6F38A458" w14:textId="1E692637" w:rsidR="00015492" w:rsidRPr="00255081" w:rsidRDefault="00015492" w:rsidP="000A1B05">
            <w:pPr>
              <w:spacing w:after="120" w:line="240" w:lineRule="auto"/>
              <w:jc w:val="right"/>
              <w:rPr>
                <w:rFonts w:ascii="Montserrat" w:eastAsia="Times New Roman" w:hAnsi="Montserrat" w:cs="Calibri"/>
                <w:color w:val="000000"/>
                <w:sz w:val="15"/>
                <w:szCs w:val="15"/>
                <w:lang w:eastAsia="es-MX"/>
              </w:rPr>
            </w:pPr>
            <w:r w:rsidRPr="00255081">
              <w:rPr>
                <w:rFonts w:ascii="Montserrat" w:eastAsia="Times New Roman" w:hAnsi="Montserrat" w:cs="Calibri"/>
                <w:sz w:val="15"/>
                <w:szCs w:val="15"/>
                <w:lang w:eastAsia="es-MX"/>
              </w:rPr>
              <w:t>247,020,087</w:t>
            </w:r>
          </w:p>
        </w:tc>
      </w:tr>
      <w:tr w:rsidR="00015492" w:rsidRPr="00995308" w14:paraId="63292D4C" w14:textId="77777777" w:rsidTr="000F03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jc w:val="center"/>
        </w:trPr>
        <w:tc>
          <w:tcPr>
            <w:tcW w:w="5583" w:type="dxa"/>
            <w:shd w:val="clear" w:color="000000" w:fill="F2F2F2"/>
            <w:vAlign w:val="center"/>
          </w:tcPr>
          <w:p w14:paraId="2781C0EB" w14:textId="42EBD436" w:rsidR="00015492" w:rsidRPr="00255081" w:rsidRDefault="00015492" w:rsidP="004B170A">
            <w:pPr>
              <w:spacing w:after="120" w:line="240" w:lineRule="auto"/>
              <w:jc w:val="both"/>
              <w:rPr>
                <w:rFonts w:ascii="Montserrat" w:eastAsia="Times New Roman" w:hAnsi="Montserrat" w:cs="Calibri"/>
                <w:color w:val="000000"/>
                <w:sz w:val="15"/>
                <w:szCs w:val="15"/>
                <w:lang w:eastAsia="es-MX"/>
              </w:rPr>
            </w:pPr>
            <w:r w:rsidRPr="00255081">
              <w:rPr>
                <w:rFonts w:ascii="Montserrat" w:eastAsia="Times New Roman" w:hAnsi="Montserrat" w:cs="Calibri"/>
                <w:sz w:val="15"/>
                <w:szCs w:val="15"/>
                <w:lang w:eastAsia="es-MX"/>
              </w:rPr>
              <w:t>Centros de Integración Juvenil, A.C.</w:t>
            </w:r>
          </w:p>
        </w:tc>
        <w:tc>
          <w:tcPr>
            <w:tcW w:w="2463" w:type="dxa"/>
            <w:shd w:val="clear" w:color="000000" w:fill="F2F2F2"/>
            <w:noWrap/>
            <w:vAlign w:val="center"/>
          </w:tcPr>
          <w:p w14:paraId="37D2AD2C" w14:textId="6C38F95A" w:rsidR="00015492" w:rsidRPr="00255081" w:rsidRDefault="00015492" w:rsidP="000A1B05">
            <w:pPr>
              <w:spacing w:after="120" w:line="240" w:lineRule="auto"/>
              <w:jc w:val="right"/>
              <w:rPr>
                <w:rFonts w:ascii="Montserrat" w:eastAsia="Times New Roman" w:hAnsi="Montserrat" w:cs="Calibri"/>
                <w:color w:val="000000"/>
                <w:sz w:val="15"/>
                <w:szCs w:val="15"/>
                <w:lang w:eastAsia="es-MX"/>
              </w:rPr>
            </w:pPr>
            <w:r w:rsidRPr="00255081">
              <w:rPr>
                <w:rFonts w:ascii="Montserrat" w:eastAsia="Times New Roman" w:hAnsi="Montserrat" w:cs="Calibri"/>
                <w:sz w:val="15"/>
                <w:szCs w:val="15"/>
                <w:lang w:eastAsia="es-MX"/>
              </w:rPr>
              <w:t>-42,044,453</w:t>
            </w:r>
          </w:p>
        </w:tc>
        <w:tc>
          <w:tcPr>
            <w:tcW w:w="1192" w:type="dxa"/>
            <w:shd w:val="clear" w:color="000000" w:fill="F2F2F2"/>
            <w:noWrap/>
            <w:vAlign w:val="center"/>
          </w:tcPr>
          <w:p w14:paraId="284A347F" w14:textId="60C2D473" w:rsidR="00015492" w:rsidRPr="00255081" w:rsidRDefault="00015492" w:rsidP="000A1B05">
            <w:pPr>
              <w:spacing w:after="120" w:line="240" w:lineRule="auto"/>
              <w:jc w:val="right"/>
              <w:rPr>
                <w:rFonts w:ascii="Montserrat" w:eastAsia="Times New Roman" w:hAnsi="Montserrat" w:cs="Calibri"/>
                <w:color w:val="000000"/>
                <w:sz w:val="15"/>
                <w:szCs w:val="15"/>
                <w:lang w:eastAsia="es-MX"/>
              </w:rPr>
            </w:pPr>
            <w:r w:rsidRPr="00255081">
              <w:rPr>
                <w:rFonts w:ascii="Montserrat" w:eastAsia="Times New Roman" w:hAnsi="Montserrat" w:cs="Calibri"/>
                <w:sz w:val="15"/>
                <w:szCs w:val="15"/>
                <w:lang w:eastAsia="es-MX"/>
              </w:rPr>
              <w:t>0%</w:t>
            </w:r>
          </w:p>
        </w:tc>
        <w:tc>
          <w:tcPr>
            <w:tcW w:w="2558" w:type="dxa"/>
            <w:gridSpan w:val="2"/>
            <w:shd w:val="clear" w:color="000000" w:fill="F2F2F2"/>
            <w:noWrap/>
            <w:vAlign w:val="center"/>
          </w:tcPr>
          <w:p w14:paraId="41CCB8DD" w14:textId="2D5D2934" w:rsidR="00015492" w:rsidRPr="00255081" w:rsidRDefault="00015492" w:rsidP="000A1B05">
            <w:pPr>
              <w:spacing w:after="120" w:line="240" w:lineRule="auto"/>
              <w:jc w:val="right"/>
              <w:rPr>
                <w:rFonts w:ascii="Montserrat" w:eastAsia="Times New Roman" w:hAnsi="Montserrat" w:cs="Calibri"/>
                <w:color w:val="000000"/>
                <w:sz w:val="15"/>
                <w:szCs w:val="15"/>
                <w:lang w:eastAsia="es-MX"/>
              </w:rPr>
            </w:pPr>
            <w:r w:rsidRPr="00255081">
              <w:rPr>
                <w:rFonts w:ascii="Montserrat" w:eastAsia="Times New Roman" w:hAnsi="Montserrat" w:cs="Calibri"/>
                <w:sz w:val="15"/>
                <w:szCs w:val="15"/>
                <w:lang w:eastAsia="es-MX"/>
              </w:rPr>
              <w:t>0</w:t>
            </w:r>
          </w:p>
        </w:tc>
      </w:tr>
      <w:tr w:rsidR="00015492" w:rsidRPr="00995308" w14:paraId="09472009" w14:textId="77777777" w:rsidTr="000F03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jc w:val="center"/>
        </w:trPr>
        <w:tc>
          <w:tcPr>
            <w:tcW w:w="5583" w:type="dxa"/>
            <w:shd w:val="clear" w:color="000000" w:fill="F2F2F2"/>
            <w:vAlign w:val="center"/>
          </w:tcPr>
          <w:p w14:paraId="3DBB9600" w14:textId="6A02792B" w:rsidR="00015492" w:rsidRPr="00255081" w:rsidRDefault="00015492" w:rsidP="004B170A">
            <w:pPr>
              <w:spacing w:after="120" w:line="240" w:lineRule="auto"/>
              <w:jc w:val="both"/>
              <w:rPr>
                <w:rFonts w:ascii="Montserrat" w:eastAsia="Times New Roman" w:hAnsi="Montserrat" w:cs="Calibri"/>
                <w:color w:val="000000"/>
                <w:sz w:val="15"/>
                <w:szCs w:val="15"/>
                <w:lang w:eastAsia="es-MX"/>
              </w:rPr>
            </w:pPr>
            <w:r w:rsidRPr="00255081">
              <w:rPr>
                <w:rFonts w:ascii="Montserrat" w:eastAsia="Times New Roman" w:hAnsi="Montserrat" w:cs="Calibri"/>
                <w:sz w:val="15"/>
                <w:szCs w:val="15"/>
                <w:lang w:eastAsia="es-MX"/>
              </w:rPr>
              <w:t>Instituto Nacional de Psiquiatría Ramón de la Fuente Muñiz</w:t>
            </w:r>
          </w:p>
        </w:tc>
        <w:tc>
          <w:tcPr>
            <w:tcW w:w="2463" w:type="dxa"/>
            <w:shd w:val="clear" w:color="000000" w:fill="F2F2F2"/>
            <w:noWrap/>
            <w:vAlign w:val="center"/>
          </w:tcPr>
          <w:p w14:paraId="60764C39" w14:textId="7BEF592F" w:rsidR="00015492" w:rsidRPr="00255081" w:rsidRDefault="00015492" w:rsidP="000A1B05">
            <w:pPr>
              <w:spacing w:after="120" w:line="240" w:lineRule="auto"/>
              <w:jc w:val="right"/>
              <w:rPr>
                <w:rFonts w:ascii="Montserrat" w:eastAsia="Times New Roman" w:hAnsi="Montserrat" w:cs="Calibri"/>
                <w:color w:val="000000"/>
                <w:sz w:val="15"/>
                <w:szCs w:val="15"/>
                <w:lang w:eastAsia="es-MX"/>
              </w:rPr>
            </w:pPr>
            <w:r w:rsidRPr="00255081">
              <w:rPr>
                <w:rFonts w:ascii="Montserrat" w:eastAsia="Times New Roman" w:hAnsi="Montserrat" w:cs="Calibri"/>
                <w:sz w:val="15"/>
                <w:szCs w:val="15"/>
                <w:lang w:eastAsia="es-MX"/>
              </w:rPr>
              <w:t>87,352,527</w:t>
            </w:r>
          </w:p>
        </w:tc>
        <w:tc>
          <w:tcPr>
            <w:tcW w:w="1192" w:type="dxa"/>
            <w:shd w:val="clear" w:color="000000" w:fill="F2F2F2"/>
            <w:noWrap/>
            <w:vAlign w:val="center"/>
          </w:tcPr>
          <w:p w14:paraId="355718D3" w14:textId="283D55DD" w:rsidR="00015492" w:rsidRPr="00255081" w:rsidRDefault="00015492" w:rsidP="000A1B05">
            <w:pPr>
              <w:spacing w:after="120" w:line="240" w:lineRule="auto"/>
              <w:jc w:val="right"/>
              <w:rPr>
                <w:rFonts w:ascii="Montserrat" w:eastAsia="Times New Roman" w:hAnsi="Montserrat" w:cs="Calibri"/>
                <w:color w:val="000000"/>
                <w:sz w:val="15"/>
                <w:szCs w:val="15"/>
                <w:lang w:eastAsia="es-MX"/>
              </w:rPr>
            </w:pPr>
            <w:r w:rsidRPr="00255081">
              <w:rPr>
                <w:rFonts w:ascii="Montserrat" w:eastAsia="Times New Roman" w:hAnsi="Montserrat" w:cs="Calibri"/>
                <w:sz w:val="15"/>
                <w:szCs w:val="15"/>
                <w:lang w:eastAsia="es-MX"/>
              </w:rPr>
              <w:t>100%</w:t>
            </w:r>
          </w:p>
        </w:tc>
        <w:tc>
          <w:tcPr>
            <w:tcW w:w="2558" w:type="dxa"/>
            <w:gridSpan w:val="2"/>
            <w:shd w:val="clear" w:color="000000" w:fill="F2F2F2"/>
            <w:noWrap/>
            <w:vAlign w:val="center"/>
          </w:tcPr>
          <w:p w14:paraId="696022A1" w14:textId="5413C771" w:rsidR="00015492" w:rsidRPr="00255081" w:rsidRDefault="00015492" w:rsidP="000A1B05">
            <w:pPr>
              <w:spacing w:after="120" w:line="240" w:lineRule="auto"/>
              <w:jc w:val="right"/>
              <w:rPr>
                <w:rFonts w:ascii="Montserrat" w:eastAsia="Times New Roman" w:hAnsi="Montserrat" w:cs="Calibri"/>
                <w:color w:val="000000"/>
                <w:sz w:val="15"/>
                <w:szCs w:val="15"/>
                <w:lang w:eastAsia="es-MX"/>
              </w:rPr>
            </w:pPr>
            <w:r w:rsidRPr="00255081">
              <w:rPr>
                <w:rFonts w:ascii="Montserrat" w:eastAsia="Times New Roman" w:hAnsi="Montserrat" w:cs="Calibri"/>
                <w:sz w:val="15"/>
                <w:szCs w:val="15"/>
                <w:lang w:eastAsia="es-MX"/>
              </w:rPr>
              <w:t>87,352,527</w:t>
            </w:r>
          </w:p>
        </w:tc>
      </w:tr>
      <w:tr w:rsidR="00015492" w:rsidRPr="00995308" w14:paraId="5F1F8311" w14:textId="77777777" w:rsidTr="000F03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jc w:val="center"/>
        </w:trPr>
        <w:tc>
          <w:tcPr>
            <w:tcW w:w="5583" w:type="dxa"/>
            <w:shd w:val="clear" w:color="000000" w:fill="F2F2F2"/>
            <w:vAlign w:val="center"/>
          </w:tcPr>
          <w:p w14:paraId="08A4A88E" w14:textId="15D710D2" w:rsidR="00015492" w:rsidRPr="00255081" w:rsidRDefault="00015492" w:rsidP="004B170A">
            <w:pPr>
              <w:spacing w:after="120" w:line="240" w:lineRule="auto"/>
              <w:jc w:val="both"/>
              <w:rPr>
                <w:rFonts w:ascii="Montserrat" w:eastAsia="Times New Roman" w:hAnsi="Montserrat" w:cs="Calibri"/>
                <w:color w:val="000000"/>
                <w:sz w:val="15"/>
                <w:szCs w:val="15"/>
                <w:lang w:eastAsia="es-MX"/>
              </w:rPr>
            </w:pPr>
            <w:r w:rsidRPr="00255081">
              <w:rPr>
                <w:rFonts w:ascii="Montserrat" w:eastAsia="Times New Roman" w:hAnsi="Montserrat" w:cs="Calibri"/>
                <w:sz w:val="15"/>
                <w:szCs w:val="15"/>
                <w:lang w:eastAsia="es-MX"/>
              </w:rPr>
              <w:t>Hospital Juárez de México</w:t>
            </w:r>
          </w:p>
        </w:tc>
        <w:tc>
          <w:tcPr>
            <w:tcW w:w="2463" w:type="dxa"/>
            <w:shd w:val="clear" w:color="000000" w:fill="F2F2F2"/>
            <w:noWrap/>
            <w:vAlign w:val="center"/>
          </w:tcPr>
          <w:p w14:paraId="2FE2F44D" w14:textId="76AD08CD" w:rsidR="00015492" w:rsidRPr="00255081" w:rsidRDefault="00015492" w:rsidP="000A1B05">
            <w:pPr>
              <w:spacing w:after="120" w:line="240" w:lineRule="auto"/>
              <w:jc w:val="right"/>
              <w:rPr>
                <w:rFonts w:ascii="Montserrat" w:eastAsia="Times New Roman" w:hAnsi="Montserrat" w:cs="Calibri"/>
                <w:color w:val="000000"/>
                <w:sz w:val="15"/>
                <w:szCs w:val="15"/>
                <w:lang w:eastAsia="es-MX"/>
              </w:rPr>
            </w:pPr>
            <w:r w:rsidRPr="00255081">
              <w:rPr>
                <w:rFonts w:ascii="Montserrat" w:eastAsia="Times New Roman" w:hAnsi="Montserrat" w:cs="Calibri"/>
                <w:sz w:val="15"/>
                <w:szCs w:val="15"/>
                <w:lang w:eastAsia="es-MX"/>
              </w:rPr>
              <w:t>1,406,108,471</w:t>
            </w:r>
          </w:p>
        </w:tc>
        <w:tc>
          <w:tcPr>
            <w:tcW w:w="1192" w:type="dxa"/>
            <w:shd w:val="clear" w:color="000000" w:fill="F2F2F2"/>
            <w:noWrap/>
            <w:vAlign w:val="center"/>
          </w:tcPr>
          <w:p w14:paraId="30C307F6" w14:textId="6737895F" w:rsidR="00015492" w:rsidRPr="00255081" w:rsidRDefault="00015492" w:rsidP="000A1B05">
            <w:pPr>
              <w:spacing w:after="120" w:line="240" w:lineRule="auto"/>
              <w:jc w:val="right"/>
              <w:rPr>
                <w:rFonts w:ascii="Montserrat" w:eastAsia="Times New Roman" w:hAnsi="Montserrat" w:cs="Calibri"/>
                <w:color w:val="000000"/>
                <w:sz w:val="15"/>
                <w:szCs w:val="15"/>
                <w:lang w:eastAsia="es-MX"/>
              </w:rPr>
            </w:pPr>
            <w:r w:rsidRPr="00255081">
              <w:rPr>
                <w:rFonts w:ascii="Montserrat" w:eastAsia="Times New Roman" w:hAnsi="Montserrat" w:cs="Calibri"/>
                <w:sz w:val="15"/>
                <w:szCs w:val="15"/>
                <w:lang w:eastAsia="es-MX"/>
              </w:rPr>
              <w:t>100%</w:t>
            </w:r>
          </w:p>
        </w:tc>
        <w:tc>
          <w:tcPr>
            <w:tcW w:w="2558" w:type="dxa"/>
            <w:gridSpan w:val="2"/>
            <w:shd w:val="clear" w:color="000000" w:fill="F2F2F2"/>
            <w:noWrap/>
            <w:vAlign w:val="center"/>
          </w:tcPr>
          <w:p w14:paraId="451547FA" w14:textId="589DE6BD" w:rsidR="00015492" w:rsidRPr="00255081" w:rsidRDefault="00015492" w:rsidP="000A1B05">
            <w:pPr>
              <w:spacing w:after="120" w:line="240" w:lineRule="auto"/>
              <w:jc w:val="right"/>
              <w:rPr>
                <w:rFonts w:ascii="Montserrat" w:eastAsia="Times New Roman" w:hAnsi="Montserrat" w:cs="Calibri"/>
                <w:color w:val="000000"/>
                <w:sz w:val="15"/>
                <w:szCs w:val="15"/>
                <w:lang w:eastAsia="es-MX"/>
              </w:rPr>
            </w:pPr>
            <w:r w:rsidRPr="00255081">
              <w:rPr>
                <w:rFonts w:ascii="Montserrat" w:eastAsia="Times New Roman" w:hAnsi="Montserrat" w:cs="Calibri"/>
                <w:sz w:val="15"/>
                <w:szCs w:val="15"/>
                <w:lang w:eastAsia="es-MX"/>
              </w:rPr>
              <w:t>1,406,108,471</w:t>
            </w:r>
          </w:p>
        </w:tc>
      </w:tr>
      <w:tr w:rsidR="00015492" w:rsidRPr="00995308" w14:paraId="01EAA815" w14:textId="77777777" w:rsidTr="000F03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jc w:val="center"/>
        </w:trPr>
        <w:tc>
          <w:tcPr>
            <w:tcW w:w="5583" w:type="dxa"/>
            <w:shd w:val="clear" w:color="000000" w:fill="F2F2F2"/>
            <w:vAlign w:val="center"/>
          </w:tcPr>
          <w:p w14:paraId="56F40E3F" w14:textId="3CA9C9B6" w:rsidR="00015492" w:rsidRPr="00255081" w:rsidRDefault="00015492" w:rsidP="004B170A">
            <w:pPr>
              <w:spacing w:after="120" w:line="240" w:lineRule="auto"/>
              <w:jc w:val="both"/>
              <w:rPr>
                <w:rFonts w:ascii="Montserrat" w:eastAsia="Times New Roman" w:hAnsi="Montserrat" w:cs="Calibri"/>
                <w:color w:val="000000"/>
                <w:sz w:val="15"/>
                <w:szCs w:val="15"/>
                <w:lang w:eastAsia="es-MX"/>
              </w:rPr>
            </w:pPr>
            <w:r w:rsidRPr="00255081">
              <w:rPr>
                <w:rFonts w:ascii="Montserrat" w:eastAsia="Times New Roman" w:hAnsi="Montserrat" w:cs="Calibri"/>
                <w:sz w:val="15"/>
                <w:szCs w:val="15"/>
                <w:lang w:eastAsia="es-MX"/>
              </w:rPr>
              <w:t>Hospital General "Dr. Manuel Gea González"</w:t>
            </w:r>
          </w:p>
        </w:tc>
        <w:tc>
          <w:tcPr>
            <w:tcW w:w="2463" w:type="dxa"/>
            <w:shd w:val="clear" w:color="000000" w:fill="F2F2F2"/>
            <w:noWrap/>
            <w:vAlign w:val="center"/>
          </w:tcPr>
          <w:p w14:paraId="6BD37661" w14:textId="58AC17EB" w:rsidR="00015492" w:rsidRPr="00255081" w:rsidRDefault="00015492" w:rsidP="000A1B05">
            <w:pPr>
              <w:spacing w:after="120" w:line="240" w:lineRule="auto"/>
              <w:jc w:val="right"/>
              <w:rPr>
                <w:rFonts w:ascii="Montserrat" w:eastAsia="Times New Roman" w:hAnsi="Montserrat" w:cs="Calibri"/>
                <w:color w:val="000000"/>
                <w:sz w:val="15"/>
                <w:szCs w:val="15"/>
                <w:lang w:eastAsia="es-MX"/>
              </w:rPr>
            </w:pPr>
            <w:r w:rsidRPr="00255081">
              <w:rPr>
                <w:rFonts w:ascii="Montserrat" w:eastAsia="Times New Roman" w:hAnsi="Montserrat" w:cs="Calibri"/>
                <w:sz w:val="15"/>
                <w:szCs w:val="15"/>
                <w:lang w:eastAsia="es-MX"/>
              </w:rPr>
              <w:t>1,137,278,562</w:t>
            </w:r>
          </w:p>
        </w:tc>
        <w:tc>
          <w:tcPr>
            <w:tcW w:w="1192" w:type="dxa"/>
            <w:shd w:val="clear" w:color="000000" w:fill="F2F2F2"/>
            <w:noWrap/>
            <w:vAlign w:val="center"/>
          </w:tcPr>
          <w:p w14:paraId="2A714BDE" w14:textId="5D1E732D" w:rsidR="00015492" w:rsidRPr="00255081" w:rsidRDefault="00015492" w:rsidP="000A1B05">
            <w:pPr>
              <w:spacing w:after="120" w:line="240" w:lineRule="auto"/>
              <w:jc w:val="right"/>
              <w:rPr>
                <w:rFonts w:ascii="Montserrat" w:eastAsia="Times New Roman" w:hAnsi="Montserrat" w:cs="Calibri"/>
                <w:color w:val="000000"/>
                <w:sz w:val="15"/>
                <w:szCs w:val="15"/>
                <w:lang w:eastAsia="es-MX"/>
              </w:rPr>
            </w:pPr>
            <w:r w:rsidRPr="00255081">
              <w:rPr>
                <w:rFonts w:ascii="Montserrat" w:eastAsia="Times New Roman" w:hAnsi="Montserrat" w:cs="Calibri"/>
                <w:sz w:val="15"/>
                <w:szCs w:val="15"/>
                <w:lang w:eastAsia="es-MX"/>
              </w:rPr>
              <w:t>100%</w:t>
            </w:r>
          </w:p>
        </w:tc>
        <w:tc>
          <w:tcPr>
            <w:tcW w:w="2558" w:type="dxa"/>
            <w:gridSpan w:val="2"/>
            <w:shd w:val="clear" w:color="000000" w:fill="F2F2F2"/>
            <w:noWrap/>
            <w:vAlign w:val="center"/>
          </w:tcPr>
          <w:p w14:paraId="57785B63" w14:textId="74357942" w:rsidR="00015492" w:rsidRPr="00255081" w:rsidRDefault="00015492" w:rsidP="000A1B05">
            <w:pPr>
              <w:spacing w:after="120" w:line="240" w:lineRule="auto"/>
              <w:jc w:val="right"/>
              <w:rPr>
                <w:rFonts w:ascii="Montserrat" w:eastAsia="Times New Roman" w:hAnsi="Montserrat" w:cs="Calibri"/>
                <w:color w:val="000000"/>
                <w:sz w:val="15"/>
                <w:szCs w:val="15"/>
                <w:lang w:eastAsia="es-MX"/>
              </w:rPr>
            </w:pPr>
            <w:r w:rsidRPr="00255081">
              <w:rPr>
                <w:rFonts w:ascii="Montserrat" w:eastAsia="Times New Roman" w:hAnsi="Montserrat" w:cs="Calibri"/>
                <w:sz w:val="15"/>
                <w:szCs w:val="15"/>
                <w:lang w:eastAsia="es-MX"/>
              </w:rPr>
              <w:t>1,137,278,562</w:t>
            </w:r>
          </w:p>
        </w:tc>
      </w:tr>
      <w:tr w:rsidR="00015492" w:rsidRPr="00995308" w14:paraId="6D6F13F2" w14:textId="77777777" w:rsidTr="000F03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jc w:val="center"/>
        </w:trPr>
        <w:tc>
          <w:tcPr>
            <w:tcW w:w="5583" w:type="dxa"/>
            <w:shd w:val="clear" w:color="000000" w:fill="F2F2F2"/>
            <w:vAlign w:val="center"/>
          </w:tcPr>
          <w:p w14:paraId="223EF15E" w14:textId="578AABA9" w:rsidR="00015492" w:rsidRPr="00255081" w:rsidRDefault="00015492" w:rsidP="004B170A">
            <w:pPr>
              <w:spacing w:after="120" w:line="240" w:lineRule="auto"/>
              <w:jc w:val="both"/>
              <w:rPr>
                <w:rFonts w:ascii="Montserrat" w:eastAsia="Times New Roman" w:hAnsi="Montserrat" w:cs="Calibri"/>
                <w:color w:val="000000"/>
                <w:sz w:val="15"/>
                <w:szCs w:val="15"/>
                <w:lang w:eastAsia="es-MX"/>
              </w:rPr>
            </w:pPr>
            <w:r w:rsidRPr="00255081">
              <w:rPr>
                <w:rFonts w:ascii="Montserrat" w:eastAsia="Times New Roman" w:hAnsi="Montserrat" w:cs="Calibri"/>
                <w:sz w:val="15"/>
                <w:szCs w:val="15"/>
                <w:lang w:eastAsia="es-MX"/>
              </w:rPr>
              <w:t>Hospital General de México "Dr. Eduardo Liceaga"</w:t>
            </w:r>
          </w:p>
        </w:tc>
        <w:tc>
          <w:tcPr>
            <w:tcW w:w="2463" w:type="dxa"/>
            <w:shd w:val="clear" w:color="000000" w:fill="F2F2F2"/>
            <w:noWrap/>
            <w:vAlign w:val="center"/>
          </w:tcPr>
          <w:p w14:paraId="63BE5E6B" w14:textId="7DE85DD7" w:rsidR="00015492" w:rsidRPr="00255081" w:rsidRDefault="00015492" w:rsidP="000A1B05">
            <w:pPr>
              <w:spacing w:after="120" w:line="240" w:lineRule="auto"/>
              <w:jc w:val="right"/>
              <w:rPr>
                <w:rFonts w:ascii="Montserrat" w:eastAsia="Times New Roman" w:hAnsi="Montserrat" w:cs="Calibri"/>
                <w:color w:val="000000"/>
                <w:sz w:val="15"/>
                <w:szCs w:val="15"/>
                <w:lang w:eastAsia="es-MX"/>
              </w:rPr>
            </w:pPr>
            <w:r w:rsidRPr="00255081">
              <w:rPr>
                <w:rFonts w:ascii="Montserrat" w:eastAsia="Times New Roman" w:hAnsi="Montserrat" w:cs="Calibri"/>
                <w:sz w:val="15"/>
                <w:szCs w:val="15"/>
                <w:lang w:eastAsia="es-MX"/>
              </w:rPr>
              <w:t>4,470,165,276</w:t>
            </w:r>
          </w:p>
        </w:tc>
        <w:tc>
          <w:tcPr>
            <w:tcW w:w="1192" w:type="dxa"/>
            <w:shd w:val="clear" w:color="000000" w:fill="F2F2F2"/>
            <w:noWrap/>
            <w:vAlign w:val="center"/>
          </w:tcPr>
          <w:p w14:paraId="1939135A" w14:textId="5664ED13" w:rsidR="00015492" w:rsidRPr="00255081" w:rsidRDefault="00015492" w:rsidP="000A1B05">
            <w:pPr>
              <w:spacing w:after="120" w:line="240" w:lineRule="auto"/>
              <w:jc w:val="right"/>
              <w:rPr>
                <w:rFonts w:ascii="Montserrat" w:eastAsia="Times New Roman" w:hAnsi="Montserrat" w:cs="Calibri"/>
                <w:color w:val="000000"/>
                <w:sz w:val="15"/>
                <w:szCs w:val="15"/>
                <w:lang w:eastAsia="es-MX"/>
              </w:rPr>
            </w:pPr>
            <w:r w:rsidRPr="00255081">
              <w:rPr>
                <w:rFonts w:ascii="Montserrat" w:eastAsia="Times New Roman" w:hAnsi="Montserrat" w:cs="Calibri"/>
                <w:sz w:val="15"/>
                <w:szCs w:val="15"/>
                <w:lang w:eastAsia="es-MX"/>
              </w:rPr>
              <w:t>100%</w:t>
            </w:r>
          </w:p>
        </w:tc>
        <w:tc>
          <w:tcPr>
            <w:tcW w:w="2558" w:type="dxa"/>
            <w:gridSpan w:val="2"/>
            <w:shd w:val="clear" w:color="000000" w:fill="F2F2F2"/>
            <w:noWrap/>
            <w:vAlign w:val="center"/>
          </w:tcPr>
          <w:p w14:paraId="3DA82D6D" w14:textId="78E7E85C" w:rsidR="00015492" w:rsidRPr="00255081" w:rsidRDefault="00015492" w:rsidP="000A1B05">
            <w:pPr>
              <w:spacing w:after="120" w:line="240" w:lineRule="auto"/>
              <w:jc w:val="right"/>
              <w:rPr>
                <w:rFonts w:ascii="Montserrat" w:eastAsia="Times New Roman" w:hAnsi="Montserrat" w:cs="Calibri"/>
                <w:color w:val="000000"/>
                <w:sz w:val="15"/>
                <w:szCs w:val="15"/>
                <w:lang w:eastAsia="es-MX"/>
              </w:rPr>
            </w:pPr>
            <w:r w:rsidRPr="00255081">
              <w:rPr>
                <w:rFonts w:ascii="Montserrat" w:eastAsia="Times New Roman" w:hAnsi="Montserrat" w:cs="Calibri"/>
                <w:sz w:val="15"/>
                <w:szCs w:val="15"/>
                <w:lang w:eastAsia="es-MX"/>
              </w:rPr>
              <w:t>4,470,165,276</w:t>
            </w:r>
          </w:p>
        </w:tc>
      </w:tr>
      <w:tr w:rsidR="00015492" w:rsidRPr="00995308" w14:paraId="45CE6E3C" w14:textId="77777777" w:rsidTr="000F03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jc w:val="center"/>
        </w:trPr>
        <w:tc>
          <w:tcPr>
            <w:tcW w:w="5583" w:type="dxa"/>
            <w:shd w:val="clear" w:color="000000" w:fill="F2F2F2"/>
            <w:vAlign w:val="center"/>
          </w:tcPr>
          <w:p w14:paraId="595D1BD4" w14:textId="73CA184A" w:rsidR="00015492" w:rsidRPr="00255081" w:rsidRDefault="00015492" w:rsidP="004B170A">
            <w:pPr>
              <w:spacing w:after="120" w:line="240" w:lineRule="auto"/>
              <w:jc w:val="both"/>
              <w:rPr>
                <w:rFonts w:ascii="Montserrat" w:eastAsia="Times New Roman" w:hAnsi="Montserrat" w:cs="Calibri"/>
                <w:color w:val="000000"/>
                <w:sz w:val="15"/>
                <w:szCs w:val="15"/>
                <w:lang w:eastAsia="es-MX"/>
              </w:rPr>
            </w:pPr>
            <w:r w:rsidRPr="00255081">
              <w:rPr>
                <w:rFonts w:ascii="Montserrat" w:eastAsia="Times New Roman" w:hAnsi="Montserrat" w:cs="Calibri"/>
                <w:sz w:val="15"/>
                <w:szCs w:val="15"/>
                <w:lang w:eastAsia="es-MX"/>
              </w:rPr>
              <w:t>Hospital Infantil de México Federico Gómez</w:t>
            </w:r>
          </w:p>
        </w:tc>
        <w:tc>
          <w:tcPr>
            <w:tcW w:w="2463" w:type="dxa"/>
            <w:shd w:val="clear" w:color="000000" w:fill="F2F2F2"/>
            <w:noWrap/>
            <w:vAlign w:val="center"/>
          </w:tcPr>
          <w:p w14:paraId="64018A07" w14:textId="2B12CD4A" w:rsidR="00015492" w:rsidRPr="00255081" w:rsidRDefault="00015492" w:rsidP="000A1B05">
            <w:pPr>
              <w:spacing w:after="120" w:line="240" w:lineRule="auto"/>
              <w:jc w:val="right"/>
              <w:rPr>
                <w:rFonts w:ascii="Montserrat" w:eastAsia="Times New Roman" w:hAnsi="Montserrat" w:cs="Calibri"/>
                <w:color w:val="000000"/>
                <w:sz w:val="15"/>
                <w:szCs w:val="15"/>
                <w:lang w:eastAsia="es-MX"/>
              </w:rPr>
            </w:pPr>
            <w:r w:rsidRPr="00255081">
              <w:rPr>
                <w:rFonts w:ascii="Montserrat" w:eastAsia="Times New Roman" w:hAnsi="Montserrat" w:cs="Calibri"/>
                <w:sz w:val="15"/>
                <w:szCs w:val="15"/>
                <w:lang w:eastAsia="es-MX"/>
              </w:rPr>
              <w:t>1,298,683,137</w:t>
            </w:r>
          </w:p>
        </w:tc>
        <w:tc>
          <w:tcPr>
            <w:tcW w:w="1192" w:type="dxa"/>
            <w:shd w:val="clear" w:color="000000" w:fill="F2F2F2"/>
            <w:noWrap/>
            <w:vAlign w:val="center"/>
          </w:tcPr>
          <w:p w14:paraId="2A190B9B" w14:textId="0B5A53D9" w:rsidR="00015492" w:rsidRPr="00255081" w:rsidRDefault="00015492" w:rsidP="000A1B05">
            <w:pPr>
              <w:spacing w:after="120" w:line="240" w:lineRule="auto"/>
              <w:jc w:val="right"/>
              <w:rPr>
                <w:rFonts w:ascii="Montserrat" w:eastAsia="Times New Roman" w:hAnsi="Montserrat" w:cs="Calibri"/>
                <w:color w:val="000000"/>
                <w:sz w:val="15"/>
                <w:szCs w:val="15"/>
                <w:lang w:eastAsia="es-MX"/>
              </w:rPr>
            </w:pPr>
            <w:r w:rsidRPr="00255081">
              <w:rPr>
                <w:rFonts w:ascii="Montserrat" w:eastAsia="Times New Roman" w:hAnsi="Montserrat" w:cs="Calibri"/>
                <w:sz w:val="15"/>
                <w:szCs w:val="15"/>
                <w:lang w:eastAsia="es-MX"/>
              </w:rPr>
              <w:t>100%</w:t>
            </w:r>
          </w:p>
        </w:tc>
        <w:tc>
          <w:tcPr>
            <w:tcW w:w="2558" w:type="dxa"/>
            <w:gridSpan w:val="2"/>
            <w:shd w:val="clear" w:color="000000" w:fill="F2F2F2"/>
            <w:noWrap/>
            <w:vAlign w:val="center"/>
          </w:tcPr>
          <w:p w14:paraId="1DDF03B7" w14:textId="234F55A5" w:rsidR="00015492" w:rsidRPr="00255081" w:rsidRDefault="00015492" w:rsidP="000A1B05">
            <w:pPr>
              <w:spacing w:after="120" w:line="240" w:lineRule="auto"/>
              <w:jc w:val="right"/>
              <w:rPr>
                <w:rFonts w:ascii="Montserrat" w:eastAsia="Times New Roman" w:hAnsi="Montserrat" w:cs="Calibri"/>
                <w:color w:val="000000"/>
                <w:sz w:val="15"/>
                <w:szCs w:val="15"/>
                <w:lang w:eastAsia="es-MX"/>
              </w:rPr>
            </w:pPr>
            <w:r w:rsidRPr="00255081">
              <w:rPr>
                <w:rFonts w:ascii="Montserrat" w:eastAsia="Times New Roman" w:hAnsi="Montserrat" w:cs="Calibri"/>
                <w:sz w:val="15"/>
                <w:szCs w:val="15"/>
                <w:lang w:eastAsia="es-MX"/>
              </w:rPr>
              <w:t>1,298,683,137</w:t>
            </w:r>
          </w:p>
        </w:tc>
      </w:tr>
      <w:tr w:rsidR="00015492" w:rsidRPr="00995308" w14:paraId="16F2F4F9" w14:textId="77777777" w:rsidTr="000F03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jc w:val="center"/>
        </w:trPr>
        <w:tc>
          <w:tcPr>
            <w:tcW w:w="5583" w:type="dxa"/>
            <w:shd w:val="clear" w:color="000000" w:fill="F2F2F2"/>
            <w:vAlign w:val="center"/>
          </w:tcPr>
          <w:p w14:paraId="1B67C193" w14:textId="35955C0E" w:rsidR="00015492" w:rsidRPr="00255081" w:rsidRDefault="00015492" w:rsidP="004B170A">
            <w:pPr>
              <w:spacing w:after="120" w:line="240" w:lineRule="auto"/>
              <w:jc w:val="both"/>
              <w:rPr>
                <w:rFonts w:ascii="Montserrat" w:eastAsia="Times New Roman" w:hAnsi="Montserrat" w:cs="Calibri"/>
                <w:color w:val="000000"/>
                <w:sz w:val="15"/>
                <w:szCs w:val="15"/>
                <w:lang w:eastAsia="es-MX"/>
              </w:rPr>
            </w:pPr>
            <w:r w:rsidRPr="00255081">
              <w:rPr>
                <w:rFonts w:ascii="Montserrat" w:eastAsia="Times New Roman" w:hAnsi="Montserrat" w:cs="Calibri"/>
                <w:sz w:val="15"/>
                <w:szCs w:val="15"/>
                <w:lang w:eastAsia="es-MX"/>
              </w:rPr>
              <w:t>Hospital Regional de Alta Especialidad del Bajío</w:t>
            </w:r>
          </w:p>
        </w:tc>
        <w:tc>
          <w:tcPr>
            <w:tcW w:w="2463" w:type="dxa"/>
            <w:shd w:val="clear" w:color="000000" w:fill="F2F2F2"/>
            <w:noWrap/>
            <w:vAlign w:val="center"/>
          </w:tcPr>
          <w:p w14:paraId="7679ECB5" w14:textId="3DF95902" w:rsidR="00015492" w:rsidRPr="00255081" w:rsidRDefault="00015492" w:rsidP="000A1B05">
            <w:pPr>
              <w:spacing w:after="120" w:line="240" w:lineRule="auto"/>
              <w:jc w:val="right"/>
              <w:rPr>
                <w:rFonts w:ascii="Montserrat" w:eastAsia="Times New Roman" w:hAnsi="Montserrat" w:cs="Calibri"/>
                <w:color w:val="000000"/>
                <w:sz w:val="15"/>
                <w:szCs w:val="15"/>
                <w:lang w:eastAsia="es-MX"/>
              </w:rPr>
            </w:pPr>
            <w:r w:rsidRPr="00255081">
              <w:rPr>
                <w:rFonts w:ascii="Montserrat" w:eastAsia="Times New Roman" w:hAnsi="Montserrat" w:cs="Calibri"/>
                <w:sz w:val="15"/>
                <w:szCs w:val="15"/>
                <w:lang w:eastAsia="es-MX"/>
              </w:rPr>
              <w:t>126,590,189</w:t>
            </w:r>
          </w:p>
        </w:tc>
        <w:tc>
          <w:tcPr>
            <w:tcW w:w="1192" w:type="dxa"/>
            <w:shd w:val="clear" w:color="000000" w:fill="F2F2F2"/>
            <w:noWrap/>
            <w:vAlign w:val="center"/>
          </w:tcPr>
          <w:p w14:paraId="3E7AC075" w14:textId="21D865FD" w:rsidR="00015492" w:rsidRPr="00255081" w:rsidRDefault="00015492" w:rsidP="000A1B05">
            <w:pPr>
              <w:spacing w:after="120" w:line="240" w:lineRule="auto"/>
              <w:jc w:val="right"/>
              <w:rPr>
                <w:rFonts w:ascii="Montserrat" w:eastAsia="Times New Roman" w:hAnsi="Montserrat" w:cs="Calibri"/>
                <w:color w:val="000000"/>
                <w:sz w:val="15"/>
                <w:szCs w:val="15"/>
                <w:lang w:eastAsia="es-MX"/>
              </w:rPr>
            </w:pPr>
            <w:r w:rsidRPr="00255081">
              <w:rPr>
                <w:rFonts w:ascii="Montserrat" w:eastAsia="Times New Roman" w:hAnsi="Montserrat" w:cs="Calibri"/>
                <w:sz w:val="15"/>
                <w:szCs w:val="15"/>
                <w:lang w:eastAsia="es-MX"/>
              </w:rPr>
              <w:t>100%</w:t>
            </w:r>
          </w:p>
        </w:tc>
        <w:tc>
          <w:tcPr>
            <w:tcW w:w="2558" w:type="dxa"/>
            <w:gridSpan w:val="2"/>
            <w:shd w:val="clear" w:color="000000" w:fill="F2F2F2"/>
            <w:noWrap/>
            <w:vAlign w:val="center"/>
          </w:tcPr>
          <w:p w14:paraId="06362724" w14:textId="05CD6099" w:rsidR="00015492" w:rsidRPr="00255081" w:rsidRDefault="00015492" w:rsidP="000A1B05">
            <w:pPr>
              <w:spacing w:after="120" w:line="240" w:lineRule="auto"/>
              <w:jc w:val="right"/>
              <w:rPr>
                <w:rFonts w:ascii="Montserrat" w:eastAsia="Times New Roman" w:hAnsi="Montserrat" w:cs="Calibri"/>
                <w:color w:val="000000"/>
                <w:sz w:val="15"/>
                <w:szCs w:val="15"/>
                <w:lang w:eastAsia="es-MX"/>
              </w:rPr>
            </w:pPr>
            <w:r w:rsidRPr="00255081">
              <w:rPr>
                <w:rFonts w:ascii="Montserrat" w:eastAsia="Times New Roman" w:hAnsi="Montserrat" w:cs="Calibri"/>
                <w:sz w:val="15"/>
                <w:szCs w:val="15"/>
                <w:lang w:eastAsia="es-MX"/>
              </w:rPr>
              <w:t>126,590,189</w:t>
            </w:r>
          </w:p>
        </w:tc>
      </w:tr>
      <w:tr w:rsidR="00015492" w:rsidRPr="00995308" w14:paraId="71530D56" w14:textId="77777777" w:rsidTr="000F03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0"/>
          <w:jc w:val="center"/>
        </w:trPr>
        <w:tc>
          <w:tcPr>
            <w:tcW w:w="5583" w:type="dxa"/>
            <w:shd w:val="clear" w:color="000000" w:fill="F2F2F2"/>
            <w:vAlign w:val="center"/>
          </w:tcPr>
          <w:p w14:paraId="01ACB44D" w14:textId="0E99B30A" w:rsidR="00015492" w:rsidRPr="00255081" w:rsidRDefault="00015492" w:rsidP="004B170A">
            <w:pPr>
              <w:spacing w:after="120" w:line="240" w:lineRule="auto"/>
              <w:jc w:val="both"/>
              <w:rPr>
                <w:rFonts w:ascii="Montserrat" w:eastAsia="Times New Roman" w:hAnsi="Montserrat" w:cs="Calibri"/>
                <w:color w:val="000000"/>
                <w:sz w:val="15"/>
                <w:szCs w:val="15"/>
                <w:lang w:eastAsia="es-MX"/>
              </w:rPr>
            </w:pPr>
            <w:r w:rsidRPr="00255081">
              <w:rPr>
                <w:rFonts w:ascii="Montserrat" w:eastAsia="Times New Roman" w:hAnsi="Montserrat" w:cs="Calibri"/>
                <w:sz w:val="15"/>
                <w:szCs w:val="15"/>
                <w:lang w:eastAsia="es-MX"/>
              </w:rPr>
              <w:t>Hospital Regional de Alta Especialidad de Oaxaca</w:t>
            </w:r>
          </w:p>
        </w:tc>
        <w:tc>
          <w:tcPr>
            <w:tcW w:w="2463" w:type="dxa"/>
            <w:shd w:val="clear" w:color="000000" w:fill="F2F2F2"/>
            <w:noWrap/>
            <w:vAlign w:val="center"/>
          </w:tcPr>
          <w:p w14:paraId="598D9828" w14:textId="39763CCF" w:rsidR="00015492" w:rsidRPr="00255081" w:rsidRDefault="00015492" w:rsidP="000A1B05">
            <w:pPr>
              <w:spacing w:after="120" w:line="240" w:lineRule="auto"/>
              <w:jc w:val="right"/>
              <w:rPr>
                <w:rFonts w:ascii="Montserrat" w:eastAsia="Times New Roman" w:hAnsi="Montserrat" w:cs="Calibri"/>
                <w:color w:val="000000"/>
                <w:sz w:val="15"/>
                <w:szCs w:val="15"/>
                <w:lang w:eastAsia="es-MX"/>
              </w:rPr>
            </w:pPr>
            <w:r w:rsidRPr="00255081">
              <w:rPr>
                <w:rFonts w:ascii="Montserrat" w:eastAsia="Times New Roman" w:hAnsi="Montserrat" w:cs="Calibri"/>
                <w:sz w:val="15"/>
                <w:szCs w:val="15"/>
                <w:lang w:eastAsia="es-MX"/>
              </w:rPr>
              <w:t>54,482,332</w:t>
            </w:r>
          </w:p>
        </w:tc>
        <w:tc>
          <w:tcPr>
            <w:tcW w:w="1192" w:type="dxa"/>
            <w:shd w:val="clear" w:color="000000" w:fill="F2F2F2"/>
            <w:noWrap/>
            <w:vAlign w:val="center"/>
          </w:tcPr>
          <w:p w14:paraId="28131A7D" w14:textId="08079131" w:rsidR="00015492" w:rsidRPr="00255081" w:rsidRDefault="00015492" w:rsidP="000A1B05">
            <w:pPr>
              <w:spacing w:after="120" w:line="240" w:lineRule="auto"/>
              <w:jc w:val="right"/>
              <w:rPr>
                <w:rFonts w:ascii="Montserrat" w:eastAsia="Times New Roman" w:hAnsi="Montserrat" w:cs="Calibri"/>
                <w:color w:val="000000"/>
                <w:sz w:val="15"/>
                <w:szCs w:val="15"/>
                <w:lang w:eastAsia="es-MX"/>
              </w:rPr>
            </w:pPr>
            <w:r w:rsidRPr="00255081">
              <w:rPr>
                <w:rFonts w:ascii="Montserrat" w:eastAsia="Times New Roman" w:hAnsi="Montserrat" w:cs="Calibri"/>
                <w:sz w:val="15"/>
                <w:szCs w:val="15"/>
                <w:lang w:eastAsia="es-MX"/>
              </w:rPr>
              <w:t>100%</w:t>
            </w:r>
          </w:p>
        </w:tc>
        <w:tc>
          <w:tcPr>
            <w:tcW w:w="2558" w:type="dxa"/>
            <w:gridSpan w:val="2"/>
            <w:shd w:val="clear" w:color="000000" w:fill="F2F2F2"/>
            <w:noWrap/>
            <w:vAlign w:val="center"/>
          </w:tcPr>
          <w:p w14:paraId="7FEC03B9" w14:textId="2559BCED" w:rsidR="00015492" w:rsidRPr="00255081" w:rsidRDefault="00015492" w:rsidP="000A1B05">
            <w:pPr>
              <w:spacing w:after="120" w:line="240" w:lineRule="auto"/>
              <w:jc w:val="right"/>
              <w:rPr>
                <w:rFonts w:ascii="Montserrat" w:eastAsia="Times New Roman" w:hAnsi="Montserrat" w:cs="Calibri"/>
                <w:color w:val="000000"/>
                <w:sz w:val="15"/>
                <w:szCs w:val="15"/>
                <w:lang w:eastAsia="es-MX"/>
              </w:rPr>
            </w:pPr>
            <w:r w:rsidRPr="00255081">
              <w:rPr>
                <w:rFonts w:ascii="Montserrat" w:eastAsia="Times New Roman" w:hAnsi="Montserrat" w:cs="Calibri"/>
                <w:sz w:val="15"/>
                <w:szCs w:val="15"/>
                <w:lang w:eastAsia="es-MX"/>
              </w:rPr>
              <w:t>54,482,332</w:t>
            </w:r>
          </w:p>
        </w:tc>
      </w:tr>
      <w:tr w:rsidR="00015492" w:rsidRPr="00995308" w14:paraId="5C219211" w14:textId="77777777" w:rsidTr="000F03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jc w:val="center"/>
        </w:trPr>
        <w:tc>
          <w:tcPr>
            <w:tcW w:w="5583" w:type="dxa"/>
            <w:shd w:val="clear" w:color="000000" w:fill="F2F2F2"/>
            <w:vAlign w:val="center"/>
          </w:tcPr>
          <w:p w14:paraId="1A338632" w14:textId="7EB18571" w:rsidR="00015492" w:rsidRPr="00255081" w:rsidRDefault="00015492" w:rsidP="004B170A">
            <w:pPr>
              <w:spacing w:after="120" w:line="240" w:lineRule="auto"/>
              <w:jc w:val="both"/>
              <w:rPr>
                <w:rFonts w:ascii="Montserrat" w:eastAsia="Times New Roman" w:hAnsi="Montserrat" w:cs="Calibri"/>
                <w:color w:val="000000"/>
                <w:sz w:val="15"/>
                <w:szCs w:val="15"/>
                <w:lang w:eastAsia="es-MX"/>
              </w:rPr>
            </w:pPr>
            <w:r w:rsidRPr="00255081">
              <w:rPr>
                <w:rFonts w:ascii="Montserrat" w:eastAsia="Times New Roman" w:hAnsi="Montserrat" w:cs="Calibri"/>
                <w:sz w:val="15"/>
                <w:szCs w:val="15"/>
                <w:lang w:eastAsia="es-MX"/>
              </w:rPr>
              <w:t>Hospital Regional de Alta Especialidad de la Península de Yucatán</w:t>
            </w:r>
          </w:p>
        </w:tc>
        <w:tc>
          <w:tcPr>
            <w:tcW w:w="2463" w:type="dxa"/>
            <w:shd w:val="clear" w:color="000000" w:fill="F2F2F2"/>
            <w:noWrap/>
            <w:vAlign w:val="center"/>
          </w:tcPr>
          <w:p w14:paraId="45AFD9A5" w14:textId="7B594CD6" w:rsidR="00015492" w:rsidRPr="00255081" w:rsidRDefault="00015492" w:rsidP="000A1B05">
            <w:pPr>
              <w:spacing w:after="120" w:line="240" w:lineRule="auto"/>
              <w:jc w:val="right"/>
              <w:rPr>
                <w:rFonts w:ascii="Montserrat" w:eastAsia="Times New Roman" w:hAnsi="Montserrat" w:cs="Calibri"/>
                <w:color w:val="000000"/>
                <w:sz w:val="15"/>
                <w:szCs w:val="15"/>
                <w:lang w:eastAsia="es-MX"/>
              </w:rPr>
            </w:pPr>
            <w:r w:rsidRPr="00255081">
              <w:rPr>
                <w:rFonts w:ascii="Montserrat" w:eastAsia="Times New Roman" w:hAnsi="Montserrat" w:cs="Calibri"/>
                <w:sz w:val="15"/>
                <w:szCs w:val="15"/>
                <w:lang w:eastAsia="es-MX"/>
              </w:rPr>
              <w:t>958,273,610</w:t>
            </w:r>
          </w:p>
        </w:tc>
        <w:tc>
          <w:tcPr>
            <w:tcW w:w="1192" w:type="dxa"/>
            <w:shd w:val="clear" w:color="000000" w:fill="F2F2F2"/>
            <w:noWrap/>
            <w:vAlign w:val="center"/>
          </w:tcPr>
          <w:p w14:paraId="063D729A" w14:textId="2BE5B9A3" w:rsidR="00015492" w:rsidRPr="00255081" w:rsidRDefault="00015492" w:rsidP="000A1B05">
            <w:pPr>
              <w:spacing w:after="120" w:line="240" w:lineRule="auto"/>
              <w:jc w:val="right"/>
              <w:rPr>
                <w:rFonts w:ascii="Montserrat" w:eastAsia="Times New Roman" w:hAnsi="Montserrat" w:cs="Calibri"/>
                <w:color w:val="000000"/>
                <w:sz w:val="15"/>
                <w:szCs w:val="15"/>
                <w:lang w:eastAsia="es-MX"/>
              </w:rPr>
            </w:pPr>
            <w:r w:rsidRPr="00255081">
              <w:rPr>
                <w:rFonts w:ascii="Montserrat" w:eastAsia="Times New Roman" w:hAnsi="Montserrat" w:cs="Calibri"/>
                <w:sz w:val="15"/>
                <w:szCs w:val="15"/>
                <w:lang w:eastAsia="es-MX"/>
              </w:rPr>
              <w:t>100%</w:t>
            </w:r>
          </w:p>
        </w:tc>
        <w:tc>
          <w:tcPr>
            <w:tcW w:w="2558" w:type="dxa"/>
            <w:gridSpan w:val="2"/>
            <w:shd w:val="clear" w:color="000000" w:fill="F2F2F2"/>
            <w:noWrap/>
            <w:vAlign w:val="center"/>
          </w:tcPr>
          <w:p w14:paraId="7E622162" w14:textId="270F5A7D" w:rsidR="00015492" w:rsidRPr="00255081" w:rsidRDefault="00015492" w:rsidP="000A1B05">
            <w:pPr>
              <w:spacing w:after="120" w:line="240" w:lineRule="auto"/>
              <w:jc w:val="right"/>
              <w:rPr>
                <w:rFonts w:ascii="Montserrat" w:eastAsia="Times New Roman" w:hAnsi="Montserrat" w:cs="Calibri"/>
                <w:color w:val="000000"/>
                <w:sz w:val="15"/>
                <w:szCs w:val="15"/>
                <w:lang w:eastAsia="es-MX"/>
              </w:rPr>
            </w:pPr>
            <w:r w:rsidRPr="00255081">
              <w:rPr>
                <w:rFonts w:ascii="Montserrat" w:eastAsia="Times New Roman" w:hAnsi="Montserrat" w:cs="Calibri"/>
                <w:sz w:val="15"/>
                <w:szCs w:val="15"/>
                <w:lang w:eastAsia="es-MX"/>
              </w:rPr>
              <w:t>958,273,610</w:t>
            </w:r>
          </w:p>
        </w:tc>
      </w:tr>
      <w:tr w:rsidR="00015492" w:rsidRPr="00995308" w14:paraId="2865C07C" w14:textId="77777777" w:rsidTr="000F03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jc w:val="center"/>
        </w:trPr>
        <w:tc>
          <w:tcPr>
            <w:tcW w:w="5583" w:type="dxa"/>
            <w:shd w:val="clear" w:color="000000" w:fill="F2F2F2"/>
            <w:vAlign w:val="center"/>
          </w:tcPr>
          <w:p w14:paraId="0EED8752" w14:textId="130F30B3" w:rsidR="00015492" w:rsidRPr="00255081" w:rsidRDefault="00015492" w:rsidP="004B170A">
            <w:pPr>
              <w:spacing w:after="120" w:line="240" w:lineRule="auto"/>
              <w:jc w:val="both"/>
              <w:rPr>
                <w:rFonts w:ascii="Montserrat" w:eastAsia="Times New Roman" w:hAnsi="Montserrat" w:cs="Calibri"/>
                <w:color w:val="000000"/>
                <w:sz w:val="15"/>
                <w:szCs w:val="15"/>
                <w:lang w:eastAsia="es-MX"/>
              </w:rPr>
            </w:pPr>
            <w:r w:rsidRPr="00255081">
              <w:rPr>
                <w:rFonts w:ascii="Montserrat" w:eastAsia="Times New Roman" w:hAnsi="Montserrat" w:cs="Calibri"/>
                <w:sz w:val="15"/>
                <w:szCs w:val="15"/>
                <w:lang w:eastAsia="es-MX"/>
              </w:rPr>
              <w:t>Hospital Regional de Alta Especialidad de Ciudad Victoria "Bicentenario 2010"</w:t>
            </w:r>
          </w:p>
        </w:tc>
        <w:tc>
          <w:tcPr>
            <w:tcW w:w="2463" w:type="dxa"/>
            <w:shd w:val="clear" w:color="000000" w:fill="F2F2F2"/>
            <w:noWrap/>
            <w:vAlign w:val="center"/>
          </w:tcPr>
          <w:p w14:paraId="496D12E8" w14:textId="48CBFAD9" w:rsidR="00015492" w:rsidRPr="00255081" w:rsidRDefault="00015492" w:rsidP="000A1B05">
            <w:pPr>
              <w:spacing w:after="120" w:line="240" w:lineRule="auto"/>
              <w:jc w:val="right"/>
              <w:rPr>
                <w:rFonts w:ascii="Montserrat" w:eastAsia="Times New Roman" w:hAnsi="Montserrat" w:cs="Calibri"/>
                <w:color w:val="000000"/>
                <w:sz w:val="15"/>
                <w:szCs w:val="15"/>
                <w:lang w:eastAsia="es-MX"/>
              </w:rPr>
            </w:pPr>
            <w:r w:rsidRPr="00255081">
              <w:rPr>
                <w:rFonts w:ascii="Montserrat" w:eastAsia="Times New Roman" w:hAnsi="Montserrat" w:cs="Calibri"/>
                <w:sz w:val="15"/>
                <w:szCs w:val="15"/>
                <w:lang w:eastAsia="es-MX"/>
              </w:rPr>
              <w:t>51,847,652</w:t>
            </w:r>
          </w:p>
        </w:tc>
        <w:tc>
          <w:tcPr>
            <w:tcW w:w="1192" w:type="dxa"/>
            <w:shd w:val="clear" w:color="000000" w:fill="F2F2F2"/>
            <w:noWrap/>
            <w:vAlign w:val="center"/>
          </w:tcPr>
          <w:p w14:paraId="787B1802" w14:textId="54633D09" w:rsidR="00015492" w:rsidRPr="00255081" w:rsidRDefault="00015492" w:rsidP="000A1B05">
            <w:pPr>
              <w:spacing w:after="120" w:line="240" w:lineRule="auto"/>
              <w:jc w:val="right"/>
              <w:rPr>
                <w:rFonts w:ascii="Montserrat" w:eastAsia="Times New Roman" w:hAnsi="Montserrat" w:cs="Calibri"/>
                <w:color w:val="000000"/>
                <w:sz w:val="15"/>
                <w:szCs w:val="15"/>
                <w:lang w:eastAsia="es-MX"/>
              </w:rPr>
            </w:pPr>
            <w:r w:rsidRPr="00255081">
              <w:rPr>
                <w:rFonts w:ascii="Montserrat" w:eastAsia="Times New Roman" w:hAnsi="Montserrat" w:cs="Calibri"/>
                <w:sz w:val="15"/>
                <w:szCs w:val="15"/>
                <w:lang w:eastAsia="es-MX"/>
              </w:rPr>
              <w:t>100%</w:t>
            </w:r>
          </w:p>
        </w:tc>
        <w:tc>
          <w:tcPr>
            <w:tcW w:w="2558" w:type="dxa"/>
            <w:gridSpan w:val="2"/>
            <w:shd w:val="clear" w:color="000000" w:fill="F2F2F2"/>
            <w:noWrap/>
            <w:vAlign w:val="center"/>
          </w:tcPr>
          <w:p w14:paraId="2554FABE" w14:textId="7E2952D0" w:rsidR="00015492" w:rsidRPr="00255081" w:rsidRDefault="00015492" w:rsidP="000A1B05">
            <w:pPr>
              <w:spacing w:after="120" w:line="240" w:lineRule="auto"/>
              <w:jc w:val="right"/>
              <w:rPr>
                <w:rFonts w:ascii="Montserrat" w:eastAsia="Times New Roman" w:hAnsi="Montserrat" w:cs="Calibri"/>
                <w:color w:val="000000"/>
                <w:sz w:val="15"/>
                <w:szCs w:val="15"/>
                <w:lang w:eastAsia="es-MX"/>
              </w:rPr>
            </w:pPr>
            <w:r w:rsidRPr="00255081">
              <w:rPr>
                <w:rFonts w:ascii="Montserrat" w:eastAsia="Times New Roman" w:hAnsi="Montserrat" w:cs="Calibri"/>
                <w:sz w:val="15"/>
                <w:szCs w:val="15"/>
                <w:lang w:eastAsia="es-MX"/>
              </w:rPr>
              <w:t>51,847,652</w:t>
            </w:r>
          </w:p>
        </w:tc>
      </w:tr>
      <w:tr w:rsidR="00015492" w:rsidRPr="00995308" w14:paraId="071F4687" w14:textId="77777777" w:rsidTr="000F03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jc w:val="center"/>
        </w:trPr>
        <w:tc>
          <w:tcPr>
            <w:tcW w:w="5583" w:type="dxa"/>
            <w:shd w:val="clear" w:color="000000" w:fill="F2F2F2"/>
            <w:vAlign w:val="center"/>
          </w:tcPr>
          <w:p w14:paraId="62961290" w14:textId="125AFFE2" w:rsidR="00015492" w:rsidRPr="00255081" w:rsidRDefault="00015492" w:rsidP="004B170A">
            <w:pPr>
              <w:spacing w:after="120" w:line="240" w:lineRule="auto"/>
              <w:jc w:val="both"/>
              <w:rPr>
                <w:rFonts w:ascii="Montserrat" w:eastAsia="Times New Roman" w:hAnsi="Montserrat" w:cs="Calibri"/>
                <w:color w:val="000000"/>
                <w:sz w:val="15"/>
                <w:szCs w:val="15"/>
                <w:lang w:eastAsia="es-MX"/>
              </w:rPr>
            </w:pPr>
            <w:r w:rsidRPr="00255081">
              <w:rPr>
                <w:rFonts w:ascii="Montserrat" w:eastAsia="Times New Roman" w:hAnsi="Montserrat" w:cs="Calibri"/>
                <w:sz w:val="15"/>
                <w:szCs w:val="15"/>
                <w:lang w:eastAsia="es-MX"/>
              </w:rPr>
              <w:t>Hospital Regional de Alta Especialidad de Ixtapaluca</w:t>
            </w:r>
          </w:p>
        </w:tc>
        <w:tc>
          <w:tcPr>
            <w:tcW w:w="2463" w:type="dxa"/>
            <w:shd w:val="clear" w:color="000000" w:fill="F2F2F2"/>
            <w:noWrap/>
            <w:vAlign w:val="center"/>
          </w:tcPr>
          <w:p w14:paraId="3252FD06" w14:textId="48174091" w:rsidR="00015492" w:rsidRPr="00255081" w:rsidRDefault="00015492" w:rsidP="000A1B05">
            <w:pPr>
              <w:spacing w:after="120" w:line="240" w:lineRule="auto"/>
              <w:jc w:val="right"/>
              <w:rPr>
                <w:rFonts w:ascii="Montserrat" w:eastAsia="Times New Roman" w:hAnsi="Montserrat" w:cs="Calibri"/>
                <w:color w:val="000000"/>
                <w:sz w:val="15"/>
                <w:szCs w:val="15"/>
                <w:lang w:eastAsia="es-MX"/>
              </w:rPr>
            </w:pPr>
            <w:r w:rsidRPr="00255081">
              <w:rPr>
                <w:rFonts w:ascii="Montserrat" w:eastAsia="Times New Roman" w:hAnsi="Montserrat" w:cs="Calibri"/>
                <w:sz w:val="15"/>
                <w:szCs w:val="15"/>
                <w:lang w:eastAsia="es-MX"/>
              </w:rPr>
              <w:t>2,551,341</w:t>
            </w:r>
          </w:p>
        </w:tc>
        <w:tc>
          <w:tcPr>
            <w:tcW w:w="1192" w:type="dxa"/>
            <w:shd w:val="clear" w:color="000000" w:fill="F2F2F2"/>
            <w:noWrap/>
            <w:vAlign w:val="center"/>
          </w:tcPr>
          <w:p w14:paraId="34C1996F" w14:textId="3F14CEBF" w:rsidR="00015492" w:rsidRPr="00255081" w:rsidRDefault="00015492" w:rsidP="000A1B05">
            <w:pPr>
              <w:spacing w:after="120" w:line="240" w:lineRule="auto"/>
              <w:jc w:val="right"/>
              <w:rPr>
                <w:rFonts w:ascii="Montserrat" w:eastAsia="Times New Roman" w:hAnsi="Montserrat" w:cs="Calibri"/>
                <w:color w:val="000000"/>
                <w:sz w:val="15"/>
                <w:szCs w:val="15"/>
                <w:lang w:eastAsia="es-MX"/>
              </w:rPr>
            </w:pPr>
            <w:r w:rsidRPr="00255081">
              <w:rPr>
                <w:rFonts w:ascii="Montserrat" w:eastAsia="Times New Roman" w:hAnsi="Montserrat" w:cs="Calibri"/>
                <w:sz w:val="15"/>
                <w:szCs w:val="15"/>
                <w:lang w:eastAsia="es-MX"/>
              </w:rPr>
              <w:t>100%</w:t>
            </w:r>
          </w:p>
        </w:tc>
        <w:tc>
          <w:tcPr>
            <w:tcW w:w="2558" w:type="dxa"/>
            <w:gridSpan w:val="2"/>
            <w:shd w:val="clear" w:color="000000" w:fill="F2F2F2"/>
            <w:noWrap/>
            <w:vAlign w:val="center"/>
          </w:tcPr>
          <w:p w14:paraId="02281164" w14:textId="1C4C4796" w:rsidR="00015492" w:rsidRPr="00255081" w:rsidRDefault="00015492" w:rsidP="000A1B05">
            <w:pPr>
              <w:spacing w:after="120" w:line="240" w:lineRule="auto"/>
              <w:jc w:val="right"/>
              <w:rPr>
                <w:rFonts w:ascii="Montserrat" w:eastAsia="Times New Roman" w:hAnsi="Montserrat" w:cs="Calibri"/>
                <w:color w:val="000000"/>
                <w:sz w:val="15"/>
                <w:szCs w:val="15"/>
                <w:lang w:eastAsia="es-MX"/>
              </w:rPr>
            </w:pPr>
            <w:r w:rsidRPr="00255081">
              <w:rPr>
                <w:rFonts w:ascii="Montserrat" w:eastAsia="Times New Roman" w:hAnsi="Montserrat" w:cs="Calibri"/>
                <w:sz w:val="15"/>
                <w:szCs w:val="15"/>
                <w:lang w:eastAsia="es-MX"/>
              </w:rPr>
              <w:t>2,551,341</w:t>
            </w:r>
          </w:p>
        </w:tc>
      </w:tr>
      <w:tr w:rsidR="00015492" w:rsidRPr="00995308" w14:paraId="410BED82" w14:textId="77777777" w:rsidTr="000F03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0"/>
          <w:jc w:val="center"/>
        </w:trPr>
        <w:tc>
          <w:tcPr>
            <w:tcW w:w="5583" w:type="dxa"/>
            <w:shd w:val="clear" w:color="000000" w:fill="F2F2F2"/>
            <w:vAlign w:val="center"/>
          </w:tcPr>
          <w:p w14:paraId="55E16908" w14:textId="356302EF" w:rsidR="00015492" w:rsidRPr="00255081" w:rsidRDefault="00015492" w:rsidP="004B170A">
            <w:pPr>
              <w:spacing w:after="120" w:line="240" w:lineRule="auto"/>
              <w:jc w:val="both"/>
              <w:rPr>
                <w:rFonts w:ascii="Montserrat" w:eastAsia="Times New Roman" w:hAnsi="Montserrat" w:cs="Calibri"/>
                <w:color w:val="000000"/>
                <w:sz w:val="15"/>
                <w:szCs w:val="15"/>
                <w:lang w:eastAsia="es-MX"/>
              </w:rPr>
            </w:pPr>
            <w:r w:rsidRPr="00255081">
              <w:rPr>
                <w:rFonts w:ascii="Montserrat" w:eastAsia="Times New Roman" w:hAnsi="Montserrat" w:cs="Calibri"/>
                <w:sz w:val="15"/>
                <w:szCs w:val="15"/>
                <w:lang w:eastAsia="es-MX"/>
              </w:rPr>
              <w:t>Instituto Nacional de Cancerología</w:t>
            </w:r>
          </w:p>
        </w:tc>
        <w:tc>
          <w:tcPr>
            <w:tcW w:w="2463" w:type="dxa"/>
            <w:shd w:val="clear" w:color="000000" w:fill="F2F2F2"/>
            <w:noWrap/>
            <w:vAlign w:val="center"/>
          </w:tcPr>
          <w:p w14:paraId="43873664" w14:textId="32746291" w:rsidR="00015492" w:rsidRPr="00255081" w:rsidRDefault="00015492" w:rsidP="000A1B05">
            <w:pPr>
              <w:spacing w:after="120" w:line="240" w:lineRule="auto"/>
              <w:jc w:val="right"/>
              <w:rPr>
                <w:rFonts w:ascii="Montserrat" w:eastAsia="Times New Roman" w:hAnsi="Montserrat" w:cs="Calibri"/>
                <w:color w:val="000000"/>
                <w:sz w:val="15"/>
                <w:szCs w:val="15"/>
                <w:lang w:eastAsia="es-MX"/>
              </w:rPr>
            </w:pPr>
            <w:r w:rsidRPr="00255081">
              <w:rPr>
                <w:rFonts w:ascii="Montserrat" w:eastAsia="Times New Roman" w:hAnsi="Montserrat" w:cs="Calibri"/>
                <w:sz w:val="15"/>
                <w:szCs w:val="15"/>
                <w:lang w:eastAsia="es-MX"/>
              </w:rPr>
              <w:t>2,351,555,373</w:t>
            </w:r>
          </w:p>
        </w:tc>
        <w:tc>
          <w:tcPr>
            <w:tcW w:w="1192" w:type="dxa"/>
            <w:shd w:val="clear" w:color="000000" w:fill="F2F2F2"/>
            <w:noWrap/>
            <w:vAlign w:val="center"/>
          </w:tcPr>
          <w:p w14:paraId="353E760B" w14:textId="35F6230D" w:rsidR="00015492" w:rsidRPr="00255081" w:rsidRDefault="00015492" w:rsidP="000A1B05">
            <w:pPr>
              <w:spacing w:after="120" w:line="240" w:lineRule="auto"/>
              <w:jc w:val="right"/>
              <w:rPr>
                <w:rFonts w:ascii="Montserrat" w:eastAsia="Times New Roman" w:hAnsi="Montserrat" w:cs="Calibri"/>
                <w:color w:val="000000"/>
                <w:sz w:val="15"/>
                <w:szCs w:val="15"/>
                <w:lang w:eastAsia="es-MX"/>
              </w:rPr>
            </w:pPr>
            <w:r w:rsidRPr="00255081">
              <w:rPr>
                <w:rFonts w:ascii="Montserrat" w:eastAsia="Times New Roman" w:hAnsi="Montserrat" w:cs="Calibri"/>
                <w:sz w:val="15"/>
                <w:szCs w:val="15"/>
                <w:lang w:eastAsia="es-MX"/>
              </w:rPr>
              <w:t>100%</w:t>
            </w:r>
          </w:p>
        </w:tc>
        <w:tc>
          <w:tcPr>
            <w:tcW w:w="2558" w:type="dxa"/>
            <w:gridSpan w:val="2"/>
            <w:shd w:val="clear" w:color="000000" w:fill="F2F2F2"/>
            <w:noWrap/>
            <w:vAlign w:val="center"/>
          </w:tcPr>
          <w:p w14:paraId="38434410" w14:textId="3EAB836A" w:rsidR="00015492" w:rsidRPr="00255081" w:rsidRDefault="00015492" w:rsidP="000A1B05">
            <w:pPr>
              <w:spacing w:after="120" w:line="240" w:lineRule="auto"/>
              <w:jc w:val="right"/>
              <w:rPr>
                <w:rFonts w:ascii="Montserrat" w:eastAsia="Times New Roman" w:hAnsi="Montserrat" w:cs="Calibri"/>
                <w:color w:val="000000"/>
                <w:sz w:val="15"/>
                <w:szCs w:val="15"/>
                <w:lang w:eastAsia="es-MX"/>
              </w:rPr>
            </w:pPr>
            <w:r w:rsidRPr="00255081">
              <w:rPr>
                <w:rFonts w:ascii="Montserrat" w:eastAsia="Times New Roman" w:hAnsi="Montserrat" w:cs="Calibri"/>
                <w:sz w:val="15"/>
                <w:szCs w:val="15"/>
                <w:lang w:eastAsia="es-MX"/>
              </w:rPr>
              <w:t>2,351,555,373</w:t>
            </w:r>
          </w:p>
        </w:tc>
      </w:tr>
      <w:tr w:rsidR="00015492" w:rsidRPr="00995308" w14:paraId="4A8240B8" w14:textId="77777777" w:rsidTr="000F03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jc w:val="center"/>
        </w:trPr>
        <w:tc>
          <w:tcPr>
            <w:tcW w:w="5583" w:type="dxa"/>
            <w:shd w:val="clear" w:color="000000" w:fill="F2F2F2"/>
            <w:vAlign w:val="center"/>
          </w:tcPr>
          <w:p w14:paraId="01A37B08" w14:textId="54DD3D3E" w:rsidR="00015492" w:rsidRPr="00255081" w:rsidRDefault="00015492" w:rsidP="004B170A">
            <w:pPr>
              <w:spacing w:after="120" w:line="240" w:lineRule="auto"/>
              <w:jc w:val="both"/>
              <w:rPr>
                <w:rFonts w:ascii="Montserrat" w:eastAsia="Times New Roman" w:hAnsi="Montserrat" w:cs="Calibri"/>
                <w:color w:val="000000"/>
                <w:sz w:val="15"/>
                <w:szCs w:val="15"/>
                <w:lang w:eastAsia="es-MX"/>
              </w:rPr>
            </w:pPr>
            <w:r w:rsidRPr="00255081">
              <w:rPr>
                <w:rFonts w:ascii="Montserrat" w:eastAsia="Times New Roman" w:hAnsi="Montserrat" w:cs="Calibri"/>
                <w:sz w:val="15"/>
                <w:szCs w:val="15"/>
                <w:lang w:eastAsia="es-MX"/>
              </w:rPr>
              <w:t>Instituto Nacional de Cardiología Ignacio Chávez</w:t>
            </w:r>
          </w:p>
        </w:tc>
        <w:tc>
          <w:tcPr>
            <w:tcW w:w="2463" w:type="dxa"/>
            <w:shd w:val="clear" w:color="000000" w:fill="F2F2F2"/>
            <w:noWrap/>
            <w:vAlign w:val="center"/>
          </w:tcPr>
          <w:p w14:paraId="77B39D79" w14:textId="46835528" w:rsidR="00015492" w:rsidRPr="00255081" w:rsidRDefault="00015492" w:rsidP="000A1B05">
            <w:pPr>
              <w:spacing w:after="120" w:line="240" w:lineRule="auto"/>
              <w:jc w:val="right"/>
              <w:rPr>
                <w:rFonts w:ascii="Montserrat" w:eastAsia="Times New Roman" w:hAnsi="Montserrat" w:cs="Calibri"/>
                <w:color w:val="000000"/>
                <w:sz w:val="15"/>
                <w:szCs w:val="15"/>
                <w:lang w:eastAsia="es-MX"/>
              </w:rPr>
            </w:pPr>
            <w:r w:rsidRPr="00255081">
              <w:rPr>
                <w:rFonts w:ascii="Montserrat" w:eastAsia="Times New Roman" w:hAnsi="Montserrat" w:cs="Calibri"/>
                <w:sz w:val="15"/>
                <w:szCs w:val="15"/>
                <w:lang w:eastAsia="es-MX"/>
              </w:rPr>
              <w:t>1,478,631,994</w:t>
            </w:r>
          </w:p>
        </w:tc>
        <w:tc>
          <w:tcPr>
            <w:tcW w:w="1192" w:type="dxa"/>
            <w:shd w:val="clear" w:color="000000" w:fill="F2F2F2"/>
            <w:noWrap/>
            <w:vAlign w:val="center"/>
          </w:tcPr>
          <w:p w14:paraId="40AD144F" w14:textId="3766AD02" w:rsidR="00015492" w:rsidRPr="00255081" w:rsidRDefault="00015492" w:rsidP="000A1B05">
            <w:pPr>
              <w:spacing w:after="120" w:line="240" w:lineRule="auto"/>
              <w:jc w:val="right"/>
              <w:rPr>
                <w:rFonts w:ascii="Montserrat" w:eastAsia="Times New Roman" w:hAnsi="Montserrat" w:cs="Calibri"/>
                <w:color w:val="000000"/>
                <w:sz w:val="15"/>
                <w:szCs w:val="15"/>
                <w:lang w:eastAsia="es-MX"/>
              </w:rPr>
            </w:pPr>
            <w:r w:rsidRPr="00255081">
              <w:rPr>
                <w:rFonts w:ascii="Montserrat" w:eastAsia="Times New Roman" w:hAnsi="Montserrat" w:cs="Calibri"/>
                <w:sz w:val="15"/>
                <w:szCs w:val="15"/>
                <w:lang w:eastAsia="es-MX"/>
              </w:rPr>
              <w:t>100%</w:t>
            </w:r>
          </w:p>
        </w:tc>
        <w:tc>
          <w:tcPr>
            <w:tcW w:w="2558" w:type="dxa"/>
            <w:gridSpan w:val="2"/>
            <w:shd w:val="clear" w:color="000000" w:fill="F2F2F2"/>
            <w:noWrap/>
            <w:vAlign w:val="center"/>
          </w:tcPr>
          <w:p w14:paraId="4AF0E88D" w14:textId="7907F885" w:rsidR="00015492" w:rsidRPr="00255081" w:rsidRDefault="00015492" w:rsidP="000A1B05">
            <w:pPr>
              <w:spacing w:after="120" w:line="240" w:lineRule="auto"/>
              <w:jc w:val="right"/>
              <w:rPr>
                <w:rFonts w:ascii="Montserrat" w:eastAsia="Times New Roman" w:hAnsi="Montserrat" w:cs="Calibri"/>
                <w:color w:val="000000"/>
                <w:sz w:val="15"/>
                <w:szCs w:val="15"/>
                <w:lang w:eastAsia="es-MX"/>
              </w:rPr>
            </w:pPr>
            <w:r w:rsidRPr="00255081">
              <w:rPr>
                <w:rFonts w:ascii="Montserrat" w:eastAsia="Times New Roman" w:hAnsi="Montserrat" w:cs="Calibri"/>
                <w:sz w:val="15"/>
                <w:szCs w:val="15"/>
                <w:lang w:eastAsia="es-MX"/>
              </w:rPr>
              <w:t>1,478,631,994</w:t>
            </w:r>
          </w:p>
        </w:tc>
      </w:tr>
      <w:tr w:rsidR="00015492" w:rsidRPr="00995308" w14:paraId="1C445BFF" w14:textId="77777777" w:rsidTr="000F03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jc w:val="center"/>
        </w:trPr>
        <w:tc>
          <w:tcPr>
            <w:tcW w:w="5583" w:type="dxa"/>
            <w:shd w:val="clear" w:color="000000" w:fill="F2F2F2"/>
            <w:vAlign w:val="center"/>
          </w:tcPr>
          <w:p w14:paraId="6435E3B8" w14:textId="77777777" w:rsidR="0065225C" w:rsidRDefault="0065225C" w:rsidP="004B170A">
            <w:pPr>
              <w:spacing w:after="120" w:line="240" w:lineRule="auto"/>
              <w:jc w:val="both"/>
              <w:rPr>
                <w:rFonts w:ascii="Montserrat" w:eastAsia="Times New Roman" w:hAnsi="Montserrat" w:cs="Calibri"/>
                <w:sz w:val="15"/>
                <w:szCs w:val="15"/>
                <w:lang w:eastAsia="es-MX"/>
              </w:rPr>
            </w:pPr>
          </w:p>
          <w:p w14:paraId="01F9B1DB" w14:textId="41D5FB81" w:rsidR="00015492" w:rsidRPr="00255081" w:rsidRDefault="00015492" w:rsidP="004B170A">
            <w:pPr>
              <w:spacing w:after="120" w:line="240" w:lineRule="auto"/>
              <w:jc w:val="both"/>
              <w:rPr>
                <w:rFonts w:ascii="Montserrat" w:eastAsia="Times New Roman" w:hAnsi="Montserrat" w:cs="Calibri"/>
                <w:color w:val="000000"/>
                <w:sz w:val="15"/>
                <w:szCs w:val="15"/>
                <w:lang w:eastAsia="es-MX"/>
              </w:rPr>
            </w:pPr>
            <w:r w:rsidRPr="00255081">
              <w:rPr>
                <w:rFonts w:ascii="Montserrat" w:eastAsia="Times New Roman" w:hAnsi="Montserrat" w:cs="Calibri"/>
                <w:sz w:val="15"/>
                <w:szCs w:val="15"/>
                <w:lang w:eastAsia="es-MX"/>
              </w:rPr>
              <w:t>Instituto Nacional de Enfermedades Respiratorias Ismael Cosío Villegas</w:t>
            </w:r>
          </w:p>
        </w:tc>
        <w:tc>
          <w:tcPr>
            <w:tcW w:w="2463" w:type="dxa"/>
            <w:shd w:val="clear" w:color="000000" w:fill="F2F2F2"/>
            <w:noWrap/>
            <w:vAlign w:val="center"/>
          </w:tcPr>
          <w:p w14:paraId="026DF3DF" w14:textId="77777777" w:rsidR="0065225C" w:rsidRDefault="0065225C" w:rsidP="000A1B05">
            <w:pPr>
              <w:spacing w:after="120" w:line="240" w:lineRule="auto"/>
              <w:jc w:val="right"/>
              <w:rPr>
                <w:rFonts w:ascii="Montserrat" w:eastAsia="Times New Roman" w:hAnsi="Montserrat" w:cs="Calibri"/>
                <w:sz w:val="15"/>
                <w:szCs w:val="15"/>
                <w:lang w:eastAsia="es-MX"/>
              </w:rPr>
            </w:pPr>
          </w:p>
          <w:p w14:paraId="6328DE52" w14:textId="491E6100" w:rsidR="00015492" w:rsidRPr="00255081" w:rsidRDefault="00015492" w:rsidP="000A1B05">
            <w:pPr>
              <w:spacing w:after="120" w:line="240" w:lineRule="auto"/>
              <w:jc w:val="right"/>
              <w:rPr>
                <w:rFonts w:ascii="Montserrat" w:eastAsia="Times New Roman" w:hAnsi="Montserrat" w:cs="Calibri"/>
                <w:color w:val="000000"/>
                <w:sz w:val="15"/>
                <w:szCs w:val="15"/>
                <w:lang w:eastAsia="es-MX"/>
              </w:rPr>
            </w:pPr>
            <w:r w:rsidRPr="00255081">
              <w:rPr>
                <w:rFonts w:ascii="Montserrat" w:eastAsia="Times New Roman" w:hAnsi="Montserrat" w:cs="Calibri"/>
                <w:sz w:val="15"/>
                <w:szCs w:val="15"/>
                <w:lang w:eastAsia="es-MX"/>
              </w:rPr>
              <w:t>1,052,684,394</w:t>
            </w:r>
          </w:p>
        </w:tc>
        <w:tc>
          <w:tcPr>
            <w:tcW w:w="1192" w:type="dxa"/>
            <w:shd w:val="clear" w:color="000000" w:fill="F2F2F2"/>
            <w:noWrap/>
            <w:vAlign w:val="center"/>
          </w:tcPr>
          <w:p w14:paraId="4F316650" w14:textId="77777777" w:rsidR="0065225C" w:rsidRDefault="0065225C" w:rsidP="000A1B05">
            <w:pPr>
              <w:spacing w:after="120" w:line="240" w:lineRule="auto"/>
              <w:jc w:val="right"/>
              <w:rPr>
                <w:rFonts w:ascii="Montserrat" w:eastAsia="Times New Roman" w:hAnsi="Montserrat" w:cs="Calibri"/>
                <w:sz w:val="15"/>
                <w:szCs w:val="15"/>
                <w:lang w:eastAsia="es-MX"/>
              </w:rPr>
            </w:pPr>
          </w:p>
          <w:p w14:paraId="31E5DFBC" w14:textId="2D7C0E60" w:rsidR="00015492" w:rsidRPr="00255081" w:rsidRDefault="00015492" w:rsidP="000A1B05">
            <w:pPr>
              <w:spacing w:after="120" w:line="240" w:lineRule="auto"/>
              <w:jc w:val="right"/>
              <w:rPr>
                <w:rFonts w:ascii="Montserrat" w:eastAsia="Times New Roman" w:hAnsi="Montserrat" w:cs="Calibri"/>
                <w:color w:val="000000"/>
                <w:sz w:val="15"/>
                <w:szCs w:val="15"/>
                <w:lang w:eastAsia="es-MX"/>
              </w:rPr>
            </w:pPr>
            <w:r w:rsidRPr="00255081">
              <w:rPr>
                <w:rFonts w:ascii="Montserrat" w:eastAsia="Times New Roman" w:hAnsi="Montserrat" w:cs="Calibri"/>
                <w:sz w:val="15"/>
                <w:szCs w:val="15"/>
                <w:lang w:eastAsia="es-MX"/>
              </w:rPr>
              <w:t>100%</w:t>
            </w:r>
          </w:p>
        </w:tc>
        <w:tc>
          <w:tcPr>
            <w:tcW w:w="2558" w:type="dxa"/>
            <w:gridSpan w:val="2"/>
            <w:shd w:val="clear" w:color="000000" w:fill="F2F2F2"/>
            <w:noWrap/>
            <w:vAlign w:val="center"/>
          </w:tcPr>
          <w:p w14:paraId="352EDCAA" w14:textId="77777777" w:rsidR="0065225C" w:rsidRDefault="0065225C" w:rsidP="000A1B05">
            <w:pPr>
              <w:spacing w:after="120" w:line="240" w:lineRule="auto"/>
              <w:jc w:val="right"/>
              <w:rPr>
                <w:rFonts w:ascii="Montserrat" w:eastAsia="Times New Roman" w:hAnsi="Montserrat" w:cs="Calibri"/>
                <w:sz w:val="15"/>
                <w:szCs w:val="15"/>
                <w:lang w:eastAsia="es-MX"/>
              </w:rPr>
            </w:pPr>
          </w:p>
          <w:p w14:paraId="5AC50803" w14:textId="0B403665" w:rsidR="00015492" w:rsidRPr="00255081" w:rsidRDefault="00015492" w:rsidP="000A1B05">
            <w:pPr>
              <w:spacing w:after="120" w:line="240" w:lineRule="auto"/>
              <w:jc w:val="right"/>
              <w:rPr>
                <w:rFonts w:ascii="Montserrat" w:eastAsia="Times New Roman" w:hAnsi="Montserrat" w:cs="Calibri"/>
                <w:color w:val="000000"/>
                <w:sz w:val="15"/>
                <w:szCs w:val="15"/>
                <w:lang w:eastAsia="es-MX"/>
              </w:rPr>
            </w:pPr>
            <w:r w:rsidRPr="00255081">
              <w:rPr>
                <w:rFonts w:ascii="Montserrat" w:eastAsia="Times New Roman" w:hAnsi="Montserrat" w:cs="Calibri"/>
                <w:sz w:val="15"/>
                <w:szCs w:val="15"/>
                <w:lang w:eastAsia="es-MX"/>
              </w:rPr>
              <w:t>1,052,684,394</w:t>
            </w:r>
          </w:p>
        </w:tc>
      </w:tr>
      <w:tr w:rsidR="00015492" w:rsidRPr="00995308" w14:paraId="406A5436" w14:textId="77777777" w:rsidTr="000F03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jc w:val="center"/>
        </w:trPr>
        <w:tc>
          <w:tcPr>
            <w:tcW w:w="5583" w:type="dxa"/>
            <w:shd w:val="clear" w:color="000000" w:fill="F2F2F2"/>
            <w:vAlign w:val="center"/>
          </w:tcPr>
          <w:p w14:paraId="058A0E3F" w14:textId="3973790A" w:rsidR="00015492" w:rsidRPr="00255081" w:rsidRDefault="00015492" w:rsidP="004B170A">
            <w:pPr>
              <w:spacing w:after="120" w:line="240" w:lineRule="auto"/>
              <w:jc w:val="both"/>
              <w:rPr>
                <w:rFonts w:ascii="Montserrat" w:eastAsia="Times New Roman" w:hAnsi="Montserrat" w:cs="Calibri"/>
                <w:color w:val="000000"/>
                <w:sz w:val="15"/>
                <w:szCs w:val="15"/>
                <w:lang w:eastAsia="es-MX"/>
              </w:rPr>
            </w:pPr>
            <w:r w:rsidRPr="00255081">
              <w:rPr>
                <w:rFonts w:ascii="Montserrat" w:eastAsia="Times New Roman" w:hAnsi="Montserrat" w:cs="Calibri"/>
                <w:sz w:val="15"/>
                <w:szCs w:val="15"/>
                <w:lang w:eastAsia="es-MX"/>
              </w:rPr>
              <w:t>Instituto Nacional de Geriatría</w:t>
            </w:r>
          </w:p>
        </w:tc>
        <w:tc>
          <w:tcPr>
            <w:tcW w:w="2463" w:type="dxa"/>
            <w:shd w:val="clear" w:color="000000" w:fill="F2F2F2"/>
            <w:noWrap/>
            <w:vAlign w:val="center"/>
          </w:tcPr>
          <w:p w14:paraId="1C513ABD" w14:textId="1DF73EE4" w:rsidR="00015492" w:rsidRPr="00255081" w:rsidRDefault="00015492" w:rsidP="000A1B05">
            <w:pPr>
              <w:spacing w:after="120" w:line="240" w:lineRule="auto"/>
              <w:jc w:val="right"/>
              <w:rPr>
                <w:rFonts w:ascii="Montserrat" w:eastAsia="Times New Roman" w:hAnsi="Montserrat" w:cs="Calibri"/>
                <w:color w:val="000000"/>
                <w:sz w:val="15"/>
                <w:szCs w:val="15"/>
                <w:lang w:eastAsia="es-MX"/>
              </w:rPr>
            </w:pPr>
            <w:r w:rsidRPr="00255081">
              <w:rPr>
                <w:rFonts w:ascii="Montserrat" w:eastAsia="Times New Roman" w:hAnsi="Montserrat" w:cs="Calibri"/>
                <w:sz w:val="15"/>
                <w:szCs w:val="15"/>
                <w:lang w:eastAsia="es-MX"/>
              </w:rPr>
              <w:t>1,180,619,609</w:t>
            </w:r>
          </w:p>
        </w:tc>
        <w:tc>
          <w:tcPr>
            <w:tcW w:w="1192" w:type="dxa"/>
            <w:shd w:val="clear" w:color="000000" w:fill="F2F2F2"/>
            <w:noWrap/>
            <w:vAlign w:val="center"/>
          </w:tcPr>
          <w:p w14:paraId="734732CF" w14:textId="31346488" w:rsidR="00015492" w:rsidRPr="00255081" w:rsidRDefault="00015492" w:rsidP="000A1B05">
            <w:pPr>
              <w:spacing w:after="120" w:line="240" w:lineRule="auto"/>
              <w:jc w:val="right"/>
              <w:rPr>
                <w:rFonts w:ascii="Montserrat" w:eastAsia="Times New Roman" w:hAnsi="Montserrat" w:cs="Calibri"/>
                <w:color w:val="000000"/>
                <w:sz w:val="15"/>
                <w:szCs w:val="15"/>
                <w:lang w:eastAsia="es-MX"/>
              </w:rPr>
            </w:pPr>
            <w:r w:rsidRPr="00255081">
              <w:rPr>
                <w:rFonts w:ascii="Montserrat" w:eastAsia="Times New Roman" w:hAnsi="Montserrat" w:cs="Calibri"/>
                <w:sz w:val="15"/>
                <w:szCs w:val="15"/>
                <w:lang w:eastAsia="es-MX"/>
              </w:rPr>
              <w:t>100%</w:t>
            </w:r>
          </w:p>
        </w:tc>
        <w:tc>
          <w:tcPr>
            <w:tcW w:w="2558" w:type="dxa"/>
            <w:gridSpan w:val="2"/>
            <w:shd w:val="clear" w:color="000000" w:fill="F2F2F2"/>
            <w:noWrap/>
            <w:vAlign w:val="center"/>
          </w:tcPr>
          <w:p w14:paraId="0D751A5A" w14:textId="4D0A21CA" w:rsidR="00015492" w:rsidRPr="00255081" w:rsidRDefault="00015492" w:rsidP="000A1B05">
            <w:pPr>
              <w:spacing w:after="120" w:line="240" w:lineRule="auto"/>
              <w:jc w:val="right"/>
              <w:rPr>
                <w:rFonts w:ascii="Montserrat" w:eastAsia="Times New Roman" w:hAnsi="Montserrat" w:cs="Calibri"/>
                <w:color w:val="000000"/>
                <w:sz w:val="15"/>
                <w:szCs w:val="15"/>
                <w:lang w:eastAsia="es-MX"/>
              </w:rPr>
            </w:pPr>
            <w:r w:rsidRPr="00255081">
              <w:rPr>
                <w:rFonts w:ascii="Montserrat" w:eastAsia="Times New Roman" w:hAnsi="Montserrat" w:cs="Calibri"/>
                <w:sz w:val="15"/>
                <w:szCs w:val="15"/>
                <w:lang w:eastAsia="es-MX"/>
              </w:rPr>
              <w:t>1,180,619,609</w:t>
            </w:r>
          </w:p>
        </w:tc>
      </w:tr>
      <w:tr w:rsidR="00015492" w:rsidRPr="00995308" w14:paraId="10B298DC" w14:textId="77777777" w:rsidTr="000F03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0"/>
          <w:jc w:val="center"/>
        </w:trPr>
        <w:tc>
          <w:tcPr>
            <w:tcW w:w="5583" w:type="dxa"/>
            <w:shd w:val="clear" w:color="000000" w:fill="F2F2F2"/>
            <w:vAlign w:val="center"/>
          </w:tcPr>
          <w:p w14:paraId="4A2D6B6A" w14:textId="18BF11BC" w:rsidR="00015492" w:rsidRPr="00255081" w:rsidRDefault="00015492" w:rsidP="004B170A">
            <w:pPr>
              <w:spacing w:after="120" w:line="240" w:lineRule="auto"/>
              <w:jc w:val="both"/>
              <w:rPr>
                <w:rFonts w:ascii="Montserrat" w:eastAsia="Times New Roman" w:hAnsi="Montserrat" w:cs="Calibri"/>
                <w:color w:val="000000"/>
                <w:sz w:val="15"/>
                <w:szCs w:val="15"/>
                <w:lang w:eastAsia="es-MX"/>
              </w:rPr>
            </w:pPr>
            <w:r w:rsidRPr="00255081">
              <w:rPr>
                <w:rFonts w:ascii="Montserrat" w:eastAsia="Times New Roman" w:hAnsi="Montserrat" w:cs="Calibri"/>
                <w:sz w:val="15"/>
                <w:szCs w:val="15"/>
                <w:lang w:eastAsia="es-MX"/>
              </w:rPr>
              <w:t>Instituto Nacional de Ciencias Médicas y Nutrición Salvador Zubirán</w:t>
            </w:r>
          </w:p>
        </w:tc>
        <w:tc>
          <w:tcPr>
            <w:tcW w:w="2463" w:type="dxa"/>
            <w:shd w:val="clear" w:color="000000" w:fill="F2F2F2"/>
            <w:noWrap/>
            <w:vAlign w:val="center"/>
          </w:tcPr>
          <w:p w14:paraId="4B7EAC81" w14:textId="75181A7B" w:rsidR="00015492" w:rsidRPr="00255081" w:rsidRDefault="00015492" w:rsidP="000A1B05">
            <w:pPr>
              <w:spacing w:after="120" w:line="240" w:lineRule="auto"/>
              <w:jc w:val="right"/>
              <w:rPr>
                <w:rFonts w:ascii="Montserrat" w:eastAsia="Times New Roman" w:hAnsi="Montserrat" w:cs="Calibri"/>
                <w:color w:val="000000"/>
                <w:sz w:val="15"/>
                <w:szCs w:val="15"/>
                <w:lang w:eastAsia="es-MX"/>
              </w:rPr>
            </w:pPr>
            <w:r w:rsidRPr="00255081">
              <w:rPr>
                <w:rFonts w:ascii="Montserrat" w:eastAsia="Times New Roman" w:hAnsi="Montserrat" w:cs="Calibri"/>
                <w:sz w:val="15"/>
                <w:szCs w:val="15"/>
                <w:lang w:eastAsia="es-MX"/>
              </w:rPr>
              <w:t>1,766,756,589</w:t>
            </w:r>
          </w:p>
        </w:tc>
        <w:tc>
          <w:tcPr>
            <w:tcW w:w="1192" w:type="dxa"/>
            <w:shd w:val="clear" w:color="000000" w:fill="F2F2F2"/>
            <w:noWrap/>
            <w:vAlign w:val="center"/>
          </w:tcPr>
          <w:p w14:paraId="55ACB963" w14:textId="38BCE1F0" w:rsidR="00015492" w:rsidRPr="00255081" w:rsidRDefault="00015492" w:rsidP="000A1B05">
            <w:pPr>
              <w:spacing w:after="120" w:line="240" w:lineRule="auto"/>
              <w:jc w:val="right"/>
              <w:rPr>
                <w:rFonts w:ascii="Montserrat" w:eastAsia="Times New Roman" w:hAnsi="Montserrat" w:cs="Calibri"/>
                <w:color w:val="000000"/>
                <w:sz w:val="15"/>
                <w:szCs w:val="15"/>
                <w:lang w:eastAsia="es-MX"/>
              </w:rPr>
            </w:pPr>
            <w:r w:rsidRPr="00255081">
              <w:rPr>
                <w:rFonts w:ascii="Montserrat" w:eastAsia="Times New Roman" w:hAnsi="Montserrat" w:cs="Calibri"/>
                <w:sz w:val="15"/>
                <w:szCs w:val="15"/>
                <w:lang w:eastAsia="es-MX"/>
              </w:rPr>
              <w:t>100%</w:t>
            </w:r>
          </w:p>
        </w:tc>
        <w:tc>
          <w:tcPr>
            <w:tcW w:w="2558" w:type="dxa"/>
            <w:gridSpan w:val="2"/>
            <w:shd w:val="clear" w:color="000000" w:fill="F2F2F2"/>
            <w:noWrap/>
            <w:vAlign w:val="center"/>
          </w:tcPr>
          <w:p w14:paraId="5E50F3B7" w14:textId="41347467" w:rsidR="00015492" w:rsidRPr="00255081" w:rsidRDefault="00015492" w:rsidP="000A1B05">
            <w:pPr>
              <w:spacing w:after="120" w:line="240" w:lineRule="auto"/>
              <w:jc w:val="right"/>
              <w:rPr>
                <w:rFonts w:ascii="Montserrat" w:eastAsia="Times New Roman" w:hAnsi="Montserrat" w:cs="Calibri"/>
                <w:color w:val="000000"/>
                <w:sz w:val="15"/>
                <w:szCs w:val="15"/>
                <w:lang w:eastAsia="es-MX"/>
              </w:rPr>
            </w:pPr>
            <w:r w:rsidRPr="00255081">
              <w:rPr>
                <w:rFonts w:ascii="Montserrat" w:eastAsia="Times New Roman" w:hAnsi="Montserrat" w:cs="Calibri"/>
                <w:sz w:val="15"/>
                <w:szCs w:val="15"/>
                <w:lang w:eastAsia="es-MX"/>
              </w:rPr>
              <w:t>1,766,756,589</w:t>
            </w:r>
          </w:p>
        </w:tc>
      </w:tr>
      <w:tr w:rsidR="00015492" w:rsidRPr="00995308" w14:paraId="6DCD1BBF" w14:textId="77777777" w:rsidTr="000F03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jc w:val="center"/>
        </w:trPr>
        <w:tc>
          <w:tcPr>
            <w:tcW w:w="5583" w:type="dxa"/>
            <w:shd w:val="clear" w:color="000000" w:fill="F2F2F2"/>
            <w:vAlign w:val="center"/>
          </w:tcPr>
          <w:p w14:paraId="2E9EFBFA" w14:textId="14626072" w:rsidR="00015492" w:rsidRPr="00255081" w:rsidRDefault="00015492" w:rsidP="004B170A">
            <w:pPr>
              <w:spacing w:after="120" w:line="240" w:lineRule="auto"/>
              <w:jc w:val="both"/>
              <w:rPr>
                <w:rFonts w:ascii="Montserrat" w:eastAsia="Times New Roman" w:hAnsi="Montserrat" w:cs="Calibri"/>
                <w:color w:val="000000"/>
                <w:sz w:val="15"/>
                <w:szCs w:val="15"/>
                <w:lang w:eastAsia="es-MX"/>
              </w:rPr>
            </w:pPr>
            <w:r w:rsidRPr="00255081">
              <w:rPr>
                <w:rFonts w:ascii="Montserrat" w:eastAsia="Times New Roman" w:hAnsi="Montserrat" w:cs="Calibri"/>
                <w:sz w:val="15"/>
                <w:szCs w:val="15"/>
                <w:lang w:eastAsia="es-MX"/>
              </w:rPr>
              <w:t>Instituto Nacional de Medicina Genómica</w:t>
            </w:r>
          </w:p>
        </w:tc>
        <w:tc>
          <w:tcPr>
            <w:tcW w:w="2463" w:type="dxa"/>
            <w:shd w:val="clear" w:color="000000" w:fill="F2F2F2"/>
            <w:noWrap/>
            <w:vAlign w:val="center"/>
          </w:tcPr>
          <w:p w14:paraId="2435674F" w14:textId="1D1AC4C4" w:rsidR="00015492" w:rsidRPr="00255081" w:rsidRDefault="00015492" w:rsidP="000A1B05">
            <w:pPr>
              <w:spacing w:after="120" w:line="240" w:lineRule="auto"/>
              <w:jc w:val="right"/>
              <w:rPr>
                <w:rFonts w:ascii="Montserrat" w:eastAsia="Times New Roman" w:hAnsi="Montserrat" w:cs="Calibri"/>
                <w:color w:val="000000"/>
                <w:sz w:val="15"/>
                <w:szCs w:val="15"/>
                <w:lang w:eastAsia="es-MX"/>
              </w:rPr>
            </w:pPr>
            <w:r w:rsidRPr="00255081">
              <w:rPr>
                <w:rFonts w:ascii="Montserrat" w:eastAsia="Times New Roman" w:hAnsi="Montserrat" w:cs="Calibri"/>
                <w:sz w:val="15"/>
                <w:szCs w:val="15"/>
                <w:lang w:eastAsia="es-MX"/>
              </w:rPr>
              <w:t>1,222,449,857</w:t>
            </w:r>
          </w:p>
        </w:tc>
        <w:tc>
          <w:tcPr>
            <w:tcW w:w="1192" w:type="dxa"/>
            <w:shd w:val="clear" w:color="000000" w:fill="F2F2F2"/>
            <w:noWrap/>
            <w:vAlign w:val="center"/>
          </w:tcPr>
          <w:p w14:paraId="2FC91219" w14:textId="26FB5465" w:rsidR="00015492" w:rsidRPr="00255081" w:rsidRDefault="00015492" w:rsidP="000A1B05">
            <w:pPr>
              <w:spacing w:after="120" w:line="240" w:lineRule="auto"/>
              <w:jc w:val="right"/>
              <w:rPr>
                <w:rFonts w:ascii="Montserrat" w:eastAsia="Times New Roman" w:hAnsi="Montserrat" w:cs="Calibri"/>
                <w:color w:val="000000"/>
                <w:sz w:val="15"/>
                <w:szCs w:val="15"/>
                <w:lang w:eastAsia="es-MX"/>
              </w:rPr>
            </w:pPr>
            <w:r w:rsidRPr="00255081">
              <w:rPr>
                <w:rFonts w:ascii="Montserrat" w:eastAsia="Times New Roman" w:hAnsi="Montserrat" w:cs="Calibri"/>
                <w:sz w:val="15"/>
                <w:szCs w:val="15"/>
                <w:lang w:eastAsia="es-MX"/>
              </w:rPr>
              <w:t>100%</w:t>
            </w:r>
          </w:p>
        </w:tc>
        <w:tc>
          <w:tcPr>
            <w:tcW w:w="2558" w:type="dxa"/>
            <w:gridSpan w:val="2"/>
            <w:shd w:val="clear" w:color="000000" w:fill="F2F2F2"/>
            <w:noWrap/>
            <w:vAlign w:val="center"/>
          </w:tcPr>
          <w:p w14:paraId="4FC81F19" w14:textId="12E15B38" w:rsidR="00015492" w:rsidRPr="00255081" w:rsidRDefault="00015492" w:rsidP="000A1B05">
            <w:pPr>
              <w:spacing w:after="120" w:line="240" w:lineRule="auto"/>
              <w:jc w:val="right"/>
              <w:rPr>
                <w:rFonts w:ascii="Montserrat" w:eastAsia="Times New Roman" w:hAnsi="Montserrat" w:cs="Calibri"/>
                <w:color w:val="000000"/>
                <w:sz w:val="15"/>
                <w:szCs w:val="15"/>
                <w:lang w:eastAsia="es-MX"/>
              </w:rPr>
            </w:pPr>
            <w:r w:rsidRPr="00255081">
              <w:rPr>
                <w:rFonts w:ascii="Montserrat" w:eastAsia="Times New Roman" w:hAnsi="Montserrat" w:cs="Calibri"/>
                <w:sz w:val="15"/>
                <w:szCs w:val="15"/>
                <w:lang w:eastAsia="es-MX"/>
              </w:rPr>
              <w:t>1,222,449,857</w:t>
            </w:r>
          </w:p>
        </w:tc>
      </w:tr>
      <w:tr w:rsidR="00015492" w:rsidRPr="00995308" w14:paraId="5FD73ABA" w14:textId="77777777" w:rsidTr="000F03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jc w:val="center"/>
        </w:trPr>
        <w:tc>
          <w:tcPr>
            <w:tcW w:w="5583" w:type="dxa"/>
            <w:shd w:val="clear" w:color="000000" w:fill="F2F2F2"/>
            <w:vAlign w:val="center"/>
          </w:tcPr>
          <w:p w14:paraId="70AE4FDE" w14:textId="6A75337B" w:rsidR="00015492" w:rsidRPr="00255081" w:rsidRDefault="00015492" w:rsidP="004B170A">
            <w:pPr>
              <w:spacing w:after="120" w:line="240" w:lineRule="auto"/>
              <w:jc w:val="both"/>
              <w:rPr>
                <w:rFonts w:ascii="Montserrat" w:eastAsia="Times New Roman" w:hAnsi="Montserrat" w:cs="Calibri"/>
                <w:color w:val="000000"/>
                <w:sz w:val="15"/>
                <w:szCs w:val="15"/>
                <w:lang w:eastAsia="es-MX"/>
              </w:rPr>
            </w:pPr>
            <w:r w:rsidRPr="00255081">
              <w:rPr>
                <w:rFonts w:ascii="Montserrat" w:eastAsia="Times New Roman" w:hAnsi="Montserrat" w:cs="Calibri"/>
                <w:sz w:val="15"/>
                <w:szCs w:val="15"/>
                <w:lang w:eastAsia="es-MX"/>
              </w:rPr>
              <w:t>Instituto Nacional de Neurología y Neurocirugía Manuel Velasco Suárez</w:t>
            </w:r>
          </w:p>
        </w:tc>
        <w:tc>
          <w:tcPr>
            <w:tcW w:w="2463" w:type="dxa"/>
            <w:shd w:val="clear" w:color="000000" w:fill="F2F2F2"/>
            <w:noWrap/>
            <w:vAlign w:val="center"/>
          </w:tcPr>
          <w:p w14:paraId="6A3ADDA0" w14:textId="2D44E21B" w:rsidR="00015492" w:rsidRPr="00255081" w:rsidRDefault="00015492" w:rsidP="000A1B05">
            <w:pPr>
              <w:spacing w:after="120" w:line="240" w:lineRule="auto"/>
              <w:jc w:val="right"/>
              <w:rPr>
                <w:rFonts w:ascii="Montserrat" w:eastAsia="Times New Roman" w:hAnsi="Montserrat" w:cs="Calibri"/>
                <w:color w:val="000000"/>
                <w:sz w:val="15"/>
                <w:szCs w:val="15"/>
                <w:lang w:eastAsia="es-MX"/>
              </w:rPr>
            </w:pPr>
            <w:r w:rsidRPr="00255081">
              <w:rPr>
                <w:rFonts w:ascii="Montserrat" w:eastAsia="Times New Roman" w:hAnsi="Montserrat" w:cs="Calibri"/>
                <w:sz w:val="15"/>
                <w:szCs w:val="15"/>
                <w:lang w:eastAsia="es-MX"/>
              </w:rPr>
              <w:t>1,049,781,224</w:t>
            </w:r>
          </w:p>
        </w:tc>
        <w:tc>
          <w:tcPr>
            <w:tcW w:w="1192" w:type="dxa"/>
            <w:shd w:val="clear" w:color="000000" w:fill="F2F2F2"/>
            <w:noWrap/>
            <w:vAlign w:val="center"/>
          </w:tcPr>
          <w:p w14:paraId="6F552534" w14:textId="46A2F947" w:rsidR="00015492" w:rsidRPr="00255081" w:rsidRDefault="00015492" w:rsidP="000A1B05">
            <w:pPr>
              <w:spacing w:after="120" w:line="240" w:lineRule="auto"/>
              <w:jc w:val="right"/>
              <w:rPr>
                <w:rFonts w:ascii="Montserrat" w:eastAsia="Times New Roman" w:hAnsi="Montserrat" w:cs="Calibri"/>
                <w:color w:val="000000"/>
                <w:sz w:val="15"/>
                <w:szCs w:val="15"/>
                <w:lang w:eastAsia="es-MX"/>
              </w:rPr>
            </w:pPr>
            <w:r w:rsidRPr="00255081">
              <w:rPr>
                <w:rFonts w:ascii="Montserrat" w:eastAsia="Times New Roman" w:hAnsi="Montserrat" w:cs="Calibri"/>
                <w:sz w:val="15"/>
                <w:szCs w:val="15"/>
                <w:lang w:eastAsia="es-MX"/>
              </w:rPr>
              <w:t>100%</w:t>
            </w:r>
          </w:p>
        </w:tc>
        <w:tc>
          <w:tcPr>
            <w:tcW w:w="2558" w:type="dxa"/>
            <w:gridSpan w:val="2"/>
            <w:shd w:val="clear" w:color="000000" w:fill="F2F2F2"/>
            <w:noWrap/>
            <w:vAlign w:val="center"/>
          </w:tcPr>
          <w:p w14:paraId="3081332D" w14:textId="7541FFF7" w:rsidR="00015492" w:rsidRPr="00255081" w:rsidRDefault="00015492" w:rsidP="000A1B05">
            <w:pPr>
              <w:spacing w:after="120" w:line="240" w:lineRule="auto"/>
              <w:jc w:val="right"/>
              <w:rPr>
                <w:rFonts w:ascii="Montserrat" w:eastAsia="Times New Roman" w:hAnsi="Montserrat" w:cs="Calibri"/>
                <w:color w:val="000000"/>
                <w:sz w:val="15"/>
                <w:szCs w:val="15"/>
                <w:lang w:eastAsia="es-MX"/>
              </w:rPr>
            </w:pPr>
            <w:r w:rsidRPr="00255081">
              <w:rPr>
                <w:rFonts w:ascii="Montserrat" w:eastAsia="Times New Roman" w:hAnsi="Montserrat" w:cs="Calibri"/>
                <w:sz w:val="15"/>
                <w:szCs w:val="15"/>
                <w:lang w:eastAsia="es-MX"/>
              </w:rPr>
              <w:t>1,049,781,224</w:t>
            </w:r>
          </w:p>
        </w:tc>
      </w:tr>
      <w:tr w:rsidR="00015492" w:rsidRPr="00995308" w14:paraId="61784756" w14:textId="77777777" w:rsidTr="000F03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jc w:val="center"/>
        </w:trPr>
        <w:tc>
          <w:tcPr>
            <w:tcW w:w="5583" w:type="dxa"/>
            <w:shd w:val="clear" w:color="000000" w:fill="F2F2F2"/>
            <w:vAlign w:val="center"/>
          </w:tcPr>
          <w:p w14:paraId="5EF4DFF0" w14:textId="0005AB82" w:rsidR="00015492" w:rsidRPr="00255081" w:rsidRDefault="00015492" w:rsidP="004B170A">
            <w:pPr>
              <w:spacing w:after="120" w:line="240" w:lineRule="auto"/>
              <w:jc w:val="both"/>
              <w:rPr>
                <w:rFonts w:ascii="Montserrat" w:eastAsia="Times New Roman" w:hAnsi="Montserrat" w:cs="Calibri"/>
                <w:color w:val="000000"/>
                <w:sz w:val="15"/>
                <w:szCs w:val="15"/>
                <w:lang w:eastAsia="es-MX"/>
              </w:rPr>
            </w:pPr>
            <w:r w:rsidRPr="00255081">
              <w:rPr>
                <w:rFonts w:ascii="Montserrat" w:eastAsia="Times New Roman" w:hAnsi="Montserrat" w:cs="Calibri"/>
                <w:sz w:val="15"/>
                <w:szCs w:val="15"/>
                <w:lang w:eastAsia="es-MX"/>
              </w:rPr>
              <w:t>Instituto Nacional de Pediatría</w:t>
            </w:r>
          </w:p>
        </w:tc>
        <w:tc>
          <w:tcPr>
            <w:tcW w:w="2463" w:type="dxa"/>
            <w:shd w:val="clear" w:color="000000" w:fill="F2F2F2"/>
            <w:noWrap/>
            <w:vAlign w:val="center"/>
          </w:tcPr>
          <w:p w14:paraId="733FE961" w14:textId="7491489B" w:rsidR="00015492" w:rsidRPr="00255081" w:rsidRDefault="00015492" w:rsidP="000A1B05">
            <w:pPr>
              <w:spacing w:after="120" w:line="240" w:lineRule="auto"/>
              <w:jc w:val="right"/>
              <w:rPr>
                <w:rFonts w:ascii="Montserrat" w:eastAsia="Times New Roman" w:hAnsi="Montserrat" w:cs="Calibri"/>
                <w:color w:val="000000"/>
                <w:sz w:val="15"/>
                <w:szCs w:val="15"/>
                <w:lang w:eastAsia="es-MX"/>
              </w:rPr>
            </w:pPr>
            <w:r w:rsidRPr="00255081">
              <w:rPr>
                <w:rFonts w:ascii="Montserrat" w:eastAsia="Times New Roman" w:hAnsi="Montserrat" w:cs="Calibri"/>
                <w:sz w:val="15"/>
                <w:szCs w:val="15"/>
                <w:lang w:eastAsia="es-MX"/>
              </w:rPr>
              <w:t>622,822,773</w:t>
            </w:r>
          </w:p>
        </w:tc>
        <w:tc>
          <w:tcPr>
            <w:tcW w:w="1192" w:type="dxa"/>
            <w:shd w:val="clear" w:color="000000" w:fill="F2F2F2"/>
            <w:noWrap/>
            <w:vAlign w:val="center"/>
          </w:tcPr>
          <w:p w14:paraId="75E91D5B" w14:textId="049B4CDD" w:rsidR="00015492" w:rsidRPr="00255081" w:rsidRDefault="00015492" w:rsidP="000A1B05">
            <w:pPr>
              <w:spacing w:after="120" w:line="240" w:lineRule="auto"/>
              <w:jc w:val="right"/>
              <w:rPr>
                <w:rFonts w:ascii="Montserrat" w:eastAsia="Times New Roman" w:hAnsi="Montserrat" w:cs="Calibri"/>
                <w:color w:val="000000"/>
                <w:sz w:val="15"/>
                <w:szCs w:val="15"/>
                <w:lang w:eastAsia="es-MX"/>
              </w:rPr>
            </w:pPr>
            <w:r w:rsidRPr="00255081">
              <w:rPr>
                <w:rFonts w:ascii="Montserrat" w:eastAsia="Times New Roman" w:hAnsi="Montserrat" w:cs="Calibri"/>
                <w:sz w:val="15"/>
                <w:szCs w:val="15"/>
                <w:lang w:eastAsia="es-MX"/>
              </w:rPr>
              <w:t>100%</w:t>
            </w:r>
          </w:p>
        </w:tc>
        <w:tc>
          <w:tcPr>
            <w:tcW w:w="2558" w:type="dxa"/>
            <w:gridSpan w:val="2"/>
            <w:shd w:val="clear" w:color="000000" w:fill="F2F2F2"/>
            <w:noWrap/>
            <w:vAlign w:val="center"/>
          </w:tcPr>
          <w:p w14:paraId="0B18144A" w14:textId="54E06093" w:rsidR="00015492" w:rsidRPr="00255081" w:rsidRDefault="00015492" w:rsidP="000A1B05">
            <w:pPr>
              <w:spacing w:after="120" w:line="240" w:lineRule="auto"/>
              <w:jc w:val="right"/>
              <w:rPr>
                <w:rFonts w:ascii="Montserrat" w:eastAsia="Times New Roman" w:hAnsi="Montserrat" w:cs="Calibri"/>
                <w:color w:val="000000"/>
                <w:sz w:val="15"/>
                <w:szCs w:val="15"/>
                <w:lang w:eastAsia="es-MX"/>
              </w:rPr>
            </w:pPr>
            <w:r w:rsidRPr="00255081">
              <w:rPr>
                <w:rFonts w:ascii="Montserrat" w:eastAsia="Times New Roman" w:hAnsi="Montserrat" w:cs="Calibri"/>
                <w:sz w:val="15"/>
                <w:szCs w:val="15"/>
                <w:lang w:eastAsia="es-MX"/>
              </w:rPr>
              <w:t>622,822,773</w:t>
            </w:r>
          </w:p>
        </w:tc>
      </w:tr>
      <w:tr w:rsidR="00015492" w:rsidRPr="00995308" w14:paraId="24D2A72F" w14:textId="77777777" w:rsidTr="000F03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jc w:val="center"/>
        </w:trPr>
        <w:tc>
          <w:tcPr>
            <w:tcW w:w="5583" w:type="dxa"/>
            <w:shd w:val="clear" w:color="000000" w:fill="F2F2F2"/>
            <w:vAlign w:val="center"/>
          </w:tcPr>
          <w:p w14:paraId="5E5599EA" w14:textId="3EE5BA46" w:rsidR="00015492" w:rsidRPr="00255081" w:rsidRDefault="00015492" w:rsidP="004B170A">
            <w:pPr>
              <w:spacing w:after="120" w:line="240" w:lineRule="auto"/>
              <w:jc w:val="both"/>
              <w:rPr>
                <w:rFonts w:ascii="Montserrat" w:eastAsia="Times New Roman" w:hAnsi="Montserrat" w:cs="Calibri"/>
                <w:color w:val="000000"/>
                <w:sz w:val="15"/>
                <w:szCs w:val="15"/>
                <w:lang w:eastAsia="es-MX"/>
              </w:rPr>
            </w:pPr>
            <w:r w:rsidRPr="00255081">
              <w:rPr>
                <w:rFonts w:ascii="Montserrat" w:eastAsia="Times New Roman" w:hAnsi="Montserrat" w:cs="Calibri"/>
                <w:sz w:val="15"/>
                <w:szCs w:val="15"/>
                <w:lang w:eastAsia="es-MX"/>
              </w:rPr>
              <w:t>Instituto Nacional de Perinatología Isidro Espinosa de los Reyes</w:t>
            </w:r>
          </w:p>
        </w:tc>
        <w:tc>
          <w:tcPr>
            <w:tcW w:w="2463" w:type="dxa"/>
            <w:shd w:val="clear" w:color="000000" w:fill="F2F2F2"/>
            <w:noWrap/>
            <w:vAlign w:val="center"/>
          </w:tcPr>
          <w:p w14:paraId="14FE8086" w14:textId="0E27E53A" w:rsidR="00015492" w:rsidRPr="00255081" w:rsidRDefault="00015492" w:rsidP="000A1B05">
            <w:pPr>
              <w:spacing w:after="120" w:line="240" w:lineRule="auto"/>
              <w:jc w:val="right"/>
              <w:rPr>
                <w:rFonts w:ascii="Montserrat" w:eastAsia="Times New Roman" w:hAnsi="Montserrat" w:cs="Calibri"/>
                <w:color w:val="000000"/>
                <w:sz w:val="15"/>
                <w:szCs w:val="15"/>
                <w:lang w:eastAsia="es-MX"/>
              </w:rPr>
            </w:pPr>
            <w:r w:rsidRPr="00255081">
              <w:rPr>
                <w:rFonts w:ascii="Montserrat" w:eastAsia="Times New Roman" w:hAnsi="Montserrat" w:cs="Calibri"/>
                <w:sz w:val="15"/>
                <w:szCs w:val="15"/>
                <w:lang w:eastAsia="es-MX"/>
              </w:rPr>
              <w:t>717,165,914</w:t>
            </w:r>
          </w:p>
        </w:tc>
        <w:tc>
          <w:tcPr>
            <w:tcW w:w="1192" w:type="dxa"/>
            <w:shd w:val="clear" w:color="000000" w:fill="F2F2F2"/>
            <w:noWrap/>
            <w:vAlign w:val="center"/>
          </w:tcPr>
          <w:p w14:paraId="02955858" w14:textId="2B9194B9" w:rsidR="00015492" w:rsidRPr="00255081" w:rsidRDefault="00015492" w:rsidP="000A1B05">
            <w:pPr>
              <w:spacing w:after="120" w:line="240" w:lineRule="auto"/>
              <w:jc w:val="right"/>
              <w:rPr>
                <w:rFonts w:ascii="Montserrat" w:eastAsia="Times New Roman" w:hAnsi="Montserrat" w:cs="Calibri"/>
                <w:color w:val="000000"/>
                <w:sz w:val="15"/>
                <w:szCs w:val="15"/>
                <w:lang w:eastAsia="es-MX"/>
              </w:rPr>
            </w:pPr>
            <w:r w:rsidRPr="00255081">
              <w:rPr>
                <w:rFonts w:ascii="Montserrat" w:eastAsia="Times New Roman" w:hAnsi="Montserrat" w:cs="Calibri"/>
                <w:sz w:val="15"/>
                <w:szCs w:val="15"/>
                <w:lang w:eastAsia="es-MX"/>
              </w:rPr>
              <w:t>100%</w:t>
            </w:r>
          </w:p>
        </w:tc>
        <w:tc>
          <w:tcPr>
            <w:tcW w:w="2558" w:type="dxa"/>
            <w:gridSpan w:val="2"/>
            <w:shd w:val="clear" w:color="000000" w:fill="F2F2F2"/>
            <w:noWrap/>
            <w:vAlign w:val="center"/>
          </w:tcPr>
          <w:p w14:paraId="366ADC45" w14:textId="0B034EF5" w:rsidR="00015492" w:rsidRPr="00255081" w:rsidRDefault="00015492" w:rsidP="000A1B05">
            <w:pPr>
              <w:spacing w:after="120" w:line="240" w:lineRule="auto"/>
              <w:jc w:val="right"/>
              <w:rPr>
                <w:rFonts w:ascii="Montserrat" w:eastAsia="Times New Roman" w:hAnsi="Montserrat" w:cs="Calibri"/>
                <w:color w:val="000000"/>
                <w:sz w:val="15"/>
                <w:szCs w:val="15"/>
                <w:lang w:eastAsia="es-MX"/>
              </w:rPr>
            </w:pPr>
            <w:r w:rsidRPr="00255081">
              <w:rPr>
                <w:rFonts w:ascii="Montserrat" w:eastAsia="Times New Roman" w:hAnsi="Montserrat" w:cs="Calibri"/>
                <w:sz w:val="15"/>
                <w:szCs w:val="15"/>
                <w:lang w:eastAsia="es-MX"/>
              </w:rPr>
              <w:t>717,165,914</w:t>
            </w:r>
          </w:p>
        </w:tc>
      </w:tr>
      <w:tr w:rsidR="00015492" w:rsidRPr="00995308" w14:paraId="0EE94651" w14:textId="77777777" w:rsidTr="000F03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jc w:val="center"/>
        </w:trPr>
        <w:tc>
          <w:tcPr>
            <w:tcW w:w="5583" w:type="dxa"/>
            <w:shd w:val="clear" w:color="000000" w:fill="F2F2F2"/>
            <w:vAlign w:val="center"/>
          </w:tcPr>
          <w:p w14:paraId="40647F5B" w14:textId="18F8C700" w:rsidR="00015492" w:rsidRPr="00255081" w:rsidRDefault="00015492" w:rsidP="004B170A">
            <w:pPr>
              <w:spacing w:after="120" w:line="240" w:lineRule="auto"/>
              <w:jc w:val="both"/>
              <w:rPr>
                <w:rFonts w:ascii="Montserrat" w:eastAsia="Times New Roman" w:hAnsi="Montserrat" w:cs="Calibri"/>
                <w:color w:val="000000"/>
                <w:sz w:val="15"/>
                <w:szCs w:val="15"/>
                <w:lang w:eastAsia="es-MX"/>
              </w:rPr>
            </w:pPr>
            <w:r w:rsidRPr="00255081">
              <w:rPr>
                <w:rFonts w:ascii="Montserrat" w:eastAsia="Times New Roman" w:hAnsi="Montserrat" w:cs="Calibri"/>
                <w:sz w:val="15"/>
                <w:szCs w:val="15"/>
                <w:lang w:eastAsia="es-MX"/>
              </w:rPr>
              <w:t>Instituto Nacional de Rehabilitación</w:t>
            </w:r>
          </w:p>
        </w:tc>
        <w:tc>
          <w:tcPr>
            <w:tcW w:w="2463" w:type="dxa"/>
            <w:shd w:val="clear" w:color="000000" w:fill="F2F2F2"/>
            <w:noWrap/>
            <w:vAlign w:val="center"/>
          </w:tcPr>
          <w:p w14:paraId="6A769242" w14:textId="1AF7151B" w:rsidR="00015492" w:rsidRPr="00255081" w:rsidRDefault="00015492" w:rsidP="000A1B05">
            <w:pPr>
              <w:spacing w:after="120" w:line="240" w:lineRule="auto"/>
              <w:jc w:val="right"/>
              <w:rPr>
                <w:rFonts w:ascii="Montserrat" w:eastAsia="Times New Roman" w:hAnsi="Montserrat" w:cs="Calibri"/>
                <w:color w:val="000000"/>
                <w:sz w:val="15"/>
                <w:szCs w:val="15"/>
                <w:lang w:eastAsia="es-MX"/>
              </w:rPr>
            </w:pPr>
            <w:r w:rsidRPr="00255081">
              <w:rPr>
                <w:rFonts w:ascii="Montserrat" w:eastAsia="Times New Roman" w:hAnsi="Montserrat" w:cs="Calibri"/>
                <w:sz w:val="15"/>
                <w:szCs w:val="15"/>
                <w:lang w:eastAsia="es-MX"/>
              </w:rPr>
              <w:t>1,218,466,656</w:t>
            </w:r>
          </w:p>
        </w:tc>
        <w:tc>
          <w:tcPr>
            <w:tcW w:w="1192" w:type="dxa"/>
            <w:shd w:val="clear" w:color="000000" w:fill="F2F2F2"/>
            <w:noWrap/>
            <w:vAlign w:val="center"/>
          </w:tcPr>
          <w:p w14:paraId="61D5E3C3" w14:textId="13F178F0" w:rsidR="00015492" w:rsidRPr="00255081" w:rsidRDefault="00015492" w:rsidP="000A1B05">
            <w:pPr>
              <w:spacing w:after="120" w:line="240" w:lineRule="auto"/>
              <w:jc w:val="right"/>
              <w:rPr>
                <w:rFonts w:ascii="Montserrat" w:eastAsia="Times New Roman" w:hAnsi="Montserrat" w:cs="Calibri"/>
                <w:color w:val="000000"/>
                <w:sz w:val="15"/>
                <w:szCs w:val="15"/>
                <w:lang w:eastAsia="es-MX"/>
              </w:rPr>
            </w:pPr>
            <w:r w:rsidRPr="00255081">
              <w:rPr>
                <w:rFonts w:ascii="Montserrat" w:eastAsia="Times New Roman" w:hAnsi="Montserrat" w:cs="Calibri"/>
                <w:sz w:val="15"/>
                <w:szCs w:val="15"/>
                <w:lang w:eastAsia="es-MX"/>
              </w:rPr>
              <w:t>100%</w:t>
            </w:r>
          </w:p>
        </w:tc>
        <w:tc>
          <w:tcPr>
            <w:tcW w:w="2558" w:type="dxa"/>
            <w:gridSpan w:val="2"/>
            <w:shd w:val="clear" w:color="000000" w:fill="F2F2F2"/>
            <w:noWrap/>
            <w:vAlign w:val="center"/>
          </w:tcPr>
          <w:p w14:paraId="658F9E5B" w14:textId="31B957A5" w:rsidR="00015492" w:rsidRPr="00255081" w:rsidRDefault="00015492" w:rsidP="000A1B05">
            <w:pPr>
              <w:spacing w:after="120" w:line="240" w:lineRule="auto"/>
              <w:jc w:val="right"/>
              <w:rPr>
                <w:rFonts w:ascii="Montserrat" w:eastAsia="Times New Roman" w:hAnsi="Montserrat" w:cs="Calibri"/>
                <w:color w:val="000000"/>
                <w:sz w:val="15"/>
                <w:szCs w:val="15"/>
                <w:lang w:eastAsia="es-MX"/>
              </w:rPr>
            </w:pPr>
            <w:r w:rsidRPr="00255081">
              <w:rPr>
                <w:rFonts w:ascii="Montserrat" w:eastAsia="Times New Roman" w:hAnsi="Montserrat" w:cs="Calibri"/>
                <w:sz w:val="15"/>
                <w:szCs w:val="15"/>
                <w:lang w:eastAsia="es-MX"/>
              </w:rPr>
              <w:t>1,218,466,656</w:t>
            </w:r>
          </w:p>
        </w:tc>
      </w:tr>
      <w:tr w:rsidR="00015492" w:rsidRPr="00995308" w14:paraId="1D20EB0F" w14:textId="77777777" w:rsidTr="000F03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jc w:val="center"/>
        </w:trPr>
        <w:tc>
          <w:tcPr>
            <w:tcW w:w="5583" w:type="dxa"/>
            <w:shd w:val="clear" w:color="000000" w:fill="F2F2F2"/>
            <w:vAlign w:val="center"/>
          </w:tcPr>
          <w:p w14:paraId="263B53F7" w14:textId="2E642138" w:rsidR="00015492" w:rsidRPr="00255081" w:rsidRDefault="00015492" w:rsidP="004B170A">
            <w:pPr>
              <w:spacing w:after="120" w:line="240" w:lineRule="auto"/>
              <w:jc w:val="both"/>
              <w:rPr>
                <w:rFonts w:ascii="Montserrat" w:eastAsia="Times New Roman" w:hAnsi="Montserrat" w:cs="Calibri"/>
                <w:color w:val="000000"/>
                <w:sz w:val="15"/>
                <w:szCs w:val="15"/>
                <w:lang w:eastAsia="es-MX"/>
              </w:rPr>
            </w:pPr>
            <w:r w:rsidRPr="00255081">
              <w:rPr>
                <w:rFonts w:ascii="Montserrat" w:eastAsia="Times New Roman" w:hAnsi="Montserrat" w:cs="Calibri"/>
                <w:sz w:val="15"/>
                <w:szCs w:val="15"/>
                <w:lang w:eastAsia="es-MX"/>
              </w:rPr>
              <w:t>Instituto Nacional de Salud Pública</w:t>
            </w:r>
          </w:p>
        </w:tc>
        <w:tc>
          <w:tcPr>
            <w:tcW w:w="2463" w:type="dxa"/>
            <w:shd w:val="clear" w:color="000000" w:fill="F2F2F2"/>
            <w:noWrap/>
            <w:vAlign w:val="center"/>
          </w:tcPr>
          <w:p w14:paraId="4D10E998" w14:textId="525B37BC" w:rsidR="00015492" w:rsidRPr="00255081" w:rsidRDefault="00015492" w:rsidP="000A1B05">
            <w:pPr>
              <w:spacing w:after="120" w:line="240" w:lineRule="auto"/>
              <w:jc w:val="right"/>
              <w:rPr>
                <w:rFonts w:ascii="Montserrat" w:eastAsia="Times New Roman" w:hAnsi="Montserrat" w:cs="Calibri"/>
                <w:color w:val="000000"/>
                <w:sz w:val="15"/>
                <w:szCs w:val="15"/>
                <w:lang w:eastAsia="es-MX"/>
              </w:rPr>
            </w:pPr>
            <w:r w:rsidRPr="00255081">
              <w:rPr>
                <w:rFonts w:ascii="Montserrat" w:eastAsia="Times New Roman" w:hAnsi="Montserrat" w:cs="Calibri"/>
                <w:sz w:val="15"/>
                <w:szCs w:val="15"/>
                <w:lang w:eastAsia="es-MX"/>
              </w:rPr>
              <w:t>600,651,618</w:t>
            </w:r>
          </w:p>
        </w:tc>
        <w:tc>
          <w:tcPr>
            <w:tcW w:w="1192" w:type="dxa"/>
            <w:shd w:val="clear" w:color="000000" w:fill="F2F2F2"/>
            <w:noWrap/>
            <w:vAlign w:val="center"/>
          </w:tcPr>
          <w:p w14:paraId="1CDE5545" w14:textId="107611B3" w:rsidR="00015492" w:rsidRPr="00255081" w:rsidRDefault="00015492" w:rsidP="000A1B05">
            <w:pPr>
              <w:spacing w:after="120" w:line="240" w:lineRule="auto"/>
              <w:jc w:val="right"/>
              <w:rPr>
                <w:rFonts w:ascii="Montserrat" w:eastAsia="Times New Roman" w:hAnsi="Montserrat" w:cs="Calibri"/>
                <w:color w:val="000000"/>
                <w:sz w:val="15"/>
                <w:szCs w:val="15"/>
                <w:lang w:eastAsia="es-MX"/>
              </w:rPr>
            </w:pPr>
            <w:r w:rsidRPr="00255081">
              <w:rPr>
                <w:rFonts w:ascii="Montserrat" w:eastAsia="Times New Roman" w:hAnsi="Montserrat" w:cs="Calibri"/>
                <w:sz w:val="15"/>
                <w:szCs w:val="15"/>
                <w:lang w:eastAsia="es-MX"/>
              </w:rPr>
              <w:t>100%</w:t>
            </w:r>
          </w:p>
        </w:tc>
        <w:tc>
          <w:tcPr>
            <w:tcW w:w="2558" w:type="dxa"/>
            <w:gridSpan w:val="2"/>
            <w:shd w:val="clear" w:color="000000" w:fill="F2F2F2"/>
            <w:noWrap/>
            <w:vAlign w:val="center"/>
          </w:tcPr>
          <w:p w14:paraId="187A04DF" w14:textId="1C91B0CF" w:rsidR="00015492" w:rsidRPr="00255081" w:rsidRDefault="00015492" w:rsidP="000A1B05">
            <w:pPr>
              <w:spacing w:after="120" w:line="240" w:lineRule="auto"/>
              <w:jc w:val="right"/>
              <w:rPr>
                <w:rFonts w:ascii="Montserrat" w:eastAsia="Times New Roman" w:hAnsi="Montserrat" w:cs="Calibri"/>
                <w:color w:val="000000"/>
                <w:sz w:val="15"/>
                <w:szCs w:val="15"/>
                <w:lang w:eastAsia="es-MX"/>
              </w:rPr>
            </w:pPr>
            <w:r w:rsidRPr="00255081">
              <w:rPr>
                <w:rFonts w:ascii="Montserrat" w:eastAsia="Times New Roman" w:hAnsi="Montserrat" w:cs="Calibri"/>
                <w:sz w:val="15"/>
                <w:szCs w:val="15"/>
                <w:lang w:eastAsia="es-MX"/>
              </w:rPr>
              <w:t>600,651,618</w:t>
            </w:r>
          </w:p>
        </w:tc>
      </w:tr>
      <w:tr w:rsidR="00015492" w:rsidRPr="00995308" w14:paraId="146F9683" w14:textId="77777777" w:rsidTr="000F03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jc w:val="center"/>
        </w:trPr>
        <w:tc>
          <w:tcPr>
            <w:tcW w:w="5583" w:type="dxa"/>
            <w:shd w:val="clear" w:color="000000" w:fill="F2F2F2"/>
            <w:vAlign w:val="center"/>
          </w:tcPr>
          <w:p w14:paraId="12E651DA" w14:textId="1C38B232" w:rsidR="00015492" w:rsidRPr="00255081" w:rsidRDefault="00015492" w:rsidP="004B170A">
            <w:pPr>
              <w:spacing w:after="120" w:line="240" w:lineRule="auto"/>
              <w:jc w:val="both"/>
              <w:rPr>
                <w:rFonts w:ascii="Montserrat" w:eastAsia="Times New Roman" w:hAnsi="Montserrat" w:cs="Calibri"/>
                <w:color w:val="000000"/>
                <w:sz w:val="15"/>
                <w:szCs w:val="15"/>
                <w:lang w:eastAsia="es-MX"/>
              </w:rPr>
            </w:pPr>
            <w:r w:rsidRPr="00255081">
              <w:rPr>
                <w:rFonts w:ascii="Montserrat" w:eastAsia="Times New Roman" w:hAnsi="Montserrat" w:cs="Calibri"/>
                <w:sz w:val="15"/>
                <w:szCs w:val="15"/>
                <w:lang w:eastAsia="es-MX"/>
              </w:rPr>
              <w:t>Laboratorios de Biológicos y Reactivos de México, S.A. de C.V.</w:t>
            </w:r>
          </w:p>
        </w:tc>
        <w:tc>
          <w:tcPr>
            <w:tcW w:w="2463" w:type="dxa"/>
            <w:shd w:val="clear" w:color="000000" w:fill="F2F2F2"/>
            <w:noWrap/>
            <w:vAlign w:val="center"/>
          </w:tcPr>
          <w:p w14:paraId="28DEE2E7" w14:textId="4618D618" w:rsidR="00015492" w:rsidRPr="00255081" w:rsidRDefault="00015492" w:rsidP="000A1B05">
            <w:pPr>
              <w:spacing w:after="120" w:line="240" w:lineRule="auto"/>
              <w:jc w:val="right"/>
              <w:rPr>
                <w:rFonts w:ascii="Montserrat" w:eastAsia="Times New Roman" w:hAnsi="Montserrat" w:cs="Calibri"/>
                <w:color w:val="000000"/>
                <w:sz w:val="15"/>
                <w:szCs w:val="15"/>
                <w:lang w:eastAsia="es-MX"/>
              </w:rPr>
            </w:pPr>
            <w:r w:rsidRPr="00255081">
              <w:rPr>
                <w:rFonts w:ascii="Montserrat" w:eastAsia="Times New Roman" w:hAnsi="Montserrat" w:cs="Calibri"/>
                <w:sz w:val="15"/>
                <w:szCs w:val="15"/>
                <w:lang w:eastAsia="es-MX"/>
              </w:rPr>
              <w:t>2,335,434,338</w:t>
            </w:r>
          </w:p>
        </w:tc>
        <w:tc>
          <w:tcPr>
            <w:tcW w:w="1192" w:type="dxa"/>
            <w:shd w:val="clear" w:color="000000" w:fill="F2F2F2"/>
            <w:noWrap/>
            <w:vAlign w:val="center"/>
          </w:tcPr>
          <w:p w14:paraId="09B36F12" w14:textId="41DA3DD2" w:rsidR="00015492" w:rsidRPr="00255081" w:rsidRDefault="00015492" w:rsidP="000A1B05">
            <w:pPr>
              <w:spacing w:after="120" w:line="240" w:lineRule="auto"/>
              <w:jc w:val="right"/>
              <w:rPr>
                <w:rFonts w:ascii="Montserrat" w:eastAsia="Times New Roman" w:hAnsi="Montserrat" w:cs="Calibri"/>
                <w:color w:val="000000"/>
                <w:sz w:val="15"/>
                <w:szCs w:val="15"/>
                <w:lang w:eastAsia="es-MX"/>
              </w:rPr>
            </w:pPr>
            <w:r w:rsidRPr="00255081">
              <w:rPr>
                <w:rFonts w:ascii="Montserrat" w:eastAsia="Times New Roman" w:hAnsi="Montserrat" w:cs="Calibri"/>
                <w:sz w:val="15"/>
                <w:szCs w:val="15"/>
                <w:lang w:eastAsia="es-MX"/>
              </w:rPr>
              <w:t>100%</w:t>
            </w:r>
          </w:p>
        </w:tc>
        <w:tc>
          <w:tcPr>
            <w:tcW w:w="2558" w:type="dxa"/>
            <w:gridSpan w:val="2"/>
            <w:shd w:val="clear" w:color="000000" w:fill="F2F2F2"/>
            <w:noWrap/>
            <w:vAlign w:val="center"/>
          </w:tcPr>
          <w:p w14:paraId="43B8AD07" w14:textId="6C8278BA" w:rsidR="00015492" w:rsidRPr="00255081" w:rsidRDefault="00015492" w:rsidP="000A1B05">
            <w:pPr>
              <w:spacing w:after="120" w:line="240" w:lineRule="auto"/>
              <w:jc w:val="right"/>
              <w:rPr>
                <w:rFonts w:ascii="Montserrat" w:eastAsia="Times New Roman" w:hAnsi="Montserrat" w:cs="Calibri"/>
                <w:color w:val="000000"/>
                <w:sz w:val="15"/>
                <w:szCs w:val="15"/>
                <w:lang w:eastAsia="es-MX"/>
              </w:rPr>
            </w:pPr>
            <w:r w:rsidRPr="00255081">
              <w:rPr>
                <w:rFonts w:ascii="Montserrat" w:eastAsia="Times New Roman" w:hAnsi="Montserrat" w:cs="Calibri"/>
                <w:sz w:val="15"/>
                <w:szCs w:val="15"/>
                <w:lang w:eastAsia="es-MX"/>
              </w:rPr>
              <w:t>2,335,200,795</w:t>
            </w:r>
          </w:p>
        </w:tc>
      </w:tr>
      <w:tr w:rsidR="00015492" w:rsidRPr="00995308" w14:paraId="75A6E049" w14:textId="77777777" w:rsidTr="000F03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jc w:val="center"/>
        </w:trPr>
        <w:tc>
          <w:tcPr>
            <w:tcW w:w="5583" w:type="dxa"/>
            <w:shd w:val="clear" w:color="000000" w:fill="F2F2F2"/>
            <w:vAlign w:val="center"/>
          </w:tcPr>
          <w:p w14:paraId="17EDD83D" w14:textId="645E76CC" w:rsidR="00015492" w:rsidRPr="00255081" w:rsidRDefault="00015492" w:rsidP="004B170A">
            <w:pPr>
              <w:spacing w:after="120" w:line="240" w:lineRule="auto"/>
              <w:jc w:val="both"/>
              <w:rPr>
                <w:rFonts w:ascii="Montserrat" w:eastAsia="Times New Roman" w:hAnsi="Montserrat" w:cs="Calibri"/>
                <w:color w:val="000000"/>
                <w:sz w:val="15"/>
                <w:szCs w:val="15"/>
                <w:lang w:eastAsia="es-MX"/>
              </w:rPr>
            </w:pPr>
            <w:r w:rsidRPr="00255081">
              <w:rPr>
                <w:rFonts w:ascii="Montserrat" w:eastAsia="Times New Roman" w:hAnsi="Montserrat" w:cs="Calibri"/>
                <w:sz w:val="15"/>
                <w:szCs w:val="15"/>
                <w:lang w:eastAsia="es-MX"/>
              </w:rPr>
              <w:t>Sistema Nacional para el Desarrollo Integral de la Familia</w:t>
            </w:r>
          </w:p>
        </w:tc>
        <w:tc>
          <w:tcPr>
            <w:tcW w:w="2463" w:type="dxa"/>
            <w:shd w:val="clear" w:color="000000" w:fill="F2F2F2"/>
            <w:noWrap/>
            <w:vAlign w:val="center"/>
          </w:tcPr>
          <w:p w14:paraId="1A8D5BED" w14:textId="17005A6F" w:rsidR="00015492" w:rsidRPr="00255081" w:rsidRDefault="00015492" w:rsidP="000A1B05">
            <w:pPr>
              <w:spacing w:after="120" w:line="240" w:lineRule="auto"/>
              <w:jc w:val="right"/>
              <w:rPr>
                <w:rFonts w:ascii="Montserrat" w:eastAsia="Times New Roman" w:hAnsi="Montserrat" w:cs="Calibri"/>
                <w:color w:val="000000"/>
                <w:sz w:val="15"/>
                <w:szCs w:val="15"/>
                <w:lang w:eastAsia="es-MX"/>
              </w:rPr>
            </w:pPr>
            <w:r w:rsidRPr="00255081">
              <w:rPr>
                <w:rFonts w:ascii="Montserrat" w:eastAsia="Times New Roman" w:hAnsi="Montserrat" w:cs="Calibri"/>
                <w:sz w:val="15"/>
                <w:szCs w:val="15"/>
                <w:lang w:eastAsia="es-MX"/>
              </w:rPr>
              <w:t>521,597,818</w:t>
            </w:r>
          </w:p>
        </w:tc>
        <w:tc>
          <w:tcPr>
            <w:tcW w:w="1192" w:type="dxa"/>
            <w:shd w:val="clear" w:color="000000" w:fill="F2F2F2"/>
            <w:noWrap/>
            <w:vAlign w:val="center"/>
          </w:tcPr>
          <w:p w14:paraId="3C0C5CAE" w14:textId="039A2480" w:rsidR="00015492" w:rsidRPr="00255081" w:rsidRDefault="00015492" w:rsidP="000A1B05">
            <w:pPr>
              <w:spacing w:after="120" w:line="240" w:lineRule="auto"/>
              <w:jc w:val="right"/>
              <w:rPr>
                <w:rFonts w:ascii="Montserrat" w:eastAsia="Times New Roman" w:hAnsi="Montserrat" w:cs="Calibri"/>
                <w:color w:val="000000"/>
                <w:sz w:val="15"/>
                <w:szCs w:val="15"/>
                <w:lang w:eastAsia="es-MX"/>
              </w:rPr>
            </w:pPr>
            <w:r w:rsidRPr="00255081">
              <w:rPr>
                <w:rFonts w:ascii="Montserrat" w:eastAsia="Times New Roman" w:hAnsi="Montserrat" w:cs="Calibri"/>
                <w:sz w:val="15"/>
                <w:szCs w:val="15"/>
                <w:lang w:eastAsia="es-MX"/>
              </w:rPr>
              <w:t>100%</w:t>
            </w:r>
          </w:p>
        </w:tc>
        <w:tc>
          <w:tcPr>
            <w:tcW w:w="2558" w:type="dxa"/>
            <w:gridSpan w:val="2"/>
            <w:shd w:val="clear" w:color="000000" w:fill="F2F2F2"/>
            <w:noWrap/>
            <w:vAlign w:val="center"/>
          </w:tcPr>
          <w:p w14:paraId="414C40EC" w14:textId="4B77039D" w:rsidR="00015492" w:rsidRPr="00255081" w:rsidRDefault="00015492" w:rsidP="000A1B05">
            <w:pPr>
              <w:spacing w:after="120" w:line="240" w:lineRule="auto"/>
              <w:jc w:val="right"/>
              <w:rPr>
                <w:rFonts w:ascii="Montserrat" w:eastAsia="Times New Roman" w:hAnsi="Montserrat" w:cs="Calibri"/>
                <w:color w:val="000000"/>
                <w:sz w:val="15"/>
                <w:szCs w:val="15"/>
                <w:lang w:eastAsia="es-MX"/>
              </w:rPr>
            </w:pPr>
            <w:r w:rsidRPr="00255081">
              <w:rPr>
                <w:rFonts w:ascii="Montserrat" w:eastAsia="Times New Roman" w:hAnsi="Montserrat" w:cs="Calibri"/>
                <w:sz w:val="15"/>
                <w:szCs w:val="15"/>
                <w:lang w:eastAsia="es-MX"/>
              </w:rPr>
              <w:t>521,597,818</w:t>
            </w:r>
          </w:p>
        </w:tc>
      </w:tr>
      <w:tr w:rsidR="00015492" w:rsidRPr="00995308" w14:paraId="5B1F6170" w14:textId="77777777" w:rsidTr="000F03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jc w:val="center"/>
        </w:trPr>
        <w:tc>
          <w:tcPr>
            <w:tcW w:w="5583" w:type="dxa"/>
            <w:shd w:val="clear" w:color="000000" w:fill="F2F2F2"/>
            <w:vAlign w:val="center"/>
          </w:tcPr>
          <w:p w14:paraId="1DF73F91" w14:textId="2FD271F5" w:rsidR="00015492" w:rsidRPr="00255081" w:rsidRDefault="00015492" w:rsidP="004B170A">
            <w:pPr>
              <w:spacing w:after="120" w:line="240" w:lineRule="auto"/>
              <w:jc w:val="both"/>
              <w:rPr>
                <w:rFonts w:ascii="Montserrat" w:eastAsia="Times New Roman" w:hAnsi="Montserrat" w:cs="Calibri"/>
                <w:color w:val="000000"/>
                <w:sz w:val="15"/>
                <w:szCs w:val="15"/>
                <w:lang w:eastAsia="es-MX"/>
              </w:rPr>
            </w:pPr>
            <w:r w:rsidRPr="00255081">
              <w:rPr>
                <w:rFonts w:ascii="Montserrat" w:eastAsia="Times New Roman" w:hAnsi="Montserrat" w:cs="Calibri"/>
                <w:sz w:val="15"/>
                <w:szCs w:val="15"/>
                <w:lang w:eastAsia="es-MX"/>
              </w:rPr>
              <w:t>Comisión Nacional de los Salarios Mínimos</w:t>
            </w:r>
          </w:p>
        </w:tc>
        <w:tc>
          <w:tcPr>
            <w:tcW w:w="2463" w:type="dxa"/>
            <w:shd w:val="clear" w:color="000000" w:fill="F2F2F2"/>
            <w:noWrap/>
            <w:vAlign w:val="center"/>
          </w:tcPr>
          <w:p w14:paraId="314E58A5" w14:textId="376A8844" w:rsidR="00015492" w:rsidRPr="00255081" w:rsidRDefault="00015492" w:rsidP="000A1B05">
            <w:pPr>
              <w:spacing w:after="120" w:line="240" w:lineRule="auto"/>
              <w:jc w:val="right"/>
              <w:rPr>
                <w:rFonts w:ascii="Montserrat" w:eastAsia="Times New Roman" w:hAnsi="Montserrat" w:cs="Calibri"/>
                <w:color w:val="000000"/>
                <w:sz w:val="15"/>
                <w:szCs w:val="15"/>
                <w:lang w:eastAsia="es-MX"/>
              </w:rPr>
            </w:pPr>
            <w:r w:rsidRPr="00255081">
              <w:rPr>
                <w:rFonts w:ascii="Montserrat" w:eastAsia="Times New Roman" w:hAnsi="Montserrat" w:cs="Calibri"/>
                <w:sz w:val="15"/>
                <w:szCs w:val="15"/>
                <w:lang w:eastAsia="es-MX"/>
              </w:rPr>
              <w:t>49,624,976</w:t>
            </w:r>
          </w:p>
        </w:tc>
        <w:tc>
          <w:tcPr>
            <w:tcW w:w="1192" w:type="dxa"/>
            <w:shd w:val="clear" w:color="000000" w:fill="F2F2F2"/>
            <w:noWrap/>
            <w:vAlign w:val="center"/>
          </w:tcPr>
          <w:p w14:paraId="25AB89E9" w14:textId="0CFA5E64" w:rsidR="00015492" w:rsidRPr="00255081" w:rsidRDefault="00015492" w:rsidP="000A1B05">
            <w:pPr>
              <w:spacing w:after="120" w:line="240" w:lineRule="auto"/>
              <w:jc w:val="right"/>
              <w:rPr>
                <w:rFonts w:ascii="Montserrat" w:eastAsia="Times New Roman" w:hAnsi="Montserrat" w:cs="Calibri"/>
                <w:color w:val="000000"/>
                <w:sz w:val="15"/>
                <w:szCs w:val="15"/>
                <w:lang w:eastAsia="es-MX"/>
              </w:rPr>
            </w:pPr>
            <w:r w:rsidRPr="00255081">
              <w:rPr>
                <w:rFonts w:ascii="Montserrat" w:eastAsia="Times New Roman" w:hAnsi="Montserrat" w:cs="Calibri"/>
                <w:sz w:val="15"/>
                <w:szCs w:val="15"/>
                <w:lang w:eastAsia="es-MX"/>
              </w:rPr>
              <w:t>100%</w:t>
            </w:r>
          </w:p>
        </w:tc>
        <w:tc>
          <w:tcPr>
            <w:tcW w:w="2558" w:type="dxa"/>
            <w:gridSpan w:val="2"/>
            <w:shd w:val="clear" w:color="000000" w:fill="F2F2F2"/>
            <w:noWrap/>
            <w:vAlign w:val="center"/>
          </w:tcPr>
          <w:p w14:paraId="40D66C90" w14:textId="7C03D2F4" w:rsidR="00015492" w:rsidRPr="00255081" w:rsidRDefault="00015492" w:rsidP="000A1B05">
            <w:pPr>
              <w:spacing w:after="120" w:line="240" w:lineRule="auto"/>
              <w:jc w:val="right"/>
              <w:rPr>
                <w:rFonts w:ascii="Montserrat" w:eastAsia="Times New Roman" w:hAnsi="Montserrat" w:cs="Calibri"/>
                <w:color w:val="000000"/>
                <w:sz w:val="15"/>
                <w:szCs w:val="15"/>
                <w:lang w:eastAsia="es-MX"/>
              </w:rPr>
            </w:pPr>
            <w:r w:rsidRPr="00255081">
              <w:rPr>
                <w:rFonts w:ascii="Montserrat" w:eastAsia="Times New Roman" w:hAnsi="Montserrat" w:cs="Calibri"/>
                <w:sz w:val="15"/>
                <w:szCs w:val="15"/>
                <w:lang w:eastAsia="es-MX"/>
              </w:rPr>
              <w:t>49,624,976</w:t>
            </w:r>
          </w:p>
        </w:tc>
      </w:tr>
      <w:tr w:rsidR="00015492" w:rsidRPr="00995308" w14:paraId="03AE0A3F" w14:textId="77777777" w:rsidTr="000F03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jc w:val="center"/>
        </w:trPr>
        <w:tc>
          <w:tcPr>
            <w:tcW w:w="5583" w:type="dxa"/>
            <w:shd w:val="clear" w:color="000000" w:fill="F2F2F2"/>
            <w:vAlign w:val="center"/>
          </w:tcPr>
          <w:p w14:paraId="5DE9DCD4" w14:textId="35EEC9C6" w:rsidR="00015492" w:rsidRPr="00255081" w:rsidRDefault="00015492" w:rsidP="004B170A">
            <w:pPr>
              <w:spacing w:after="120" w:line="240" w:lineRule="auto"/>
              <w:jc w:val="both"/>
              <w:rPr>
                <w:rFonts w:ascii="Montserrat" w:eastAsia="Times New Roman" w:hAnsi="Montserrat" w:cs="Calibri"/>
                <w:color w:val="000000"/>
                <w:sz w:val="15"/>
                <w:szCs w:val="15"/>
                <w:lang w:eastAsia="es-MX"/>
              </w:rPr>
            </w:pPr>
            <w:r w:rsidRPr="00255081">
              <w:rPr>
                <w:rFonts w:ascii="Montserrat" w:eastAsia="Times New Roman" w:hAnsi="Montserrat" w:cs="Calibri"/>
                <w:sz w:val="15"/>
                <w:szCs w:val="15"/>
                <w:lang w:eastAsia="es-MX"/>
              </w:rPr>
              <w:t>Instituto del Fondo Nacional para el Consumo de los Trabajadores</w:t>
            </w:r>
          </w:p>
        </w:tc>
        <w:tc>
          <w:tcPr>
            <w:tcW w:w="2463" w:type="dxa"/>
            <w:shd w:val="clear" w:color="000000" w:fill="F2F2F2"/>
            <w:noWrap/>
            <w:vAlign w:val="center"/>
          </w:tcPr>
          <w:p w14:paraId="6FC9945E" w14:textId="24BF70EC" w:rsidR="00015492" w:rsidRPr="00255081" w:rsidRDefault="00015492" w:rsidP="000A1B05">
            <w:pPr>
              <w:spacing w:after="120" w:line="240" w:lineRule="auto"/>
              <w:jc w:val="right"/>
              <w:rPr>
                <w:rFonts w:ascii="Montserrat" w:eastAsia="Times New Roman" w:hAnsi="Montserrat" w:cs="Calibri"/>
                <w:color w:val="000000"/>
                <w:sz w:val="15"/>
                <w:szCs w:val="15"/>
                <w:lang w:eastAsia="es-MX"/>
              </w:rPr>
            </w:pPr>
            <w:r w:rsidRPr="00255081">
              <w:rPr>
                <w:rFonts w:ascii="Montserrat" w:eastAsia="Times New Roman" w:hAnsi="Montserrat" w:cs="Calibri"/>
                <w:sz w:val="15"/>
                <w:szCs w:val="15"/>
                <w:lang w:eastAsia="es-MX"/>
              </w:rPr>
              <w:t>14,762,014,287</w:t>
            </w:r>
          </w:p>
        </w:tc>
        <w:tc>
          <w:tcPr>
            <w:tcW w:w="1192" w:type="dxa"/>
            <w:shd w:val="clear" w:color="000000" w:fill="F2F2F2"/>
            <w:noWrap/>
            <w:vAlign w:val="center"/>
          </w:tcPr>
          <w:p w14:paraId="234DD4CF" w14:textId="5F5BC5DB" w:rsidR="00015492" w:rsidRPr="00255081" w:rsidRDefault="00015492" w:rsidP="000A1B05">
            <w:pPr>
              <w:spacing w:after="120" w:line="240" w:lineRule="auto"/>
              <w:jc w:val="right"/>
              <w:rPr>
                <w:rFonts w:ascii="Montserrat" w:eastAsia="Times New Roman" w:hAnsi="Montserrat" w:cs="Calibri"/>
                <w:color w:val="000000"/>
                <w:sz w:val="15"/>
                <w:szCs w:val="15"/>
                <w:lang w:eastAsia="es-MX"/>
              </w:rPr>
            </w:pPr>
            <w:r w:rsidRPr="00255081">
              <w:rPr>
                <w:rFonts w:ascii="Montserrat" w:eastAsia="Times New Roman" w:hAnsi="Montserrat" w:cs="Calibri"/>
                <w:sz w:val="15"/>
                <w:szCs w:val="15"/>
                <w:lang w:eastAsia="es-MX"/>
              </w:rPr>
              <w:t>100%</w:t>
            </w:r>
          </w:p>
        </w:tc>
        <w:tc>
          <w:tcPr>
            <w:tcW w:w="2558" w:type="dxa"/>
            <w:gridSpan w:val="2"/>
            <w:shd w:val="clear" w:color="000000" w:fill="F2F2F2"/>
            <w:noWrap/>
            <w:vAlign w:val="center"/>
          </w:tcPr>
          <w:p w14:paraId="7BE9CA02" w14:textId="5EC23E45" w:rsidR="00015492" w:rsidRPr="00255081" w:rsidRDefault="00015492" w:rsidP="000A1B05">
            <w:pPr>
              <w:spacing w:after="120" w:line="240" w:lineRule="auto"/>
              <w:jc w:val="right"/>
              <w:rPr>
                <w:rFonts w:ascii="Montserrat" w:eastAsia="Times New Roman" w:hAnsi="Montserrat" w:cs="Calibri"/>
                <w:color w:val="000000"/>
                <w:sz w:val="15"/>
                <w:szCs w:val="15"/>
                <w:lang w:eastAsia="es-MX"/>
              </w:rPr>
            </w:pPr>
            <w:r w:rsidRPr="00255081">
              <w:rPr>
                <w:rFonts w:ascii="Montserrat" w:eastAsia="Times New Roman" w:hAnsi="Montserrat" w:cs="Calibri"/>
                <w:sz w:val="15"/>
                <w:szCs w:val="15"/>
                <w:lang w:eastAsia="es-MX"/>
              </w:rPr>
              <w:t>14,762,014,287</w:t>
            </w:r>
          </w:p>
        </w:tc>
      </w:tr>
      <w:tr w:rsidR="00015492" w:rsidRPr="00995308" w14:paraId="0EF92D3E" w14:textId="77777777" w:rsidTr="000F03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jc w:val="center"/>
        </w:trPr>
        <w:tc>
          <w:tcPr>
            <w:tcW w:w="5583" w:type="dxa"/>
            <w:shd w:val="clear" w:color="000000" w:fill="F2F2F2"/>
            <w:vAlign w:val="center"/>
          </w:tcPr>
          <w:p w14:paraId="46CBD712" w14:textId="22B83F10" w:rsidR="00015492" w:rsidRPr="00255081" w:rsidRDefault="00015492" w:rsidP="004B170A">
            <w:pPr>
              <w:spacing w:after="120" w:line="240" w:lineRule="auto"/>
              <w:jc w:val="both"/>
              <w:rPr>
                <w:rFonts w:ascii="Montserrat" w:eastAsia="Times New Roman" w:hAnsi="Montserrat" w:cs="Calibri"/>
                <w:color w:val="000000"/>
                <w:sz w:val="15"/>
                <w:szCs w:val="15"/>
                <w:lang w:eastAsia="es-MX"/>
              </w:rPr>
            </w:pPr>
            <w:r w:rsidRPr="00255081">
              <w:rPr>
                <w:rFonts w:ascii="Montserrat" w:eastAsia="Times New Roman" w:hAnsi="Montserrat" w:cs="Calibri"/>
                <w:sz w:val="15"/>
                <w:szCs w:val="15"/>
                <w:lang w:eastAsia="es-MX"/>
              </w:rPr>
              <w:t xml:space="preserve">Fideicomiso Fondo Nacional de Habitaciones Populares </w:t>
            </w:r>
          </w:p>
        </w:tc>
        <w:tc>
          <w:tcPr>
            <w:tcW w:w="2463" w:type="dxa"/>
            <w:shd w:val="clear" w:color="000000" w:fill="F2F2F2"/>
            <w:noWrap/>
            <w:vAlign w:val="center"/>
          </w:tcPr>
          <w:p w14:paraId="1506B29F" w14:textId="75E79E39" w:rsidR="00015492" w:rsidRPr="00255081" w:rsidRDefault="00015492" w:rsidP="000A1B05">
            <w:pPr>
              <w:spacing w:after="120" w:line="240" w:lineRule="auto"/>
              <w:jc w:val="right"/>
              <w:rPr>
                <w:rFonts w:ascii="Montserrat" w:eastAsia="Times New Roman" w:hAnsi="Montserrat" w:cs="Calibri"/>
                <w:color w:val="000000"/>
                <w:sz w:val="15"/>
                <w:szCs w:val="15"/>
                <w:lang w:eastAsia="es-MX"/>
              </w:rPr>
            </w:pPr>
            <w:r w:rsidRPr="00255081">
              <w:rPr>
                <w:rFonts w:ascii="Montserrat" w:eastAsia="Times New Roman" w:hAnsi="Montserrat" w:cs="Calibri"/>
                <w:sz w:val="15"/>
                <w:szCs w:val="15"/>
                <w:lang w:eastAsia="es-MX"/>
              </w:rPr>
              <w:t>1,279,212,770</w:t>
            </w:r>
          </w:p>
        </w:tc>
        <w:tc>
          <w:tcPr>
            <w:tcW w:w="1192" w:type="dxa"/>
            <w:shd w:val="clear" w:color="000000" w:fill="F2F2F2"/>
            <w:noWrap/>
            <w:vAlign w:val="center"/>
          </w:tcPr>
          <w:p w14:paraId="3CFF3283" w14:textId="51ADEEA9" w:rsidR="00015492" w:rsidRPr="00255081" w:rsidRDefault="00015492" w:rsidP="000A1B05">
            <w:pPr>
              <w:spacing w:after="120" w:line="240" w:lineRule="auto"/>
              <w:jc w:val="right"/>
              <w:rPr>
                <w:rFonts w:ascii="Montserrat" w:eastAsia="Times New Roman" w:hAnsi="Montserrat" w:cs="Calibri"/>
                <w:color w:val="000000"/>
                <w:sz w:val="15"/>
                <w:szCs w:val="15"/>
                <w:lang w:eastAsia="es-MX"/>
              </w:rPr>
            </w:pPr>
            <w:r w:rsidRPr="00255081">
              <w:rPr>
                <w:rFonts w:ascii="Montserrat" w:eastAsia="Times New Roman" w:hAnsi="Montserrat" w:cs="Calibri"/>
                <w:sz w:val="15"/>
                <w:szCs w:val="15"/>
                <w:lang w:eastAsia="es-MX"/>
              </w:rPr>
              <w:t>100%</w:t>
            </w:r>
          </w:p>
        </w:tc>
        <w:tc>
          <w:tcPr>
            <w:tcW w:w="2558" w:type="dxa"/>
            <w:gridSpan w:val="2"/>
            <w:shd w:val="clear" w:color="000000" w:fill="F2F2F2"/>
            <w:noWrap/>
            <w:vAlign w:val="center"/>
          </w:tcPr>
          <w:p w14:paraId="2541A0A3" w14:textId="18A9B046" w:rsidR="00015492" w:rsidRPr="00255081" w:rsidRDefault="00015492" w:rsidP="000A1B05">
            <w:pPr>
              <w:spacing w:after="120" w:line="240" w:lineRule="auto"/>
              <w:jc w:val="right"/>
              <w:rPr>
                <w:rFonts w:ascii="Montserrat" w:eastAsia="Times New Roman" w:hAnsi="Montserrat" w:cs="Calibri"/>
                <w:color w:val="000000"/>
                <w:sz w:val="15"/>
                <w:szCs w:val="15"/>
                <w:lang w:eastAsia="es-MX"/>
              </w:rPr>
            </w:pPr>
            <w:r w:rsidRPr="00255081">
              <w:rPr>
                <w:rFonts w:ascii="Montserrat" w:eastAsia="Times New Roman" w:hAnsi="Montserrat" w:cs="Calibri"/>
                <w:sz w:val="15"/>
                <w:szCs w:val="15"/>
                <w:lang w:eastAsia="es-MX"/>
              </w:rPr>
              <w:t>1,279,212,770</w:t>
            </w:r>
          </w:p>
        </w:tc>
      </w:tr>
      <w:tr w:rsidR="00015492" w:rsidRPr="00995308" w14:paraId="7FA4F7D4" w14:textId="77777777" w:rsidTr="000F03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jc w:val="center"/>
        </w:trPr>
        <w:tc>
          <w:tcPr>
            <w:tcW w:w="5583" w:type="dxa"/>
            <w:shd w:val="clear" w:color="000000" w:fill="F2F2F2"/>
            <w:vAlign w:val="center"/>
          </w:tcPr>
          <w:p w14:paraId="084959C6" w14:textId="40DC2FF7" w:rsidR="00015492" w:rsidRPr="00255081" w:rsidRDefault="00015492" w:rsidP="004B170A">
            <w:pPr>
              <w:spacing w:after="120" w:line="240" w:lineRule="auto"/>
              <w:jc w:val="both"/>
              <w:rPr>
                <w:rFonts w:ascii="Montserrat" w:eastAsia="Times New Roman" w:hAnsi="Montserrat" w:cs="Calibri"/>
                <w:color w:val="000000"/>
                <w:sz w:val="15"/>
                <w:szCs w:val="15"/>
                <w:lang w:eastAsia="es-MX"/>
              </w:rPr>
            </w:pPr>
            <w:r w:rsidRPr="00255081">
              <w:rPr>
                <w:rFonts w:ascii="Montserrat" w:eastAsia="Times New Roman" w:hAnsi="Montserrat" w:cs="Calibri"/>
                <w:sz w:val="15"/>
                <w:szCs w:val="15"/>
                <w:lang w:eastAsia="es-MX"/>
              </w:rPr>
              <w:t>Fideicomiso Fondo Nacional de Fomento Ejidal</w:t>
            </w:r>
          </w:p>
        </w:tc>
        <w:tc>
          <w:tcPr>
            <w:tcW w:w="2463" w:type="dxa"/>
            <w:shd w:val="clear" w:color="000000" w:fill="F2F2F2"/>
            <w:noWrap/>
            <w:vAlign w:val="center"/>
          </w:tcPr>
          <w:p w14:paraId="0105C7E4" w14:textId="5A28FBF5" w:rsidR="00015492" w:rsidRPr="00255081" w:rsidRDefault="00015492" w:rsidP="000A1B05">
            <w:pPr>
              <w:spacing w:after="120" w:line="240" w:lineRule="auto"/>
              <w:jc w:val="right"/>
              <w:rPr>
                <w:rFonts w:ascii="Montserrat" w:eastAsia="Times New Roman" w:hAnsi="Montserrat" w:cs="Calibri"/>
                <w:color w:val="000000"/>
                <w:sz w:val="15"/>
                <w:szCs w:val="15"/>
                <w:lang w:eastAsia="es-MX"/>
              </w:rPr>
            </w:pPr>
            <w:r w:rsidRPr="00255081">
              <w:rPr>
                <w:rFonts w:ascii="Montserrat" w:eastAsia="Times New Roman" w:hAnsi="Montserrat" w:cs="Calibri"/>
                <w:sz w:val="15"/>
                <w:szCs w:val="15"/>
                <w:lang w:eastAsia="es-MX"/>
              </w:rPr>
              <w:t>305,552,907</w:t>
            </w:r>
          </w:p>
        </w:tc>
        <w:tc>
          <w:tcPr>
            <w:tcW w:w="1192" w:type="dxa"/>
            <w:shd w:val="clear" w:color="000000" w:fill="F2F2F2"/>
            <w:noWrap/>
            <w:vAlign w:val="center"/>
          </w:tcPr>
          <w:p w14:paraId="55D229D4" w14:textId="7156CF0D" w:rsidR="00015492" w:rsidRPr="00255081" w:rsidRDefault="00015492" w:rsidP="000A1B05">
            <w:pPr>
              <w:spacing w:after="120" w:line="240" w:lineRule="auto"/>
              <w:jc w:val="right"/>
              <w:rPr>
                <w:rFonts w:ascii="Montserrat" w:eastAsia="Times New Roman" w:hAnsi="Montserrat" w:cs="Calibri"/>
                <w:color w:val="000000"/>
                <w:sz w:val="15"/>
                <w:szCs w:val="15"/>
                <w:lang w:eastAsia="es-MX"/>
              </w:rPr>
            </w:pPr>
            <w:r w:rsidRPr="00255081">
              <w:rPr>
                <w:rFonts w:ascii="Montserrat" w:eastAsia="Times New Roman" w:hAnsi="Montserrat" w:cs="Calibri"/>
                <w:sz w:val="15"/>
                <w:szCs w:val="15"/>
                <w:lang w:eastAsia="es-MX"/>
              </w:rPr>
              <w:t>100%</w:t>
            </w:r>
          </w:p>
        </w:tc>
        <w:tc>
          <w:tcPr>
            <w:tcW w:w="2558" w:type="dxa"/>
            <w:gridSpan w:val="2"/>
            <w:shd w:val="clear" w:color="000000" w:fill="F2F2F2"/>
            <w:noWrap/>
            <w:vAlign w:val="center"/>
          </w:tcPr>
          <w:p w14:paraId="7A9B861A" w14:textId="2A5218E4" w:rsidR="00015492" w:rsidRPr="00255081" w:rsidRDefault="00015492" w:rsidP="000A1B05">
            <w:pPr>
              <w:spacing w:after="120" w:line="240" w:lineRule="auto"/>
              <w:jc w:val="right"/>
              <w:rPr>
                <w:rFonts w:ascii="Montserrat" w:eastAsia="Times New Roman" w:hAnsi="Montserrat" w:cs="Calibri"/>
                <w:color w:val="000000"/>
                <w:sz w:val="15"/>
                <w:szCs w:val="15"/>
                <w:lang w:eastAsia="es-MX"/>
              </w:rPr>
            </w:pPr>
            <w:r w:rsidRPr="00255081">
              <w:rPr>
                <w:rFonts w:ascii="Montserrat" w:eastAsia="Times New Roman" w:hAnsi="Montserrat" w:cs="Calibri"/>
                <w:sz w:val="15"/>
                <w:szCs w:val="15"/>
                <w:lang w:eastAsia="es-MX"/>
              </w:rPr>
              <w:t>305,552,907</w:t>
            </w:r>
          </w:p>
        </w:tc>
      </w:tr>
      <w:tr w:rsidR="00015492" w:rsidRPr="00995308" w14:paraId="52DED0AE" w14:textId="77777777" w:rsidTr="000F03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jc w:val="center"/>
        </w:trPr>
        <w:tc>
          <w:tcPr>
            <w:tcW w:w="5583" w:type="dxa"/>
            <w:shd w:val="clear" w:color="000000" w:fill="F2F2F2"/>
            <w:vAlign w:val="center"/>
          </w:tcPr>
          <w:p w14:paraId="76C47619" w14:textId="2A919D59" w:rsidR="00015492" w:rsidRPr="00255081" w:rsidRDefault="00015492" w:rsidP="004B170A">
            <w:pPr>
              <w:spacing w:after="120" w:line="240" w:lineRule="auto"/>
              <w:jc w:val="both"/>
              <w:rPr>
                <w:rFonts w:ascii="Montserrat" w:eastAsia="Times New Roman" w:hAnsi="Montserrat" w:cs="Calibri"/>
                <w:color w:val="000000"/>
                <w:sz w:val="15"/>
                <w:szCs w:val="15"/>
                <w:lang w:eastAsia="es-MX"/>
              </w:rPr>
            </w:pPr>
            <w:r w:rsidRPr="00255081">
              <w:rPr>
                <w:rFonts w:ascii="Montserrat" w:eastAsia="Times New Roman" w:hAnsi="Montserrat" w:cs="Calibri"/>
                <w:sz w:val="15"/>
                <w:szCs w:val="15"/>
                <w:lang w:eastAsia="es-MX"/>
              </w:rPr>
              <w:t>Procuraduría Agraria</w:t>
            </w:r>
          </w:p>
        </w:tc>
        <w:tc>
          <w:tcPr>
            <w:tcW w:w="2463" w:type="dxa"/>
            <w:shd w:val="clear" w:color="000000" w:fill="F2F2F2"/>
            <w:noWrap/>
            <w:vAlign w:val="center"/>
          </w:tcPr>
          <w:p w14:paraId="69F3A779" w14:textId="2F4E33DA" w:rsidR="00015492" w:rsidRPr="00255081" w:rsidRDefault="00015492" w:rsidP="000A1B05">
            <w:pPr>
              <w:spacing w:after="120" w:line="240" w:lineRule="auto"/>
              <w:jc w:val="right"/>
              <w:rPr>
                <w:rFonts w:ascii="Montserrat" w:eastAsia="Times New Roman" w:hAnsi="Montserrat" w:cs="Calibri"/>
                <w:color w:val="000000"/>
                <w:sz w:val="15"/>
                <w:szCs w:val="15"/>
                <w:lang w:eastAsia="es-MX"/>
              </w:rPr>
            </w:pPr>
            <w:r w:rsidRPr="00255081">
              <w:rPr>
                <w:rFonts w:ascii="Montserrat" w:eastAsia="Times New Roman" w:hAnsi="Montserrat" w:cs="Calibri"/>
                <w:sz w:val="15"/>
                <w:szCs w:val="15"/>
                <w:lang w:eastAsia="es-MX"/>
              </w:rPr>
              <w:t>0</w:t>
            </w:r>
          </w:p>
        </w:tc>
        <w:tc>
          <w:tcPr>
            <w:tcW w:w="1192" w:type="dxa"/>
            <w:shd w:val="clear" w:color="000000" w:fill="F2F2F2"/>
            <w:noWrap/>
            <w:vAlign w:val="center"/>
          </w:tcPr>
          <w:p w14:paraId="436CB9AE" w14:textId="662807D6" w:rsidR="00015492" w:rsidRPr="00255081" w:rsidRDefault="00015492" w:rsidP="000A1B05">
            <w:pPr>
              <w:spacing w:after="120" w:line="240" w:lineRule="auto"/>
              <w:jc w:val="right"/>
              <w:rPr>
                <w:rFonts w:ascii="Montserrat" w:eastAsia="Times New Roman" w:hAnsi="Montserrat" w:cs="Calibri"/>
                <w:color w:val="000000"/>
                <w:sz w:val="15"/>
                <w:szCs w:val="15"/>
                <w:lang w:eastAsia="es-MX"/>
              </w:rPr>
            </w:pPr>
            <w:r w:rsidRPr="00255081">
              <w:rPr>
                <w:rFonts w:ascii="Montserrat" w:eastAsia="Times New Roman" w:hAnsi="Montserrat" w:cs="Calibri"/>
                <w:sz w:val="15"/>
                <w:szCs w:val="15"/>
                <w:lang w:eastAsia="es-MX"/>
              </w:rPr>
              <w:t>0%</w:t>
            </w:r>
          </w:p>
        </w:tc>
        <w:tc>
          <w:tcPr>
            <w:tcW w:w="2558" w:type="dxa"/>
            <w:gridSpan w:val="2"/>
            <w:shd w:val="clear" w:color="000000" w:fill="F2F2F2"/>
            <w:noWrap/>
            <w:vAlign w:val="center"/>
          </w:tcPr>
          <w:p w14:paraId="3D1C1131" w14:textId="28C18E2F" w:rsidR="00015492" w:rsidRPr="00255081" w:rsidRDefault="00015492" w:rsidP="000A1B05">
            <w:pPr>
              <w:spacing w:after="120" w:line="240" w:lineRule="auto"/>
              <w:jc w:val="right"/>
              <w:rPr>
                <w:rFonts w:ascii="Montserrat" w:eastAsia="Times New Roman" w:hAnsi="Montserrat" w:cs="Calibri"/>
                <w:color w:val="000000"/>
                <w:sz w:val="15"/>
                <w:szCs w:val="15"/>
                <w:lang w:eastAsia="es-MX"/>
              </w:rPr>
            </w:pPr>
            <w:r w:rsidRPr="00255081">
              <w:rPr>
                <w:rFonts w:ascii="Montserrat" w:eastAsia="Times New Roman" w:hAnsi="Montserrat" w:cs="Calibri"/>
                <w:sz w:val="15"/>
                <w:szCs w:val="15"/>
                <w:lang w:eastAsia="es-MX"/>
              </w:rPr>
              <w:t>0</w:t>
            </w:r>
          </w:p>
        </w:tc>
      </w:tr>
      <w:tr w:rsidR="00015492" w:rsidRPr="00995308" w14:paraId="1CC8A663" w14:textId="77777777" w:rsidTr="000F03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jc w:val="center"/>
        </w:trPr>
        <w:tc>
          <w:tcPr>
            <w:tcW w:w="5583" w:type="dxa"/>
            <w:shd w:val="clear" w:color="000000" w:fill="F2F2F2"/>
            <w:vAlign w:val="center"/>
          </w:tcPr>
          <w:p w14:paraId="48F8903B" w14:textId="24787B11" w:rsidR="00015492" w:rsidRPr="00255081" w:rsidRDefault="00015492" w:rsidP="004B170A">
            <w:pPr>
              <w:spacing w:after="120" w:line="240" w:lineRule="auto"/>
              <w:jc w:val="both"/>
              <w:rPr>
                <w:rFonts w:ascii="Montserrat" w:eastAsia="Times New Roman" w:hAnsi="Montserrat" w:cs="Calibri"/>
                <w:color w:val="000000"/>
                <w:sz w:val="15"/>
                <w:szCs w:val="15"/>
                <w:lang w:eastAsia="es-MX"/>
              </w:rPr>
            </w:pPr>
            <w:r w:rsidRPr="00255081">
              <w:rPr>
                <w:rFonts w:ascii="Montserrat" w:eastAsia="Times New Roman" w:hAnsi="Montserrat" w:cs="Calibri"/>
                <w:sz w:val="15"/>
                <w:szCs w:val="15"/>
                <w:lang w:eastAsia="es-MX"/>
              </w:rPr>
              <w:t>Instituto Nacional de Suelo Sustentable</w:t>
            </w:r>
          </w:p>
        </w:tc>
        <w:tc>
          <w:tcPr>
            <w:tcW w:w="2463" w:type="dxa"/>
            <w:shd w:val="clear" w:color="000000" w:fill="F2F2F2"/>
            <w:noWrap/>
            <w:vAlign w:val="center"/>
          </w:tcPr>
          <w:p w14:paraId="02C20C4B" w14:textId="3D15F46C" w:rsidR="00015492" w:rsidRPr="00255081" w:rsidRDefault="00015492" w:rsidP="000A1B05">
            <w:pPr>
              <w:spacing w:after="120" w:line="240" w:lineRule="auto"/>
              <w:jc w:val="right"/>
              <w:rPr>
                <w:rFonts w:ascii="Montserrat" w:eastAsia="Times New Roman" w:hAnsi="Montserrat" w:cs="Calibri"/>
                <w:color w:val="000000"/>
                <w:sz w:val="15"/>
                <w:szCs w:val="15"/>
                <w:lang w:eastAsia="es-MX"/>
              </w:rPr>
            </w:pPr>
            <w:r w:rsidRPr="00255081">
              <w:rPr>
                <w:rFonts w:ascii="Montserrat" w:eastAsia="Times New Roman" w:hAnsi="Montserrat" w:cs="Calibri"/>
                <w:sz w:val="15"/>
                <w:szCs w:val="15"/>
                <w:lang w:eastAsia="es-MX"/>
              </w:rPr>
              <w:t>0</w:t>
            </w:r>
          </w:p>
        </w:tc>
        <w:tc>
          <w:tcPr>
            <w:tcW w:w="1192" w:type="dxa"/>
            <w:shd w:val="clear" w:color="000000" w:fill="F2F2F2"/>
            <w:noWrap/>
            <w:vAlign w:val="center"/>
          </w:tcPr>
          <w:p w14:paraId="695E3917" w14:textId="0E4EA463" w:rsidR="00015492" w:rsidRPr="00255081" w:rsidRDefault="00015492" w:rsidP="000A1B05">
            <w:pPr>
              <w:spacing w:after="120" w:line="240" w:lineRule="auto"/>
              <w:jc w:val="right"/>
              <w:rPr>
                <w:rFonts w:ascii="Montserrat" w:eastAsia="Times New Roman" w:hAnsi="Montserrat" w:cs="Calibri"/>
                <w:color w:val="000000"/>
                <w:sz w:val="15"/>
                <w:szCs w:val="15"/>
                <w:lang w:eastAsia="es-MX"/>
              </w:rPr>
            </w:pPr>
            <w:r w:rsidRPr="00255081">
              <w:rPr>
                <w:rFonts w:ascii="Montserrat" w:eastAsia="Times New Roman" w:hAnsi="Montserrat" w:cs="Calibri"/>
                <w:sz w:val="15"/>
                <w:szCs w:val="15"/>
                <w:lang w:eastAsia="es-MX"/>
              </w:rPr>
              <w:t>0%</w:t>
            </w:r>
          </w:p>
        </w:tc>
        <w:tc>
          <w:tcPr>
            <w:tcW w:w="2558" w:type="dxa"/>
            <w:gridSpan w:val="2"/>
            <w:shd w:val="clear" w:color="000000" w:fill="F2F2F2"/>
            <w:noWrap/>
            <w:vAlign w:val="center"/>
          </w:tcPr>
          <w:p w14:paraId="5EC108C3" w14:textId="7A051293" w:rsidR="00015492" w:rsidRPr="00255081" w:rsidRDefault="00015492" w:rsidP="000A1B05">
            <w:pPr>
              <w:spacing w:after="120" w:line="240" w:lineRule="auto"/>
              <w:jc w:val="right"/>
              <w:rPr>
                <w:rFonts w:ascii="Montserrat" w:eastAsia="Times New Roman" w:hAnsi="Montserrat" w:cs="Calibri"/>
                <w:color w:val="000000"/>
                <w:sz w:val="15"/>
                <w:szCs w:val="15"/>
                <w:lang w:eastAsia="es-MX"/>
              </w:rPr>
            </w:pPr>
            <w:r w:rsidRPr="00255081">
              <w:rPr>
                <w:rFonts w:ascii="Montserrat" w:eastAsia="Times New Roman" w:hAnsi="Montserrat" w:cs="Calibri"/>
                <w:sz w:val="15"/>
                <w:szCs w:val="15"/>
                <w:lang w:eastAsia="es-MX"/>
              </w:rPr>
              <w:t>0</w:t>
            </w:r>
          </w:p>
        </w:tc>
      </w:tr>
      <w:tr w:rsidR="00015492" w:rsidRPr="00995308" w14:paraId="7743BDD7" w14:textId="77777777" w:rsidTr="000F03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jc w:val="center"/>
        </w:trPr>
        <w:tc>
          <w:tcPr>
            <w:tcW w:w="5583" w:type="dxa"/>
            <w:shd w:val="clear" w:color="000000" w:fill="F2F2F2"/>
            <w:vAlign w:val="center"/>
          </w:tcPr>
          <w:p w14:paraId="58A3F27D" w14:textId="11580821" w:rsidR="00015492" w:rsidRPr="00255081" w:rsidRDefault="00015492" w:rsidP="004B170A">
            <w:pPr>
              <w:spacing w:after="120" w:line="240" w:lineRule="auto"/>
              <w:jc w:val="both"/>
              <w:rPr>
                <w:rFonts w:ascii="Montserrat" w:eastAsia="Times New Roman" w:hAnsi="Montserrat" w:cs="Calibri"/>
                <w:color w:val="000000"/>
                <w:sz w:val="15"/>
                <w:szCs w:val="15"/>
                <w:lang w:eastAsia="es-MX"/>
              </w:rPr>
            </w:pPr>
            <w:r w:rsidRPr="00255081">
              <w:rPr>
                <w:rFonts w:ascii="Montserrat" w:eastAsia="Times New Roman" w:hAnsi="Montserrat" w:cs="Calibri"/>
                <w:sz w:val="15"/>
                <w:szCs w:val="15"/>
                <w:lang w:eastAsia="es-MX"/>
              </w:rPr>
              <w:t xml:space="preserve">Comisión Nacional de Vivienda </w:t>
            </w:r>
          </w:p>
        </w:tc>
        <w:tc>
          <w:tcPr>
            <w:tcW w:w="2463" w:type="dxa"/>
            <w:shd w:val="clear" w:color="000000" w:fill="F2F2F2"/>
            <w:noWrap/>
            <w:vAlign w:val="center"/>
          </w:tcPr>
          <w:p w14:paraId="249A8D0A" w14:textId="21021D87" w:rsidR="00015492" w:rsidRPr="00255081" w:rsidRDefault="00015492" w:rsidP="000A1B05">
            <w:pPr>
              <w:spacing w:after="120" w:line="240" w:lineRule="auto"/>
              <w:jc w:val="right"/>
              <w:rPr>
                <w:rFonts w:ascii="Montserrat" w:eastAsia="Times New Roman" w:hAnsi="Montserrat" w:cs="Calibri"/>
                <w:color w:val="000000"/>
                <w:sz w:val="15"/>
                <w:szCs w:val="15"/>
                <w:lang w:eastAsia="es-MX"/>
              </w:rPr>
            </w:pPr>
            <w:r w:rsidRPr="00255081">
              <w:rPr>
                <w:rFonts w:ascii="Montserrat" w:eastAsia="Times New Roman" w:hAnsi="Montserrat" w:cs="Calibri"/>
                <w:sz w:val="15"/>
                <w:szCs w:val="15"/>
                <w:lang w:eastAsia="es-MX"/>
              </w:rPr>
              <w:t>0</w:t>
            </w:r>
          </w:p>
        </w:tc>
        <w:tc>
          <w:tcPr>
            <w:tcW w:w="1192" w:type="dxa"/>
            <w:shd w:val="clear" w:color="000000" w:fill="F2F2F2"/>
            <w:noWrap/>
            <w:vAlign w:val="center"/>
          </w:tcPr>
          <w:p w14:paraId="58217420" w14:textId="69338946" w:rsidR="00015492" w:rsidRPr="00255081" w:rsidRDefault="00015492" w:rsidP="000A1B05">
            <w:pPr>
              <w:spacing w:after="120" w:line="240" w:lineRule="auto"/>
              <w:jc w:val="right"/>
              <w:rPr>
                <w:rFonts w:ascii="Montserrat" w:eastAsia="Times New Roman" w:hAnsi="Montserrat" w:cs="Calibri"/>
                <w:color w:val="000000"/>
                <w:sz w:val="15"/>
                <w:szCs w:val="15"/>
                <w:lang w:eastAsia="es-MX"/>
              </w:rPr>
            </w:pPr>
            <w:r w:rsidRPr="00255081">
              <w:rPr>
                <w:rFonts w:ascii="Montserrat" w:eastAsia="Times New Roman" w:hAnsi="Montserrat" w:cs="Calibri"/>
                <w:sz w:val="15"/>
                <w:szCs w:val="15"/>
                <w:lang w:eastAsia="es-MX"/>
              </w:rPr>
              <w:t>0%</w:t>
            </w:r>
          </w:p>
        </w:tc>
        <w:tc>
          <w:tcPr>
            <w:tcW w:w="2558" w:type="dxa"/>
            <w:gridSpan w:val="2"/>
            <w:shd w:val="clear" w:color="000000" w:fill="F2F2F2"/>
            <w:noWrap/>
            <w:vAlign w:val="center"/>
          </w:tcPr>
          <w:p w14:paraId="1670D202" w14:textId="79263C56" w:rsidR="00015492" w:rsidRPr="00255081" w:rsidRDefault="00015492" w:rsidP="000A1B05">
            <w:pPr>
              <w:spacing w:after="120" w:line="240" w:lineRule="auto"/>
              <w:jc w:val="right"/>
              <w:rPr>
                <w:rFonts w:ascii="Montserrat" w:eastAsia="Times New Roman" w:hAnsi="Montserrat" w:cs="Calibri"/>
                <w:color w:val="000000"/>
                <w:sz w:val="15"/>
                <w:szCs w:val="15"/>
                <w:lang w:eastAsia="es-MX"/>
              </w:rPr>
            </w:pPr>
            <w:r w:rsidRPr="00255081">
              <w:rPr>
                <w:rFonts w:ascii="Montserrat" w:eastAsia="Times New Roman" w:hAnsi="Montserrat" w:cs="Calibri"/>
                <w:sz w:val="15"/>
                <w:szCs w:val="15"/>
                <w:lang w:eastAsia="es-MX"/>
              </w:rPr>
              <w:t>0</w:t>
            </w:r>
          </w:p>
        </w:tc>
      </w:tr>
      <w:tr w:rsidR="00015492" w:rsidRPr="00995308" w14:paraId="01C11440" w14:textId="77777777" w:rsidTr="000F03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jc w:val="center"/>
        </w:trPr>
        <w:tc>
          <w:tcPr>
            <w:tcW w:w="5583" w:type="dxa"/>
            <w:shd w:val="clear" w:color="000000" w:fill="F2F2F2"/>
            <w:vAlign w:val="center"/>
          </w:tcPr>
          <w:p w14:paraId="7CD6DA0A" w14:textId="4AE59D63" w:rsidR="00015492" w:rsidRPr="00255081" w:rsidRDefault="00015492" w:rsidP="004B170A">
            <w:pPr>
              <w:spacing w:after="120" w:line="240" w:lineRule="auto"/>
              <w:jc w:val="both"/>
              <w:rPr>
                <w:rFonts w:ascii="Montserrat" w:eastAsia="Times New Roman" w:hAnsi="Montserrat" w:cs="Calibri"/>
                <w:color w:val="000000"/>
                <w:sz w:val="15"/>
                <w:szCs w:val="15"/>
                <w:lang w:eastAsia="es-MX"/>
              </w:rPr>
            </w:pPr>
            <w:r w:rsidRPr="00255081">
              <w:rPr>
                <w:rFonts w:ascii="Montserrat" w:eastAsia="Times New Roman" w:hAnsi="Montserrat" w:cs="Calibri"/>
                <w:sz w:val="15"/>
                <w:szCs w:val="15"/>
                <w:lang w:eastAsia="es-MX"/>
              </w:rPr>
              <w:t>Comisión Nacional Forestal</w:t>
            </w:r>
          </w:p>
        </w:tc>
        <w:tc>
          <w:tcPr>
            <w:tcW w:w="2463" w:type="dxa"/>
            <w:shd w:val="clear" w:color="000000" w:fill="F2F2F2"/>
            <w:noWrap/>
            <w:vAlign w:val="center"/>
          </w:tcPr>
          <w:p w14:paraId="59779D74" w14:textId="65D3B967" w:rsidR="00015492" w:rsidRPr="00255081" w:rsidRDefault="00015492" w:rsidP="000A1B05">
            <w:pPr>
              <w:spacing w:after="120" w:line="240" w:lineRule="auto"/>
              <w:jc w:val="right"/>
              <w:rPr>
                <w:rFonts w:ascii="Montserrat" w:eastAsia="Times New Roman" w:hAnsi="Montserrat" w:cs="Calibri"/>
                <w:color w:val="000000"/>
                <w:sz w:val="15"/>
                <w:szCs w:val="15"/>
                <w:lang w:eastAsia="es-MX"/>
              </w:rPr>
            </w:pPr>
            <w:r w:rsidRPr="00255081">
              <w:rPr>
                <w:rFonts w:ascii="Montserrat" w:eastAsia="Times New Roman" w:hAnsi="Montserrat" w:cs="Calibri"/>
                <w:sz w:val="15"/>
                <w:szCs w:val="15"/>
                <w:lang w:eastAsia="es-MX"/>
              </w:rPr>
              <w:t>1,538,962,089</w:t>
            </w:r>
          </w:p>
        </w:tc>
        <w:tc>
          <w:tcPr>
            <w:tcW w:w="1192" w:type="dxa"/>
            <w:shd w:val="clear" w:color="000000" w:fill="F2F2F2"/>
            <w:noWrap/>
            <w:vAlign w:val="center"/>
          </w:tcPr>
          <w:p w14:paraId="5CE053AA" w14:textId="067C877A" w:rsidR="00015492" w:rsidRPr="00255081" w:rsidRDefault="00015492" w:rsidP="000A1B05">
            <w:pPr>
              <w:spacing w:after="120" w:line="240" w:lineRule="auto"/>
              <w:jc w:val="right"/>
              <w:rPr>
                <w:rFonts w:ascii="Montserrat" w:eastAsia="Times New Roman" w:hAnsi="Montserrat" w:cs="Calibri"/>
                <w:color w:val="000000"/>
                <w:sz w:val="15"/>
                <w:szCs w:val="15"/>
                <w:lang w:eastAsia="es-MX"/>
              </w:rPr>
            </w:pPr>
            <w:r w:rsidRPr="00255081">
              <w:rPr>
                <w:rFonts w:ascii="Montserrat" w:eastAsia="Times New Roman" w:hAnsi="Montserrat" w:cs="Calibri"/>
                <w:sz w:val="15"/>
                <w:szCs w:val="15"/>
                <w:lang w:eastAsia="es-MX"/>
              </w:rPr>
              <w:t>100%</w:t>
            </w:r>
          </w:p>
        </w:tc>
        <w:tc>
          <w:tcPr>
            <w:tcW w:w="2558" w:type="dxa"/>
            <w:gridSpan w:val="2"/>
            <w:shd w:val="clear" w:color="000000" w:fill="F2F2F2"/>
            <w:noWrap/>
            <w:vAlign w:val="center"/>
          </w:tcPr>
          <w:p w14:paraId="24F68982" w14:textId="72660BBD" w:rsidR="00015492" w:rsidRPr="00255081" w:rsidRDefault="00015492" w:rsidP="000A1B05">
            <w:pPr>
              <w:spacing w:after="120" w:line="240" w:lineRule="auto"/>
              <w:jc w:val="right"/>
              <w:rPr>
                <w:rFonts w:ascii="Montserrat" w:eastAsia="Times New Roman" w:hAnsi="Montserrat" w:cs="Calibri"/>
                <w:color w:val="000000"/>
                <w:sz w:val="15"/>
                <w:szCs w:val="15"/>
                <w:lang w:eastAsia="es-MX"/>
              </w:rPr>
            </w:pPr>
            <w:r w:rsidRPr="00255081">
              <w:rPr>
                <w:rFonts w:ascii="Montserrat" w:eastAsia="Times New Roman" w:hAnsi="Montserrat" w:cs="Calibri"/>
                <w:sz w:val="15"/>
                <w:szCs w:val="15"/>
                <w:lang w:eastAsia="es-MX"/>
              </w:rPr>
              <w:t>1,538,962,089</w:t>
            </w:r>
          </w:p>
        </w:tc>
      </w:tr>
      <w:tr w:rsidR="00015492" w:rsidRPr="00995308" w14:paraId="2F6AC6AA" w14:textId="77777777" w:rsidTr="000F03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jc w:val="center"/>
        </w:trPr>
        <w:tc>
          <w:tcPr>
            <w:tcW w:w="5583" w:type="dxa"/>
            <w:shd w:val="clear" w:color="000000" w:fill="F2F2F2"/>
            <w:vAlign w:val="center"/>
          </w:tcPr>
          <w:p w14:paraId="673280F0" w14:textId="4FDD493F" w:rsidR="00015492" w:rsidRPr="00255081" w:rsidRDefault="00015492" w:rsidP="004B170A">
            <w:pPr>
              <w:spacing w:after="120" w:line="240" w:lineRule="auto"/>
              <w:jc w:val="both"/>
              <w:rPr>
                <w:rFonts w:ascii="Montserrat" w:eastAsia="Times New Roman" w:hAnsi="Montserrat" w:cs="Calibri"/>
                <w:color w:val="000000"/>
                <w:sz w:val="15"/>
                <w:szCs w:val="15"/>
                <w:lang w:eastAsia="es-MX"/>
              </w:rPr>
            </w:pPr>
            <w:r w:rsidRPr="00255081">
              <w:rPr>
                <w:rFonts w:ascii="Montserrat" w:eastAsia="Times New Roman" w:hAnsi="Montserrat" w:cs="Calibri"/>
                <w:sz w:val="15"/>
                <w:szCs w:val="15"/>
                <w:lang w:eastAsia="es-MX"/>
              </w:rPr>
              <w:t>Instituto Mexicano de Tecnología del Agua</w:t>
            </w:r>
          </w:p>
        </w:tc>
        <w:tc>
          <w:tcPr>
            <w:tcW w:w="2463" w:type="dxa"/>
            <w:shd w:val="clear" w:color="000000" w:fill="F2F2F2"/>
            <w:noWrap/>
            <w:vAlign w:val="center"/>
          </w:tcPr>
          <w:p w14:paraId="17895F0B" w14:textId="774FCBD4" w:rsidR="00015492" w:rsidRPr="00255081" w:rsidRDefault="00015492" w:rsidP="000A1B05">
            <w:pPr>
              <w:spacing w:after="120" w:line="240" w:lineRule="auto"/>
              <w:jc w:val="right"/>
              <w:rPr>
                <w:rFonts w:ascii="Montserrat" w:eastAsia="Times New Roman" w:hAnsi="Montserrat" w:cs="Calibri"/>
                <w:color w:val="000000"/>
                <w:sz w:val="15"/>
                <w:szCs w:val="15"/>
                <w:lang w:eastAsia="es-MX"/>
              </w:rPr>
            </w:pPr>
            <w:r w:rsidRPr="00255081">
              <w:rPr>
                <w:rFonts w:ascii="Montserrat" w:eastAsia="Times New Roman" w:hAnsi="Montserrat" w:cs="Calibri"/>
                <w:sz w:val="15"/>
                <w:szCs w:val="15"/>
                <w:lang w:eastAsia="es-MX"/>
              </w:rPr>
              <w:t>693,459,833</w:t>
            </w:r>
          </w:p>
        </w:tc>
        <w:tc>
          <w:tcPr>
            <w:tcW w:w="1192" w:type="dxa"/>
            <w:shd w:val="clear" w:color="000000" w:fill="F2F2F2"/>
            <w:noWrap/>
            <w:vAlign w:val="center"/>
          </w:tcPr>
          <w:p w14:paraId="0C0FEA0A" w14:textId="4B4B6AF7" w:rsidR="00015492" w:rsidRPr="00255081" w:rsidRDefault="00015492" w:rsidP="000A1B05">
            <w:pPr>
              <w:spacing w:after="120" w:line="240" w:lineRule="auto"/>
              <w:jc w:val="right"/>
              <w:rPr>
                <w:rFonts w:ascii="Montserrat" w:eastAsia="Times New Roman" w:hAnsi="Montserrat" w:cs="Calibri"/>
                <w:color w:val="000000"/>
                <w:sz w:val="15"/>
                <w:szCs w:val="15"/>
                <w:lang w:eastAsia="es-MX"/>
              </w:rPr>
            </w:pPr>
            <w:r w:rsidRPr="00255081">
              <w:rPr>
                <w:rFonts w:ascii="Montserrat" w:eastAsia="Times New Roman" w:hAnsi="Montserrat" w:cs="Calibri"/>
                <w:sz w:val="15"/>
                <w:szCs w:val="15"/>
                <w:lang w:eastAsia="es-MX"/>
              </w:rPr>
              <w:t>100%</w:t>
            </w:r>
          </w:p>
        </w:tc>
        <w:tc>
          <w:tcPr>
            <w:tcW w:w="2558" w:type="dxa"/>
            <w:gridSpan w:val="2"/>
            <w:shd w:val="clear" w:color="000000" w:fill="F2F2F2"/>
            <w:noWrap/>
            <w:vAlign w:val="center"/>
          </w:tcPr>
          <w:p w14:paraId="59922838" w14:textId="275375C0" w:rsidR="00015492" w:rsidRPr="00255081" w:rsidRDefault="00015492" w:rsidP="000A1B05">
            <w:pPr>
              <w:spacing w:after="120" w:line="240" w:lineRule="auto"/>
              <w:jc w:val="right"/>
              <w:rPr>
                <w:rFonts w:ascii="Montserrat" w:eastAsia="Times New Roman" w:hAnsi="Montserrat" w:cs="Calibri"/>
                <w:color w:val="000000"/>
                <w:sz w:val="15"/>
                <w:szCs w:val="15"/>
                <w:lang w:eastAsia="es-MX"/>
              </w:rPr>
            </w:pPr>
            <w:r w:rsidRPr="00255081">
              <w:rPr>
                <w:rFonts w:ascii="Montserrat" w:eastAsia="Times New Roman" w:hAnsi="Montserrat" w:cs="Calibri"/>
                <w:sz w:val="15"/>
                <w:szCs w:val="15"/>
                <w:lang w:eastAsia="es-MX"/>
              </w:rPr>
              <w:t>693,453,597</w:t>
            </w:r>
          </w:p>
        </w:tc>
      </w:tr>
      <w:tr w:rsidR="00015492" w:rsidRPr="00995308" w14:paraId="78AC39BC" w14:textId="77777777" w:rsidTr="000F03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jc w:val="center"/>
        </w:trPr>
        <w:tc>
          <w:tcPr>
            <w:tcW w:w="5583" w:type="dxa"/>
            <w:shd w:val="clear" w:color="000000" w:fill="F2F2F2"/>
            <w:vAlign w:val="center"/>
          </w:tcPr>
          <w:p w14:paraId="2E544246" w14:textId="0E7917CB" w:rsidR="00015492" w:rsidRPr="00255081" w:rsidRDefault="00015492" w:rsidP="004B170A">
            <w:pPr>
              <w:spacing w:after="120" w:line="240" w:lineRule="auto"/>
              <w:jc w:val="both"/>
              <w:rPr>
                <w:rFonts w:ascii="Montserrat" w:eastAsia="Times New Roman" w:hAnsi="Montserrat" w:cs="Calibri"/>
                <w:color w:val="000000"/>
                <w:sz w:val="15"/>
                <w:szCs w:val="15"/>
                <w:lang w:eastAsia="es-MX"/>
              </w:rPr>
            </w:pPr>
            <w:r w:rsidRPr="00255081">
              <w:rPr>
                <w:rFonts w:ascii="Montserrat" w:eastAsia="Times New Roman" w:hAnsi="Montserrat" w:cs="Calibri"/>
                <w:sz w:val="15"/>
                <w:szCs w:val="15"/>
                <w:lang w:eastAsia="es-MX"/>
              </w:rPr>
              <w:t xml:space="preserve">Instituto Nacional de Ecología y </w:t>
            </w:r>
            <w:r w:rsidR="007F6248">
              <w:rPr>
                <w:rFonts w:ascii="Montserrat" w:eastAsia="Times New Roman" w:hAnsi="Montserrat" w:cs="Calibri"/>
                <w:sz w:val="15"/>
                <w:szCs w:val="15"/>
                <w:lang w:eastAsia="es-MX"/>
              </w:rPr>
              <w:t>C</w:t>
            </w:r>
            <w:r w:rsidRPr="00255081">
              <w:rPr>
                <w:rFonts w:ascii="Montserrat" w:eastAsia="Times New Roman" w:hAnsi="Montserrat" w:cs="Calibri"/>
                <w:sz w:val="15"/>
                <w:szCs w:val="15"/>
                <w:lang w:eastAsia="es-MX"/>
              </w:rPr>
              <w:t>ambio Climático</w:t>
            </w:r>
          </w:p>
        </w:tc>
        <w:tc>
          <w:tcPr>
            <w:tcW w:w="2463" w:type="dxa"/>
            <w:shd w:val="clear" w:color="000000" w:fill="F2F2F2"/>
            <w:noWrap/>
            <w:vAlign w:val="center"/>
          </w:tcPr>
          <w:p w14:paraId="717F3B16" w14:textId="2B0AE579" w:rsidR="00015492" w:rsidRPr="00255081" w:rsidRDefault="00015492" w:rsidP="000A1B05">
            <w:pPr>
              <w:spacing w:after="120" w:line="240" w:lineRule="auto"/>
              <w:jc w:val="right"/>
              <w:rPr>
                <w:rFonts w:ascii="Montserrat" w:eastAsia="Times New Roman" w:hAnsi="Montserrat" w:cs="Calibri"/>
                <w:color w:val="000000"/>
                <w:sz w:val="15"/>
                <w:szCs w:val="15"/>
                <w:lang w:eastAsia="es-MX"/>
              </w:rPr>
            </w:pPr>
            <w:r w:rsidRPr="00255081">
              <w:rPr>
                <w:rFonts w:ascii="Montserrat" w:eastAsia="Times New Roman" w:hAnsi="Montserrat" w:cs="Calibri"/>
                <w:sz w:val="15"/>
                <w:szCs w:val="15"/>
                <w:lang w:eastAsia="es-MX"/>
              </w:rPr>
              <w:t>226,582,639</w:t>
            </w:r>
          </w:p>
        </w:tc>
        <w:tc>
          <w:tcPr>
            <w:tcW w:w="1192" w:type="dxa"/>
            <w:shd w:val="clear" w:color="000000" w:fill="F2F2F2"/>
            <w:noWrap/>
            <w:vAlign w:val="center"/>
          </w:tcPr>
          <w:p w14:paraId="390ABC05" w14:textId="5C12181D" w:rsidR="00015492" w:rsidRPr="00255081" w:rsidRDefault="00015492" w:rsidP="000A1B05">
            <w:pPr>
              <w:spacing w:after="120" w:line="240" w:lineRule="auto"/>
              <w:jc w:val="right"/>
              <w:rPr>
                <w:rFonts w:ascii="Montserrat" w:eastAsia="Times New Roman" w:hAnsi="Montserrat" w:cs="Calibri"/>
                <w:color w:val="000000"/>
                <w:sz w:val="15"/>
                <w:szCs w:val="15"/>
                <w:lang w:eastAsia="es-MX"/>
              </w:rPr>
            </w:pPr>
            <w:r w:rsidRPr="00255081">
              <w:rPr>
                <w:rFonts w:ascii="Montserrat" w:eastAsia="Times New Roman" w:hAnsi="Montserrat" w:cs="Calibri"/>
                <w:sz w:val="15"/>
                <w:szCs w:val="15"/>
                <w:lang w:eastAsia="es-MX"/>
              </w:rPr>
              <w:t>100%</w:t>
            </w:r>
          </w:p>
        </w:tc>
        <w:tc>
          <w:tcPr>
            <w:tcW w:w="2558" w:type="dxa"/>
            <w:gridSpan w:val="2"/>
            <w:shd w:val="clear" w:color="000000" w:fill="F2F2F2"/>
            <w:noWrap/>
            <w:vAlign w:val="center"/>
          </w:tcPr>
          <w:p w14:paraId="6BDBDD90" w14:textId="3D34037A" w:rsidR="00015492" w:rsidRPr="00255081" w:rsidRDefault="00015492" w:rsidP="000A1B05">
            <w:pPr>
              <w:spacing w:after="120" w:line="240" w:lineRule="auto"/>
              <w:jc w:val="right"/>
              <w:rPr>
                <w:rFonts w:ascii="Montserrat" w:eastAsia="Times New Roman" w:hAnsi="Montserrat" w:cs="Calibri"/>
                <w:color w:val="000000"/>
                <w:sz w:val="15"/>
                <w:szCs w:val="15"/>
                <w:lang w:eastAsia="es-MX"/>
              </w:rPr>
            </w:pPr>
            <w:r w:rsidRPr="00255081">
              <w:rPr>
                <w:rFonts w:ascii="Montserrat" w:eastAsia="Times New Roman" w:hAnsi="Montserrat" w:cs="Calibri"/>
                <w:sz w:val="15"/>
                <w:szCs w:val="15"/>
                <w:lang w:eastAsia="es-MX"/>
              </w:rPr>
              <w:t>226,582,639</w:t>
            </w:r>
          </w:p>
        </w:tc>
      </w:tr>
      <w:tr w:rsidR="00015492" w:rsidRPr="00995308" w14:paraId="320FA757" w14:textId="77777777" w:rsidTr="000F03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jc w:val="center"/>
        </w:trPr>
        <w:tc>
          <w:tcPr>
            <w:tcW w:w="5583" w:type="dxa"/>
            <w:shd w:val="clear" w:color="000000" w:fill="F2F2F2"/>
            <w:vAlign w:val="center"/>
          </w:tcPr>
          <w:p w14:paraId="022FE1CE" w14:textId="0F762B3A" w:rsidR="00015492" w:rsidRPr="00255081" w:rsidRDefault="00015492" w:rsidP="004B170A">
            <w:pPr>
              <w:spacing w:after="120" w:line="240" w:lineRule="auto"/>
              <w:jc w:val="both"/>
              <w:rPr>
                <w:rFonts w:ascii="Montserrat" w:eastAsia="Times New Roman" w:hAnsi="Montserrat" w:cs="Calibri"/>
                <w:color w:val="000000"/>
                <w:sz w:val="15"/>
                <w:szCs w:val="15"/>
                <w:lang w:eastAsia="es-MX"/>
              </w:rPr>
            </w:pPr>
            <w:r w:rsidRPr="00255081">
              <w:rPr>
                <w:rFonts w:ascii="Montserrat" w:eastAsia="Times New Roman" w:hAnsi="Montserrat" w:cs="Calibri"/>
                <w:sz w:val="15"/>
                <w:szCs w:val="15"/>
                <w:lang w:eastAsia="es-MX"/>
              </w:rPr>
              <w:t>Instituto Nacional de Ciencias Penales</w:t>
            </w:r>
          </w:p>
        </w:tc>
        <w:tc>
          <w:tcPr>
            <w:tcW w:w="2463" w:type="dxa"/>
            <w:shd w:val="clear" w:color="000000" w:fill="F2F2F2"/>
            <w:noWrap/>
            <w:vAlign w:val="center"/>
          </w:tcPr>
          <w:p w14:paraId="01F63CBC" w14:textId="4365039F" w:rsidR="00015492" w:rsidRPr="00255081" w:rsidRDefault="00015492" w:rsidP="000A1B05">
            <w:pPr>
              <w:spacing w:after="120" w:line="240" w:lineRule="auto"/>
              <w:jc w:val="right"/>
              <w:rPr>
                <w:rFonts w:ascii="Montserrat" w:eastAsia="Times New Roman" w:hAnsi="Montserrat" w:cs="Calibri"/>
                <w:color w:val="000000"/>
                <w:sz w:val="15"/>
                <w:szCs w:val="15"/>
                <w:lang w:eastAsia="es-MX"/>
              </w:rPr>
            </w:pPr>
            <w:r w:rsidRPr="00255081">
              <w:rPr>
                <w:rFonts w:ascii="Montserrat" w:eastAsia="Times New Roman" w:hAnsi="Montserrat" w:cs="Calibri"/>
                <w:sz w:val="15"/>
                <w:szCs w:val="15"/>
                <w:lang w:eastAsia="es-MX"/>
              </w:rPr>
              <w:t>123,925,576</w:t>
            </w:r>
          </w:p>
        </w:tc>
        <w:tc>
          <w:tcPr>
            <w:tcW w:w="1192" w:type="dxa"/>
            <w:shd w:val="clear" w:color="000000" w:fill="F2F2F2"/>
            <w:noWrap/>
            <w:vAlign w:val="center"/>
          </w:tcPr>
          <w:p w14:paraId="5E84A1CF" w14:textId="1548C368" w:rsidR="00015492" w:rsidRPr="00255081" w:rsidRDefault="00015492" w:rsidP="000A1B05">
            <w:pPr>
              <w:spacing w:after="120" w:line="240" w:lineRule="auto"/>
              <w:jc w:val="right"/>
              <w:rPr>
                <w:rFonts w:ascii="Montserrat" w:eastAsia="Times New Roman" w:hAnsi="Montserrat" w:cs="Calibri"/>
                <w:color w:val="000000"/>
                <w:sz w:val="15"/>
                <w:szCs w:val="15"/>
                <w:lang w:eastAsia="es-MX"/>
              </w:rPr>
            </w:pPr>
            <w:r w:rsidRPr="00255081">
              <w:rPr>
                <w:rFonts w:ascii="Montserrat" w:eastAsia="Times New Roman" w:hAnsi="Montserrat" w:cs="Calibri"/>
                <w:sz w:val="15"/>
                <w:szCs w:val="15"/>
                <w:lang w:eastAsia="es-MX"/>
              </w:rPr>
              <w:t>100%</w:t>
            </w:r>
          </w:p>
        </w:tc>
        <w:tc>
          <w:tcPr>
            <w:tcW w:w="2558" w:type="dxa"/>
            <w:gridSpan w:val="2"/>
            <w:shd w:val="clear" w:color="000000" w:fill="F2F2F2"/>
            <w:noWrap/>
            <w:vAlign w:val="center"/>
          </w:tcPr>
          <w:p w14:paraId="214064CD" w14:textId="237D1BB0" w:rsidR="00015492" w:rsidRPr="00255081" w:rsidRDefault="00015492" w:rsidP="000A1B05">
            <w:pPr>
              <w:spacing w:after="120" w:line="240" w:lineRule="auto"/>
              <w:jc w:val="right"/>
              <w:rPr>
                <w:rFonts w:ascii="Montserrat" w:eastAsia="Times New Roman" w:hAnsi="Montserrat" w:cs="Calibri"/>
                <w:color w:val="000000"/>
                <w:sz w:val="15"/>
                <w:szCs w:val="15"/>
                <w:lang w:eastAsia="es-MX"/>
              </w:rPr>
            </w:pPr>
            <w:r w:rsidRPr="00255081">
              <w:rPr>
                <w:rFonts w:ascii="Montserrat" w:eastAsia="Times New Roman" w:hAnsi="Montserrat" w:cs="Calibri"/>
                <w:sz w:val="15"/>
                <w:szCs w:val="15"/>
                <w:lang w:eastAsia="es-MX"/>
              </w:rPr>
              <w:t>123,925,576</w:t>
            </w:r>
          </w:p>
        </w:tc>
      </w:tr>
      <w:tr w:rsidR="00015492" w:rsidRPr="00995308" w14:paraId="75835E45" w14:textId="77777777" w:rsidTr="000F03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jc w:val="center"/>
        </w:trPr>
        <w:tc>
          <w:tcPr>
            <w:tcW w:w="5583" w:type="dxa"/>
            <w:shd w:val="clear" w:color="000000" w:fill="F2F2F2"/>
            <w:vAlign w:val="center"/>
          </w:tcPr>
          <w:p w14:paraId="1D9386A8" w14:textId="119BFD8A" w:rsidR="00015492" w:rsidRPr="00255081" w:rsidRDefault="00015492" w:rsidP="004B170A">
            <w:pPr>
              <w:spacing w:after="120" w:line="240" w:lineRule="auto"/>
              <w:jc w:val="both"/>
              <w:rPr>
                <w:rFonts w:ascii="Montserrat" w:eastAsia="Times New Roman" w:hAnsi="Montserrat" w:cs="Calibri"/>
                <w:color w:val="000000"/>
                <w:sz w:val="15"/>
                <w:szCs w:val="15"/>
                <w:lang w:eastAsia="es-MX"/>
              </w:rPr>
            </w:pPr>
            <w:r w:rsidRPr="00255081">
              <w:rPr>
                <w:rFonts w:ascii="Montserrat" w:eastAsia="Times New Roman" w:hAnsi="Montserrat" w:cs="Calibri"/>
                <w:sz w:val="15"/>
                <w:szCs w:val="15"/>
                <w:lang w:eastAsia="es-MX"/>
              </w:rPr>
              <w:t>Instituto Mexicano del Petróleo</w:t>
            </w:r>
          </w:p>
        </w:tc>
        <w:tc>
          <w:tcPr>
            <w:tcW w:w="2463" w:type="dxa"/>
            <w:shd w:val="clear" w:color="000000" w:fill="F2F2F2"/>
            <w:noWrap/>
            <w:vAlign w:val="center"/>
          </w:tcPr>
          <w:p w14:paraId="3FA18A89" w14:textId="285A5F5E" w:rsidR="00015492" w:rsidRPr="00255081" w:rsidRDefault="00015492" w:rsidP="000A1B05">
            <w:pPr>
              <w:spacing w:after="120" w:line="240" w:lineRule="auto"/>
              <w:jc w:val="right"/>
              <w:rPr>
                <w:rFonts w:ascii="Montserrat" w:eastAsia="Times New Roman" w:hAnsi="Montserrat" w:cs="Calibri"/>
                <w:color w:val="000000"/>
                <w:sz w:val="15"/>
                <w:szCs w:val="15"/>
                <w:lang w:eastAsia="es-MX"/>
              </w:rPr>
            </w:pPr>
            <w:r w:rsidRPr="00255081">
              <w:rPr>
                <w:rFonts w:ascii="Montserrat" w:eastAsia="Times New Roman" w:hAnsi="Montserrat" w:cs="Calibri"/>
                <w:sz w:val="15"/>
                <w:szCs w:val="15"/>
                <w:lang w:eastAsia="es-MX"/>
              </w:rPr>
              <w:t>2,911,415,009</w:t>
            </w:r>
          </w:p>
        </w:tc>
        <w:tc>
          <w:tcPr>
            <w:tcW w:w="1192" w:type="dxa"/>
            <w:shd w:val="clear" w:color="000000" w:fill="F2F2F2"/>
            <w:noWrap/>
            <w:vAlign w:val="center"/>
          </w:tcPr>
          <w:p w14:paraId="334C89C1" w14:textId="2E095086" w:rsidR="00015492" w:rsidRPr="00255081" w:rsidRDefault="00015492" w:rsidP="000A1B05">
            <w:pPr>
              <w:spacing w:after="120" w:line="240" w:lineRule="auto"/>
              <w:jc w:val="right"/>
              <w:rPr>
                <w:rFonts w:ascii="Montserrat" w:eastAsia="Times New Roman" w:hAnsi="Montserrat" w:cs="Calibri"/>
                <w:color w:val="000000"/>
                <w:sz w:val="15"/>
                <w:szCs w:val="15"/>
                <w:lang w:eastAsia="es-MX"/>
              </w:rPr>
            </w:pPr>
            <w:r w:rsidRPr="00255081">
              <w:rPr>
                <w:rFonts w:ascii="Montserrat" w:eastAsia="Times New Roman" w:hAnsi="Montserrat" w:cs="Calibri"/>
                <w:sz w:val="15"/>
                <w:szCs w:val="15"/>
                <w:lang w:eastAsia="es-MX"/>
              </w:rPr>
              <w:t>100%</w:t>
            </w:r>
          </w:p>
        </w:tc>
        <w:tc>
          <w:tcPr>
            <w:tcW w:w="2558" w:type="dxa"/>
            <w:gridSpan w:val="2"/>
            <w:shd w:val="clear" w:color="000000" w:fill="F2F2F2"/>
            <w:noWrap/>
            <w:vAlign w:val="center"/>
          </w:tcPr>
          <w:p w14:paraId="1A4D7EBE" w14:textId="3662E113" w:rsidR="00015492" w:rsidRPr="00255081" w:rsidRDefault="00015492" w:rsidP="000A1B05">
            <w:pPr>
              <w:spacing w:after="120" w:line="240" w:lineRule="auto"/>
              <w:jc w:val="right"/>
              <w:rPr>
                <w:rFonts w:ascii="Montserrat" w:eastAsia="Times New Roman" w:hAnsi="Montserrat" w:cs="Calibri"/>
                <w:color w:val="000000"/>
                <w:sz w:val="15"/>
                <w:szCs w:val="15"/>
                <w:lang w:eastAsia="es-MX"/>
              </w:rPr>
            </w:pPr>
            <w:r w:rsidRPr="00255081">
              <w:rPr>
                <w:rFonts w:ascii="Montserrat" w:eastAsia="Times New Roman" w:hAnsi="Montserrat" w:cs="Calibri"/>
                <w:sz w:val="15"/>
                <w:szCs w:val="15"/>
                <w:lang w:eastAsia="es-MX"/>
              </w:rPr>
              <w:t>2,911,415,009</w:t>
            </w:r>
          </w:p>
        </w:tc>
      </w:tr>
      <w:tr w:rsidR="00015492" w:rsidRPr="00995308" w14:paraId="445E6E25" w14:textId="77777777" w:rsidTr="000F03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jc w:val="center"/>
        </w:trPr>
        <w:tc>
          <w:tcPr>
            <w:tcW w:w="5583" w:type="dxa"/>
            <w:shd w:val="clear" w:color="000000" w:fill="F2F2F2"/>
            <w:vAlign w:val="center"/>
          </w:tcPr>
          <w:p w14:paraId="4BC48150" w14:textId="4F5BAC5E" w:rsidR="00015492" w:rsidRPr="00255081" w:rsidRDefault="00015492" w:rsidP="004B170A">
            <w:pPr>
              <w:spacing w:after="120" w:line="240" w:lineRule="auto"/>
              <w:jc w:val="both"/>
              <w:rPr>
                <w:rFonts w:ascii="Montserrat" w:eastAsia="Times New Roman" w:hAnsi="Montserrat" w:cs="Calibri"/>
                <w:color w:val="000000"/>
                <w:sz w:val="15"/>
                <w:szCs w:val="15"/>
                <w:lang w:eastAsia="es-MX"/>
              </w:rPr>
            </w:pPr>
            <w:r w:rsidRPr="00255081">
              <w:rPr>
                <w:rFonts w:ascii="Montserrat" w:eastAsia="Times New Roman" w:hAnsi="Montserrat" w:cs="Calibri"/>
                <w:sz w:val="15"/>
                <w:szCs w:val="15"/>
                <w:lang w:eastAsia="es-MX"/>
              </w:rPr>
              <w:t>Institu</w:t>
            </w:r>
            <w:r w:rsidR="007F6248">
              <w:rPr>
                <w:rFonts w:ascii="Montserrat" w:eastAsia="Times New Roman" w:hAnsi="Montserrat" w:cs="Calibri"/>
                <w:sz w:val="15"/>
                <w:szCs w:val="15"/>
                <w:lang w:eastAsia="es-MX"/>
              </w:rPr>
              <w:t>to Nacional de Investigaciones N</w:t>
            </w:r>
            <w:r w:rsidRPr="00255081">
              <w:rPr>
                <w:rFonts w:ascii="Montserrat" w:eastAsia="Times New Roman" w:hAnsi="Montserrat" w:cs="Calibri"/>
                <w:sz w:val="15"/>
                <w:szCs w:val="15"/>
                <w:lang w:eastAsia="es-MX"/>
              </w:rPr>
              <w:t>ucleares</w:t>
            </w:r>
          </w:p>
        </w:tc>
        <w:tc>
          <w:tcPr>
            <w:tcW w:w="2463" w:type="dxa"/>
            <w:shd w:val="clear" w:color="000000" w:fill="F2F2F2"/>
            <w:noWrap/>
            <w:vAlign w:val="center"/>
          </w:tcPr>
          <w:p w14:paraId="4CA1CAD4" w14:textId="53990545" w:rsidR="00015492" w:rsidRPr="00255081" w:rsidRDefault="00015492" w:rsidP="000A1B05">
            <w:pPr>
              <w:spacing w:after="120" w:line="240" w:lineRule="auto"/>
              <w:jc w:val="right"/>
              <w:rPr>
                <w:rFonts w:ascii="Montserrat" w:eastAsia="Times New Roman" w:hAnsi="Montserrat" w:cs="Calibri"/>
                <w:color w:val="000000"/>
                <w:sz w:val="15"/>
                <w:szCs w:val="15"/>
                <w:lang w:eastAsia="es-MX"/>
              </w:rPr>
            </w:pPr>
            <w:r w:rsidRPr="00255081">
              <w:rPr>
                <w:rFonts w:ascii="Montserrat" w:eastAsia="Times New Roman" w:hAnsi="Montserrat" w:cs="Calibri"/>
                <w:sz w:val="15"/>
                <w:szCs w:val="15"/>
                <w:lang w:eastAsia="es-MX"/>
              </w:rPr>
              <w:t>1,778,500,836</w:t>
            </w:r>
          </w:p>
        </w:tc>
        <w:tc>
          <w:tcPr>
            <w:tcW w:w="1192" w:type="dxa"/>
            <w:shd w:val="clear" w:color="000000" w:fill="F2F2F2"/>
            <w:noWrap/>
            <w:vAlign w:val="center"/>
          </w:tcPr>
          <w:p w14:paraId="75EF0F03" w14:textId="306BFC83" w:rsidR="00015492" w:rsidRPr="00255081" w:rsidRDefault="00015492" w:rsidP="000A1B05">
            <w:pPr>
              <w:spacing w:after="120" w:line="240" w:lineRule="auto"/>
              <w:jc w:val="right"/>
              <w:rPr>
                <w:rFonts w:ascii="Montserrat" w:eastAsia="Times New Roman" w:hAnsi="Montserrat" w:cs="Calibri"/>
                <w:color w:val="000000"/>
                <w:sz w:val="15"/>
                <w:szCs w:val="15"/>
                <w:lang w:eastAsia="es-MX"/>
              </w:rPr>
            </w:pPr>
            <w:r w:rsidRPr="00255081">
              <w:rPr>
                <w:rFonts w:ascii="Montserrat" w:eastAsia="Times New Roman" w:hAnsi="Montserrat" w:cs="Calibri"/>
                <w:sz w:val="15"/>
                <w:szCs w:val="15"/>
                <w:lang w:eastAsia="es-MX"/>
              </w:rPr>
              <w:t>100%</w:t>
            </w:r>
          </w:p>
        </w:tc>
        <w:tc>
          <w:tcPr>
            <w:tcW w:w="2558" w:type="dxa"/>
            <w:gridSpan w:val="2"/>
            <w:shd w:val="clear" w:color="000000" w:fill="F2F2F2"/>
            <w:noWrap/>
            <w:vAlign w:val="center"/>
          </w:tcPr>
          <w:p w14:paraId="6F1FEAC9" w14:textId="39C2FC44" w:rsidR="00015492" w:rsidRPr="00255081" w:rsidRDefault="00015492" w:rsidP="000A1B05">
            <w:pPr>
              <w:spacing w:after="120" w:line="240" w:lineRule="auto"/>
              <w:jc w:val="right"/>
              <w:rPr>
                <w:rFonts w:ascii="Montserrat" w:eastAsia="Times New Roman" w:hAnsi="Montserrat" w:cs="Calibri"/>
                <w:color w:val="000000"/>
                <w:sz w:val="15"/>
                <w:szCs w:val="15"/>
                <w:lang w:eastAsia="es-MX"/>
              </w:rPr>
            </w:pPr>
            <w:r w:rsidRPr="00255081">
              <w:rPr>
                <w:rFonts w:ascii="Montserrat" w:eastAsia="Times New Roman" w:hAnsi="Montserrat" w:cs="Calibri"/>
                <w:sz w:val="15"/>
                <w:szCs w:val="15"/>
                <w:lang w:eastAsia="es-MX"/>
              </w:rPr>
              <w:t>1,778,500,836</w:t>
            </w:r>
          </w:p>
        </w:tc>
      </w:tr>
      <w:tr w:rsidR="00015492" w:rsidRPr="00995308" w14:paraId="5FB37ABE" w14:textId="77777777" w:rsidTr="000F03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jc w:val="center"/>
        </w:trPr>
        <w:tc>
          <w:tcPr>
            <w:tcW w:w="5583" w:type="dxa"/>
            <w:shd w:val="clear" w:color="000000" w:fill="F2F2F2"/>
            <w:vAlign w:val="center"/>
          </w:tcPr>
          <w:p w14:paraId="75B468FD" w14:textId="08548BE8" w:rsidR="00015492" w:rsidRPr="00255081" w:rsidRDefault="00015492" w:rsidP="004B170A">
            <w:pPr>
              <w:spacing w:after="120" w:line="240" w:lineRule="auto"/>
              <w:jc w:val="both"/>
              <w:rPr>
                <w:rFonts w:ascii="Montserrat" w:eastAsia="Times New Roman" w:hAnsi="Montserrat" w:cs="Calibri"/>
                <w:color w:val="000000"/>
                <w:sz w:val="15"/>
                <w:szCs w:val="15"/>
                <w:lang w:eastAsia="es-MX"/>
              </w:rPr>
            </w:pPr>
            <w:r w:rsidRPr="00255081">
              <w:rPr>
                <w:rFonts w:ascii="Montserrat" w:eastAsia="Times New Roman" w:hAnsi="Montserrat" w:cs="Calibri"/>
                <w:sz w:val="15"/>
                <w:szCs w:val="15"/>
                <w:lang w:eastAsia="es-MX"/>
              </w:rPr>
              <w:t>Centro Nacional de Control de Energía</w:t>
            </w:r>
          </w:p>
        </w:tc>
        <w:tc>
          <w:tcPr>
            <w:tcW w:w="2463" w:type="dxa"/>
            <w:shd w:val="clear" w:color="000000" w:fill="F2F2F2"/>
            <w:noWrap/>
            <w:vAlign w:val="center"/>
          </w:tcPr>
          <w:p w14:paraId="252CB32A" w14:textId="2E87F689" w:rsidR="00015492" w:rsidRPr="00255081" w:rsidRDefault="00015492" w:rsidP="000A1B05">
            <w:pPr>
              <w:spacing w:after="120" w:line="240" w:lineRule="auto"/>
              <w:jc w:val="right"/>
              <w:rPr>
                <w:rFonts w:ascii="Montserrat" w:eastAsia="Times New Roman" w:hAnsi="Montserrat" w:cs="Calibri"/>
                <w:color w:val="000000"/>
                <w:sz w:val="15"/>
                <w:szCs w:val="15"/>
                <w:lang w:eastAsia="es-MX"/>
              </w:rPr>
            </w:pPr>
            <w:r w:rsidRPr="00255081">
              <w:rPr>
                <w:rFonts w:ascii="Montserrat" w:eastAsia="Times New Roman" w:hAnsi="Montserrat" w:cs="Calibri"/>
                <w:sz w:val="15"/>
                <w:szCs w:val="15"/>
                <w:lang w:eastAsia="es-MX"/>
              </w:rPr>
              <w:t>845,979,904</w:t>
            </w:r>
          </w:p>
        </w:tc>
        <w:tc>
          <w:tcPr>
            <w:tcW w:w="1192" w:type="dxa"/>
            <w:shd w:val="clear" w:color="000000" w:fill="F2F2F2"/>
            <w:noWrap/>
            <w:vAlign w:val="center"/>
          </w:tcPr>
          <w:p w14:paraId="3EE21279" w14:textId="3109A28A" w:rsidR="00015492" w:rsidRPr="00255081" w:rsidRDefault="00015492" w:rsidP="000A1B05">
            <w:pPr>
              <w:spacing w:after="120" w:line="240" w:lineRule="auto"/>
              <w:jc w:val="right"/>
              <w:rPr>
                <w:rFonts w:ascii="Montserrat" w:eastAsia="Times New Roman" w:hAnsi="Montserrat" w:cs="Calibri"/>
                <w:color w:val="000000"/>
                <w:sz w:val="15"/>
                <w:szCs w:val="15"/>
                <w:lang w:eastAsia="es-MX"/>
              </w:rPr>
            </w:pPr>
            <w:r w:rsidRPr="00255081">
              <w:rPr>
                <w:rFonts w:ascii="Montserrat" w:eastAsia="Times New Roman" w:hAnsi="Montserrat" w:cs="Calibri"/>
                <w:sz w:val="15"/>
                <w:szCs w:val="15"/>
                <w:lang w:eastAsia="es-MX"/>
              </w:rPr>
              <w:t>100%</w:t>
            </w:r>
          </w:p>
        </w:tc>
        <w:tc>
          <w:tcPr>
            <w:tcW w:w="2558" w:type="dxa"/>
            <w:gridSpan w:val="2"/>
            <w:shd w:val="clear" w:color="000000" w:fill="F2F2F2"/>
            <w:noWrap/>
            <w:vAlign w:val="center"/>
          </w:tcPr>
          <w:p w14:paraId="01EB78FD" w14:textId="59AD4785" w:rsidR="00015492" w:rsidRPr="00255081" w:rsidRDefault="00015492" w:rsidP="000A1B05">
            <w:pPr>
              <w:spacing w:after="120" w:line="240" w:lineRule="auto"/>
              <w:jc w:val="right"/>
              <w:rPr>
                <w:rFonts w:ascii="Montserrat" w:eastAsia="Times New Roman" w:hAnsi="Montserrat" w:cs="Calibri"/>
                <w:color w:val="000000"/>
                <w:sz w:val="15"/>
                <w:szCs w:val="15"/>
                <w:lang w:eastAsia="es-MX"/>
              </w:rPr>
            </w:pPr>
            <w:r w:rsidRPr="00255081">
              <w:rPr>
                <w:rFonts w:ascii="Montserrat" w:eastAsia="Times New Roman" w:hAnsi="Montserrat" w:cs="Calibri"/>
                <w:sz w:val="15"/>
                <w:szCs w:val="15"/>
                <w:lang w:eastAsia="es-MX"/>
              </w:rPr>
              <w:t>845,979,904</w:t>
            </w:r>
          </w:p>
        </w:tc>
      </w:tr>
      <w:tr w:rsidR="00015492" w:rsidRPr="00995308" w14:paraId="208EC692" w14:textId="77777777" w:rsidTr="000F03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jc w:val="center"/>
        </w:trPr>
        <w:tc>
          <w:tcPr>
            <w:tcW w:w="5583" w:type="dxa"/>
            <w:shd w:val="clear" w:color="000000" w:fill="F2F2F2"/>
            <w:vAlign w:val="center"/>
          </w:tcPr>
          <w:p w14:paraId="0378BCEB" w14:textId="679DACC7" w:rsidR="00015492" w:rsidRPr="00255081" w:rsidRDefault="00015492" w:rsidP="004B170A">
            <w:pPr>
              <w:spacing w:after="120" w:line="240" w:lineRule="auto"/>
              <w:jc w:val="both"/>
              <w:rPr>
                <w:rFonts w:ascii="Montserrat" w:eastAsia="Times New Roman" w:hAnsi="Montserrat" w:cs="Calibri"/>
                <w:color w:val="000000"/>
                <w:sz w:val="15"/>
                <w:szCs w:val="15"/>
                <w:lang w:eastAsia="es-MX"/>
              </w:rPr>
            </w:pPr>
            <w:r w:rsidRPr="00255081">
              <w:rPr>
                <w:rFonts w:ascii="Montserrat" w:eastAsia="Times New Roman" w:hAnsi="Montserrat" w:cs="Calibri"/>
                <w:sz w:val="15"/>
                <w:szCs w:val="15"/>
                <w:lang w:eastAsia="es-MX"/>
              </w:rPr>
              <w:t>Instituto Nacional de Electricidad y Energías Limpias</w:t>
            </w:r>
          </w:p>
        </w:tc>
        <w:tc>
          <w:tcPr>
            <w:tcW w:w="2463" w:type="dxa"/>
            <w:shd w:val="clear" w:color="000000" w:fill="F2F2F2"/>
            <w:noWrap/>
            <w:vAlign w:val="center"/>
          </w:tcPr>
          <w:p w14:paraId="49F43A71" w14:textId="26FA4AFA" w:rsidR="00015492" w:rsidRPr="00255081" w:rsidRDefault="00015492" w:rsidP="000A1B05">
            <w:pPr>
              <w:spacing w:after="120" w:line="240" w:lineRule="auto"/>
              <w:jc w:val="right"/>
              <w:rPr>
                <w:rFonts w:ascii="Montserrat" w:eastAsia="Times New Roman" w:hAnsi="Montserrat" w:cs="Calibri"/>
                <w:color w:val="000000"/>
                <w:sz w:val="15"/>
                <w:szCs w:val="15"/>
                <w:lang w:eastAsia="es-MX"/>
              </w:rPr>
            </w:pPr>
            <w:r w:rsidRPr="00255081">
              <w:rPr>
                <w:rFonts w:ascii="Montserrat" w:eastAsia="Times New Roman" w:hAnsi="Montserrat" w:cs="Calibri"/>
                <w:sz w:val="15"/>
                <w:szCs w:val="15"/>
                <w:lang w:eastAsia="es-MX"/>
              </w:rPr>
              <w:t>244,815,415</w:t>
            </w:r>
          </w:p>
        </w:tc>
        <w:tc>
          <w:tcPr>
            <w:tcW w:w="1192" w:type="dxa"/>
            <w:shd w:val="clear" w:color="000000" w:fill="F2F2F2"/>
            <w:noWrap/>
            <w:vAlign w:val="center"/>
          </w:tcPr>
          <w:p w14:paraId="3972EE4C" w14:textId="6B1B15E2" w:rsidR="00015492" w:rsidRPr="00255081" w:rsidRDefault="00015492" w:rsidP="000A1B05">
            <w:pPr>
              <w:spacing w:after="120" w:line="240" w:lineRule="auto"/>
              <w:jc w:val="right"/>
              <w:rPr>
                <w:rFonts w:ascii="Montserrat" w:eastAsia="Times New Roman" w:hAnsi="Montserrat" w:cs="Calibri"/>
                <w:color w:val="000000"/>
                <w:sz w:val="15"/>
                <w:szCs w:val="15"/>
                <w:lang w:eastAsia="es-MX"/>
              </w:rPr>
            </w:pPr>
            <w:r w:rsidRPr="00255081">
              <w:rPr>
                <w:rFonts w:ascii="Montserrat" w:eastAsia="Times New Roman" w:hAnsi="Montserrat" w:cs="Calibri"/>
                <w:sz w:val="15"/>
                <w:szCs w:val="15"/>
                <w:lang w:eastAsia="es-MX"/>
              </w:rPr>
              <w:t>100%</w:t>
            </w:r>
          </w:p>
        </w:tc>
        <w:tc>
          <w:tcPr>
            <w:tcW w:w="2558" w:type="dxa"/>
            <w:gridSpan w:val="2"/>
            <w:shd w:val="clear" w:color="000000" w:fill="F2F2F2"/>
            <w:noWrap/>
            <w:vAlign w:val="center"/>
          </w:tcPr>
          <w:p w14:paraId="092CAD02" w14:textId="092380BB" w:rsidR="00015492" w:rsidRPr="00255081" w:rsidRDefault="00015492" w:rsidP="000A1B05">
            <w:pPr>
              <w:spacing w:after="120" w:line="240" w:lineRule="auto"/>
              <w:jc w:val="right"/>
              <w:rPr>
                <w:rFonts w:ascii="Montserrat" w:eastAsia="Times New Roman" w:hAnsi="Montserrat" w:cs="Calibri"/>
                <w:color w:val="000000"/>
                <w:sz w:val="15"/>
                <w:szCs w:val="15"/>
                <w:lang w:eastAsia="es-MX"/>
              </w:rPr>
            </w:pPr>
            <w:r w:rsidRPr="00255081">
              <w:rPr>
                <w:rFonts w:ascii="Montserrat" w:eastAsia="Times New Roman" w:hAnsi="Montserrat" w:cs="Calibri"/>
                <w:sz w:val="15"/>
                <w:szCs w:val="15"/>
                <w:lang w:eastAsia="es-MX"/>
              </w:rPr>
              <w:t>244,815,415</w:t>
            </w:r>
          </w:p>
        </w:tc>
      </w:tr>
      <w:tr w:rsidR="00015492" w:rsidRPr="00995308" w14:paraId="0B567524" w14:textId="77777777" w:rsidTr="000F03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jc w:val="center"/>
        </w:trPr>
        <w:tc>
          <w:tcPr>
            <w:tcW w:w="5583" w:type="dxa"/>
            <w:shd w:val="clear" w:color="000000" w:fill="F2F2F2"/>
            <w:vAlign w:val="center"/>
          </w:tcPr>
          <w:p w14:paraId="2064A369" w14:textId="320E42B4" w:rsidR="00015492" w:rsidRPr="00255081" w:rsidRDefault="00015492" w:rsidP="004B170A">
            <w:pPr>
              <w:spacing w:after="120" w:line="240" w:lineRule="auto"/>
              <w:jc w:val="both"/>
              <w:rPr>
                <w:rFonts w:ascii="Montserrat" w:eastAsia="Times New Roman" w:hAnsi="Montserrat" w:cs="Calibri"/>
                <w:color w:val="000000"/>
                <w:sz w:val="15"/>
                <w:szCs w:val="15"/>
                <w:lang w:eastAsia="es-MX"/>
              </w:rPr>
            </w:pPr>
            <w:r w:rsidRPr="00255081">
              <w:rPr>
                <w:rFonts w:ascii="Montserrat" w:eastAsia="Times New Roman" w:hAnsi="Montserrat" w:cs="Calibri"/>
                <w:sz w:val="15"/>
                <w:szCs w:val="15"/>
                <w:lang w:eastAsia="es-MX"/>
              </w:rPr>
              <w:t>Centro Nacional de Control de Gas Natural</w:t>
            </w:r>
          </w:p>
        </w:tc>
        <w:tc>
          <w:tcPr>
            <w:tcW w:w="2463" w:type="dxa"/>
            <w:shd w:val="clear" w:color="000000" w:fill="F2F2F2"/>
            <w:noWrap/>
            <w:vAlign w:val="center"/>
          </w:tcPr>
          <w:p w14:paraId="4FDDBADA" w14:textId="6821B2C7" w:rsidR="00015492" w:rsidRPr="00255081" w:rsidRDefault="00015492" w:rsidP="000A1B05">
            <w:pPr>
              <w:spacing w:after="120" w:line="240" w:lineRule="auto"/>
              <w:jc w:val="right"/>
              <w:rPr>
                <w:rFonts w:ascii="Montserrat" w:eastAsia="Times New Roman" w:hAnsi="Montserrat" w:cs="Calibri"/>
                <w:color w:val="000000"/>
                <w:sz w:val="15"/>
                <w:szCs w:val="15"/>
                <w:lang w:eastAsia="es-MX"/>
              </w:rPr>
            </w:pPr>
            <w:r w:rsidRPr="00255081">
              <w:rPr>
                <w:rFonts w:ascii="Montserrat" w:eastAsia="Times New Roman" w:hAnsi="Montserrat" w:cs="Calibri"/>
                <w:sz w:val="15"/>
                <w:szCs w:val="15"/>
                <w:lang w:eastAsia="es-MX"/>
              </w:rPr>
              <w:t>1,760,992,511</w:t>
            </w:r>
          </w:p>
        </w:tc>
        <w:tc>
          <w:tcPr>
            <w:tcW w:w="1192" w:type="dxa"/>
            <w:shd w:val="clear" w:color="000000" w:fill="F2F2F2"/>
            <w:noWrap/>
            <w:vAlign w:val="center"/>
          </w:tcPr>
          <w:p w14:paraId="08561085" w14:textId="6FD46FC1" w:rsidR="00015492" w:rsidRPr="00255081" w:rsidRDefault="00015492" w:rsidP="000A1B05">
            <w:pPr>
              <w:spacing w:after="120" w:line="240" w:lineRule="auto"/>
              <w:jc w:val="right"/>
              <w:rPr>
                <w:rFonts w:ascii="Montserrat" w:eastAsia="Times New Roman" w:hAnsi="Montserrat" w:cs="Calibri"/>
                <w:color w:val="000000"/>
                <w:sz w:val="15"/>
                <w:szCs w:val="15"/>
                <w:lang w:eastAsia="es-MX"/>
              </w:rPr>
            </w:pPr>
            <w:r w:rsidRPr="00255081">
              <w:rPr>
                <w:rFonts w:ascii="Montserrat" w:eastAsia="Times New Roman" w:hAnsi="Montserrat" w:cs="Calibri"/>
                <w:sz w:val="15"/>
                <w:szCs w:val="15"/>
                <w:lang w:eastAsia="es-MX"/>
              </w:rPr>
              <w:t>100%</w:t>
            </w:r>
          </w:p>
        </w:tc>
        <w:tc>
          <w:tcPr>
            <w:tcW w:w="2558" w:type="dxa"/>
            <w:gridSpan w:val="2"/>
            <w:shd w:val="clear" w:color="000000" w:fill="F2F2F2"/>
            <w:noWrap/>
            <w:vAlign w:val="center"/>
          </w:tcPr>
          <w:p w14:paraId="68C47131" w14:textId="43D03BCB" w:rsidR="00015492" w:rsidRPr="00255081" w:rsidRDefault="00015492" w:rsidP="000A1B05">
            <w:pPr>
              <w:spacing w:after="120" w:line="240" w:lineRule="auto"/>
              <w:jc w:val="right"/>
              <w:rPr>
                <w:rFonts w:ascii="Montserrat" w:eastAsia="Times New Roman" w:hAnsi="Montserrat" w:cs="Calibri"/>
                <w:color w:val="000000"/>
                <w:sz w:val="15"/>
                <w:szCs w:val="15"/>
                <w:lang w:eastAsia="es-MX"/>
              </w:rPr>
            </w:pPr>
            <w:r w:rsidRPr="00255081">
              <w:rPr>
                <w:rFonts w:ascii="Montserrat" w:eastAsia="Times New Roman" w:hAnsi="Montserrat" w:cs="Calibri"/>
                <w:sz w:val="15"/>
                <w:szCs w:val="15"/>
                <w:lang w:eastAsia="es-MX"/>
              </w:rPr>
              <w:t>1,760,992,511</w:t>
            </w:r>
          </w:p>
        </w:tc>
      </w:tr>
      <w:tr w:rsidR="00015492" w:rsidRPr="00995308" w14:paraId="73456EB5" w14:textId="77777777" w:rsidTr="000F03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0"/>
          <w:jc w:val="center"/>
        </w:trPr>
        <w:tc>
          <w:tcPr>
            <w:tcW w:w="5583" w:type="dxa"/>
            <w:shd w:val="clear" w:color="000000" w:fill="F2F2F2"/>
            <w:vAlign w:val="center"/>
          </w:tcPr>
          <w:p w14:paraId="00208334" w14:textId="77777777" w:rsidR="000A1B05" w:rsidRDefault="000A1B05" w:rsidP="004B170A">
            <w:pPr>
              <w:spacing w:after="120" w:line="240" w:lineRule="auto"/>
              <w:jc w:val="both"/>
              <w:rPr>
                <w:rFonts w:ascii="Montserrat" w:eastAsia="Times New Roman" w:hAnsi="Montserrat" w:cs="Calibri"/>
                <w:sz w:val="15"/>
                <w:szCs w:val="15"/>
                <w:lang w:eastAsia="es-MX"/>
              </w:rPr>
            </w:pPr>
          </w:p>
          <w:p w14:paraId="0ED88AF2" w14:textId="2692BE2E" w:rsidR="00015492" w:rsidRPr="00255081" w:rsidRDefault="00015492" w:rsidP="004B170A">
            <w:pPr>
              <w:spacing w:after="120" w:line="240" w:lineRule="auto"/>
              <w:jc w:val="both"/>
              <w:rPr>
                <w:rFonts w:ascii="Montserrat" w:eastAsia="Times New Roman" w:hAnsi="Montserrat" w:cs="Calibri"/>
                <w:color w:val="000000"/>
                <w:sz w:val="15"/>
                <w:szCs w:val="15"/>
                <w:lang w:eastAsia="es-MX"/>
              </w:rPr>
            </w:pPr>
            <w:r w:rsidRPr="00255081">
              <w:rPr>
                <w:rFonts w:ascii="Montserrat" w:eastAsia="Times New Roman" w:hAnsi="Montserrat" w:cs="Calibri"/>
                <w:sz w:val="15"/>
                <w:szCs w:val="15"/>
                <w:lang w:eastAsia="es-MX"/>
              </w:rPr>
              <w:t>Petróleos Mexicanos</w:t>
            </w:r>
          </w:p>
        </w:tc>
        <w:tc>
          <w:tcPr>
            <w:tcW w:w="2463" w:type="dxa"/>
            <w:shd w:val="clear" w:color="000000" w:fill="F2F2F2"/>
            <w:noWrap/>
            <w:vAlign w:val="center"/>
          </w:tcPr>
          <w:p w14:paraId="7A561CC8" w14:textId="77777777" w:rsidR="000A1B05" w:rsidRDefault="000A1B05" w:rsidP="000A1B05">
            <w:pPr>
              <w:spacing w:after="120" w:line="240" w:lineRule="auto"/>
              <w:jc w:val="right"/>
              <w:rPr>
                <w:rFonts w:ascii="Montserrat" w:eastAsia="Times New Roman" w:hAnsi="Montserrat" w:cs="Calibri"/>
                <w:sz w:val="15"/>
                <w:szCs w:val="15"/>
                <w:lang w:eastAsia="es-MX"/>
              </w:rPr>
            </w:pPr>
          </w:p>
          <w:p w14:paraId="2457277A" w14:textId="66969F9C" w:rsidR="00015492" w:rsidRPr="00255081" w:rsidRDefault="00015492" w:rsidP="000A1B05">
            <w:pPr>
              <w:spacing w:after="120" w:line="240" w:lineRule="auto"/>
              <w:jc w:val="right"/>
              <w:rPr>
                <w:rFonts w:ascii="Montserrat" w:eastAsia="Times New Roman" w:hAnsi="Montserrat" w:cs="Calibri"/>
                <w:color w:val="000000"/>
                <w:sz w:val="15"/>
                <w:szCs w:val="15"/>
                <w:lang w:eastAsia="es-MX"/>
              </w:rPr>
            </w:pPr>
            <w:r w:rsidRPr="00255081">
              <w:rPr>
                <w:rFonts w:ascii="Montserrat" w:eastAsia="Times New Roman" w:hAnsi="Montserrat" w:cs="Calibri"/>
                <w:sz w:val="15"/>
                <w:szCs w:val="15"/>
                <w:lang w:eastAsia="es-MX"/>
              </w:rPr>
              <w:t>0</w:t>
            </w:r>
          </w:p>
        </w:tc>
        <w:tc>
          <w:tcPr>
            <w:tcW w:w="1192" w:type="dxa"/>
            <w:shd w:val="clear" w:color="000000" w:fill="F2F2F2"/>
            <w:noWrap/>
            <w:vAlign w:val="center"/>
          </w:tcPr>
          <w:p w14:paraId="549B1C04" w14:textId="77777777" w:rsidR="000A1B05" w:rsidRDefault="000A1B05" w:rsidP="000A1B05">
            <w:pPr>
              <w:spacing w:after="120" w:line="240" w:lineRule="auto"/>
              <w:jc w:val="right"/>
              <w:rPr>
                <w:rFonts w:ascii="Montserrat" w:eastAsia="Times New Roman" w:hAnsi="Montserrat" w:cs="Calibri"/>
                <w:sz w:val="15"/>
                <w:szCs w:val="15"/>
                <w:lang w:eastAsia="es-MX"/>
              </w:rPr>
            </w:pPr>
          </w:p>
          <w:p w14:paraId="3E924AB0" w14:textId="3B7606A7" w:rsidR="00015492" w:rsidRPr="00255081" w:rsidRDefault="00015492" w:rsidP="000A1B05">
            <w:pPr>
              <w:spacing w:after="120" w:line="240" w:lineRule="auto"/>
              <w:jc w:val="right"/>
              <w:rPr>
                <w:rFonts w:ascii="Montserrat" w:eastAsia="Times New Roman" w:hAnsi="Montserrat" w:cs="Calibri"/>
                <w:color w:val="000000"/>
                <w:sz w:val="15"/>
                <w:szCs w:val="15"/>
                <w:lang w:eastAsia="es-MX"/>
              </w:rPr>
            </w:pPr>
            <w:r w:rsidRPr="00255081">
              <w:rPr>
                <w:rFonts w:ascii="Montserrat" w:eastAsia="Times New Roman" w:hAnsi="Montserrat" w:cs="Calibri"/>
                <w:sz w:val="15"/>
                <w:szCs w:val="15"/>
                <w:lang w:eastAsia="es-MX"/>
              </w:rPr>
              <w:t>0%</w:t>
            </w:r>
          </w:p>
        </w:tc>
        <w:tc>
          <w:tcPr>
            <w:tcW w:w="2558" w:type="dxa"/>
            <w:gridSpan w:val="2"/>
            <w:shd w:val="clear" w:color="000000" w:fill="F2F2F2"/>
            <w:noWrap/>
            <w:vAlign w:val="center"/>
          </w:tcPr>
          <w:p w14:paraId="5D8EBB50" w14:textId="77777777" w:rsidR="000A1B05" w:rsidRDefault="000A1B05" w:rsidP="000A1B05">
            <w:pPr>
              <w:spacing w:after="120" w:line="240" w:lineRule="auto"/>
              <w:jc w:val="right"/>
              <w:rPr>
                <w:rFonts w:ascii="Montserrat" w:eastAsia="Times New Roman" w:hAnsi="Montserrat" w:cs="Calibri"/>
                <w:sz w:val="15"/>
                <w:szCs w:val="15"/>
                <w:lang w:eastAsia="es-MX"/>
              </w:rPr>
            </w:pPr>
          </w:p>
          <w:p w14:paraId="0D4813D6" w14:textId="39EA0C7C" w:rsidR="00015492" w:rsidRPr="00255081" w:rsidRDefault="00015492" w:rsidP="000A1B05">
            <w:pPr>
              <w:spacing w:after="120" w:line="240" w:lineRule="auto"/>
              <w:jc w:val="right"/>
              <w:rPr>
                <w:rFonts w:ascii="Montserrat" w:eastAsia="Times New Roman" w:hAnsi="Montserrat" w:cs="Calibri"/>
                <w:color w:val="000000"/>
                <w:sz w:val="15"/>
                <w:szCs w:val="15"/>
                <w:lang w:eastAsia="es-MX"/>
              </w:rPr>
            </w:pPr>
            <w:r w:rsidRPr="00255081">
              <w:rPr>
                <w:rFonts w:ascii="Montserrat" w:eastAsia="Times New Roman" w:hAnsi="Montserrat" w:cs="Calibri"/>
                <w:sz w:val="15"/>
                <w:szCs w:val="15"/>
                <w:lang w:eastAsia="es-MX"/>
              </w:rPr>
              <w:t>0</w:t>
            </w:r>
          </w:p>
        </w:tc>
      </w:tr>
      <w:tr w:rsidR="00015492" w:rsidRPr="00995308" w14:paraId="57CDACBE" w14:textId="77777777" w:rsidTr="000F03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jc w:val="center"/>
        </w:trPr>
        <w:tc>
          <w:tcPr>
            <w:tcW w:w="5583" w:type="dxa"/>
            <w:shd w:val="clear" w:color="000000" w:fill="F2F2F2"/>
            <w:vAlign w:val="center"/>
          </w:tcPr>
          <w:p w14:paraId="49B508FE" w14:textId="62EDC663" w:rsidR="00015492" w:rsidRPr="00255081" w:rsidRDefault="00015492" w:rsidP="004B170A">
            <w:pPr>
              <w:spacing w:after="120" w:line="240" w:lineRule="auto"/>
              <w:jc w:val="both"/>
              <w:rPr>
                <w:rFonts w:ascii="Montserrat" w:eastAsia="Times New Roman" w:hAnsi="Montserrat" w:cs="Calibri"/>
                <w:color w:val="000000"/>
                <w:sz w:val="15"/>
                <w:szCs w:val="15"/>
                <w:lang w:eastAsia="es-MX"/>
              </w:rPr>
            </w:pPr>
            <w:r w:rsidRPr="00255081">
              <w:rPr>
                <w:rFonts w:ascii="Montserrat" w:eastAsia="Times New Roman" w:hAnsi="Montserrat" w:cs="Calibri"/>
                <w:sz w:val="15"/>
                <w:szCs w:val="15"/>
                <w:lang w:eastAsia="es-MX"/>
              </w:rPr>
              <w:t xml:space="preserve">Comisión Federal de Electricidad </w:t>
            </w:r>
            <w:r w:rsidRPr="000F0321">
              <w:rPr>
                <w:rFonts w:ascii="Montserrat" w:eastAsia="Times New Roman" w:hAnsi="Montserrat" w:cs="Calibri"/>
                <w:bCs/>
                <w:sz w:val="15"/>
                <w:szCs w:val="15"/>
                <w:lang w:eastAsia="es-MX"/>
              </w:rPr>
              <w:t>2/</w:t>
            </w:r>
          </w:p>
        </w:tc>
        <w:tc>
          <w:tcPr>
            <w:tcW w:w="2463" w:type="dxa"/>
            <w:shd w:val="clear" w:color="000000" w:fill="F2F2F2"/>
            <w:noWrap/>
            <w:vAlign w:val="center"/>
          </w:tcPr>
          <w:p w14:paraId="4126E033" w14:textId="56E0BFE5" w:rsidR="00015492" w:rsidRPr="00255081" w:rsidRDefault="00015492" w:rsidP="000A1B05">
            <w:pPr>
              <w:spacing w:after="120" w:line="240" w:lineRule="auto"/>
              <w:jc w:val="right"/>
              <w:rPr>
                <w:rFonts w:ascii="Montserrat" w:eastAsia="Times New Roman" w:hAnsi="Montserrat" w:cs="Calibri"/>
                <w:color w:val="000000"/>
                <w:sz w:val="15"/>
                <w:szCs w:val="15"/>
                <w:lang w:eastAsia="es-MX"/>
              </w:rPr>
            </w:pPr>
            <w:r w:rsidRPr="00255081">
              <w:rPr>
                <w:rFonts w:ascii="Montserrat" w:eastAsia="Times New Roman" w:hAnsi="Montserrat" w:cs="Calibri"/>
                <w:sz w:val="15"/>
                <w:szCs w:val="15"/>
                <w:lang w:eastAsia="es-MX"/>
              </w:rPr>
              <w:t>723,520,125,000</w:t>
            </w:r>
          </w:p>
        </w:tc>
        <w:tc>
          <w:tcPr>
            <w:tcW w:w="1192" w:type="dxa"/>
            <w:shd w:val="clear" w:color="000000" w:fill="F2F2F2"/>
            <w:noWrap/>
            <w:vAlign w:val="center"/>
          </w:tcPr>
          <w:p w14:paraId="0B73DBE6" w14:textId="072E9EAB" w:rsidR="00015492" w:rsidRPr="00255081" w:rsidRDefault="00015492" w:rsidP="000A1B05">
            <w:pPr>
              <w:spacing w:after="120" w:line="240" w:lineRule="auto"/>
              <w:jc w:val="right"/>
              <w:rPr>
                <w:rFonts w:ascii="Montserrat" w:eastAsia="Times New Roman" w:hAnsi="Montserrat" w:cs="Calibri"/>
                <w:color w:val="000000"/>
                <w:sz w:val="15"/>
                <w:szCs w:val="15"/>
                <w:lang w:eastAsia="es-MX"/>
              </w:rPr>
            </w:pPr>
            <w:r w:rsidRPr="00255081">
              <w:rPr>
                <w:rFonts w:ascii="Montserrat" w:eastAsia="Times New Roman" w:hAnsi="Montserrat" w:cs="Calibri"/>
                <w:sz w:val="15"/>
                <w:szCs w:val="15"/>
                <w:lang w:eastAsia="es-MX"/>
              </w:rPr>
              <w:t>100%</w:t>
            </w:r>
          </w:p>
        </w:tc>
        <w:tc>
          <w:tcPr>
            <w:tcW w:w="2558" w:type="dxa"/>
            <w:gridSpan w:val="2"/>
            <w:shd w:val="clear" w:color="000000" w:fill="F2F2F2"/>
            <w:noWrap/>
            <w:vAlign w:val="center"/>
          </w:tcPr>
          <w:p w14:paraId="76C7B216" w14:textId="2289BDDF" w:rsidR="00015492" w:rsidRPr="00255081" w:rsidRDefault="00015492" w:rsidP="000A1B05">
            <w:pPr>
              <w:spacing w:after="120" w:line="240" w:lineRule="auto"/>
              <w:jc w:val="right"/>
              <w:rPr>
                <w:rFonts w:ascii="Montserrat" w:eastAsia="Times New Roman" w:hAnsi="Montserrat" w:cs="Calibri"/>
                <w:color w:val="000000"/>
                <w:sz w:val="15"/>
                <w:szCs w:val="15"/>
                <w:lang w:eastAsia="es-MX"/>
              </w:rPr>
            </w:pPr>
            <w:r w:rsidRPr="00255081">
              <w:rPr>
                <w:rFonts w:ascii="Montserrat" w:eastAsia="Times New Roman" w:hAnsi="Montserrat" w:cs="Calibri"/>
                <w:sz w:val="15"/>
                <w:szCs w:val="15"/>
                <w:lang w:eastAsia="es-MX"/>
              </w:rPr>
              <w:t>723,520,125,000</w:t>
            </w:r>
          </w:p>
        </w:tc>
      </w:tr>
      <w:tr w:rsidR="00015492" w:rsidRPr="00995308" w14:paraId="34F13CC2" w14:textId="77777777" w:rsidTr="000F03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jc w:val="center"/>
        </w:trPr>
        <w:tc>
          <w:tcPr>
            <w:tcW w:w="5583" w:type="dxa"/>
            <w:shd w:val="clear" w:color="000000" w:fill="F2F2F2"/>
            <w:vAlign w:val="center"/>
          </w:tcPr>
          <w:p w14:paraId="0868E844" w14:textId="1945CCE3" w:rsidR="00015492" w:rsidRPr="00255081" w:rsidRDefault="00015492" w:rsidP="004B170A">
            <w:pPr>
              <w:spacing w:after="120" w:line="240" w:lineRule="auto"/>
              <w:jc w:val="both"/>
              <w:rPr>
                <w:rFonts w:ascii="Montserrat" w:eastAsia="Times New Roman" w:hAnsi="Montserrat" w:cs="Calibri"/>
                <w:color w:val="000000"/>
                <w:sz w:val="15"/>
                <w:szCs w:val="15"/>
                <w:lang w:eastAsia="es-MX"/>
              </w:rPr>
            </w:pPr>
            <w:r w:rsidRPr="00255081">
              <w:rPr>
                <w:rFonts w:ascii="Montserrat" w:eastAsia="Times New Roman" w:hAnsi="Montserrat" w:cs="Calibri"/>
                <w:sz w:val="15"/>
                <w:szCs w:val="15"/>
                <w:lang w:eastAsia="es-MX"/>
              </w:rPr>
              <w:t>Instituto de Seguridad y Servicios Sociales de los Trabajadores del Estado</w:t>
            </w:r>
          </w:p>
        </w:tc>
        <w:tc>
          <w:tcPr>
            <w:tcW w:w="2463" w:type="dxa"/>
            <w:shd w:val="clear" w:color="000000" w:fill="F2F2F2"/>
            <w:noWrap/>
            <w:vAlign w:val="center"/>
          </w:tcPr>
          <w:p w14:paraId="3BA33A1E" w14:textId="25D1CEC6" w:rsidR="00015492" w:rsidRPr="00255081" w:rsidRDefault="00015492" w:rsidP="000A1B05">
            <w:pPr>
              <w:spacing w:after="120" w:line="240" w:lineRule="auto"/>
              <w:jc w:val="right"/>
              <w:rPr>
                <w:rFonts w:ascii="Montserrat" w:eastAsia="Times New Roman" w:hAnsi="Montserrat" w:cs="Calibri"/>
                <w:color w:val="000000"/>
                <w:sz w:val="15"/>
                <w:szCs w:val="15"/>
                <w:lang w:eastAsia="es-MX"/>
              </w:rPr>
            </w:pPr>
            <w:r w:rsidRPr="00255081">
              <w:rPr>
                <w:rFonts w:ascii="Montserrat" w:eastAsia="Times New Roman" w:hAnsi="Montserrat" w:cs="Calibri"/>
                <w:sz w:val="15"/>
                <w:szCs w:val="15"/>
                <w:lang w:eastAsia="es-MX"/>
              </w:rPr>
              <w:t>69,739,336,501</w:t>
            </w:r>
          </w:p>
        </w:tc>
        <w:tc>
          <w:tcPr>
            <w:tcW w:w="1192" w:type="dxa"/>
            <w:shd w:val="clear" w:color="000000" w:fill="F2F2F2"/>
            <w:noWrap/>
            <w:vAlign w:val="center"/>
          </w:tcPr>
          <w:p w14:paraId="7FF95A53" w14:textId="7CF63F25" w:rsidR="00015492" w:rsidRPr="00255081" w:rsidRDefault="00015492" w:rsidP="000A1B05">
            <w:pPr>
              <w:spacing w:after="120" w:line="240" w:lineRule="auto"/>
              <w:jc w:val="right"/>
              <w:rPr>
                <w:rFonts w:ascii="Montserrat" w:eastAsia="Times New Roman" w:hAnsi="Montserrat" w:cs="Calibri"/>
                <w:color w:val="000000"/>
                <w:sz w:val="15"/>
                <w:szCs w:val="15"/>
                <w:lang w:eastAsia="es-MX"/>
              </w:rPr>
            </w:pPr>
            <w:r w:rsidRPr="00255081">
              <w:rPr>
                <w:rFonts w:ascii="Montserrat" w:eastAsia="Times New Roman" w:hAnsi="Montserrat" w:cs="Calibri"/>
                <w:sz w:val="15"/>
                <w:szCs w:val="15"/>
                <w:lang w:eastAsia="es-MX"/>
              </w:rPr>
              <w:t>100%</w:t>
            </w:r>
          </w:p>
        </w:tc>
        <w:tc>
          <w:tcPr>
            <w:tcW w:w="2558" w:type="dxa"/>
            <w:gridSpan w:val="2"/>
            <w:shd w:val="clear" w:color="000000" w:fill="F2F2F2"/>
            <w:noWrap/>
            <w:vAlign w:val="center"/>
          </w:tcPr>
          <w:p w14:paraId="1C0B22A8" w14:textId="0DE157A5" w:rsidR="00015492" w:rsidRPr="00255081" w:rsidRDefault="00015492" w:rsidP="000A1B05">
            <w:pPr>
              <w:spacing w:after="120" w:line="240" w:lineRule="auto"/>
              <w:jc w:val="right"/>
              <w:rPr>
                <w:rFonts w:ascii="Montserrat" w:eastAsia="Times New Roman" w:hAnsi="Montserrat" w:cs="Calibri"/>
                <w:color w:val="000000"/>
                <w:sz w:val="15"/>
                <w:szCs w:val="15"/>
                <w:lang w:eastAsia="es-MX"/>
              </w:rPr>
            </w:pPr>
            <w:r w:rsidRPr="00255081">
              <w:rPr>
                <w:rFonts w:ascii="Montserrat" w:eastAsia="Times New Roman" w:hAnsi="Montserrat" w:cs="Calibri"/>
                <w:sz w:val="15"/>
                <w:szCs w:val="15"/>
                <w:lang w:eastAsia="es-MX"/>
              </w:rPr>
              <w:t>69,739,336,501</w:t>
            </w:r>
          </w:p>
        </w:tc>
      </w:tr>
      <w:tr w:rsidR="00015492" w:rsidRPr="00995308" w14:paraId="29FAF195" w14:textId="77777777" w:rsidTr="000F03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jc w:val="center"/>
        </w:trPr>
        <w:tc>
          <w:tcPr>
            <w:tcW w:w="5583" w:type="dxa"/>
            <w:shd w:val="clear" w:color="000000" w:fill="F2F2F2"/>
            <w:vAlign w:val="center"/>
          </w:tcPr>
          <w:p w14:paraId="25B4AA3B" w14:textId="18EC0952" w:rsidR="00015492" w:rsidRPr="00255081" w:rsidRDefault="00015492" w:rsidP="004B170A">
            <w:pPr>
              <w:spacing w:after="120" w:line="240" w:lineRule="auto"/>
              <w:jc w:val="both"/>
              <w:rPr>
                <w:rFonts w:ascii="Montserrat" w:eastAsia="Times New Roman" w:hAnsi="Montserrat" w:cs="Calibri"/>
                <w:color w:val="000000"/>
                <w:sz w:val="15"/>
                <w:szCs w:val="15"/>
                <w:lang w:eastAsia="es-MX"/>
              </w:rPr>
            </w:pPr>
            <w:r w:rsidRPr="00255081">
              <w:rPr>
                <w:rFonts w:ascii="Montserrat" w:eastAsia="Times New Roman" w:hAnsi="Montserrat" w:cs="Calibri"/>
                <w:sz w:val="15"/>
                <w:szCs w:val="15"/>
                <w:lang w:eastAsia="es-MX"/>
              </w:rPr>
              <w:t>Instituto Mexicano del Seguro Social</w:t>
            </w:r>
          </w:p>
        </w:tc>
        <w:tc>
          <w:tcPr>
            <w:tcW w:w="2463" w:type="dxa"/>
            <w:shd w:val="clear" w:color="000000" w:fill="F2F2F2"/>
            <w:noWrap/>
            <w:vAlign w:val="center"/>
          </w:tcPr>
          <w:p w14:paraId="1EF3656A" w14:textId="33801E93" w:rsidR="00015492" w:rsidRPr="00255081" w:rsidRDefault="00015492" w:rsidP="000A1B05">
            <w:pPr>
              <w:spacing w:after="120" w:line="240" w:lineRule="auto"/>
              <w:jc w:val="right"/>
              <w:rPr>
                <w:rFonts w:ascii="Montserrat" w:eastAsia="Times New Roman" w:hAnsi="Montserrat" w:cs="Calibri"/>
                <w:color w:val="000000"/>
                <w:sz w:val="15"/>
                <w:szCs w:val="15"/>
                <w:lang w:eastAsia="es-MX"/>
              </w:rPr>
            </w:pPr>
            <w:r w:rsidRPr="00255081">
              <w:rPr>
                <w:rFonts w:ascii="Montserrat" w:eastAsia="Times New Roman" w:hAnsi="Montserrat" w:cs="Calibri"/>
                <w:sz w:val="15"/>
                <w:szCs w:val="15"/>
                <w:lang w:eastAsia="es-MX"/>
              </w:rPr>
              <w:t>216,303,082,742</w:t>
            </w:r>
          </w:p>
        </w:tc>
        <w:tc>
          <w:tcPr>
            <w:tcW w:w="1192" w:type="dxa"/>
            <w:shd w:val="clear" w:color="000000" w:fill="F2F2F2"/>
            <w:noWrap/>
            <w:vAlign w:val="center"/>
          </w:tcPr>
          <w:p w14:paraId="7A864E06" w14:textId="5521C01F" w:rsidR="00015492" w:rsidRPr="00255081" w:rsidRDefault="00015492" w:rsidP="000A1B05">
            <w:pPr>
              <w:spacing w:after="120" w:line="240" w:lineRule="auto"/>
              <w:jc w:val="right"/>
              <w:rPr>
                <w:rFonts w:ascii="Montserrat" w:eastAsia="Times New Roman" w:hAnsi="Montserrat" w:cs="Calibri"/>
                <w:color w:val="000000"/>
                <w:sz w:val="15"/>
                <w:szCs w:val="15"/>
                <w:lang w:eastAsia="es-MX"/>
              </w:rPr>
            </w:pPr>
            <w:r w:rsidRPr="00255081">
              <w:rPr>
                <w:rFonts w:ascii="Montserrat" w:eastAsia="Times New Roman" w:hAnsi="Montserrat" w:cs="Calibri"/>
                <w:sz w:val="15"/>
                <w:szCs w:val="15"/>
                <w:lang w:eastAsia="es-MX"/>
              </w:rPr>
              <w:t>100%</w:t>
            </w:r>
          </w:p>
        </w:tc>
        <w:tc>
          <w:tcPr>
            <w:tcW w:w="2558" w:type="dxa"/>
            <w:gridSpan w:val="2"/>
            <w:shd w:val="clear" w:color="000000" w:fill="F2F2F2"/>
            <w:noWrap/>
            <w:vAlign w:val="center"/>
          </w:tcPr>
          <w:p w14:paraId="0D6C3711" w14:textId="0AD4537C" w:rsidR="00015492" w:rsidRPr="00255081" w:rsidRDefault="00015492" w:rsidP="000A1B05">
            <w:pPr>
              <w:spacing w:after="120" w:line="240" w:lineRule="auto"/>
              <w:jc w:val="right"/>
              <w:rPr>
                <w:rFonts w:ascii="Montserrat" w:eastAsia="Times New Roman" w:hAnsi="Montserrat" w:cs="Calibri"/>
                <w:color w:val="000000"/>
                <w:sz w:val="15"/>
                <w:szCs w:val="15"/>
                <w:lang w:eastAsia="es-MX"/>
              </w:rPr>
            </w:pPr>
            <w:r w:rsidRPr="00255081">
              <w:rPr>
                <w:rFonts w:ascii="Montserrat" w:eastAsia="Times New Roman" w:hAnsi="Montserrat" w:cs="Calibri"/>
                <w:sz w:val="15"/>
                <w:szCs w:val="15"/>
                <w:lang w:eastAsia="es-MX"/>
              </w:rPr>
              <w:t>216,303,082,742</w:t>
            </w:r>
          </w:p>
        </w:tc>
      </w:tr>
      <w:tr w:rsidR="00015492" w:rsidRPr="00995308" w14:paraId="4C5DB269" w14:textId="77777777" w:rsidTr="000F03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0"/>
          <w:jc w:val="center"/>
        </w:trPr>
        <w:tc>
          <w:tcPr>
            <w:tcW w:w="5583" w:type="dxa"/>
            <w:shd w:val="clear" w:color="000000" w:fill="F2F2F2"/>
            <w:vAlign w:val="center"/>
          </w:tcPr>
          <w:p w14:paraId="1B12BB1F" w14:textId="0E9376F2" w:rsidR="00015492" w:rsidRPr="00255081" w:rsidRDefault="00015492" w:rsidP="004B170A">
            <w:pPr>
              <w:spacing w:after="120" w:line="240" w:lineRule="auto"/>
              <w:jc w:val="both"/>
              <w:rPr>
                <w:rFonts w:ascii="Montserrat" w:eastAsia="Times New Roman" w:hAnsi="Montserrat" w:cs="Calibri"/>
                <w:color w:val="000000"/>
                <w:sz w:val="15"/>
                <w:szCs w:val="15"/>
                <w:lang w:eastAsia="es-MX"/>
              </w:rPr>
            </w:pPr>
            <w:r w:rsidRPr="00255081">
              <w:rPr>
                <w:rFonts w:ascii="Montserrat" w:eastAsia="Times New Roman" w:hAnsi="Montserrat" w:cs="Calibri"/>
                <w:sz w:val="15"/>
                <w:szCs w:val="15"/>
                <w:lang w:eastAsia="es-MX"/>
              </w:rPr>
              <w:t>Consejo Nacional de Evaluación de la Política de Desarrollo Social</w:t>
            </w:r>
          </w:p>
        </w:tc>
        <w:tc>
          <w:tcPr>
            <w:tcW w:w="2463" w:type="dxa"/>
            <w:shd w:val="clear" w:color="000000" w:fill="F2F2F2"/>
            <w:noWrap/>
            <w:vAlign w:val="center"/>
          </w:tcPr>
          <w:p w14:paraId="38A14D82" w14:textId="4A46CC8C" w:rsidR="00015492" w:rsidRPr="00255081" w:rsidRDefault="00015492" w:rsidP="000A1B05">
            <w:pPr>
              <w:spacing w:after="120" w:line="240" w:lineRule="auto"/>
              <w:jc w:val="right"/>
              <w:rPr>
                <w:rFonts w:ascii="Montserrat" w:eastAsia="Times New Roman" w:hAnsi="Montserrat" w:cs="Calibri"/>
                <w:color w:val="000000"/>
                <w:sz w:val="15"/>
                <w:szCs w:val="15"/>
                <w:lang w:eastAsia="es-MX"/>
              </w:rPr>
            </w:pPr>
            <w:r w:rsidRPr="00255081">
              <w:rPr>
                <w:rFonts w:ascii="Montserrat" w:eastAsia="Times New Roman" w:hAnsi="Montserrat" w:cs="Calibri"/>
                <w:sz w:val="15"/>
                <w:szCs w:val="15"/>
                <w:lang w:eastAsia="es-MX"/>
              </w:rPr>
              <w:t>43,606,305</w:t>
            </w:r>
          </w:p>
        </w:tc>
        <w:tc>
          <w:tcPr>
            <w:tcW w:w="1192" w:type="dxa"/>
            <w:shd w:val="clear" w:color="000000" w:fill="F2F2F2"/>
            <w:noWrap/>
            <w:vAlign w:val="center"/>
          </w:tcPr>
          <w:p w14:paraId="1F274560" w14:textId="1921FE43" w:rsidR="00015492" w:rsidRPr="00255081" w:rsidRDefault="00015492" w:rsidP="000A1B05">
            <w:pPr>
              <w:spacing w:after="120" w:line="240" w:lineRule="auto"/>
              <w:jc w:val="right"/>
              <w:rPr>
                <w:rFonts w:ascii="Montserrat" w:eastAsia="Times New Roman" w:hAnsi="Montserrat" w:cs="Calibri"/>
                <w:color w:val="000000"/>
                <w:sz w:val="15"/>
                <w:szCs w:val="15"/>
                <w:lang w:eastAsia="es-MX"/>
              </w:rPr>
            </w:pPr>
            <w:r w:rsidRPr="00255081">
              <w:rPr>
                <w:rFonts w:ascii="Montserrat" w:eastAsia="Times New Roman" w:hAnsi="Montserrat" w:cs="Calibri"/>
                <w:sz w:val="15"/>
                <w:szCs w:val="15"/>
                <w:lang w:eastAsia="es-MX"/>
              </w:rPr>
              <w:t>100%</w:t>
            </w:r>
          </w:p>
        </w:tc>
        <w:tc>
          <w:tcPr>
            <w:tcW w:w="2558" w:type="dxa"/>
            <w:gridSpan w:val="2"/>
            <w:shd w:val="clear" w:color="000000" w:fill="F2F2F2"/>
            <w:noWrap/>
            <w:vAlign w:val="center"/>
          </w:tcPr>
          <w:p w14:paraId="409D42DA" w14:textId="48241D4B" w:rsidR="00015492" w:rsidRPr="00255081" w:rsidRDefault="00015492" w:rsidP="000A1B05">
            <w:pPr>
              <w:spacing w:after="120" w:line="240" w:lineRule="auto"/>
              <w:jc w:val="right"/>
              <w:rPr>
                <w:rFonts w:ascii="Montserrat" w:eastAsia="Times New Roman" w:hAnsi="Montserrat" w:cs="Calibri"/>
                <w:color w:val="000000"/>
                <w:sz w:val="15"/>
                <w:szCs w:val="15"/>
                <w:lang w:eastAsia="es-MX"/>
              </w:rPr>
            </w:pPr>
            <w:r w:rsidRPr="00255081">
              <w:rPr>
                <w:rFonts w:ascii="Montserrat" w:eastAsia="Times New Roman" w:hAnsi="Montserrat" w:cs="Calibri"/>
                <w:sz w:val="15"/>
                <w:szCs w:val="15"/>
                <w:lang w:eastAsia="es-MX"/>
              </w:rPr>
              <w:t>43,606,305</w:t>
            </w:r>
          </w:p>
        </w:tc>
      </w:tr>
      <w:tr w:rsidR="00015492" w:rsidRPr="00995308" w14:paraId="2B8BE3D5" w14:textId="77777777" w:rsidTr="000F03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jc w:val="center"/>
        </w:trPr>
        <w:tc>
          <w:tcPr>
            <w:tcW w:w="5583" w:type="dxa"/>
            <w:shd w:val="clear" w:color="000000" w:fill="F2F2F2"/>
            <w:vAlign w:val="center"/>
          </w:tcPr>
          <w:p w14:paraId="41924AC6" w14:textId="2C848EA1" w:rsidR="00015492" w:rsidRPr="00255081" w:rsidRDefault="00015492" w:rsidP="004B170A">
            <w:pPr>
              <w:spacing w:after="120" w:line="240" w:lineRule="auto"/>
              <w:jc w:val="both"/>
              <w:rPr>
                <w:rFonts w:ascii="Montserrat" w:eastAsia="Times New Roman" w:hAnsi="Montserrat" w:cs="Calibri"/>
                <w:color w:val="000000"/>
                <w:sz w:val="15"/>
                <w:szCs w:val="15"/>
                <w:lang w:eastAsia="es-MX"/>
              </w:rPr>
            </w:pPr>
            <w:r w:rsidRPr="00255081">
              <w:rPr>
                <w:rFonts w:ascii="Montserrat" w:eastAsia="Times New Roman" w:hAnsi="Montserrat" w:cs="Calibri"/>
                <w:sz w:val="15"/>
                <w:szCs w:val="15"/>
                <w:lang w:eastAsia="es-MX"/>
              </w:rPr>
              <w:t>Instituto Nacional de las Personas Adultas Mayores</w:t>
            </w:r>
          </w:p>
        </w:tc>
        <w:tc>
          <w:tcPr>
            <w:tcW w:w="2463" w:type="dxa"/>
            <w:shd w:val="clear" w:color="000000" w:fill="F2F2F2"/>
            <w:noWrap/>
            <w:vAlign w:val="center"/>
          </w:tcPr>
          <w:p w14:paraId="244B6599" w14:textId="74607BCB" w:rsidR="00015492" w:rsidRPr="00255081" w:rsidRDefault="00015492" w:rsidP="000A1B05">
            <w:pPr>
              <w:spacing w:after="120" w:line="240" w:lineRule="auto"/>
              <w:jc w:val="right"/>
              <w:rPr>
                <w:rFonts w:ascii="Montserrat" w:eastAsia="Times New Roman" w:hAnsi="Montserrat" w:cs="Calibri"/>
                <w:color w:val="000000"/>
                <w:sz w:val="15"/>
                <w:szCs w:val="15"/>
                <w:lang w:eastAsia="es-MX"/>
              </w:rPr>
            </w:pPr>
            <w:r w:rsidRPr="00255081">
              <w:rPr>
                <w:rFonts w:ascii="Montserrat" w:eastAsia="Times New Roman" w:hAnsi="Montserrat" w:cs="Calibri"/>
                <w:sz w:val="15"/>
                <w:szCs w:val="15"/>
                <w:lang w:eastAsia="es-MX"/>
              </w:rPr>
              <w:t>131,581,809</w:t>
            </w:r>
          </w:p>
        </w:tc>
        <w:tc>
          <w:tcPr>
            <w:tcW w:w="1192" w:type="dxa"/>
            <w:shd w:val="clear" w:color="000000" w:fill="F2F2F2"/>
            <w:noWrap/>
            <w:vAlign w:val="center"/>
          </w:tcPr>
          <w:p w14:paraId="7B8565FC" w14:textId="347A1BA0" w:rsidR="00015492" w:rsidRPr="00255081" w:rsidRDefault="00015492" w:rsidP="000A1B05">
            <w:pPr>
              <w:spacing w:after="120" w:line="240" w:lineRule="auto"/>
              <w:jc w:val="right"/>
              <w:rPr>
                <w:rFonts w:ascii="Montserrat" w:eastAsia="Times New Roman" w:hAnsi="Montserrat" w:cs="Calibri"/>
                <w:color w:val="000000"/>
                <w:sz w:val="15"/>
                <w:szCs w:val="15"/>
                <w:lang w:eastAsia="es-MX"/>
              </w:rPr>
            </w:pPr>
            <w:r w:rsidRPr="00255081">
              <w:rPr>
                <w:rFonts w:ascii="Montserrat" w:eastAsia="Times New Roman" w:hAnsi="Montserrat" w:cs="Calibri"/>
                <w:sz w:val="15"/>
                <w:szCs w:val="15"/>
                <w:lang w:eastAsia="es-MX"/>
              </w:rPr>
              <w:t>100%</w:t>
            </w:r>
          </w:p>
        </w:tc>
        <w:tc>
          <w:tcPr>
            <w:tcW w:w="2558" w:type="dxa"/>
            <w:gridSpan w:val="2"/>
            <w:shd w:val="clear" w:color="000000" w:fill="F2F2F2"/>
            <w:noWrap/>
            <w:vAlign w:val="center"/>
          </w:tcPr>
          <w:p w14:paraId="47A678B8" w14:textId="4B828CC9" w:rsidR="00015492" w:rsidRPr="00255081" w:rsidRDefault="00015492" w:rsidP="000A1B05">
            <w:pPr>
              <w:spacing w:after="120" w:line="240" w:lineRule="auto"/>
              <w:jc w:val="right"/>
              <w:rPr>
                <w:rFonts w:ascii="Montserrat" w:eastAsia="Times New Roman" w:hAnsi="Montserrat" w:cs="Calibri"/>
                <w:color w:val="000000"/>
                <w:sz w:val="15"/>
                <w:szCs w:val="15"/>
                <w:lang w:eastAsia="es-MX"/>
              </w:rPr>
            </w:pPr>
            <w:r w:rsidRPr="00255081">
              <w:rPr>
                <w:rFonts w:ascii="Montserrat" w:eastAsia="Times New Roman" w:hAnsi="Montserrat" w:cs="Calibri"/>
                <w:sz w:val="15"/>
                <w:szCs w:val="15"/>
                <w:lang w:eastAsia="es-MX"/>
              </w:rPr>
              <w:t>131,581,809</w:t>
            </w:r>
          </w:p>
        </w:tc>
      </w:tr>
      <w:tr w:rsidR="00015492" w:rsidRPr="00995308" w14:paraId="407E2E5A" w14:textId="77777777" w:rsidTr="000F03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jc w:val="center"/>
        </w:trPr>
        <w:tc>
          <w:tcPr>
            <w:tcW w:w="5583" w:type="dxa"/>
            <w:shd w:val="clear" w:color="000000" w:fill="F2F2F2"/>
            <w:vAlign w:val="center"/>
          </w:tcPr>
          <w:p w14:paraId="30B01E19" w14:textId="6A5FD5AE" w:rsidR="00015492" w:rsidRPr="00255081" w:rsidRDefault="00015492" w:rsidP="004B170A">
            <w:pPr>
              <w:spacing w:after="120" w:line="240" w:lineRule="auto"/>
              <w:jc w:val="both"/>
              <w:rPr>
                <w:rFonts w:ascii="Montserrat" w:eastAsia="Times New Roman" w:hAnsi="Montserrat" w:cs="Calibri"/>
                <w:color w:val="000000"/>
                <w:sz w:val="15"/>
                <w:szCs w:val="15"/>
                <w:lang w:eastAsia="es-MX"/>
              </w:rPr>
            </w:pPr>
            <w:r w:rsidRPr="00255081">
              <w:rPr>
                <w:rFonts w:ascii="Montserrat" w:eastAsia="Times New Roman" w:hAnsi="Montserrat" w:cs="Calibri"/>
                <w:sz w:val="15"/>
                <w:szCs w:val="15"/>
                <w:lang w:eastAsia="es-MX"/>
              </w:rPr>
              <w:t>Consejo Nacional para el Desarrollo y la Inclusión de las Personas con Discapacidad</w:t>
            </w:r>
          </w:p>
        </w:tc>
        <w:tc>
          <w:tcPr>
            <w:tcW w:w="2463" w:type="dxa"/>
            <w:shd w:val="clear" w:color="000000" w:fill="F2F2F2"/>
            <w:noWrap/>
            <w:vAlign w:val="center"/>
          </w:tcPr>
          <w:p w14:paraId="6F7F7601" w14:textId="79956C2B" w:rsidR="00015492" w:rsidRPr="00255081" w:rsidRDefault="00015492" w:rsidP="000A1B05">
            <w:pPr>
              <w:spacing w:after="120" w:line="240" w:lineRule="auto"/>
              <w:jc w:val="right"/>
              <w:rPr>
                <w:rFonts w:ascii="Montserrat" w:eastAsia="Times New Roman" w:hAnsi="Montserrat" w:cs="Calibri"/>
                <w:color w:val="000000"/>
                <w:sz w:val="15"/>
                <w:szCs w:val="15"/>
                <w:lang w:eastAsia="es-MX"/>
              </w:rPr>
            </w:pPr>
            <w:r w:rsidRPr="00255081">
              <w:rPr>
                <w:rFonts w:ascii="Montserrat" w:eastAsia="Times New Roman" w:hAnsi="Montserrat" w:cs="Calibri"/>
                <w:sz w:val="15"/>
                <w:szCs w:val="15"/>
                <w:lang w:eastAsia="es-MX"/>
              </w:rPr>
              <w:t>0</w:t>
            </w:r>
          </w:p>
        </w:tc>
        <w:tc>
          <w:tcPr>
            <w:tcW w:w="1192" w:type="dxa"/>
            <w:shd w:val="clear" w:color="000000" w:fill="F2F2F2"/>
            <w:noWrap/>
            <w:vAlign w:val="center"/>
          </w:tcPr>
          <w:p w14:paraId="07DEE4CD" w14:textId="7463A667" w:rsidR="00015492" w:rsidRPr="00255081" w:rsidRDefault="00015492" w:rsidP="000A1B05">
            <w:pPr>
              <w:spacing w:after="120" w:line="240" w:lineRule="auto"/>
              <w:jc w:val="right"/>
              <w:rPr>
                <w:rFonts w:ascii="Montserrat" w:eastAsia="Times New Roman" w:hAnsi="Montserrat" w:cs="Calibri"/>
                <w:color w:val="000000"/>
                <w:sz w:val="15"/>
                <w:szCs w:val="15"/>
                <w:lang w:eastAsia="es-MX"/>
              </w:rPr>
            </w:pPr>
            <w:r w:rsidRPr="00255081">
              <w:rPr>
                <w:rFonts w:ascii="Montserrat" w:eastAsia="Times New Roman" w:hAnsi="Montserrat" w:cs="Calibri"/>
                <w:sz w:val="15"/>
                <w:szCs w:val="15"/>
                <w:lang w:eastAsia="es-MX"/>
              </w:rPr>
              <w:t>0%</w:t>
            </w:r>
          </w:p>
        </w:tc>
        <w:tc>
          <w:tcPr>
            <w:tcW w:w="2558" w:type="dxa"/>
            <w:gridSpan w:val="2"/>
            <w:shd w:val="clear" w:color="000000" w:fill="F2F2F2"/>
            <w:noWrap/>
            <w:vAlign w:val="center"/>
          </w:tcPr>
          <w:p w14:paraId="0CFC3743" w14:textId="2DF3B621" w:rsidR="00015492" w:rsidRPr="00255081" w:rsidRDefault="00015492" w:rsidP="000A1B05">
            <w:pPr>
              <w:spacing w:after="120" w:line="240" w:lineRule="auto"/>
              <w:jc w:val="right"/>
              <w:rPr>
                <w:rFonts w:ascii="Montserrat" w:eastAsia="Times New Roman" w:hAnsi="Montserrat" w:cs="Calibri"/>
                <w:color w:val="000000"/>
                <w:sz w:val="15"/>
                <w:szCs w:val="15"/>
                <w:lang w:eastAsia="es-MX"/>
              </w:rPr>
            </w:pPr>
            <w:r w:rsidRPr="00255081">
              <w:rPr>
                <w:rFonts w:ascii="Montserrat" w:eastAsia="Times New Roman" w:hAnsi="Montserrat" w:cs="Calibri"/>
                <w:sz w:val="15"/>
                <w:szCs w:val="15"/>
                <w:lang w:eastAsia="es-MX"/>
              </w:rPr>
              <w:t>0</w:t>
            </w:r>
          </w:p>
        </w:tc>
      </w:tr>
      <w:tr w:rsidR="00015492" w:rsidRPr="00995308" w14:paraId="6996976D" w14:textId="77777777" w:rsidTr="000F03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jc w:val="center"/>
        </w:trPr>
        <w:tc>
          <w:tcPr>
            <w:tcW w:w="5583" w:type="dxa"/>
            <w:shd w:val="clear" w:color="000000" w:fill="F2F2F2"/>
            <w:vAlign w:val="center"/>
          </w:tcPr>
          <w:p w14:paraId="43C4FBD3" w14:textId="799EDB70" w:rsidR="00015492" w:rsidRPr="00255081" w:rsidRDefault="00015492" w:rsidP="004B170A">
            <w:pPr>
              <w:spacing w:after="120" w:line="240" w:lineRule="auto"/>
              <w:jc w:val="both"/>
              <w:rPr>
                <w:rFonts w:ascii="Montserrat" w:eastAsia="Times New Roman" w:hAnsi="Montserrat" w:cs="Calibri"/>
                <w:color w:val="000000"/>
                <w:sz w:val="15"/>
                <w:szCs w:val="15"/>
                <w:lang w:eastAsia="es-MX"/>
              </w:rPr>
            </w:pPr>
            <w:r w:rsidRPr="00255081">
              <w:rPr>
                <w:rFonts w:ascii="Montserrat" w:eastAsia="Times New Roman" w:hAnsi="Montserrat" w:cs="Calibri"/>
                <w:sz w:val="15"/>
                <w:szCs w:val="15"/>
                <w:lang w:eastAsia="es-MX"/>
              </w:rPr>
              <w:t>Instituto Mexicano de la Juventud</w:t>
            </w:r>
          </w:p>
        </w:tc>
        <w:tc>
          <w:tcPr>
            <w:tcW w:w="2463" w:type="dxa"/>
            <w:shd w:val="clear" w:color="000000" w:fill="F2F2F2"/>
            <w:noWrap/>
            <w:vAlign w:val="center"/>
          </w:tcPr>
          <w:p w14:paraId="76FDB247" w14:textId="5E555484" w:rsidR="00015492" w:rsidRPr="00255081" w:rsidRDefault="00015492" w:rsidP="000A1B05">
            <w:pPr>
              <w:spacing w:after="120" w:line="240" w:lineRule="auto"/>
              <w:jc w:val="right"/>
              <w:rPr>
                <w:rFonts w:ascii="Montserrat" w:eastAsia="Times New Roman" w:hAnsi="Montserrat" w:cs="Calibri"/>
                <w:color w:val="000000"/>
                <w:sz w:val="15"/>
                <w:szCs w:val="15"/>
                <w:lang w:eastAsia="es-MX"/>
              </w:rPr>
            </w:pPr>
            <w:r w:rsidRPr="00255081">
              <w:rPr>
                <w:rFonts w:ascii="Montserrat" w:eastAsia="Times New Roman" w:hAnsi="Montserrat" w:cs="Calibri"/>
                <w:sz w:val="15"/>
                <w:szCs w:val="15"/>
                <w:lang w:eastAsia="es-MX"/>
              </w:rPr>
              <w:t>4,462,483</w:t>
            </w:r>
          </w:p>
        </w:tc>
        <w:tc>
          <w:tcPr>
            <w:tcW w:w="1192" w:type="dxa"/>
            <w:shd w:val="clear" w:color="000000" w:fill="F2F2F2"/>
            <w:noWrap/>
            <w:vAlign w:val="center"/>
          </w:tcPr>
          <w:p w14:paraId="7DAD4BD2" w14:textId="0A983D79" w:rsidR="00015492" w:rsidRPr="00255081" w:rsidRDefault="00015492" w:rsidP="000A1B05">
            <w:pPr>
              <w:spacing w:after="120" w:line="240" w:lineRule="auto"/>
              <w:jc w:val="right"/>
              <w:rPr>
                <w:rFonts w:ascii="Montserrat" w:eastAsia="Times New Roman" w:hAnsi="Montserrat" w:cs="Calibri"/>
                <w:color w:val="000000"/>
                <w:sz w:val="15"/>
                <w:szCs w:val="15"/>
                <w:lang w:eastAsia="es-MX"/>
              </w:rPr>
            </w:pPr>
            <w:r w:rsidRPr="00255081">
              <w:rPr>
                <w:rFonts w:ascii="Montserrat" w:eastAsia="Times New Roman" w:hAnsi="Montserrat" w:cs="Calibri"/>
                <w:sz w:val="15"/>
                <w:szCs w:val="15"/>
                <w:lang w:eastAsia="es-MX"/>
              </w:rPr>
              <w:t>100%</w:t>
            </w:r>
          </w:p>
        </w:tc>
        <w:tc>
          <w:tcPr>
            <w:tcW w:w="2558" w:type="dxa"/>
            <w:gridSpan w:val="2"/>
            <w:shd w:val="clear" w:color="000000" w:fill="F2F2F2"/>
            <w:noWrap/>
            <w:vAlign w:val="center"/>
          </w:tcPr>
          <w:p w14:paraId="7C42A535" w14:textId="0D7B058E" w:rsidR="00015492" w:rsidRPr="00255081" w:rsidRDefault="00015492" w:rsidP="000A1B05">
            <w:pPr>
              <w:spacing w:after="120" w:line="240" w:lineRule="auto"/>
              <w:jc w:val="right"/>
              <w:rPr>
                <w:rFonts w:ascii="Montserrat" w:eastAsia="Times New Roman" w:hAnsi="Montserrat" w:cs="Calibri"/>
                <w:color w:val="000000"/>
                <w:sz w:val="15"/>
                <w:szCs w:val="15"/>
                <w:lang w:eastAsia="es-MX"/>
              </w:rPr>
            </w:pPr>
            <w:r w:rsidRPr="00255081">
              <w:rPr>
                <w:rFonts w:ascii="Montserrat" w:eastAsia="Times New Roman" w:hAnsi="Montserrat" w:cs="Calibri"/>
                <w:sz w:val="15"/>
                <w:szCs w:val="15"/>
                <w:lang w:eastAsia="es-MX"/>
              </w:rPr>
              <w:t>4,462,483</w:t>
            </w:r>
          </w:p>
        </w:tc>
      </w:tr>
      <w:tr w:rsidR="00015492" w:rsidRPr="00995308" w14:paraId="7939E112" w14:textId="77777777" w:rsidTr="000F03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jc w:val="center"/>
        </w:trPr>
        <w:tc>
          <w:tcPr>
            <w:tcW w:w="5583" w:type="dxa"/>
            <w:shd w:val="clear" w:color="000000" w:fill="F2F2F2"/>
            <w:vAlign w:val="center"/>
          </w:tcPr>
          <w:p w14:paraId="513C1959" w14:textId="4390CDB6" w:rsidR="00015492" w:rsidRPr="00255081" w:rsidRDefault="00015492" w:rsidP="004B170A">
            <w:pPr>
              <w:spacing w:after="120" w:line="240" w:lineRule="auto"/>
              <w:jc w:val="both"/>
              <w:rPr>
                <w:rFonts w:ascii="Montserrat" w:eastAsia="Times New Roman" w:hAnsi="Montserrat" w:cs="Calibri"/>
                <w:color w:val="000000"/>
                <w:sz w:val="15"/>
                <w:szCs w:val="15"/>
                <w:lang w:eastAsia="es-MX"/>
              </w:rPr>
            </w:pPr>
            <w:r w:rsidRPr="00255081">
              <w:rPr>
                <w:rFonts w:ascii="Montserrat" w:eastAsia="Times New Roman" w:hAnsi="Montserrat" w:cs="Calibri"/>
                <w:sz w:val="15"/>
                <w:szCs w:val="15"/>
                <w:lang w:eastAsia="es-MX"/>
              </w:rPr>
              <w:t>Fondo Nacional para el Fomento de las Artesanías</w:t>
            </w:r>
          </w:p>
        </w:tc>
        <w:tc>
          <w:tcPr>
            <w:tcW w:w="2463" w:type="dxa"/>
            <w:shd w:val="clear" w:color="000000" w:fill="F2F2F2"/>
            <w:noWrap/>
            <w:vAlign w:val="center"/>
          </w:tcPr>
          <w:p w14:paraId="09A542A1" w14:textId="253090A4" w:rsidR="00015492" w:rsidRPr="00255081" w:rsidRDefault="00015492" w:rsidP="000A1B05">
            <w:pPr>
              <w:spacing w:after="120" w:line="240" w:lineRule="auto"/>
              <w:jc w:val="right"/>
              <w:rPr>
                <w:rFonts w:ascii="Montserrat" w:eastAsia="Times New Roman" w:hAnsi="Montserrat" w:cs="Calibri"/>
                <w:color w:val="000000"/>
                <w:sz w:val="15"/>
                <w:szCs w:val="15"/>
                <w:lang w:eastAsia="es-MX"/>
              </w:rPr>
            </w:pPr>
            <w:r w:rsidRPr="00255081">
              <w:rPr>
                <w:rFonts w:ascii="Montserrat" w:eastAsia="Times New Roman" w:hAnsi="Montserrat" w:cs="Calibri"/>
                <w:sz w:val="15"/>
                <w:szCs w:val="15"/>
                <w:lang w:eastAsia="es-MX"/>
              </w:rPr>
              <w:t>114,193,897</w:t>
            </w:r>
          </w:p>
        </w:tc>
        <w:tc>
          <w:tcPr>
            <w:tcW w:w="1192" w:type="dxa"/>
            <w:shd w:val="clear" w:color="000000" w:fill="F2F2F2"/>
            <w:noWrap/>
            <w:vAlign w:val="center"/>
          </w:tcPr>
          <w:p w14:paraId="23F9BF0E" w14:textId="5329AF08" w:rsidR="00015492" w:rsidRPr="00255081" w:rsidRDefault="00015492" w:rsidP="000A1B05">
            <w:pPr>
              <w:spacing w:after="120" w:line="240" w:lineRule="auto"/>
              <w:jc w:val="right"/>
              <w:rPr>
                <w:rFonts w:ascii="Montserrat" w:eastAsia="Times New Roman" w:hAnsi="Montserrat" w:cs="Calibri"/>
                <w:color w:val="000000"/>
                <w:sz w:val="15"/>
                <w:szCs w:val="15"/>
                <w:lang w:eastAsia="es-MX"/>
              </w:rPr>
            </w:pPr>
            <w:r w:rsidRPr="00255081">
              <w:rPr>
                <w:rFonts w:ascii="Montserrat" w:eastAsia="Times New Roman" w:hAnsi="Montserrat" w:cs="Calibri"/>
                <w:sz w:val="15"/>
                <w:szCs w:val="15"/>
                <w:lang w:eastAsia="es-MX"/>
              </w:rPr>
              <w:t>100%</w:t>
            </w:r>
          </w:p>
        </w:tc>
        <w:tc>
          <w:tcPr>
            <w:tcW w:w="2558" w:type="dxa"/>
            <w:gridSpan w:val="2"/>
            <w:shd w:val="clear" w:color="000000" w:fill="F2F2F2"/>
            <w:noWrap/>
            <w:vAlign w:val="center"/>
          </w:tcPr>
          <w:p w14:paraId="3F234823" w14:textId="012C9C61" w:rsidR="00015492" w:rsidRPr="00255081" w:rsidRDefault="00015492" w:rsidP="000A1B05">
            <w:pPr>
              <w:spacing w:after="120" w:line="240" w:lineRule="auto"/>
              <w:jc w:val="right"/>
              <w:rPr>
                <w:rFonts w:ascii="Montserrat" w:eastAsia="Times New Roman" w:hAnsi="Montserrat" w:cs="Calibri"/>
                <w:color w:val="000000"/>
                <w:sz w:val="15"/>
                <w:szCs w:val="15"/>
                <w:lang w:eastAsia="es-MX"/>
              </w:rPr>
            </w:pPr>
            <w:r w:rsidRPr="00255081">
              <w:rPr>
                <w:rFonts w:ascii="Montserrat" w:eastAsia="Times New Roman" w:hAnsi="Montserrat" w:cs="Calibri"/>
                <w:sz w:val="15"/>
                <w:szCs w:val="15"/>
                <w:lang w:eastAsia="es-MX"/>
              </w:rPr>
              <w:t>114,193,897</w:t>
            </w:r>
          </w:p>
        </w:tc>
      </w:tr>
      <w:tr w:rsidR="00015492" w:rsidRPr="00995308" w14:paraId="03639BAE" w14:textId="77777777" w:rsidTr="000F03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jc w:val="center"/>
        </w:trPr>
        <w:tc>
          <w:tcPr>
            <w:tcW w:w="5583" w:type="dxa"/>
            <w:shd w:val="clear" w:color="000000" w:fill="F2F2F2"/>
            <w:vAlign w:val="center"/>
          </w:tcPr>
          <w:p w14:paraId="3C7C6BEC" w14:textId="2777D9E1" w:rsidR="00015492" w:rsidRPr="00255081" w:rsidRDefault="00015492" w:rsidP="004B170A">
            <w:pPr>
              <w:spacing w:after="120" w:line="240" w:lineRule="auto"/>
              <w:jc w:val="both"/>
              <w:rPr>
                <w:rFonts w:ascii="Montserrat" w:eastAsia="Times New Roman" w:hAnsi="Montserrat" w:cs="Calibri"/>
                <w:color w:val="000000"/>
                <w:sz w:val="15"/>
                <w:szCs w:val="15"/>
                <w:lang w:eastAsia="es-MX"/>
              </w:rPr>
            </w:pPr>
            <w:r w:rsidRPr="00255081">
              <w:rPr>
                <w:rFonts w:ascii="Montserrat" w:eastAsia="Times New Roman" w:hAnsi="Montserrat" w:cs="Calibri"/>
                <w:sz w:val="15"/>
                <w:szCs w:val="15"/>
                <w:lang w:eastAsia="es-MX"/>
              </w:rPr>
              <w:t>Fonatur Constructora S.A. de C.V.</w:t>
            </w:r>
          </w:p>
        </w:tc>
        <w:tc>
          <w:tcPr>
            <w:tcW w:w="2463" w:type="dxa"/>
            <w:shd w:val="clear" w:color="000000" w:fill="F2F2F2"/>
            <w:noWrap/>
            <w:vAlign w:val="center"/>
          </w:tcPr>
          <w:p w14:paraId="0C45044B" w14:textId="3BEE5FC3" w:rsidR="00015492" w:rsidRPr="00255081" w:rsidRDefault="00015492" w:rsidP="000A1B05">
            <w:pPr>
              <w:spacing w:after="120" w:line="240" w:lineRule="auto"/>
              <w:jc w:val="right"/>
              <w:rPr>
                <w:rFonts w:ascii="Montserrat" w:eastAsia="Times New Roman" w:hAnsi="Montserrat" w:cs="Calibri"/>
                <w:color w:val="000000"/>
                <w:sz w:val="15"/>
                <w:szCs w:val="15"/>
                <w:lang w:eastAsia="es-MX"/>
              </w:rPr>
            </w:pPr>
            <w:r w:rsidRPr="00255081">
              <w:rPr>
                <w:rFonts w:ascii="Montserrat" w:eastAsia="Times New Roman" w:hAnsi="Montserrat" w:cs="Calibri"/>
                <w:sz w:val="15"/>
                <w:szCs w:val="15"/>
                <w:lang w:eastAsia="es-MX"/>
              </w:rPr>
              <w:t>-725,331,670</w:t>
            </w:r>
          </w:p>
        </w:tc>
        <w:tc>
          <w:tcPr>
            <w:tcW w:w="1192" w:type="dxa"/>
            <w:shd w:val="clear" w:color="000000" w:fill="F2F2F2"/>
            <w:noWrap/>
            <w:vAlign w:val="center"/>
          </w:tcPr>
          <w:p w14:paraId="4EC276A1" w14:textId="42DC84B5" w:rsidR="00015492" w:rsidRPr="00255081" w:rsidRDefault="00015492" w:rsidP="000A1B05">
            <w:pPr>
              <w:spacing w:after="120" w:line="240" w:lineRule="auto"/>
              <w:jc w:val="right"/>
              <w:rPr>
                <w:rFonts w:ascii="Montserrat" w:eastAsia="Times New Roman" w:hAnsi="Montserrat" w:cs="Calibri"/>
                <w:color w:val="000000"/>
                <w:sz w:val="15"/>
                <w:szCs w:val="15"/>
                <w:lang w:eastAsia="es-MX"/>
              </w:rPr>
            </w:pPr>
            <w:r w:rsidRPr="00255081">
              <w:rPr>
                <w:rFonts w:ascii="Montserrat" w:eastAsia="Times New Roman" w:hAnsi="Montserrat" w:cs="Calibri"/>
                <w:sz w:val="15"/>
                <w:szCs w:val="15"/>
                <w:lang w:eastAsia="es-MX"/>
              </w:rPr>
              <w:t>0%</w:t>
            </w:r>
          </w:p>
        </w:tc>
        <w:tc>
          <w:tcPr>
            <w:tcW w:w="2558" w:type="dxa"/>
            <w:gridSpan w:val="2"/>
            <w:shd w:val="clear" w:color="000000" w:fill="F2F2F2"/>
            <w:noWrap/>
            <w:vAlign w:val="center"/>
          </w:tcPr>
          <w:p w14:paraId="154DDFF9" w14:textId="20DBF337" w:rsidR="00015492" w:rsidRPr="00255081" w:rsidRDefault="00015492" w:rsidP="000A1B05">
            <w:pPr>
              <w:spacing w:after="120" w:line="240" w:lineRule="auto"/>
              <w:jc w:val="right"/>
              <w:rPr>
                <w:rFonts w:ascii="Montserrat" w:eastAsia="Times New Roman" w:hAnsi="Montserrat" w:cs="Calibri"/>
                <w:color w:val="000000"/>
                <w:sz w:val="15"/>
                <w:szCs w:val="15"/>
                <w:lang w:eastAsia="es-MX"/>
              </w:rPr>
            </w:pPr>
            <w:r w:rsidRPr="00255081">
              <w:rPr>
                <w:rFonts w:ascii="Montserrat" w:eastAsia="Times New Roman" w:hAnsi="Montserrat" w:cs="Calibri"/>
                <w:sz w:val="15"/>
                <w:szCs w:val="15"/>
                <w:lang w:eastAsia="es-MX"/>
              </w:rPr>
              <w:t>0</w:t>
            </w:r>
          </w:p>
        </w:tc>
      </w:tr>
      <w:tr w:rsidR="00015492" w:rsidRPr="00995308" w14:paraId="18C12081" w14:textId="77777777" w:rsidTr="000F03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jc w:val="center"/>
        </w:trPr>
        <w:tc>
          <w:tcPr>
            <w:tcW w:w="5583" w:type="dxa"/>
            <w:shd w:val="clear" w:color="000000" w:fill="F2F2F2"/>
            <w:vAlign w:val="center"/>
          </w:tcPr>
          <w:p w14:paraId="1F5809ED" w14:textId="0AF061E0" w:rsidR="00015492" w:rsidRPr="00255081" w:rsidRDefault="00015492" w:rsidP="004B170A">
            <w:pPr>
              <w:spacing w:after="120" w:line="240" w:lineRule="auto"/>
              <w:jc w:val="both"/>
              <w:rPr>
                <w:rFonts w:ascii="Montserrat" w:eastAsia="Times New Roman" w:hAnsi="Montserrat" w:cs="Calibri"/>
                <w:color w:val="000000"/>
                <w:sz w:val="15"/>
                <w:szCs w:val="15"/>
                <w:lang w:eastAsia="es-MX"/>
              </w:rPr>
            </w:pPr>
            <w:r w:rsidRPr="00255081">
              <w:rPr>
                <w:rFonts w:ascii="Montserrat" w:eastAsia="Times New Roman" w:hAnsi="Montserrat" w:cs="Calibri"/>
                <w:sz w:val="15"/>
                <w:szCs w:val="15"/>
                <w:lang w:eastAsia="es-MX"/>
              </w:rPr>
              <w:t>Consejo de Promoción Turística de México S.A. de C.V</w:t>
            </w:r>
            <w:r w:rsidR="007F6248">
              <w:rPr>
                <w:rFonts w:ascii="Montserrat" w:eastAsia="Times New Roman" w:hAnsi="Montserrat" w:cs="Calibri"/>
                <w:sz w:val="15"/>
                <w:szCs w:val="15"/>
                <w:lang w:eastAsia="es-MX"/>
              </w:rPr>
              <w:t>.</w:t>
            </w:r>
            <w:r w:rsidRPr="00255081">
              <w:rPr>
                <w:rFonts w:ascii="Montserrat" w:eastAsia="Times New Roman" w:hAnsi="Montserrat" w:cs="Calibri"/>
                <w:sz w:val="15"/>
                <w:szCs w:val="15"/>
                <w:lang w:eastAsia="es-MX"/>
              </w:rPr>
              <w:t xml:space="preserve"> </w:t>
            </w:r>
          </w:p>
        </w:tc>
        <w:tc>
          <w:tcPr>
            <w:tcW w:w="2463" w:type="dxa"/>
            <w:shd w:val="clear" w:color="000000" w:fill="F2F2F2"/>
            <w:noWrap/>
            <w:vAlign w:val="center"/>
          </w:tcPr>
          <w:p w14:paraId="0F8186EB" w14:textId="0BF45705" w:rsidR="00015492" w:rsidRPr="00255081" w:rsidRDefault="00015492" w:rsidP="000A1B05">
            <w:pPr>
              <w:spacing w:after="120" w:line="240" w:lineRule="auto"/>
              <w:jc w:val="right"/>
              <w:rPr>
                <w:rFonts w:ascii="Montserrat" w:eastAsia="Times New Roman" w:hAnsi="Montserrat" w:cs="Calibri"/>
                <w:color w:val="000000"/>
                <w:sz w:val="15"/>
                <w:szCs w:val="15"/>
                <w:lang w:eastAsia="es-MX"/>
              </w:rPr>
            </w:pPr>
            <w:r w:rsidRPr="00255081">
              <w:rPr>
                <w:rFonts w:ascii="Montserrat" w:eastAsia="Times New Roman" w:hAnsi="Montserrat" w:cs="Calibri"/>
                <w:sz w:val="15"/>
                <w:szCs w:val="15"/>
                <w:lang w:eastAsia="es-MX"/>
              </w:rPr>
              <w:t>112,862,627</w:t>
            </w:r>
          </w:p>
        </w:tc>
        <w:tc>
          <w:tcPr>
            <w:tcW w:w="1192" w:type="dxa"/>
            <w:shd w:val="clear" w:color="000000" w:fill="F2F2F2"/>
            <w:noWrap/>
            <w:vAlign w:val="center"/>
          </w:tcPr>
          <w:p w14:paraId="77219339" w14:textId="37BB1EC7" w:rsidR="00015492" w:rsidRPr="00255081" w:rsidRDefault="00015492" w:rsidP="000A1B05">
            <w:pPr>
              <w:spacing w:after="120" w:line="240" w:lineRule="auto"/>
              <w:jc w:val="right"/>
              <w:rPr>
                <w:rFonts w:ascii="Montserrat" w:eastAsia="Times New Roman" w:hAnsi="Montserrat" w:cs="Calibri"/>
                <w:color w:val="000000"/>
                <w:sz w:val="15"/>
                <w:szCs w:val="15"/>
                <w:lang w:eastAsia="es-MX"/>
              </w:rPr>
            </w:pPr>
            <w:r w:rsidRPr="00255081">
              <w:rPr>
                <w:rFonts w:ascii="Montserrat" w:eastAsia="Times New Roman" w:hAnsi="Montserrat" w:cs="Calibri"/>
                <w:sz w:val="15"/>
                <w:szCs w:val="15"/>
                <w:lang w:eastAsia="es-MX"/>
              </w:rPr>
              <w:t>99.98%</w:t>
            </w:r>
          </w:p>
        </w:tc>
        <w:tc>
          <w:tcPr>
            <w:tcW w:w="2558" w:type="dxa"/>
            <w:gridSpan w:val="2"/>
            <w:shd w:val="clear" w:color="000000" w:fill="F2F2F2"/>
            <w:noWrap/>
            <w:vAlign w:val="center"/>
          </w:tcPr>
          <w:p w14:paraId="5E19F834" w14:textId="20988878" w:rsidR="00015492" w:rsidRPr="00255081" w:rsidRDefault="00015492" w:rsidP="000A1B05">
            <w:pPr>
              <w:spacing w:after="120" w:line="240" w:lineRule="auto"/>
              <w:jc w:val="right"/>
              <w:rPr>
                <w:rFonts w:ascii="Montserrat" w:eastAsia="Times New Roman" w:hAnsi="Montserrat" w:cs="Calibri"/>
                <w:color w:val="000000"/>
                <w:sz w:val="15"/>
                <w:szCs w:val="15"/>
                <w:lang w:eastAsia="es-MX"/>
              </w:rPr>
            </w:pPr>
            <w:r w:rsidRPr="00255081">
              <w:rPr>
                <w:rFonts w:ascii="Montserrat" w:eastAsia="Times New Roman" w:hAnsi="Montserrat" w:cs="Calibri"/>
                <w:sz w:val="15"/>
                <w:szCs w:val="15"/>
                <w:lang w:eastAsia="es-MX"/>
              </w:rPr>
              <w:t>112,840,054</w:t>
            </w:r>
          </w:p>
        </w:tc>
      </w:tr>
      <w:tr w:rsidR="00015492" w:rsidRPr="00995308" w14:paraId="1B0493FA" w14:textId="77777777" w:rsidTr="000F03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jc w:val="center"/>
        </w:trPr>
        <w:tc>
          <w:tcPr>
            <w:tcW w:w="5583" w:type="dxa"/>
            <w:shd w:val="clear" w:color="000000" w:fill="F2F2F2"/>
            <w:vAlign w:val="center"/>
          </w:tcPr>
          <w:p w14:paraId="4408B813" w14:textId="16B824B6" w:rsidR="00015492" w:rsidRPr="00255081" w:rsidRDefault="00015492" w:rsidP="004B170A">
            <w:pPr>
              <w:spacing w:after="120" w:line="240" w:lineRule="auto"/>
              <w:jc w:val="both"/>
              <w:rPr>
                <w:rFonts w:ascii="Montserrat" w:eastAsia="Times New Roman" w:hAnsi="Montserrat" w:cs="Calibri"/>
                <w:color w:val="000000"/>
                <w:sz w:val="15"/>
                <w:szCs w:val="15"/>
                <w:lang w:eastAsia="es-MX"/>
              </w:rPr>
            </w:pPr>
            <w:r w:rsidRPr="00255081">
              <w:rPr>
                <w:rFonts w:ascii="Montserrat" w:eastAsia="Times New Roman" w:hAnsi="Montserrat" w:cs="Calibri"/>
                <w:sz w:val="15"/>
                <w:szCs w:val="15"/>
                <w:lang w:eastAsia="es-MX"/>
              </w:rPr>
              <w:t>Fondo Nacional de Fomento al Turismo</w:t>
            </w:r>
          </w:p>
        </w:tc>
        <w:tc>
          <w:tcPr>
            <w:tcW w:w="2463" w:type="dxa"/>
            <w:shd w:val="clear" w:color="000000" w:fill="F2F2F2"/>
            <w:noWrap/>
            <w:vAlign w:val="center"/>
          </w:tcPr>
          <w:p w14:paraId="1D8A881F" w14:textId="316507AD" w:rsidR="00015492" w:rsidRPr="00255081" w:rsidRDefault="00015492" w:rsidP="000A1B05">
            <w:pPr>
              <w:spacing w:after="120" w:line="240" w:lineRule="auto"/>
              <w:jc w:val="right"/>
              <w:rPr>
                <w:rFonts w:ascii="Montserrat" w:eastAsia="Times New Roman" w:hAnsi="Montserrat" w:cs="Calibri"/>
                <w:color w:val="000000"/>
                <w:sz w:val="15"/>
                <w:szCs w:val="15"/>
                <w:lang w:eastAsia="es-MX"/>
              </w:rPr>
            </w:pPr>
            <w:r w:rsidRPr="00255081">
              <w:rPr>
                <w:rFonts w:ascii="Montserrat" w:eastAsia="Times New Roman" w:hAnsi="Montserrat" w:cs="Calibri"/>
                <w:sz w:val="15"/>
                <w:szCs w:val="15"/>
                <w:lang w:eastAsia="es-MX"/>
              </w:rPr>
              <w:t>20,821,286,126</w:t>
            </w:r>
          </w:p>
        </w:tc>
        <w:tc>
          <w:tcPr>
            <w:tcW w:w="1192" w:type="dxa"/>
            <w:shd w:val="clear" w:color="000000" w:fill="F2F2F2"/>
            <w:noWrap/>
            <w:vAlign w:val="center"/>
          </w:tcPr>
          <w:p w14:paraId="6694D138" w14:textId="0BE43C1C" w:rsidR="00015492" w:rsidRPr="00255081" w:rsidRDefault="00015492" w:rsidP="000A1B05">
            <w:pPr>
              <w:spacing w:after="120" w:line="240" w:lineRule="auto"/>
              <w:jc w:val="right"/>
              <w:rPr>
                <w:rFonts w:ascii="Montserrat" w:eastAsia="Times New Roman" w:hAnsi="Montserrat" w:cs="Calibri"/>
                <w:color w:val="000000"/>
                <w:sz w:val="15"/>
                <w:szCs w:val="15"/>
                <w:lang w:eastAsia="es-MX"/>
              </w:rPr>
            </w:pPr>
            <w:r w:rsidRPr="00255081">
              <w:rPr>
                <w:rFonts w:ascii="Montserrat" w:eastAsia="Times New Roman" w:hAnsi="Montserrat" w:cs="Calibri"/>
                <w:sz w:val="15"/>
                <w:szCs w:val="15"/>
                <w:lang w:eastAsia="es-MX"/>
              </w:rPr>
              <w:t>100%</w:t>
            </w:r>
          </w:p>
        </w:tc>
        <w:tc>
          <w:tcPr>
            <w:tcW w:w="2558" w:type="dxa"/>
            <w:gridSpan w:val="2"/>
            <w:shd w:val="clear" w:color="000000" w:fill="F2F2F2"/>
            <w:noWrap/>
            <w:vAlign w:val="center"/>
          </w:tcPr>
          <w:p w14:paraId="762B47E1" w14:textId="0F807F8E" w:rsidR="00015492" w:rsidRPr="00255081" w:rsidRDefault="00015492" w:rsidP="000A1B05">
            <w:pPr>
              <w:spacing w:after="120" w:line="240" w:lineRule="auto"/>
              <w:jc w:val="right"/>
              <w:rPr>
                <w:rFonts w:ascii="Montserrat" w:eastAsia="Times New Roman" w:hAnsi="Montserrat" w:cs="Calibri"/>
                <w:color w:val="000000"/>
                <w:sz w:val="15"/>
                <w:szCs w:val="15"/>
                <w:lang w:eastAsia="es-MX"/>
              </w:rPr>
            </w:pPr>
            <w:r w:rsidRPr="00255081">
              <w:rPr>
                <w:rFonts w:ascii="Montserrat" w:eastAsia="Times New Roman" w:hAnsi="Montserrat" w:cs="Calibri"/>
                <w:sz w:val="15"/>
                <w:szCs w:val="15"/>
                <w:lang w:eastAsia="es-MX"/>
              </w:rPr>
              <w:t>20,821,286,126</w:t>
            </w:r>
          </w:p>
        </w:tc>
      </w:tr>
      <w:tr w:rsidR="00015492" w:rsidRPr="00995308" w14:paraId="166E7B9E" w14:textId="77777777" w:rsidTr="000F03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jc w:val="center"/>
        </w:trPr>
        <w:tc>
          <w:tcPr>
            <w:tcW w:w="5583" w:type="dxa"/>
            <w:shd w:val="clear" w:color="000000" w:fill="F2F2F2"/>
            <w:vAlign w:val="center"/>
          </w:tcPr>
          <w:p w14:paraId="19ADA920" w14:textId="70E6EE87" w:rsidR="00015492" w:rsidRPr="00255081" w:rsidRDefault="00015492" w:rsidP="004B170A">
            <w:pPr>
              <w:spacing w:after="120" w:line="240" w:lineRule="auto"/>
              <w:jc w:val="both"/>
              <w:rPr>
                <w:rFonts w:ascii="Montserrat" w:eastAsia="Times New Roman" w:hAnsi="Montserrat" w:cs="Calibri"/>
                <w:color w:val="000000"/>
                <w:sz w:val="15"/>
                <w:szCs w:val="15"/>
                <w:lang w:eastAsia="es-MX"/>
              </w:rPr>
            </w:pPr>
            <w:r w:rsidRPr="00255081">
              <w:rPr>
                <w:rFonts w:ascii="Montserrat" w:eastAsia="Times New Roman" w:hAnsi="Montserrat" w:cs="Calibri"/>
                <w:sz w:val="15"/>
                <w:szCs w:val="15"/>
                <w:lang w:eastAsia="es-MX"/>
              </w:rPr>
              <w:t xml:space="preserve">Fonatur </w:t>
            </w:r>
            <w:r w:rsidR="0065225C" w:rsidRPr="0065225C">
              <w:rPr>
                <w:rFonts w:ascii="Montserrat" w:eastAsia="Times New Roman" w:hAnsi="Montserrat" w:cs="Calibri"/>
                <w:sz w:val="15"/>
                <w:szCs w:val="15"/>
                <w:lang w:eastAsia="es-MX"/>
              </w:rPr>
              <w:t>Infraestructura, S.A. de C.V.</w:t>
            </w:r>
          </w:p>
        </w:tc>
        <w:tc>
          <w:tcPr>
            <w:tcW w:w="2463" w:type="dxa"/>
            <w:shd w:val="clear" w:color="000000" w:fill="F2F2F2"/>
            <w:noWrap/>
            <w:vAlign w:val="center"/>
          </w:tcPr>
          <w:p w14:paraId="363DF928" w14:textId="4BA6851D" w:rsidR="00015492" w:rsidRPr="00255081" w:rsidRDefault="00015492" w:rsidP="000A1B05">
            <w:pPr>
              <w:spacing w:after="120" w:line="240" w:lineRule="auto"/>
              <w:jc w:val="right"/>
              <w:rPr>
                <w:rFonts w:ascii="Montserrat" w:eastAsia="Times New Roman" w:hAnsi="Montserrat" w:cs="Calibri"/>
                <w:color w:val="000000"/>
                <w:sz w:val="15"/>
                <w:szCs w:val="15"/>
                <w:lang w:eastAsia="es-MX"/>
              </w:rPr>
            </w:pPr>
            <w:r w:rsidRPr="00255081">
              <w:rPr>
                <w:rFonts w:ascii="Montserrat" w:eastAsia="Times New Roman" w:hAnsi="Montserrat" w:cs="Calibri"/>
                <w:sz w:val="15"/>
                <w:szCs w:val="15"/>
                <w:lang w:eastAsia="es-MX"/>
              </w:rPr>
              <w:t>100,794,029</w:t>
            </w:r>
          </w:p>
        </w:tc>
        <w:tc>
          <w:tcPr>
            <w:tcW w:w="1192" w:type="dxa"/>
            <w:shd w:val="clear" w:color="000000" w:fill="F2F2F2"/>
            <w:noWrap/>
            <w:vAlign w:val="center"/>
          </w:tcPr>
          <w:p w14:paraId="028C46C8" w14:textId="4E4D8FE3" w:rsidR="00015492" w:rsidRPr="00255081" w:rsidRDefault="00015492" w:rsidP="000A1B05">
            <w:pPr>
              <w:spacing w:after="120" w:line="240" w:lineRule="auto"/>
              <w:jc w:val="right"/>
              <w:rPr>
                <w:rFonts w:ascii="Montserrat" w:eastAsia="Times New Roman" w:hAnsi="Montserrat" w:cs="Calibri"/>
                <w:color w:val="000000"/>
                <w:sz w:val="15"/>
                <w:szCs w:val="15"/>
                <w:lang w:eastAsia="es-MX"/>
              </w:rPr>
            </w:pPr>
            <w:r w:rsidRPr="00255081">
              <w:rPr>
                <w:rFonts w:ascii="Montserrat" w:eastAsia="Times New Roman" w:hAnsi="Montserrat" w:cs="Calibri"/>
                <w:sz w:val="15"/>
                <w:szCs w:val="15"/>
                <w:lang w:eastAsia="es-MX"/>
              </w:rPr>
              <w:t>0%</w:t>
            </w:r>
          </w:p>
        </w:tc>
        <w:tc>
          <w:tcPr>
            <w:tcW w:w="2558" w:type="dxa"/>
            <w:gridSpan w:val="2"/>
            <w:shd w:val="clear" w:color="000000" w:fill="F2F2F2"/>
            <w:noWrap/>
            <w:vAlign w:val="center"/>
          </w:tcPr>
          <w:p w14:paraId="5A841290" w14:textId="1095D5F4" w:rsidR="00015492" w:rsidRPr="00255081" w:rsidRDefault="00015492" w:rsidP="000A1B05">
            <w:pPr>
              <w:spacing w:after="120" w:line="240" w:lineRule="auto"/>
              <w:jc w:val="right"/>
              <w:rPr>
                <w:rFonts w:ascii="Montserrat" w:eastAsia="Times New Roman" w:hAnsi="Montserrat" w:cs="Calibri"/>
                <w:color w:val="000000"/>
                <w:sz w:val="15"/>
                <w:szCs w:val="15"/>
                <w:lang w:eastAsia="es-MX"/>
              </w:rPr>
            </w:pPr>
            <w:r w:rsidRPr="00255081">
              <w:rPr>
                <w:rFonts w:ascii="Montserrat" w:eastAsia="Times New Roman" w:hAnsi="Montserrat" w:cs="Calibri"/>
                <w:sz w:val="15"/>
                <w:szCs w:val="15"/>
                <w:lang w:eastAsia="es-MX"/>
              </w:rPr>
              <w:t>0</w:t>
            </w:r>
          </w:p>
        </w:tc>
      </w:tr>
      <w:tr w:rsidR="00015492" w:rsidRPr="00995308" w14:paraId="023C8985" w14:textId="77777777" w:rsidTr="000F03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jc w:val="center"/>
        </w:trPr>
        <w:tc>
          <w:tcPr>
            <w:tcW w:w="5583" w:type="dxa"/>
            <w:shd w:val="clear" w:color="000000" w:fill="F2F2F2"/>
            <w:vAlign w:val="center"/>
          </w:tcPr>
          <w:p w14:paraId="27892215" w14:textId="0E8ED269" w:rsidR="00015492" w:rsidRPr="00255081" w:rsidRDefault="00015492" w:rsidP="004B170A">
            <w:pPr>
              <w:spacing w:after="120" w:line="240" w:lineRule="auto"/>
              <w:jc w:val="both"/>
              <w:rPr>
                <w:rFonts w:ascii="Montserrat" w:eastAsia="Times New Roman" w:hAnsi="Montserrat" w:cs="Calibri"/>
                <w:color w:val="000000"/>
                <w:sz w:val="15"/>
                <w:szCs w:val="15"/>
                <w:lang w:eastAsia="es-MX"/>
              </w:rPr>
            </w:pPr>
            <w:r w:rsidRPr="00255081">
              <w:rPr>
                <w:rFonts w:ascii="Montserrat" w:eastAsia="Times New Roman" w:hAnsi="Montserrat" w:cs="Calibri"/>
                <w:sz w:val="15"/>
                <w:szCs w:val="15"/>
                <w:lang w:eastAsia="es-MX"/>
              </w:rPr>
              <w:t xml:space="preserve">Fonatur </w:t>
            </w:r>
            <w:r w:rsidR="0065225C" w:rsidRPr="0065225C">
              <w:rPr>
                <w:rFonts w:ascii="Montserrat" w:eastAsia="Times New Roman" w:hAnsi="Montserrat" w:cs="Calibri"/>
                <w:sz w:val="15"/>
                <w:szCs w:val="15"/>
                <w:lang w:eastAsia="es-MX"/>
              </w:rPr>
              <w:t>Prestadora de Servicios, S.A. de C.V. (ahora Espacios Públicos y Equipamiento Urbano, S.A. de C.V.)</w:t>
            </w:r>
          </w:p>
        </w:tc>
        <w:tc>
          <w:tcPr>
            <w:tcW w:w="2463" w:type="dxa"/>
            <w:shd w:val="clear" w:color="000000" w:fill="F2F2F2"/>
            <w:noWrap/>
            <w:vAlign w:val="center"/>
          </w:tcPr>
          <w:p w14:paraId="52ED569F" w14:textId="5B3C1E56" w:rsidR="00015492" w:rsidRPr="00255081" w:rsidRDefault="00015492" w:rsidP="000A1B05">
            <w:pPr>
              <w:spacing w:after="120" w:line="240" w:lineRule="auto"/>
              <w:jc w:val="right"/>
              <w:rPr>
                <w:rFonts w:ascii="Montserrat" w:eastAsia="Times New Roman" w:hAnsi="Montserrat" w:cs="Calibri"/>
                <w:color w:val="000000"/>
                <w:sz w:val="15"/>
                <w:szCs w:val="15"/>
                <w:lang w:eastAsia="es-MX"/>
              </w:rPr>
            </w:pPr>
            <w:r w:rsidRPr="00255081">
              <w:rPr>
                <w:rFonts w:ascii="Montserrat" w:eastAsia="Times New Roman" w:hAnsi="Montserrat" w:cs="Calibri"/>
                <w:sz w:val="15"/>
                <w:szCs w:val="15"/>
                <w:lang w:eastAsia="es-MX"/>
              </w:rPr>
              <w:t>48,985</w:t>
            </w:r>
          </w:p>
        </w:tc>
        <w:tc>
          <w:tcPr>
            <w:tcW w:w="1192" w:type="dxa"/>
            <w:shd w:val="clear" w:color="000000" w:fill="F2F2F2"/>
            <w:noWrap/>
            <w:vAlign w:val="center"/>
          </w:tcPr>
          <w:p w14:paraId="7620E72D" w14:textId="2C64AEB2" w:rsidR="00015492" w:rsidRPr="00255081" w:rsidRDefault="00015492" w:rsidP="000A1B05">
            <w:pPr>
              <w:spacing w:after="120" w:line="240" w:lineRule="auto"/>
              <w:jc w:val="right"/>
              <w:rPr>
                <w:rFonts w:ascii="Montserrat" w:eastAsia="Times New Roman" w:hAnsi="Montserrat" w:cs="Calibri"/>
                <w:color w:val="000000"/>
                <w:sz w:val="15"/>
                <w:szCs w:val="15"/>
                <w:lang w:eastAsia="es-MX"/>
              </w:rPr>
            </w:pPr>
            <w:r w:rsidRPr="00255081">
              <w:rPr>
                <w:rFonts w:ascii="Montserrat" w:eastAsia="Times New Roman" w:hAnsi="Montserrat" w:cs="Calibri"/>
                <w:sz w:val="15"/>
                <w:szCs w:val="15"/>
                <w:lang w:eastAsia="es-MX"/>
              </w:rPr>
              <w:t>0%</w:t>
            </w:r>
          </w:p>
        </w:tc>
        <w:tc>
          <w:tcPr>
            <w:tcW w:w="2558" w:type="dxa"/>
            <w:gridSpan w:val="2"/>
            <w:shd w:val="clear" w:color="000000" w:fill="F2F2F2"/>
            <w:noWrap/>
            <w:vAlign w:val="center"/>
          </w:tcPr>
          <w:p w14:paraId="6751AC3F" w14:textId="2D8EBA42" w:rsidR="00015492" w:rsidRPr="00255081" w:rsidRDefault="00015492" w:rsidP="000A1B05">
            <w:pPr>
              <w:spacing w:after="120" w:line="240" w:lineRule="auto"/>
              <w:jc w:val="right"/>
              <w:rPr>
                <w:rFonts w:ascii="Montserrat" w:eastAsia="Times New Roman" w:hAnsi="Montserrat" w:cs="Calibri"/>
                <w:color w:val="000000"/>
                <w:sz w:val="15"/>
                <w:szCs w:val="15"/>
                <w:lang w:eastAsia="es-MX"/>
              </w:rPr>
            </w:pPr>
            <w:r w:rsidRPr="00255081">
              <w:rPr>
                <w:rFonts w:ascii="Montserrat" w:eastAsia="Times New Roman" w:hAnsi="Montserrat" w:cs="Calibri"/>
                <w:sz w:val="15"/>
                <w:szCs w:val="15"/>
                <w:lang w:eastAsia="es-MX"/>
              </w:rPr>
              <w:t>0</w:t>
            </w:r>
          </w:p>
        </w:tc>
      </w:tr>
      <w:tr w:rsidR="00015492" w:rsidRPr="00995308" w14:paraId="5DAB5DC6" w14:textId="77777777" w:rsidTr="000F03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jc w:val="center"/>
        </w:trPr>
        <w:tc>
          <w:tcPr>
            <w:tcW w:w="5583" w:type="dxa"/>
            <w:shd w:val="clear" w:color="000000" w:fill="F2F2F2"/>
            <w:vAlign w:val="center"/>
          </w:tcPr>
          <w:p w14:paraId="6774648B" w14:textId="5DBACBD4" w:rsidR="00015492" w:rsidRPr="00255081" w:rsidRDefault="00015492" w:rsidP="004B170A">
            <w:pPr>
              <w:spacing w:after="120" w:line="240" w:lineRule="auto"/>
              <w:jc w:val="both"/>
              <w:rPr>
                <w:rFonts w:ascii="Montserrat" w:eastAsia="Times New Roman" w:hAnsi="Montserrat" w:cs="Calibri"/>
                <w:color w:val="000000"/>
                <w:sz w:val="15"/>
                <w:szCs w:val="15"/>
                <w:lang w:eastAsia="es-MX"/>
              </w:rPr>
            </w:pPr>
            <w:r w:rsidRPr="00255081">
              <w:rPr>
                <w:rFonts w:ascii="Montserrat" w:eastAsia="Times New Roman" w:hAnsi="Montserrat" w:cs="Calibri"/>
                <w:sz w:val="15"/>
                <w:szCs w:val="15"/>
                <w:lang w:eastAsia="es-MX"/>
              </w:rPr>
              <w:t xml:space="preserve">Fonatur </w:t>
            </w:r>
            <w:r w:rsidR="0065225C" w:rsidRPr="0065225C">
              <w:rPr>
                <w:rFonts w:ascii="Montserrat" w:eastAsia="Times New Roman" w:hAnsi="Montserrat" w:cs="Calibri"/>
                <w:sz w:val="15"/>
                <w:szCs w:val="15"/>
                <w:lang w:eastAsia="es-MX"/>
              </w:rPr>
              <w:t>Tren Maya, S.A. de C.V.</w:t>
            </w:r>
          </w:p>
        </w:tc>
        <w:tc>
          <w:tcPr>
            <w:tcW w:w="2463" w:type="dxa"/>
            <w:shd w:val="clear" w:color="000000" w:fill="F2F2F2"/>
            <w:noWrap/>
            <w:vAlign w:val="center"/>
          </w:tcPr>
          <w:p w14:paraId="77420F4C" w14:textId="39106271" w:rsidR="00015492" w:rsidRPr="00255081" w:rsidRDefault="00015492" w:rsidP="000A1B05">
            <w:pPr>
              <w:spacing w:after="120" w:line="240" w:lineRule="auto"/>
              <w:jc w:val="right"/>
              <w:rPr>
                <w:rFonts w:ascii="Montserrat" w:eastAsia="Times New Roman" w:hAnsi="Montserrat" w:cs="Calibri"/>
                <w:color w:val="000000"/>
                <w:sz w:val="15"/>
                <w:szCs w:val="15"/>
                <w:lang w:eastAsia="es-MX"/>
              </w:rPr>
            </w:pPr>
            <w:r w:rsidRPr="00255081">
              <w:rPr>
                <w:rFonts w:ascii="Montserrat" w:eastAsia="Times New Roman" w:hAnsi="Montserrat" w:cs="Calibri"/>
                <w:sz w:val="15"/>
                <w:szCs w:val="15"/>
                <w:lang w:eastAsia="es-MX"/>
              </w:rPr>
              <w:t>9,732,849</w:t>
            </w:r>
          </w:p>
        </w:tc>
        <w:tc>
          <w:tcPr>
            <w:tcW w:w="1192" w:type="dxa"/>
            <w:shd w:val="clear" w:color="000000" w:fill="F2F2F2"/>
            <w:noWrap/>
            <w:vAlign w:val="center"/>
          </w:tcPr>
          <w:p w14:paraId="3C51CF8B" w14:textId="449D4C09" w:rsidR="00015492" w:rsidRPr="00255081" w:rsidRDefault="00015492" w:rsidP="000A1B05">
            <w:pPr>
              <w:spacing w:after="120" w:line="240" w:lineRule="auto"/>
              <w:jc w:val="right"/>
              <w:rPr>
                <w:rFonts w:ascii="Montserrat" w:eastAsia="Times New Roman" w:hAnsi="Montserrat" w:cs="Calibri"/>
                <w:color w:val="000000"/>
                <w:sz w:val="15"/>
                <w:szCs w:val="15"/>
                <w:lang w:eastAsia="es-MX"/>
              </w:rPr>
            </w:pPr>
            <w:r w:rsidRPr="00255081">
              <w:rPr>
                <w:rFonts w:ascii="Montserrat" w:eastAsia="Times New Roman" w:hAnsi="Montserrat" w:cs="Calibri"/>
                <w:sz w:val="15"/>
                <w:szCs w:val="15"/>
                <w:lang w:eastAsia="es-MX"/>
              </w:rPr>
              <w:t>0%</w:t>
            </w:r>
          </w:p>
        </w:tc>
        <w:tc>
          <w:tcPr>
            <w:tcW w:w="2558" w:type="dxa"/>
            <w:gridSpan w:val="2"/>
            <w:shd w:val="clear" w:color="000000" w:fill="F2F2F2"/>
            <w:noWrap/>
            <w:vAlign w:val="center"/>
          </w:tcPr>
          <w:p w14:paraId="2993E7EE" w14:textId="617ADDF1" w:rsidR="00015492" w:rsidRPr="00255081" w:rsidRDefault="00015492" w:rsidP="000A1B05">
            <w:pPr>
              <w:spacing w:after="120" w:line="240" w:lineRule="auto"/>
              <w:jc w:val="right"/>
              <w:rPr>
                <w:rFonts w:ascii="Montserrat" w:eastAsia="Times New Roman" w:hAnsi="Montserrat" w:cs="Calibri"/>
                <w:color w:val="000000"/>
                <w:sz w:val="15"/>
                <w:szCs w:val="15"/>
                <w:lang w:eastAsia="es-MX"/>
              </w:rPr>
            </w:pPr>
            <w:r w:rsidRPr="00255081">
              <w:rPr>
                <w:rFonts w:ascii="Montserrat" w:eastAsia="Times New Roman" w:hAnsi="Montserrat" w:cs="Calibri"/>
                <w:sz w:val="15"/>
                <w:szCs w:val="15"/>
                <w:lang w:eastAsia="es-MX"/>
              </w:rPr>
              <w:t>0</w:t>
            </w:r>
          </w:p>
        </w:tc>
      </w:tr>
      <w:tr w:rsidR="00015492" w:rsidRPr="00995308" w14:paraId="7B0109B7" w14:textId="77777777" w:rsidTr="000F03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0"/>
          <w:jc w:val="center"/>
        </w:trPr>
        <w:tc>
          <w:tcPr>
            <w:tcW w:w="5583" w:type="dxa"/>
            <w:shd w:val="clear" w:color="000000" w:fill="F2F2F2"/>
            <w:vAlign w:val="center"/>
          </w:tcPr>
          <w:p w14:paraId="12396420" w14:textId="41A15D3D" w:rsidR="00015492" w:rsidRPr="00255081" w:rsidRDefault="00015492" w:rsidP="004B170A">
            <w:pPr>
              <w:spacing w:after="120" w:line="240" w:lineRule="auto"/>
              <w:jc w:val="both"/>
              <w:rPr>
                <w:rFonts w:ascii="Montserrat" w:eastAsia="Times New Roman" w:hAnsi="Montserrat" w:cs="Calibri"/>
                <w:color w:val="000000"/>
                <w:sz w:val="15"/>
                <w:szCs w:val="15"/>
                <w:lang w:eastAsia="es-MX"/>
              </w:rPr>
            </w:pPr>
            <w:r w:rsidRPr="00255081">
              <w:rPr>
                <w:rFonts w:ascii="Montserrat" w:eastAsia="Times New Roman" w:hAnsi="Montserrat" w:cs="Calibri"/>
                <w:sz w:val="15"/>
                <w:szCs w:val="15"/>
                <w:lang w:eastAsia="es-MX"/>
              </w:rPr>
              <w:t>Centro de Ingeniería y Desarrollo Industrial</w:t>
            </w:r>
          </w:p>
        </w:tc>
        <w:tc>
          <w:tcPr>
            <w:tcW w:w="2463" w:type="dxa"/>
            <w:shd w:val="clear" w:color="000000" w:fill="F2F2F2"/>
            <w:noWrap/>
            <w:vAlign w:val="center"/>
          </w:tcPr>
          <w:p w14:paraId="3EC2E861" w14:textId="6682BC35" w:rsidR="00015492" w:rsidRPr="00255081" w:rsidRDefault="00015492" w:rsidP="000A1B05">
            <w:pPr>
              <w:spacing w:after="120" w:line="240" w:lineRule="auto"/>
              <w:jc w:val="right"/>
              <w:rPr>
                <w:rFonts w:ascii="Montserrat" w:eastAsia="Times New Roman" w:hAnsi="Montserrat" w:cs="Calibri"/>
                <w:color w:val="000000"/>
                <w:sz w:val="15"/>
                <w:szCs w:val="15"/>
                <w:lang w:eastAsia="es-MX"/>
              </w:rPr>
            </w:pPr>
            <w:r w:rsidRPr="00255081">
              <w:rPr>
                <w:rFonts w:ascii="Montserrat" w:eastAsia="Times New Roman" w:hAnsi="Montserrat" w:cs="Calibri"/>
                <w:sz w:val="15"/>
                <w:szCs w:val="15"/>
                <w:lang w:eastAsia="es-MX"/>
              </w:rPr>
              <w:t>875,779,136</w:t>
            </w:r>
          </w:p>
        </w:tc>
        <w:tc>
          <w:tcPr>
            <w:tcW w:w="1192" w:type="dxa"/>
            <w:shd w:val="clear" w:color="000000" w:fill="F2F2F2"/>
            <w:noWrap/>
            <w:vAlign w:val="center"/>
          </w:tcPr>
          <w:p w14:paraId="5659B963" w14:textId="407B2F4C" w:rsidR="00015492" w:rsidRPr="00255081" w:rsidRDefault="00015492" w:rsidP="000A1B05">
            <w:pPr>
              <w:spacing w:after="120" w:line="240" w:lineRule="auto"/>
              <w:jc w:val="right"/>
              <w:rPr>
                <w:rFonts w:ascii="Montserrat" w:eastAsia="Times New Roman" w:hAnsi="Montserrat" w:cs="Calibri"/>
                <w:color w:val="000000"/>
                <w:sz w:val="15"/>
                <w:szCs w:val="15"/>
                <w:lang w:eastAsia="es-MX"/>
              </w:rPr>
            </w:pPr>
            <w:r w:rsidRPr="00255081">
              <w:rPr>
                <w:rFonts w:ascii="Montserrat" w:eastAsia="Times New Roman" w:hAnsi="Montserrat" w:cs="Calibri"/>
                <w:sz w:val="15"/>
                <w:szCs w:val="15"/>
                <w:lang w:eastAsia="es-MX"/>
              </w:rPr>
              <w:t>100%</w:t>
            </w:r>
          </w:p>
        </w:tc>
        <w:tc>
          <w:tcPr>
            <w:tcW w:w="2558" w:type="dxa"/>
            <w:gridSpan w:val="2"/>
            <w:shd w:val="clear" w:color="000000" w:fill="F2F2F2"/>
            <w:noWrap/>
            <w:vAlign w:val="center"/>
          </w:tcPr>
          <w:p w14:paraId="4B29F73C" w14:textId="50D23B9E" w:rsidR="00015492" w:rsidRPr="00255081" w:rsidRDefault="00015492" w:rsidP="000A1B05">
            <w:pPr>
              <w:spacing w:after="120" w:line="240" w:lineRule="auto"/>
              <w:jc w:val="right"/>
              <w:rPr>
                <w:rFonts w:ascii="Montserrat" w:eastAsia="Times New Roman" w:hAnsi="Montserrat" w:cs="Calibri"/>
                <w:color w:val="000000"/>
                <w:sz w:val="15"/>
                <w:szCs w:val="15"/>
                <w:lang w:eastAsia="es-MX"/>
              </w:rPr>
            </w:pPr>
            <w:r w:rsidRPr="00255081">
              <w:rPr>
                <w:rFonts w:ascii="Montserrat" w:eastAsia="Times New Roman" w:hAnsi="Montserrat" w:cs="Calibri"/>
                <w:sz w:val="15"/>
                <w:szCs w:val="15"/>
                <w:lang w:eastAsia="es-MX"/>
              </w:rPr>
              <w:t>875,779,136</w:t>
            </w:r>
          </w:p>
        </w:tc>
      </w:tr>
      <w:tr w:rsidR="00015492" w:rsidRPr="00995308" w14:paraId="03E24B31" w14:textId="77777777" w:rsidTr="000F03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jc w:val="center"/>
        </w:trPr>
        <w:tc>
          <w:tcPr>
            <w:tcW w:w="5583" w:type="dxa"/>
            <w:shd w:val="clear" w:color="000000" w:fill="F2F2F2"/>
            <w:vAlign w:val="center"/>
          </w:tcPr>
          <w:p w14:paraId="71DEB580" w14:textId="2C460167" w:rsidR="00015492" w:rsidRPr="00255081" w:rsidRDefault="00015492" w:rsidP="004B170A">
            <w:pPr>
              <w:spacing w:after="120" w:line="240" w:lineRule="auto"/>
              <w:jc w:val="both"/>
              <w:rPr>
                <w:rFonts w:ascii="Montserrat" w:eastAsia="Times New Roman" w:hAnsi="Montserrat" w:cs="Calibri"/>
                <w:color w:val="000000"/>
                <w:sz w:val="15"/>
                <w:szCs w:val="15"/>
                <w:lang w:eastAsia="es-MX"/>
              </w:rPr>
            </w:pPr>
            <w:r w:rsidRPr="00255081">
              <w:rPr>
                <w:rFonts w:ascii="Montserrat" w:eastAsia="Times New Roman" w:hAnsi="Montserrat" w:cs="Calibri"/>
                <w:sz w:val="15"/>
                <w:szCs w:val="15"/>
                <w:lang w:eastAsia="es-MX"/>
              </w:rPr>
              <w:t>Centro de Investigación Científica de Yucatán, A.C.</w:t>
            </w:r>
          </w:p>
        </w:tc>
        <w:tc>
          <w:tcPr>
            <w:tcW w:w="2463" w:type="dxa"/>
            <w:shd w:val="clear" w:color="000000" w:fill="F2F2F2"/>
            <w:noWrap/>
            <w:vAlign w:val="center"/>
          </w:tcPr>
          <w:p w14:paraId="07E5F1CE" w14:textId="14B0A091" w:rsidR="00015492" w:rsidRPr="00255081" w:rsidRDefault="00015492" w:rsidP="000A1B05">
            <w:pPr>
              <w:spacing w:after="120" w:line="240" w:lineRule="auto"/>
              <w:jc w:val="right"/>
              <w:rPr>
                <w:rFonts w:ascii="Montserrat" w:eastAsia="Times New Roman" w:hAnsi="Montserrat" w:cs="Calibri"/>
                <w:color w:val="000000"/>
                <w:sz w:val="15"/>
                <w:szCs w:val="15"/>
                <w:lang w:eastAsia="es-MX"/>
              </w:rPr>
            </w:pPr>
            <w:r w:rsidRPr="00255081">
              <w:rPr>
                <w:rFonts w:ascii="Montserrat" w:eastAsia="Times New Roman" w:hAnsi="Montserrat" w:cs="Calibri"/>
                <w:sz w:val="15"/>
                <w:szCs w:val="15"/>
                <w:lang w:eastAsia="es-MX"/>
              </w:rPr>
              <w:t>517,864,463</w:t>
            </w:r>
          </w:p>
        </w:tc>
        <w:tc>
          <w:tcPr>
            <w:tcW w:w="1192" w:type="dxa"/>
            <w:shd w:val="clear" w:color="000000" w:fill="F2F2F2"/>
            <w:noWrap/>
            <w:vAlign w:val="center"/>
          </w:tcPr>
          <w:p w14:paraId="1B7A1A85" w14:textId="570C8D7A" w:rsidR="00015492" w:rsidRPr="00255081" w:rsidRDefault="00015492" w:rsidP="000A1B05">
            <w:pPr>
              <w:spacing w:after="120" w:line="240" w:lineRule="auto"/>
              <w:jc w:val="right"/>
              <w:rPr>
                <w:rFonts w:ascii="Montserrat" w:eastAsia="Times New Roman" w:hAnsi="Montserrat" w:cs="Calibri"/>
                <w:color w:val="000000"/>
                <w:sz w:val="15"/>
                <w:szCs w:val="15"/>
                <w:lang w:eastAsia="es-MX"/>
              </w:rPr>
            </w:pPr>
            <w:r w:rsidRPr="00255081">
              <w:rPr>
                <w:rFonts w:ascii="Montserrat" w:eastAsia="Times New Roman" w:hAnsi="Montserrat" w:cs="Calibri"/>
                <w:sz w:val="15"/>
                <w:szCs w:val="15"/>
                <w:lang w:eastAsia="es-MX"/>
              </w:rPr>
              <w:t>100%</w:t>
            </w:r>
          </w:p>
        </w:tc>
        <w:tc>
          <w:tcPr>
            <w:tcW w:w="2558" w:type="dxa"/>
            <w:gridSpan w:val="2"/>
            <w:shd w:val="clear" w:color="000000" w:fill="F2F2F2"/>
            <w:noWrap/>
            <w:vAlign w:val="center"/>
          </w:tcPr>
          <w:p w14:paraId="36581A03" w14:textId="179C6102" w:rsidR="00015492" w:rsidRPr="00255081" w:rsidRDefault="00015492" w:rsidP="000A1B05">
            <w:pPr>
              <w:spacing w:after="120" w:line="240" w:lineRule="auto"/>
              <w:jc w:val="right"/>
              <w:rPr>
                <w:rFonts w:ascii="Montserrat" w:eastAsia="Times New Roman" w:hAnsi="Montserrat" w:cs="Calibri"/>
                <w:color w:val="000000"/>
                <w:sz w:val="15"/>
                <w:szCs w:val="15"/>
                <w:lang w:eastAsia="es-MX"/>
              </w:rPr>
            </w:pPr>
            <w:r w:rsidRPr="00255081">
              <w:rPr>
                <w:rFonts w:ascii="Montserrat" w:eastAsia="Times New Roman" w:hAnsi="Montserrat" w:cs="Calibri"/>
                <w:sz w:val="15"/>
                <w:szCs w:val="15"/>
                <w:lang w:eastAsia="es-MX"/>
              </w:rPr>
              <w:t>517,864,463</w:t>
            </w:r>
          </w:p>
        </w:tc>
      </w:tr>
      <w:tr w:rsidR="00015492" w:rsidRPr="00995308" w14:paraId="371A6A34" w14:textId="77777777" w:rsidTr="000F03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jc w:val="center"/>
        </w:trPr>
        <w:tc>
          <w:tcPr>
            <w:tcW w:w="5583" w:type="dxa"/>
            <w:shd w:val="clear" w:color="000000" w:fill="F2F2F2"/>
            <w:vAlign w:val="center"/>
          </w:tcPr>
          <w:p w14:paraId="1B6B3766" w14:textId="65423B7A" w:rsidR="00015492" w:rsidRPr="00255081" w:rsidRDefault="00015492" w:rsidP="004B170A">
            <w:pPr>
              <w:spacing w:after="120" w:line="240" w:lineRule="auto"/>
              <w:jc w:val="both"/>
              <w:rPr>
                <w:rFonts w:ascii="Montserrat" w:eastAsia="Times New Roman" w:hAnsi="Montserrat" w:cs="Calibri"/>
                <w:color w:val="000000"/>
                <w:sz w:val="15"/>
                <w:szCs w:val="15"/>
                <w:lang w:eastAsia="es-MX"/>
              </w:rPr>
            </w:pPr>
            <w:r w:rsidRPr="00255081">
              <w:rPr>
                <w:rFonts w:ascii="Montserrat" w:eastAsia="Times New Roman" w:hAnsi="Montserrat" w:cs="Calibri"/>
                <w:sz w:val="15"/>
                <w:szCs w:val="15"/>
                <w:lang w:eastAsia="es-MX"/>
              </w:rPr>
              <w:t>Centro de Investigación Científica y de Educación Superior de Ensenada, Baja California</w:t>
            </w:r>
          </w:p>
        </w:tc>
        <w:tc>
          <w:tcPr>
            <w:tcW w:w="2463" w:type="dxa"/>
            <w:shd w:val="clear" w:color="000000" w:fill="F2F2F2"/>
            <w:noWrap/>
            <w:vAlign w:val="center"/>
          </w:tcPr>
          <w:p w14:paraId="7B38F80D" w14:textId="38F0A88A" w:rsidR="00015492" w:rsidRPr="00255081" w:rsidRDefault="00015492" w:rsidP="000A1B05">
            <w:pPr>
              <w:spacing w:after="120" w:line="240" w:lineRule="auto"/>
              <w:jc w:val="right"/>
              <w:rPr>
                <w:rFonts w:ascii="Montserrat" w:eastAsia="Times New Roman" w:hAnsi="Montserrat" w:cs="Calibri"/>
                <w:color w:val="000000"/>
                <w:sz w:val="15"/>
                <w:szCs w:val="15"/>
                <w:lang w:eastAsia="es-MX"/>
              </w:rPr>
            </w:pPr>
            <w:r w:rsidRPr="00255081">
              <w:rPr>
                <w:rFonts w:ascii="Montserrat" w:eastAsia="Times New Roman" w:hAnsi="Montserrat" w:cs="Calibri"/>
                <w:sz w:val="15"/>
                <w:szCs w:val="15"/>
                <w:lang w:eastAsia="es-MX"/>
              </w:rPr>
              <w:t>858,479,165</w:t>
            </w:r>
          </w:p>
        </w:tc>
        <w:tc>
          <w:tcPr>
            <w:tcW w:w="1192" w:type="dxa"/>
            <w:shd w:val="clear" w:color="000000" w:fill="F2F2F2"/>
            <w:noWrap/>
            <w:vAlign w:val="center"/>
          </w:tcPr>
          <w:p w14:paraId="53910D2C" w14:textId="037E7B39" w:rsidR="00015492" w:rsidRPr="00255081" w:rsidRDefault="00015492" w:rsidP="000A1B05">
            <w:pPr>
              <w:spacing w:after="120" w:line="240" w:lineRule="auto"/>
              <w:jc w:val="right"/>
              <w:rPr>
                <w:rFonts w:ascii="Montserrat" w:eastAsia="Times New Roman" w:hAnsi="Montserrat" w:cs="Calibri"/>
                <w:color w:val="000000"/>
                <w:sz w:val="15"/>
                <w:szCs w:val="15"/>
                <w:lang w:eastAsia="es-MX"/>
              </w:rPr>
            </w:pPr>
            <w:r w:rsidRPr="00255081">
              <w:rPr>
                <w:rFonts w:ascii="Montserrat" w:eastAsia="Times New Roman" w:hAnsi="Montserrat" w:cs="Calibri"/>
                <w:sz w:val="15"/>
                <w:szCs w:val="15"/>
                <w:lang w:eastAsia="es-MX"/>
              </w:rPr>
              <w:t>100%</w:t>
            </w:r>
          </w:p>
        </w:tc>
        <w:tc>
          <w:tcPr>
            <w:tcW w:w="2558" w:type="dxa"/>
            <w:gridSpan w:val="2"/>
            <w:shd w:val="clear" w:color="000000" w:fill="F2F2F2"/>
            <w:noWrap/>
            <w:vAlign w:val="center"/>
          </w:tcPr>
          <w:p w14:paraId="7EB333F6" w14:textId="2649D8F4" w:rsidR="00015492" w:rsidRPr="00255081" w:rsidRDefault="00015492" w:rsidP="000A1B05">
            <w:pPr>
              <w:spacing w:after="120" w:line="240" w:lineRule="auto"/>
              <w:jc w:val="right"/>
              <w:rPr>
                <w:rFonts w:ascii="Montserrat" w:eastAsia="Times New Roman" w:hAnsi="Montserrat" w:cs="Calibri"/>
                <w:color w:val="000000"/>
                <w:sz w:val="15"/>
                <w:szCs w:val="15"/>
                <w:lang w:eastAsia="es-MX"/>
              </w:rPr>
            </w:pPr>
            <w:r w:rsidRPr="00255081">
              <w:rPr>
                <w:rFonts w:ascii="Montserrat" w:eastAsia="Times New Roman" w:hAnsi="Montserrat" w:cs="Calibri"/>
                <w:sz w:val="15"/>
                <w:szCs w:val="15"/>
                <w:lang w:eastAsia="es-MX"/>
              </w:rPr>
              <w:t>858,479,165</w:t>
            </w:r>
          </w:p>
        </w:tc>
      </w:tr>
      <w:tr w:rsidR="00015492" w:rsidRPr="00995308" w14:paraId="557E1E54" w14:textId="77777777" w:rsidTr="000F03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0"/>
          <w:jc w:val="center"/>
        </w:trPr>
        <w:tc>
          <w:tcPr>
            <w:tcW w:w="5583" w:type="dxa"/>
            <w:shd w:val="clear" w:color="000000" w:fill="F2F2F2"/>
            <w:vAlign w:val="center"/>
          </w:tcPr>
          <w:p w14:paraId="0B692276" w14:textId="7A14D8A9" w:rsidR="00015492" w:rsidRPr="00255081" w:rsidRDefault="00015492" w:rsidP="004B170A">
            <w:pPr>
              <w:spacing w:after="120" w:line="240" w:lineRule="auto"/>
              <w:jc w:val="both"/>
              <w:rPr>
                <w:rFonts w:ascii="Montserrat" w:eastAsia="Times New Roman" w:hAnsi="Montserrat" w:cs="Calibri"/>
                <w:color w:val="000000"/>
                <w:sz w:val="15"/>
                <w:szCs w:val="15"/>
                <w:lang w:eastAsia="es-MX"/>
              </w:rPr>
            </w:pPr>
            <w:r w:rsidRPr="00255081">
              <w:rPr>
                <w:rFonts w:ascii="Montserrat" w:eastAsia="Times New Roman" w:hAnsi="Montserrat" w:cs="Calibri"/>
                <w:sz w:val="15"/>
                <w:szCs w:val="15"/>
                <w:lang w:eastAsia="es-MX"/>
              </w:rPr>
              <w:t>Centro de Investigación en Alimentación y Desarrollo, A.C.</w:t>
            </w:r>
          </w:p>
        </w:tc>
        <w:tc>
          <w:tcPr>
            <w:tcW w:w="2463" w:type="dxa"/>
            <w:shd w:val="clear" w:color="000000" w:fill="F2F2F2"/>
            <w:noWrap/>
            <w:vAlign w:val="center"/>
          </w:tcPr>
          <w:p w14:paraId="5B5BCCFA" w14:textId="0CC8CB4D" w:rsidR="00015492" w:rsidRPr="00255081" w:rsidRDefault="00015492" w:rsidP="000A1B05">
            <w:pPr>
              <w:spacing w:after="120" w:line="240" w:lineRule="auto"/>
              <w:jc w:val="right"/>
              <w:rPr>
                <w:rFonts w:ascii="Montserrat" w:eastAsia="Times New Roman" w:hAnsi="Montserrat" w:cs="Calibri"/>
                <w:color w:val="000000"/>
                <w:sz w:val="15"/>
                <w:szCs w:val="15"/>
                <w:lang w:eastAsia="es-MX"/>
              </w:rPr>
            </w:pPr>
            <w:r w:rsidRPr="00255081">
              <w:rPr>
                <w:rFonts w:ascii="Montserrat" w:eastAsia="Times New Roman" w:hAnsi="Montserrat" w:cs="Calibri"/>
                <w:sz w:val="15"/>
                <w:szCs w:val="15"/>
                <w:lang w:eastAsia="es-MX"/>
              </w:rPr>
              <w:t>360,184,422</w:t>
            </w:r>
          </w:p>
        </w:tc>
        <w:tc>
          <w:tcPr>
            <w:tcW w:w="1192" w:type="dxa"/>
            <w:shd w:val="clear" w:color="000000" w:fill="F2F2F2"/>
            <w:noWrap/>
            <w:vAlign w:val="center"/>
          </w:tcPr>
          <w:p w14:paraId="6BD370EE" w14:textId="0E2BFED9" w:rsidR="00015492" w:rsidRPr="00255081" w:rsidRDefault="00015492" w:rsidP="000A1B05">
            <w:pPr>
              <w:spacing w:after="120" w:line="240" w:lineRule="auto"/>
              <w:jc w:val="right"/>
              <w:rPr>
                <w:rFonts w:ascii="Montserrat" w:eastAsia="Times New Roman" w:hAnsi="Montserrat" w:cs="Calibri"/>
                <w:color w:val="000000"/>
                <w:sz w:val="15"/>
                <w:szCs w:val="15"/>
                <w:lang w:eastAsia="es-MX"/>
              </w:rPr>
            </w:pPr>
            <w:r w:rsidRPr="00255081">
              <w:rPr>
                <w:rFonts w:ascii="Montserrat" w:eastAsia="Times New Roman" w:hAnsi="Montserrat" w:cs="Calibri"/>
                <w:sz w:val="15"/>
                <w:szCs w:val="15"/>
                <w:lang w:eastAsia="es-MX"/>
              </w:rPr>
              <w:t>100%</w:t>
            </w:r>
          </w:p>
        </w:tc>
        <w:tc>
          <w:tcPr>
            <w:tcW w:w="2558" w:type="dxa"/>
            <w:gridSpan w:val="2"/>
            <w:shd w:val="clear" w:color="000000" w:fill="F2F2F2"/>
            <w:noWrap/>
            <w:vAlign w:val="center"/>
          </w:tcPr>
          <w:p w14:paraId="29A039B2" w14:textId="48DC954F" w:rsidR="00015492" w:rsidRPr="00255081" w:rsidRDefault="00015492" w:rsidP="000A1B05">
            <w:pPr>
              <w:spacing w:after="120" w:line="240" w:lineRule="auto"/>
              <w:jc w:val="right"/>
              <w:rPr>
                <w:rFonts w:ascii="Montserrat" w:eastAsia="Times New Roman" w:hAnsi="Montserrat" w:cs="Calibri"/>
                <w:color w:val="000000"/>
                <w:sz w:val="15"/>
                <w:szCs w:val="15"/>
                <w:lang w:eastAsia="es-MX"/>
              </w:rPr>
            </w:pPr>
            <w:r w:rsidRPr="00255081">
              <w:rPr>
                <w:rFonts w:ascii="Montserrat" w:eastAsia="Times New Roman" w:hAnsi="Montserrat" w:cs="Calibri"/>
                <w:sz w:val="15"/>
                <w:szCs w:val="15"/>
                <w:lang w:eastAsia="es-MX"/>
              </w:rPr>
              <w:t>360,184,422</w:t>
            </w:r>
          </w:p>
        </w:tc>
      </w:tr>
      <w:tr w:rsidR="00015492" w:rsidRPr="00995308" w14:paraId="61C4357F" w14:textId="77777777" w:rsidTr="000F03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0"/>
          <w:jc w:val="center"/>
        </w:trPr>
        <w:tc>
          <w:tcPr>
            <w:tcW w:w="5583" w:type="dxa"/>
            <w:shd w:val="clear" w:color="000000" w:fill="F2F2F2"/>
            <w:vAlign w:val="center"/>
          </w:tcPr>
          <w:p w14:paraId="625E6198" w14:textId="5158E6AB" w:rsidR="00015492" w:rsidRPr="00255081" w:rsidRDefault="00015492" w:rsidP="004B170A">
            <w:pPr>
              <w:spacing w:after="120" w:line="240" w:lineRule="auto"/>
              <w:jc w:val="both"/>
              <w:rPr>
                <w:rFonts w:ascii="Montserrat" w:eastAsia="Times New Roman" w:hAnsi="Montserrat" w:cs="Calibri"/>
                <w:color w:val="000000"/>
                <w:sz w:val="15"/>
                <w:szCs w:val="15"/>
                <w:lang w:eastAsia="es-MX"/>
              </w:rPr>
            </w:pPr>
            <w:r w:rsidRPr="00255081">
              <w:rPr>
                <w:rFonts w:ascii="Montserrat" w:eastAsia="Times New Roman" w:hAnsi="Montserrat" w:cs="Calibri"/>
                <w:sz w:val="15"/>
                <w:szCs w:val="15"/>
                <w:lang w:eastAsia="es-MX"/>
              </w:rPr>
              <w:t>Centro de Investigación en Ciencias  de  Información Geoespacial, A.C.</w:t>
            </w:r>
          </w:p>
        </w:tc>
        <w:tc>
          <w:tcPr>
            <w:tcW w:w="2463" w:type="dxa"/>
            <w:shd w:val="clear" w:color="000000" w:fill="F2F2F2"/>
            <w:noWrap/>
            <w:vAlign w:val="center"/>
          </w:tcPr>
          <w:p w14:paraId="59D2F655" w14:textId="5A960855" w:rsidR="00015492" w:rsidRPr="00255081" w:rsidRDefault="00015492" w:rsidP="000A1B05">
            <w:pPr>
              <w:spacing w:after="120" w:line="240" w:lineRule="auto"/>
              <w:jc w:val="right"/>
              <w:rPr>
                <w:rFonts w:ascii="Montserrat" w:eastAsia="Times New Roman" w:hAnsi="Montserrat" w:cs="Calibri"/>
                <w:color w:val="000000"/>
                <w:sz w:val="15"/>
                <w:szCs w:val="15"/>
                <w:lang w:eastAsia="es-MX"/>
              </w:rPr>
            </w:pPr>
            <w:r w:rsidRPr="00255081">
              <w:rPr>
                <w:rFonts w:ascii="Montserrat" w:eastAsia="Times New Roman" w:hAnsi="Montserrat" w:cs="Calibri"/>
                <w:sz w:val="15"/>
                <w:szCs w:val="15"/>
                <w:lang w:eastAsia="es-MX"/>
              </w:rPr>
              <w:t>37,452,033</w:t>
            </w:r>
          </w:p>
        </w:tc>
        <w:tc>
          <w:tcPr>
            <w:tcW w:w="1192" w:type="dxa"/>
            <w:shd w:val="clear" w:color="000000" w:fill="F2F2F2"/>
            <w:noWrap/>
            <w:vAlign w:val="center"/>
          </w:tcPr>
          <w:p w14:paraId="0D410D39" w14:textId="48CA9964" w:rsidR="00015492" w:rsidRPr="00255081" w:rsidRDefault="00015492" w:rsidP="000A1B05">
            <w:pPr>
              <w:spacing w:after="120" w:line="240" w:lineRule="auto"/>
              <w:jc w:val="right"/>
              <w:rPr>
                <w:rFonts w:ascii="Montserrat" w:eastAsia="Times New Roman" w:hAnsi="Montserrat" w:cs="Calibri"/>
                <w:color w:val="000000"/>
                <w:sz w:val="15"/>
                <w:szCs w:val="15"/>
                <w:lang w:eastAsia="es-MX"/>
              </w:rPr>
            </w:pPr>
            <w:r w:rsidRPr="00255081">
              <w:rPr>
                <w:rFonts w:ascii="Montserrat" w:eastAsia="Times New Roman" w:hAnsi="Montserrat" w:cs="Calibri"/>
                <w:sz w:val="15"/>
                <w:szCs w:val="15"/>
                <w:lang w:eastAsia="es-MX"/>
              </w:rPr>
              <w:t>100%</w:t>
            </w:r>
          </w:p>
        </w:tc>
        <w:tc>
          <w:tcPr>
            <w:tcW w:w="2558" w:type="dxa"/>
            <w:gridSpan w:val="2"/>
            <w:shd w:val="clear" w:color="000000" w:fill="F2F2F2"/>
            <w:noWrap/>
            <w:vAlign w:val="center"/>
          </w:tcPr>
          <w:p w14:paraId="13A4FE3B" w14:textId="1F6B7C7A" w:rsidR="00015492" w:rsidRPr="00255081" w:rsidRDefault="00015492" w:rsidP="000A1B05">
            <w:pPr>
              <w:spacing w:after="120" w:line="240" w:lineRule="auto"/>
              <w:jc w:val="right"/>
              <w:rPr>
                <w:rFonts w:ascii="Montserrat" w:eastAsia="Times New Roman" w:hAnsi="Montserrat" w:cs="Calibri"/>
                <w:color w:val="000000"/>
                <w:sz w:val="15"/>
                <w:szCs w:val="15"/>
                <w:lang w:eastAsia="es-MX"/>
              </w:rPr>
            </w:pPr>
            <w:r w:rsidRPr="00255081">
              <w:rPr>
                <w:rFonts w:ascii="Montserrat" w:eastAsia="Times New Roman" w:hAnsi="Montserrat" w:cs="Calibri"/>
                <w:sz w:val="15"/>
                <w:szCs w:val="15"/>
                <w:lang w:eastAsia="es-MX"/>
              </w:rPr>
              <w:t>37,452,033</w:t>
            </w:r>
          </w:p>
        </w:tc>
      </w:tr>
      <w:tr w:rsidR="00015492" w:rsidRPr="00995308" w14:paraId="0BCD41FB" w14:textId="77777777" w:rsidTr="000F03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0"/>
          <w:jc w:val="center"/>
        </w:trPr>
        <w:tc>
          <w:tcPr>
            <w:tcW w:w="5583" w:type="dxa"/>
            <w:shd w:val="clear" w:color="000000" w:fill="F2F2F2"/>
            <w:vAlign w:val="center"/>
          </w:tcPr>
          <w:p w14:paraId="3F453A94" w14:textId="7993246A" w:rsidR="00015492" w:rsidRPr="00255081" w:rsidRDefault="00015492" w:rsidP="004B170A">
            <w:pPr>
              <w:spacing w:after="120" w:line="240" w:lineRule="auto"/>
              <w:jc w:val="both"/>
              <w:rPr>
                <w:rFonts w:ascii="Montserrat" w:eastAsia="Times New Roman" w:hAnsi="Montserrat" w:cs="Calibri"/>
                <w:color w:val="000000"/>
                <w:sz w:val="15"/>
                <w:szCs w:val="15"/>
                <w:lang w:eastAsia="es-MX"/>
              </w:rPr>
            </w:pPr>
            <w:r w:rsidRPr="00255081">
              <w:rPr>
                <w:rFonts w:ascii="Montserrat" w:eastAsia="Times New Roman" w:hAnsi="Montserrat" w:cs="Calibri"/>
                <w:sz w:val="15"/>
                <w:szCs w:val="15"/>
                <w:lang w:eastAsia="es-MX"/>
              </w:rPr>
              <w:t>Centro de Investigación en Matemáticas, A.C.</w:t>
            </w:r>
          </w:p>
        </w:tc>
        <w:tc>
          <w:tcPr>
            <w:tcW w:w="2463" w:type="dxa"/>
            <w:shd w:val="clear" w:color="000000" w:fill="F2F2F2"/>
            <w:noWrap/>
            <w:vAlign w:val="center"/>
          </w:tcPr>
          <w:p w14:paraId="5DE519C1" w14:textId="1CE8FD62" w:rsidR="00015492" w:rsidRPr="00255081" w:rsidRDefault="00015492" w:rsidP="000A1B05">
            <w:pPr>
              <w:spacing w:after="120" w:line="240" w:lineRule="auto"/>
              <w:jc w:val="right"/>
              <w:rPr>
                <w:rFonts w:ascii="Montserrat" w:eastAsia="Times New Roman" w:hAnsi="Montserrat" w:cs="Calibri"/>
                <w:color w:val="000000"/>
                <w:sz w:val="15"/>
                <w:szCs w:val="15"/>
                <w:lang w:eastAsia="es-MX"/>
              </w:rPr>
            </w:pPr>
            <w:r w:rsidRPr="00255081">
              <w:rPr>
                <w:rFonts w:ascii="Montserrat" w:eastAsia="Times New Roman" w:hAnsi="Montserrat" w:cs="Calibri"/>
                <w:sz w:val="15"/>
                <w:szCs w:val="15"/>
                <w:lang w:eastAsia="es-MX"/>
              </w:rPr>
              <w:t>345,641,671</w:t>
            </w:r>
          </w:p>
        </w:tc>
        <w:tc>
          <w:tcPr>
            <w:tcW w:w="1192" w:type="dxa"/>
            <w:shd w:val="clear" w:color="000000" w:fill="F2F2F2"/>
            <w:noWrap/>
            <w:vAlign w:val="center"/>
          </w:tcPr>
          <w:p w14:paraId="3919E0B9" w14:textId="314D4A48" w:rsidR="00015492" w:rsidRPr="00255081" w:rsidRDefault="00015492" w:rsidP="000A1B05">
            <w:pPr>
              <w:spacing w:after="120" w:line="240" w:lineRule="auto"/>
              <w:jc w:val="right"/>
              <w:rPr>
                <w:rFonts w:ascii="Montserrat" w:eastAsia="Times New Roman" w:hAnsi="Montserrat" w:cs="Calibri"/>
                <w:color w:val="000000"/>
                <w:sz w:val="15"/>
                <w:szCs w:val="15"/>
                <w:lang w:eastAsia="es-MX"/>
              </w:rPr>
            </w:pPr>
            <w:r w:rsidRPr="00255081">
              <w:rPr>
                <w:rFonts w:ascii="Montserrat" w:eastAsia="Times New Roman" w:hAnsi="Montserrat" w:cs="Calibri"/>
                <w:sz w:val="15"/>
                <w:szCs w:val="15"/>
                <w:lang w:eastAsia="es-MX"/>
              </w:rPr>
              <w:t>100%</w:t>
            </w:r>
          </w:p>
        </w:tc>
        <w:tc>
          <w:tcPr>
            <w:tcW w:w="2558" w:type="dxa"/>
            <w:gridSpan w:val="2"/>
            <w:shd w:val="clear" w:color="000000" w:fill="F2F2F2"/>
            <w:noWrap/>
            <w:vAlign w:val="center"/>
          </w:tcPr>
          <w:p w14:paraId="30CEEA5B" w14:textId="7D27700A" w:rsidR="00015492" w:rsidRPr="00255081" w:rsidRDefault="00015492" w:rsidP="000A1B05">
            <w:pPr>
              <w:spacing w:after="120" w:line="240" w:lineRule="auto"/>
              <w:jc w:val="right"/>
              <w:rPr>
                <w:rFonts w:ascii="Montserrat" w:eastAsia="Times New Roman" w:hAnsi="Montserrat" w:cs="Calibri"/>
                <w:color w:val="000000"/>
                <w:sz w:val="15"/>
                <w:szCs w:val="15"/>
                <w:lang w:eastAsia="es-MX"/>
              </w:rPr>
            </w:pPr>
            <w:r w:rsidRPr="00255081">
              <w:rPr>
                <w:rFonts w:ascii="Montserrat" w:eastAsia="Times New Roman" w:hAnsi="Montserrat" w:cs="Calibri"/>
                <w:sz w:val="15"/>
                <w:szCs w:val="15"/>
                <w:lang w:eastAsia="es-MX"/>
              </w:rPr>
              <w:t>345,641,671</w:t>
            </w:r>
          </w:p>
        </w:tc>
      </w:tr>
      <w:tr w:rsidR="00015492" w:rsidRPr="00995308" w14:paraId="265A7E4C" w14:textId="77777777" w:rsidTr="000F03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jc w:val="center"/>
        </w:trPr>
        <w:tc>
          <w:tcPr>
            <w:tcW w:w="5583" w:type="dxa"/>
            <w:shd w:val="clear" w:color="000000" w:fill="F2F2F2"/>
            <w:vAlign w:val="center"/>
          </w:tcPr>
          <w:p w14:paraId="5C690350" w14:textId="6D021F33" w:rsidR="00015492" w:rsidRPr="00255081" w:rsidRDefault="00015492" w:rsidP="004B170A">
            <w:pPr>
              <w:spacing w:after="120" w:line="240" w:lineRule="auto"/>
              <w:jc w:val="both"/>
              <w:rPr>
                <w:rFonts w:ascii="Montserrat" w:eastAsia="Times New Roman" w:hAnsi="Montserrat" w:cs="Calibri"/>
                <w:color w:val="000000"/>
                <w:sz w:val="15"/>
                <w:szCs w:val="15"/>
                <w:lang w:eastAsia="es-MX"/>
              </w:rPr>
            </w:pPr>
            <w:r w:rsidRPr="00255081">
              <w:rPr>
                <w:rFonts w:ascii="Montserrat" w:eastAsia="Times New Roman" w:hAnsi="Montserrat" w:cs="Calibri"/>
                <w:sz w:val="15"/>
                <w:szCs w:val="15"/>
                <w:lang w:eastAsia="es-MX"/>
              </w:rPr>
              <w:t>Centro de Investigación en Materiales Avanzados, S.C.</w:t>
            </w:r>
          </w:p>
        </w:tc>
        <w:tc>
          <w:tcPr>
            <w:tcW w:w="2463" w:type="dxa"/>
            <w:shd w:val="clear" w:color="000000" w:fill="F2F2F2"/>
            <w:noWrap/>
            <w:vAlign w:val="center"/>
          </w:tcPr>
          <w:p w14:paraId="43B0F8B1" w14:textId="0573D334" w:rsidR="00015492" w:rsidRPr="00255081" w:rsidRDefault="00015492" w:rsidP="000A1B05">
            <w:pPr>
              <w:spacing w:after="120" w:line="240" w:lineRule="auto"/>
              <w:jc w:val="right"/>
              <w:rPr>
                <w:rFonts w:ascii="Montserrat" w:eastAsia="Times New Roman" w:hAnsi="Montserrat" w:cs="Calibri"/>
                <w:color w:val="000000"/>
                <w:sz w:val="15"/>
                <w:szCs w:val="15"/>
                <w:lang w:eastAsia="es-MX"/>
              </w:rPr>
            </w:pPr>
            <w:r w:rsidRPr="00255081">
              <w:rPr>
                <w:rFonts w:ascii="Montserrat" w:eastAsia="Times New Roman" w:hAnsi="Montserrat" w:cs="Calibri"/>
                <w:sz w:val="15"/>
                <w:szCs w:val="15"/>
                <w:lang w:eastAsia="es-MX"/>
              </w:rPr>
              <w:t>302,216,266</w:t>
            </w:r>
          </w:p>
        </w:tc>
        <w:tc>
          <w:tcPr>
            <w:tcW w:w="1192" w:type="dxa"/>
            <w:shd w:val="clear" w:color="000000" w:fill="F2F2F2"/>
            <w:noWrap/>
            <w:vAlign w:val="center"/>
          </w:tcPr>
          <w:p w14:paraId="774175F7" w14:textId="477A261E" w:rsidR="00015492" w:rsidRPr="00255081" w:rsidRDefault="00015492" w:rsidP="000A1B05">
            <w:pPr>
              <w:spacing w:after="120" w:line="240" w:lineRule="auto"/>
              <w:jc w:val="right"/>
              <w:rPr>
                <w:rFonts w:ascii="Montserrat" w:eastAsia="Times New Roman" w:hAnsi="Montserrat" w:cs="Calibri"/>
                <w:color w:val="000000"/>
                <w:sz w:val="15"/>
                <w:szCs w:val="15"/>
                <w:lang w:eastAsia="es-MX"/>
              </w:rPr>
            </w:pPr>
            <w:r w:rsidRPr="00255081">
              <w:rPr>
                <w:rFonts w:ascii="Montserrat" w:eastAsia="Times New Roman" w:hAnsi="Montserrat" w:cs="Calibri"/>
                <w:sz w:val="15"/>
                <w:szCs w:val="15"/>
                <w:lang w:eastAsia="es-MX"/>
              </w:rPr>
              <w:t>99.34%</w:t>
            </w:r>
          </w:p>
        </w:tc>
        <w:tc>
          <w:tcPr>
            <w:tcW w:w="2558" w:type="dxa"/>
            <w:gridSpan w:val="2"/>
            <w:shd w:val="clear" w:color="000000" w:fill="F2F2F2"/>
            <w:noWrap/>
            <w:vAlign w:val="center"/>
          </w:tcPr>
          <w:p w14:paraId="25577281" w14:textId="34151787" w:rsidR="00015492" w:rsidRPr="00255081" w:rsidRDefault="00015492" w:rsidP="000A1B05">
            <w:pPr>
              <w:spacing w:after="120" w:line="240" w:lineRule="auto"/>
              <w:jc w:val="right"/>
              <w:rPr>
                <w:rFonts w:ascii="Montserrat" w:eastAsia="Times New Roman" w:hAnsi="Montserrat" w:cs="Calibri"/>
                <w:color w:val="000000"/>
                <w:sz w:val="15"/>
                <w:szCs w:val="15"/>
                <w:lang w:eastAsia="es-MX"/>
              </w:rPr>
            </w:pPr>
            <w:r w:rsidRPr="00255081">
              <w:rPr>
                <w:rFonts w:ascii="Montserrat" w:eastAsia="Times New Roman" w:hAnsi="Montserrat" w:cs="Calibri"/>
                <w:sz w:val="15"/>
                <w:szCs w:val="15"/>
                <w:lang w:eastAsia="es-MX"/>
              </w:rPr>
              <w:t>300,221,639</w:t>
            </w:r>
          </w:p>
        </w:tc>
      </w:tr>
      <w:tr w:rsidR="00015492" w:rsidRPr="00995308" w14:paraId="40FFEBD6" w14:textId="77777777" w:rsidTr="000F03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jc w:val="center"/>
        </w:trPr>
        <w:tc>
          <w:tcPr>
            <w:tcW w:w="5583" w:type="dxa"/>
            <w:shd w:val="clear" w:color="000000" w:fill="F2F2F2"/>
            <w:vAlign w:val="center"/>
          </w:tcPr>
          <w:p w14:paraId="78ABE446" w14:textId="28346C96" w:rsidR="00015492" w:rsidRPr="00255081" w:rsidRDefault="00015492" w:rsidP="004B170A">
            <w:pPr>
              <w:spacing w:after="120" w:line="240" w:lineRule="auto"/>
              <w:jc w:val="both"/>
              <w:rPr>
                <w:rFonts w:ascii="Montserrat" w:eastAsia="Times New Roman" w:hAnsi="Montserrat" w:cs="Calibri"/>
                <w:color w:val="000000"/>
                <w:sz w:val="15"/>
                <w:szCs w:val="15"/>
                <w:lang w:eastAsia="es-MX"/>
              </w:rPr>
            </w:pPr>
            <w:r w:rsidRPr="00255081">
              <w:rPr>
                <w:rFonts w:ascii="Montserrat" w:eastAsia="Times New Roman" w:hAnsi="Montserrat" w:cs="Calibri"/>
                <w:sz w:val="15"/>
                <w:szCs w:val="15"/>
                <w:lang w:eastAsia="es-MX"/>
              </w:rPr>
              <w:t>Centro de Investigación en Química Aplicada</w:t>
            </w:r>
          </w:p>
        </w:tc>
        <w:tc>
          <w:tcPr>
            <w:tcW w:w="2463" w:type="dxa"/>
            <w:shd w:val="clear" w:color="000000" w:fill="F2F2F2"/>
            <w:noWrap/>
            <w:vAlign w:val="center"/>
          </w:tcPr>
          <w:p w14:paraId="75615A3F" w14:textId="7E368876" w:rsidR="00015492" w:rsidRPr="00255081" w:rsidRDefault="00015492" w:rsidP="000A1B05">
            <w:pPr>
              <w:spacing w:after="120" w:line="240" w:lineRule="auto"/>
              <w:jc w:val="right"/>
              <w:rPr>
                <w:rFonts w:ascii="Montserrat" w:eastAsia="Times New Roman" w:hAnsi="Montserrat" w:cs="Calibri"/>
                <w:color w:val="000000"/>
                <w:sz w:val="15"/>
                <w:szCs w:val="15"/>
                <w:lang w:eastAsia="es-MX"/>
              </w:rPr>
            </w:pPr>
            <w:r w:rsidRPr="00255081">
              <w:rPr>
                <w:rFonts w:ascii="Montserrat" w:eastAsia="Times New Roman" w:hAnsi="Montserrat" w:cs="Calibri"/>
                <w:sz w:val="15"/>
                <w:szCs w:val="15"/>
                <w:lang w:eastAsia="es-MX"/>
              </w:rPr>
              <w:t>391,026,181</w:t>
            </w:r>
          </w:p>
        </w:tc>
        <w:tc>
          <w:tcPr>
            <w:tcW w:w="1192" w:type="dxa"/>
            <w:shd w:val="clear" w:color="000000" w:fill="F2F2F2"/>
            <w:noWrap/>
            <w:vAlign w:val="center"/>
          </w:tcPr>
          <w:p w14:paraId="32D016CD" w14:textId="0D1E0C22" w:rsidR="00015492" w:rsidRPr="00255081" w:rsidRDefault="00015492" w:rsidP="000A1B05">
            <w:pPr>
              <w:spacing w:after="120" w:line="240" w:lineRule="auto"/>
              <w:jc w:val="right"/>
              <w:rPr>
                <w:rFonts w:ascii="Montserrat" w:eastAsia="Times New Roman" w:hAnsi="Montserrat" w:cs="Calibri"/>
                <w:color w:val="000000"/>
                <w:sz w:val="15"/>
                <w:szCs w:val="15"/>
                <w:lang w:eastAsia="es-MX"/>
              </w:rPr>
            </w:pPr>
            <w:r w:rsidRPr="00255081">
              <w:rPr>
                <w:rFonts w:ascii="Montserrat" w:eastAsia="Times New Roman" w:hAnsi="Montserrat" w:cs="Calibri"/>
                <w:sz w:val="15"/>
                <w:szCs w:val="15"/>
                <w:lang w:eastAsia="es-MX"/>
              </w:rPr>
              <w:t>100%</w:t>
            </w:r>
          </w:p>
        </w:tc>
        <w:tc>
          <w:tcPr>
            <w:tcW w:w="2558" w:type="dxa"/>
            <w:gridSpan w:val="2"/>
            <w:shd w:val="clear" w:color="000000" w:fill="F2F2F2"/>
            <w:noWrap/>
            <w:vAlign w:val="center"/>
          </w:tcPr>
          <w:p w14:paraId="7407904F" w14:textId="54C4322B" w:rsidR="00015492" w:rsidRPr="00255081" w:rsidRDefault="00015492" w:rsidP="000A1B05">
            <w:pPr>
              <w:spacing w:after="120" w:line="240" w:lineRule="auto"/>
              <w:jc w:val="right"/>
              <w:rPr>
                <w:rFonts w:ascii="Montserrat" w:eastAsia="Times New Roman" w:hAnsi="Montserrat" w:cs="Calibri"/>
                <w:color w:val="000000"/>
                <w:sz w:val="15"/>
                <w:szCs w:val="15"/>
                <w:lang w:eastAsia="es-MX"/>
              </w:rPr>
            </w:pPr>
            <w:r w:rsidRPr="00255081">
              <w:rPr>
                <w:rFonts w:ascii="Montserrat" w:eastAsia="Times New Roman" w:hAnsi="Montserrat" w:cs="Calibri"/>
                <w:sz w:val="15"/>
                <w:szCs w:val="15"/>
                <w:lang w:eastAsia="es-MX"/>
              </w:rPr>
              <w:t>391,026,181</w:t>
            </w:r>
          </w:p>
        </w:tc>
      </w:tr>
      <w:tr w:rsidR="00015492" w:rsidRPr="00995308" w14:paraId="1A898733" w14:textId="77777777" w:rsidTr="000F03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jc w:val="center"/>
        </w:trPr>
        <w:tc>
          <w:tcPr>
            <w:tcW w:w="5583" w:type="dxa"/>
            <w:shd w:val="clear" w:color="000000" w:fill="F2F2F2"/>
            <w:vAlign w:val="center"/>
          </w:tcPr>
          <w:p w14:paraId="35074CE8" w14:textId="05C56FD8" w:rsidR="00015492" w:rsidRPr="00255081" w:rsidRDefault="00015492" w:rsidP="004B170A">
            <w:pPr>
              <w:spacing w:after="120" w:line="240" w:lineRule="auto"/>
              <w:jc w:val="both"/>
              <w:rPr>
                <w:rFonts w:ascii="Montserrat" w:eastAsia="Times New Roman" w:hAnsi="Montserrat" w:cs="Calibri"/>
                <w:color w:val="000000"/>
                <w:sz w:val="15"/>
                <w:szCs w:val="15"/>
                <w:lang w:eastAsia="es-MX"/>
              </w:rPr>
            </w:pPr>
            <w:r w:rsidRPr="00255081">
              <w:rPr>
                <w:rFonts w:ascii="Montserrat" w:eastAsia="Times New Roman" w:hAnsi="Montserrat" w:cs="Calibri"/>
                <w:sz w:val="15"/>
                <w:szCs w:val="15"/>
                <w:lang w:eastAsia="es-MX"/>
              </w:rPr>
              <w:t>Centro de Investigación y Asistencia en Tecnología y Diseño del Estado de Jalisco, A.C.</w:t>
            </w:r>
          </w:p>
        </w:tc>
        <w:tc>
          <w:tcPr>
            <w:tcW w:w="2463" w:type="dxa"/>
            <w:shd w:val="clear" w:color="000000" w:fill="F2F2F2"/>
            <w:noWrap/>
            <w:vAlign w:val="center"/>
          </w:tcPr>
          <w:p w14:paraId="741E23CA" w14:textId="02606B3E" w:rsidR="00015492" w:rsidRPr="00255081" w:rsidRDefault="00015492" w:rsidP="000A1B05">
            <w:pPr>
              <w:spacing w:after="120" w:line="240" w:lineRule="auto"/>
              <w:jc w:val="right"/>
              <w:rPr>
                <w:rFonts w:ascii="Montserrat" w:eastAsia="Times New Roman" w:hAnsi="Montserrat" w:cs="Calibri"/>
                <w:color w:val="000000"/>
                <w:sz w:val="15"/>
                <w:szCs w:val="15"/>
                <w:lang w:eastAsia="es-MX"/>
              </w:rPr>
            </w:pPr>
            <w:r w:rsidRPr="00255081">
              <w:rPr>
                <w:rFonts w:ascii="Montserrat" w:eastAsia="Times New Roman" w:hAnsi="Montserrat" w:cs="Calibri"/>
                <w:sz w:val="15"/>
                <w:szCs w:val="15"/>
                <w:lang w:eastAsia="es-MX"/>
              </w:rPr>
              <w:t>257,357,348</w:t>
            </w:r>
          </w:p>
        </w:tc>
        <w:tc>
          <w:tcPr>
            <w:tcW w:w="1192" w:type="dxa"/>
            <w:shd w:val="clear" w:color="000000" w:fill="F2F2F2"/>
            <w:noWrap/>
            <w:vAlign w:val="center"/>
          </w:tcPr>
          <w:p w14:paraId="434FEF79" w14:textId="47FEDEB9" w:rsidR="00015492" w:rsidRPr="00255081" w:rsidRDefault="00015492" w:rsidP="000A1B05">
            <w:pPr>
              <w:spacing w:after="120" w:line="240" w:lineRule="auto"/>
              <w:jc w:val="right"/>
              <w:rPr>
                <w:rFonts w:ascii="Montserrat" w:eastAsia="Times New Roman" w:hAnsi="Montserrat" w:cs="Calibri"/>
                <w:color w:val="000000"/>
                <w:sz w:val="15"/>
                <w:szCs w:val="15"/>
                <w:lang w:eastAsia="es-MX"/>
              </w:rPr>
            </w:pPr>
            <w:r w:rsidRPr="00255081">
              <w:rPr>
                <w:rFonts w:ascii="Montserrat" w:eastAsia="Times New Roman" w:hAnsi="Montserrat" w:cs="Calibri"/>
                <w:sz w:val="15"/>
                <w:szCs w:val="15"/>
                <w:lang w:eastAsia="es-MX"/>
              </w:rPr>
              <w:t>100%</w:t>
            </w:r>
          </w:p>
        </w:tc>
        <w:tc>
          <w:tcPr>
            <w:tcW w:w="2558" w:type="dxa"/>
            <w:gridSpan w:val="2"/>
            <w:shd w:val="clear" w:color="000000" w:fill="F2F2F2"/>
            <w:noWrap/>
            <w:vAlign w:val="center"/>
          </w:tcPr>
          <w:p w14:paraId="6CA2CECB" w14:textId="17B337B4" w:rsidR="00015492" w:rsidRPr="00255081" w:rsidRDefault="00015492" w:rsidP="000A1B05">
            <w:pPr>
              <w:spacing w:after="120" w:line="240" w:lineRule="auto"/>
              <w:jc w:val="right"/>
              <w:rPr>
                <w:rFonts w:ascii="Montserrat" w:eastAsia="Times New Roman" w:hAnsi="Montserrat" w:cs="Calibri"/>
                <w:color w:val="000000"/>
                <w:sz w:val="15"/>
                <w:szCs w:val="15"/>
                <w:lang w:eastAsia="es-MX"/>
              </w:rPr>
            </w:pPr>
            <w:r w:rsidRPr="00255081">
              <w:rPr>
                <w:rFonts w:ascii="Montserrat" w:eastAsia="Times New Roman" w:hAnsi="Montserrat" w:cs="Calibri"/>
                <w:sz w:val="15"/>
                <w:szCs w:val="15"/>
                <w:lang w:eastAsia="es-MX"/>
              </w:rPr>
              <w:t>257,357,348</w:t>
            </w:r>
          </w:p>
        </w:tc>
      </w:tr>
      <w:tr w:rsidR="00015492" w:rsidRPr="00995308" w14:paraId="2E007308" w14:textId="77777777" w:rsidTr="000F03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jc w:val="center"/>
        </w:trPr>
        <w:tc>
          <w:tcPr>
            <w:tcW w:w="5583" w:type="dxa"/>
            <w:shd w:val="clear" w:color="000000" w:fill="F2F2F2"/>
            <w:vAlign w:val="center"/>
          </w:tcPr>
          <w:p w14:paraId="61D428D1" w14:textId="77777777" w:rsidR="0065225C" w:rsidRDefault="0065225C" w:rsidP="004B170A">
            <w:pPr>
              <w:spacing w:after="120" w:line="240" w:lineRule="auto"/>
              <w:jc w:val="both"/>
              <w:rPr>
                <w:rFonts w:ascii="Montserrat" w:eastAsia="Times New Roman" w:hAnsi="Montserrat" w:cs="Calibri"/>
                <w:sz w:val="15"/>
                <w:szCs w:val="15"/>
                <w:lang w:eastAsia="es-MX"/>
              </w:rPr>
            </w:pPr>
          </w:p>
          <w:p w14:paraId="29146554" w14:textId="516CAC5C" w:rsidR="00015492" w:rsidRPr="00255081" w:rsidRDefault="00015492" w:rsidP="004B170A">
            <w:pPr>
              <w:spacing w:after="120" w:line="240" w:lineRule="auto"/>
              <w:jc w:val="both"/>
              <w:rPr>
                <w:rFonts w:ascii="Montserrat" w:eastAsia="Times New Roman" w:hAnsi="Montserrat" w:cs="Calibri"/>
                <w:color w:val="000000"/>
                <w:sz w:val="15"/>
                <w:szCs w:val="15"/>
                <w:lang w:eastAsia="es-MX"/>
              </w:rPr>
            </w:pPr>
            <w:r w:rsidRPr="00255081">
              <w:rPr>
                <w:rFonts w:ascii="Montserrat" w:eastAsia="Times New Roman" w:hAnsi="Montserrat" w:cs="Calibri"/>
                <w:sz w:val="15"/>
                <w:szCs w:val="15"/>
                <w:lang w:eastAsia="es-MX"/>
              </w:rPr>
              <w:t>Centro de Investigación y Desarrollo Tecnológico en Electroquímica, S.C.</w:t>
            </w:r>
          </w:p>
        </w:tc>
        <w:tc>
          <w:tcPr>
            <w:tcW w:w="2463" w:type="dxa"/>
            <w:shd w:val="clear" w:color="000000" w:fill="F2F2F2"/>
            <w:noWrap/>
            <w:vAlign w:val="center"/>
          </w:tcPr>
          <w:p w14:paraId="232EC992" w14:textId="77777777" w:rsidR="0065225C" w:rsidRDefault="0065225C" w:rsidP="000A1B05">
            <w:pPr>
              <w:spacing w:after="120" w:line="240" w:lineRule="auto"/>
              <w:jc w:val="right"/>
              <w:rPr>
                <w:rFonts w:ascii="Montserrat" w:eastAsia="Times New Roman" w:hAnsi="Montserrat" w:cs="Calibri"/>
                <w:sz w:val="15"/>
                <w:szCs w:val="15"/>
                <w:lang w:eastAsia="es-MX"/>
              </w:rPr>
            </w:pPr>
          </w:p>
          <w:p w14:paraId="0E800B08" w14:textId="511D398F" w:rsidR="00015492" w:rsidRPr="00255081" w:rsidRDefault="00015492" w:rsidP="000A1B05">
            <w:pPr>
              <w:spacing w:after="120" w:line="240" w:lineRule="auto"/>
              <w:jc w:val="right"/>
              <w:rPr>
                <w:rFonts w:ascii="Montserrat" w:eastAsia="Times New Roman" w:hAnsi="Montserrat" w:cs="Calibri"/>
                <w:color w:val="000000"/>
                <w:sz w:val="15"/>
                <w:szCs w:val="15"/>
                <w:lang w:eastAsia="es-MX"/>
              </w:rPr>
            </w:pPr>
            <w:r w:rsidRPr="00255081">
              <w:rPr>
                <w:rFonts w:ascii="Montserrat" w:eastAsia="Times New Roman" w:hAnsi="Montserrat" w:cs="Calibri"/>
                <w:sz w:val="15"/>
                <w:szCs w:val="15"/>
                <w:lang w:eastAsia="es-MX"/>
              </w:rPr>
              <w:t>226,280,423</w:t>
            </w:r>
          </w:p>
        </w:tc>
        <w:tc>
          <w:tcPr>
            <w:tcW w:w="1192" w:type="dxa"/>
            <w:shd w:val="clear" w:color="000000" w:fill="F2F2F2"/>
            <w:noWrap/>
            <w:vAlign w:val="center"/>
          </w:tcPr>
          <w:p w14:paraId="54F7B23D" w14:textId="77777777" w:rsidR="0065225C" w:rsidRDefault="0065225C" w:rsidP="000A1B05">
            <w:pPr>
              <w:spacing w:after="120" w:line="240" w:lineRule="auto"/>
              <w:jc w:val="right"/>
              <w:rPr>
                <w:rFonts w:ascii="Montserrat" w:eastAsia="Times New Roman" w:hAnsi="Montserrat" w:cs="Calibri"/>
                <w:sz w:val="15"/>
                <w:szCs w:val="15"/>
                <w:lang w:eastAsia="es-MX"/>
              </w:rPr>
            </w:pPr>
          </w:p>
          <w:p w14:paraId="6133D845" w14:textId="6936119E" w:rsidR="00015492" w:rsidRPr="00255081" w:rsidRDefault="00015492" w:rsidP="000A1B05">
            <w:pPr>
              <w:spacing w:after="120" w:line="240" w:lineRule="auto"/>
              <w:jc w:val="right"/>
              <w:rPr>
                <w:rFonts w:ascii="Montserrat" w:eastAsia="Times New Roman" w:hAnsi="Montserrat" w:cs="Calibri"/>
                <w:color w:val="000000"/>
                <w:sz w:val="15"/>
                <w:szCs w:val="15"/>
                <w:lang w:eastAsia="es-MX"/>
              </w:rPr>
            </w:pPr>
            <w:r w:rsidRPr="00255081">
              <w:rPr>
                <w:rFonts w:ascii="Montserrat" w:eastAsia="Times New Roman" w:hAnsi="Montserrat" w:cs="Calibri"/>
                <w:sz w:val="15"/>
                <w:szCs w:val="15"/>
                <w:lang w:eastAsia="es-MX"/>
              </w:rPr>
              <w:t>100%</w:t>
            </w:r>
          </w:p>
        </w:tc>
        <w:tc>
          <w:tcPr>
            <w:tcW w:w="2558" w:type="dxa"/>
            <w:gridSpan w:val="2"/>
            <w:shd w:val="clear" w:color="000000" w:fill="F2F2F2"/>
            <w:noWrap/>
            <w:vAlign w:val="center"/>
          </w:tcPr>
          <w:p w14:paraId="3D7DC3F3" w14:textId="77777777" w:rsidR="0065225C" w:rsidRDefault="0065225C" w:rsidP="000A1B05">
            <w:pPr>
              <w:spacing w:after="120" w:line="240" w:lineRule="auto"/>
              <w:jc w:val="right"/>
              <w:rPr>
                <w:rFonts w:ascii="Montserrat" w:eastAsia="Times New Roman" w:hAnsi="Montserrat" w:cs="Calibri"/>
                <w:sz w:val="15"/>
                <w:szCs w:val="15"/>
                <w:lang w:eastAsia="es-MX"/>
              </w:rPr>
            </w:pPr>
          </w:p>
          <w:p w14:paraId="1CFCA8E8" w14:textId="5A4EBF1A" w:rsidR="00015492" w:rsidRPr="00255081" w:rsidRDefault="00015492" w:rsidP="000A1B05">
            <w:pPr>
              <w:spacing w:after="120" w:line="240" w:lineRule="auto"/>
              <w:jc w:val="right"/>
              <w:rPr>
                <w:rFonts w:ascii="Montserrat" w:eastAsia="Times New Roman" w:hAnsi="Montserrat" w:cs="Calibri"/>
                <w:color w:val="000000"/>
                <w:sz w:val="15"/>
                <w:szCs w:val="15"/>
                <w:lang w:eastAsia="es-MX"/>
              </w:rPr>
            </w:pPr>
            <w:r w:rsidRPr="00255081">
              <w:rPr>
                <w:rFonts w:ascii="Montserrat" w:eastAsia="Times New Roman" w:hAnsi="Montserrat" w:cs="Calibri"/>
                <w:sz w:val="15"/>
                <w:szCs w:val="15"/>
                <w:lang w:eastAsia="es-MX"/>
              </w:rPr>
              <w:t>226,280,423</w:t>
            </w:r>
          </w:p>
        </w:tc>
      </w:tr>
      <w:tr w:rsidR="00015492" w:rsidRPr="00995308" w14:paraId="281F9E34" w14:textId="77777777" w:rsidTr="000F03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jc w:val="center"/>
        </w:trPr>
        <w:tc>
          <w:tcPr>
            <w:tcW w:w="5583" w:type="dxa"/>
            <w:shd w:val="clear" w:color="000000" w:fill="F2F2F2"/>
            <w:vAlign w:val="center"/>
          </w:tcPr>
          <w:p w14:paraId="6249C821" w14:textId="1A062715" w:rsidR="00015492" w:rsidRPr="00255081" w:rsidRDefault="00015492" w:rsidP="004B170A">
            <w:pPr>
              <w:spacing w:after="120" w:line="240" w:lineRule="auto"/>
              <w:jc w:val="both"/>
              <w:rPr>
                <w:rFonts w:ascii="Montserrat" w:eastAsia="Times New Roman" w:hAnsi="Montserrat" w:cs="Calibri"/>
                <w:color w:val="000000"/>
                <w:sz w:val="15"/>
                <w:szCs w:val="15"/>
                <w:lang w:eastAsia="es-MX"/>
              </w:rPr>
            </w:pPr>
            <w:r w:rsidRPr="00255081">
              <w:rPr>
                <w:rFonts w:ascii="Montserrat" w:eastAsia="Times New Roman" w:hAnsi="Montserrat" w:cs="Calibri"/>
                <w:sz w:val="15"/>
                <w:szCs w:val="15"/>
                <w:lang w:eastAsia="es-MX"/>
              </w:rPr>
              <w:t>Centro de Investigación y Docencia Económicas, A.C.</w:t>
            </w:r>
          </w:p>
        </w:tc>
        <w:tc>
          <w:tcPr>
            <w:tcW w:w="2463" w:type="dxa"/>
            <w:shd w:val="clear" w:color="000000" w:fill="F2F2F2"/>
            <w:noWrap/>
            <w:vAlign w:val="center"/>
          </w:tcPr>
          <w:p w14:paraId="438F8C1B" w14:textId="5F06D631" w:rsidR="00015492" w:rsidRPr="00255081" w:rsidRDefault="00015492" w:rsidP="000A1B05">
            <w:pPr>
              <w:spacing w:after="120" w:line="240" w:lineRule="auto"/>
              <w:jc w:val="right"/>
              <w:rPr>
                <w:rFonts w:ascii="Montserrat" w:eastAsia="Times New Roman" w:hAnsi="Montserrat" w:cs="Calibri"/>
                <w:color w:val="000000"/>
                <w:sz w:val="15"/>
                <w:szCs w:val="15"/>
                <w:lang w:eastAsia="es-MX"/>
              </w:rPr>
            </w:pPr>
            <w:r w:rsidRPr="00255081">
              <w:rPr>
                <w:rFonts w:ascii="Montserrat" w:eastAsia="Times New Roman" w:hAnsi="Montserrat" w:cs="Calibri"/>
                <w:sz w:val="15"/>
                <w:szCs w:val="15"/>
                <w:lang w:eastAsia="es-MX"/>
              </w:rPr>
              <w:t>762,107,377</w:t>
            </w:r>
          </w:p>
        </w:tc>
        <w:tc>
          <w:tcPr>
            <w:tcW w:w="1192" w:type="dxa"/>
            <w:shd w:val="clear" w:color="000000" w:fill="F2F2F2"/>
            <w:noWrap/>
            <w:vAlign w:val="center"/>
          </w:tcPr>
          <w:p w14:paraId="74FEB3C8" w14:textId="2453FC14" w:rsidR="00015492" w:rsidRPr="00255081" w:rsidRDefault="00015492" w:rsidP="000A1B05">
            <w:pPr>
              <w:spacing w:after="120" w:line="240" w:lineRule="auto"/>
              <w:jc w:val="right"/>
              <w:rPr>
                <w:rFonts w:ascii="Montserrat" w:eastAsia="Times New Roman" w:hAnsi="Montserrat" w:cs="Calibri"/>
                <w:color w:val="000000"/>
                <w:sz w:val="15"/>
                <w:szCs w:val="15"/>
                <w:lang w:eastAsia="es-MX"/>
              </w:rPr>
            </w:pPr>
            <w:r w:rsidRPr="00255081">
              <w:rPr>
                <w:rFonts w:ascii="Montserrat" w:eastAsia="Times New Roman" w:hAnsi="Montserrat" w:cs="Calibri"/>
                <w:sz w:val="15"/>
                <w:szCs w:val="15"/>
                <w:lang w:eastAsia="es-MX"/>
              </w:rPr>
              <w:t>100%</w:t>
            </w:r>
          </w:p>
        </w:tc>
        <w:tc>
          <w:tcPr>
            <w:tcW w:w="2558" w:type="dxa"/>
            <w:gridSpan w:val="2"/>
            <w:shd w:val="clear" w:color="000000" w:fill="F2F2F2"/>
            <w:noWrap/>
            <w:vAlign w:val="center"/>
          </w:tcPr>
          <w:p w14:paraId="6A4406E6" w14:textId="44FA62C8" w:rsidR="00015492" w:rsidRPr="00255081" w:rsidRDefault="00015492" w:rsidP="000A1B05">
            <w:pPr>
              <w:spacing w:after="120" w:line="240" w:lineRule="auto"/>
              <w:jc w:val="right"/>
              <w:rPr>
                <w:rFonts w:ascii="Montserrat" w:eastAsia="Times New Roman" w:hAnsi="Montserrat" w:cs="Calibri"/>
                <w:color w:val="000000"/>
                <w:sz w:val="15"/>
                <w:szCs w:val="15"/>
                <w:lang w:eastAsia="es-MX"/>
              </w:rPr>
            </w:pPr>
            <w:r w:rsidRPr="00255081">
              <w:rPr>
                <w:rFonts w:ascii="Montserrat" w:eastAsia="Times New Roman" w:hAnsi="Montserrat" w:cs="Calibri"/>
                <w:sz w:val="15"/>
                <w:szCs w:val="15"/>
                <w:lang w:eastAsia="es-MX"/>
              </w:rPr>
              <w:t>762,107,377</w:t>
            </w:r>
          </w:p>
        </w:tc>
      </w:tr>
      <w:tr w:rsidR="00015492" w:rsidRPr="00995308" w14:paraId="77585BB3" w14:textId="77777777" w:rsidTr="000F03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0"/>
          <w:jc w:val="center"/>
        </w:trPr>
        <w:tc>
          <w:tcPr>
            <w:tcW w:w="5583" w:type="dxa"/>
            <w:shd w:val="clear" w:color="000000" w:fill="F2F2F2"/>
            <w:vAlign w:val="center"/>
          </w:tcPr>
          <w:p w14:paraId="6004F7D9" w14:textId="54AC727D" w:rsidR="00015492" w:rsidRPr="00255081" w:rsidRDefault="00015492" w:rsidP="004B170A">
            <w:pPr>
              <w:spacing w:after="120" w:line="240" w:lineRule="auto"/>
              <w:jc w:val="both"/>
              <w:rPr>
                <w:rFonts w:ascii="Montserrat" w:eastAsia="Times New Roman" w:hAnsi="Montserrat" w:cs="Calibri"/>
                <w:color w:val="000000"/>
                <w:sz w:val="15"/>
                <w:szCs w:val="15"/>
                <w:lang w:eastAsia="es-MX"/>
              </w:rPr>
            </w:pPr>
            <w:r w:rsidRPr="00255081">
              <w:rPr>
                <w:rFonts w:ascii="Montserrat" w:eastAsia="Times New Roman" w:hAnsi="Montserrat" w:cs="Calibri"/>
                <w:sz w:val="15"/>
                <w:szCs w:val="15"/>
                <w:lang w:eastAsia="es-MX"/>
              </w:rPr>
              <w:t>Centro de Investigaciones Biológicas del Noroeste, S.C.</w:t>
            </w:r>
          </w:p>
        </w:tc>
        <w:tc>
          <w:tcPr>
            <w:tcW w:w="2463" w:type="dxa"/>
            <w:shd w:val="clear" w:color="000000" w:fill="F2F2F2"/>
            <w:noWrap/>
            <w:vAlign w:val="center"/>
          </w:tcPr>
          <w:p w14:paraId="39A51A32" w14:textId="76B10B76" w:rsidR="00015492" w:rsidRPr="00255081" w:rsidRDefault="00015492" w:rsidP="000A1B05">
            <w:pPr>
              <w:spacing w:after="120" w:line="240" w:lineRule="auto"/>
              <w:jc w:val="right"/>
              <w:rPr>
                <w:rFonts w:ascii="Montserrat" w:eastAsia="Times New Roman" w:hAnsi="Montserrat" w:cs="Calibri"/>
                <w:color w:val="000000"/>
                <w:sz w:val="15"/>
                <w:szCs w:val="15"/>
                <w:lang w:eastAsia="es-MX"/>
              </w:rPr>
            </w:pPr>
            <w:r w:rsidRPr="00255081">
              <w:rPr>
                <w:rFonts w:ascii="Montserrat" w:eastAsia="Times New Roman" w:hAnsi="Montserrat" w:cs="Calibri"/>
                <w:sz w:val="15"/>
                <w:szCs w:val="15"/>
                <w:lang w:eastAsia="es-MX"/>
              </w:rPr>
              <w:t>120,436,411</w:t>
            </w:r>
          </w:p>
        </w:tc>
        <w:tc>
          <w:tcPr>
            <w:tcW w:w="1192" w:type="dxa"/>
            <w:shd w:val="clear" w:color="000000" w:fill="F2F2F2"/>
            <w:noWrap/>
            <w:vAlign w:val="center"/>
          </w:tcPr>
          <w:p w14:paraId="0DEACC41" w14:textId="011196D9" w:rsidR="00015492" w:rsidRPr="00255081" w:rsidRDefault="00015492" w:rsidP="000A1B05">
            <w:pPr>
              <w:spacing w:after="120" w:line="240" w:lineRule="auto"/>
              <w:jc w:val="right"/>
              <w:rPr>
                <w:rFonts w:ascii="Montserrat" w:eastAsia="Times New Roman" w:hAnsi="Montserrat" w:cs="Calibri"/>
                <w:color w:val="000000"/>
                <w:sz w:val="15"/>
                <w:szCs w:val="15"/>
                <w:lang w:eastAsia="es-MX"/>
              </w:rPr>
            </w:pPr>
            <w:r w:rsidRPr="00255081">
              <w:rPr>
                <w:rFonts w:ascii="Montserrat" w:eastAsia="Times New Roman" w:hAnsi="Montserrat" w:cs="Calibri"/>
                <w:sz w:val="15"/>
                <w:szCs w:val="15"/>
                <w:lang w:eastAsia="es-MX"/>
              </w:rPr>
              <w:t>100%</w:t>
            </w:r>
          </w:p>
        </w:tc>
        <w:tc>
          <w:tcPr>
            <w:tcW w:w="2558" w:type="dxa"/>
            <w:gridSpan w:val="2"/>
            <w:shd w:val="clear" w:color="000000" w:fill="F2F2F2"/>
            <w:noWrap/>
            <w:vAlign w:val="center"/>
          </w:tcPr>
          <w:p w14:paraId="03AA9629" w14:textId="1AD4A261" w:rsidR="00015492" w:rsidRPr="00255081" w:rsidRDefault="00015492" w:rsidP="000A1B05">
            <w:pPr>
              <w:spacing w:after="120" w:line="240" w:lineRule="auto"/>
              <w:jc w:val="right"/>
              <w:rPr>
                <w:rFonts w:ascii="Montserrat" w:eastAsia="Times New Roman" w:hAnsi="Montserrat" w:cs="Calibri"/>
                <w:color w:val="000000"/>
                <w:sz w:val="15"/>
                <w:szCs w:val="15"/>
                <w:lang w:eastAsia="es-MX"/>
              </w:rPr>
            </w:pPr>
            <w:r w:rsidRPr="00255081">
              <w:rPr>
                <w:rFonts w:ascii="Montserrat" w:eastAsia="Times New Roman" w:hAnsi="Montserrat" w:cs="Calibri"/>
                <w:sz w:val="15"/>
                <w:szCs w:val="15"/>
                <w:lang w:eastAsia="es-MX"/>
              </w:rPr>
              <w:t>119,918,534</w:t>
            </w:r>
          </w:p>
        </w:tc>
      </w:tr>
      <w:tr w:rsidR="00015492" w:rsidRPr="00995308" w14:paraId="03E43CAC" w14:textId="77777777" w:rsidTr="000F03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jc w:val="center"/>
        </w:trPr>
        <w:tc>
          <w:tcPr>
            <w:tcW w:w="5583" w:type="dxa"/>
            <w:shd w:val="clear" w:color="000000" w:fill="F2F2F2"/>
            <w:vAlign w:val="center"/>
          </w:tcPr>
          <w:p w14:paraId="13C2DD96" w14:textId="6A6628C5" w:rsidR="00015492" w:rsidRPr="00255081" w:rsidRDefault="00015492" w:rsidP="004B170A">
            <w:pPr>
              <w:spacing w:after="120" w:line="240" w:lineRule="auto"/>
              <w:jc w:val="both"/>
              <w:rPr>
                <w:rFonts w:ascii="Montserrat" w:eastAsia="Times New Roman" w:hAnsi="Montserrat" w:cs="Calibri"/>
                <w:color w:val="000000"/>
                <w:sz w:val="15"/>
                <w:szCs w:val="15"/>
                <w:lang w:eastAsia="es-MX"/>
              </w:rPr>
            </w:pPr>
            <w:r w:rsidRPr="00255081">
              <w:rPr>
                <w:rFonts w:ascii="Montserrat" w:eastAsia="Times New Roman" w:hAnsi="Montserrat" w:cs="Calibri"/>
                <w:sz w:val="15"/>
                <w:szCs w:val="15"/>
                <w:lang w:eastAsia="es-MX"/>
              </w:rPr>
              <w:t>Centro de Investigaciones en Óptica, A.C.</w:t>
            </w:r>
          </w:p>
        </w:tc>
        <w:tc>
          <w:tcPr>
            <w:tcW w:w="2463" w:type="dxa"/>
            <w:shd w:val="clear" w:color="000000" w:fill="F2F2F2"/>
            <w:noWrap/>
            <w:vAlign w:val="center"/>
          </w:tcPr>
          <w:p w14:paraId="35BB8B33" w14:textId="6C37087C" w:rsidR="00015492" w:rsidRPr="00255081" w:rsidRDefault="00015492" w:rsidP="000A1B05">
            <w:pPr>
              <w:spacing w:after="120" w:line="240" w:lineRule="auto"/>
              <w:jc w:val="right"/>
              <w:rPr>
                <w:rFonts w:ascii="Montserrat" w:eastAsia="Times New Roman" w:hAnsi="Montserrat" w:cs="Calibri"/>
                <w:color w:val="000000"/>
                <w:sz w:val="15"/>
                <w:szCs w:val="15"/>
                <w:lang w:eastAsia="es-MX"/>
              </w:rPr>
            </w:pPr>
            <w:r w:rsidRPr="00255081">
              <w:rPr>
                <w:rFonts w:ascii="Montserrat" w:eastAsia="Times New Roman" w:hAnsi="Montserrat" w:cs="Calibri"/>
                <w:sz w:val="15"/>
                <w:szCs w:val="15"/>
                <w:lang w:eastAsia="es-MX"/>
              </w:rPr>
              <w:t>507,477,953</w:t>
            </w:r>
          </w:p>
        </w:tc>
        <w:tc>
          <w:tcPr>
            <w:tcW w:w="1192" w:type="dxa"/>
            <w:shd w:val="clear" w:color="000000" w:fill="F2F2F2"/>
            <w:noWrap/>
            <w:vAlign w:val="center"/>
          </w:tcPr>
          <w:p w14:paraId="76D7F6D8" w14:textId="164D6965" w:rsidR="00015492" w:rsidRPr="00255081" w:rsidRDefault="00015492" w:rsidP="000A1B05">
            <w:pPr>
              <w:spacing w:after="120" w:line="240" w:lineRule="auto"/>
              <w:jc w:val="right"/>
              <w:rPr>
                <w:rFonts w:ascii="Montserrat" w:eastAsia="Times New Roman" w:hAnsi="Montserrat" w:cs="Calibri"/>
                <w:color w:val="000000"/>
                <w:sz w:val="15"/>
                <w:szCs w:val="15"/>
                <w:lang w:eastAsia="es-MX"/>
              </w:rPr>
            </w:pPr>
            <w:r w:rsidRPr="00255081">
              <w:rPr>
                <w:rFonts w:ascii="Montserrat" w:eastAsia="Times New Roman" w:hAnsi="Montserrat" w:cs="Calibri"/>
                <w:sz w:val="15"/>
                <w:szCs w:val="15"/>
                <w:lang w:eastAsia="es-MX"/>
              </w:rPr>
              <w:t>100%</w:t>
            </w:r>
          </w:p>
        </w:tc>
        <w:tc>
          <w:tcPr>
            <w:tcW w:w="2558" w:type="dxa"/>
            <w:gridSpan w:val="2"/>
            <w:shd w:val="clear" w:color="000000" w:fill="F2F2F2"/>
            <w:noWrap/>
            <w:vAlign w:val="center"/>
          </w:tcPr>
          <w:p w14:paraId="5625BC12" w14:textId="32D11458" w:rsidR="00015492" w:rsidRPr="00255081" w:rsidRDefault="00015492" w:rsidP="000A1B05">
            <w:pPr>
              <w:spacing w:after="120" w:line="240" w:lineRule="auto"/>
              <w:jc w:val="right"/>
              <w:rPr>
                <w:rFonts w:ascii="Montserrat" w:eastAsia="Times New Roman" w:hAnsi="Montserrat" w:cs="Calibri"/>
                <w:color w:val="000000"/>
                <w:sz w:val="15"/>
                <w:szCs w:val="15"/>
                <w:lang w:eastAsia="es-MX"/>
              </w:rPr>
            </w:pPr>
            <w:r w:rsidRPr="00255081">
              <w:rPr>
                <w:rFonts w:ascii="Montserrat" w:eastAsia="Times New Roman" w:hAnsi="Montserrat" w:cs="Calibri"/>
                <w:sz w:val="15"/>
                <w:szCs w:val="15"/>
                <w:lang w:eastAsia="es-MX"/>
              </w:rPr>
              <w:t>507,477,953</w:t>
            </w:r>
          </w:p>
        </w:tc>
      </w:tr>
      <w:tr w:rsidR="00015492" w:rsidRPr="00995308" w14:paraId="27417AC7" w14:textId="77777777" w:rsidTr="000F03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jc w:val="center"/>
        </w:trPr>
        <w:tc>
          <w:tcPr>
            <w:tcW w:w="5583" w:type="dxa"/>
            <w:shd w:val="clear" w:color="000000" w:fill="F2F2F2"/>
            <w:vAlign w:val="center"/>
          </w:tcPr>
          <w:p w14:paraId="65F8333A" w14:textId="1A0646D8" w:rsidR="00015492" w:rsidRPr="00255081" w:rsidRDefault="00015492" w:rsidP="004B170A">
            <w:pPr>
              <w:spacing w:after="120" w:line="240" w:lineRule="auto"/>
              <w:jc w:val="both"/>
              <w:rPr>
                <w:rFonts w:ascii="Montserrat" w:eastAsia="Times New Roman" w:hAnsi="Montserrat" w:cs="Calibri"/>
                <w:color w:val="000000"/>
                <w:sz w:val="15"/>
                <w:szCs w:val="15"/>
                <w:lang w:eastAsia="es-MX"/>
              </w:rPr>
            </w:pPr>
            <w:r w:rsidRPr="00255081">
              <w:rPr>
                <w:rFonts w:ascii="Montserrat" w:eastAsia="Times New Roman" w:hAnsi="Montserrat" w:cs="Calibri"/>
                <w:sz w:val="15"/>
                <w:szCs w:val="15"/>
                <w:lang w:eastAsia="es-MX"/>
              </w:rPr>
              <w:t>Centro de Investigaciones y Estudios Superiores en Antropología Social</w:t>
            </w:r>
          </w:p>
        </w:tc>
        <w:tc>
          <w:tcPr>
            <w:tcW w:w="2463" w:type="dxa"/>
            <w:shd w:val="clear" w:color="000000" w:fill="F2F2F2"/>
            <w:noWrap/>
            <w:vAlign w:val="center"/>
          </w:tcPr>
          <w:p w14:paraId="7DD22BDD" w14:textId="7DD87BE5" w:rsidR="00015492" w:rsidRPr="00255081" w:rsidRDefault="00015492" w:rsidP="000A1B05">
            <w:pPr>
              <w:spacing w:after="120" w:line="240" w:lineRule="auto"/>
              <w:jc w:val="right"/>
              <w:rPr>
                <w:rFonts w:ascii="Montserrat" w:eastAsia="Times New Roman" w:hAnsi="Montserrat" w:cs="Calibri"/>
                <w:color w:val="000000"/>
                <w:sz w:val="15"/>
                <w:szCs w:val="15"/>
                <w:lang w:eastAsia="es-MX"/>
              </w:rPr>
            </w:pPr>
            <w:r w:rsidRPr="00255081">
              <w:rPr>
                <w:rFonts w:ascii="Montserrat" w:eastAsia="Times New Roman" w:hAnsi="Montserrat" w:cs="Calibri"/>
                <w:sz w:val="15"/>
                <w:szCs w:val="15"/>
                <w:lang w:eastAsia="es-MX"/>
              </w:rPr>
              <w:t>208,059,484</w:t>
            </w:r>
          </w:p>
        </w:tc>
        <w:tc>
          <w:tcPr>
            <w:tcW w:w="1192" w:type="dxa"/>
            <w:shd w:val="clear" w:color="000000" w:fill="F2F2F2"/>
            <w:noWrap/>
            <w:vAlign w:val="center"/>
          </w:tcPr>
          <w:p w14:paraId="02E9BE8A" w14:textId="7515FF91" w:rsidR="00015492" w:rsidRPr="00255081" w:rsidRDefault="00015492" w:rsidP="000A1B05">
            <w:pPr>
              <w:spacing w:after="120" w:line="240" w:lineRule="auto"/>
              <w:jc w:val="right"/>
              <w:rPr>
                <w:rFonts w:ascii="Montserrat" w:eastAsia="Times New Roman" w:hAnsi="Montserrat" w:cs="Calibri"/>
                <w:color w:val="000000"/>
                <w:sz w:val="15"/>
                <w:szCs w:val="15"/>
                <w:lang w:eastAsia="es-MX"/>
              </w:rPr>
            </w:pPr>
            <w:r w:rsidRPr="00255081">
              <w:rPr>
                <w:rFonts w:ascii="Montserrat" w:eastAsia="Times New Roman" w:hAnsi="Montserrat" w:cs="Calibri"/>
                <w:sz w:val="15"/>
                <w:szCs w:val="15"/>
                <w:lang w:eastAsia="es-MX"/>
              </w:rPr>
              <w:t>100%</w:t>
            </w:r>
          </w:p>
        </w:tc>
        <w:tc>
          <w:tcPr>
            <w:tcW w:w="2558" w:type="dxa"/>
            <w:gridSpan w:val="2"/>
            <w:shd w:val="clear" w:color="000000" w:fill="F2F2F2"/>
            <w:noWrap/>
            <w:vAlign w:val="center"/>
          </w:tcPr>
          <w:p w14:paraId="5C3F7458" w14:textId="67FA55C9" w:rsidR="00015492" w:rsidRPr="00255081" w:rsidRDefault="00015492" w:rsidP="000A1B05">
            <w:pPr>
              <w:spacing w:after="120" w:line="240" w:lineRule="auto"/>
              <w:jc w:val="right"/>
              <w:rPr>
                <w:rFonts w:ascii="Montserrat" w:eastAsia="Times New Roman" w:hAnsi="Montserrat" w:cs="Calibri"/>
                <w:color w:val="000000"/>
                <w:sz w:val="15"/>
                <w:szCs w:val="15"/>
                <w:lang w:eastAsia="es-MX"/>
              </w:rPr>
            </w:pPr>
            <w:r w:rsidRPr="00255081">
              <w:rPr>
                <w:rFonts w:ascii="Montserrat" w:eastAsia="Times New Roman" w:hAnsi="Montserrat" w:cs="Calibri"/>
                <w:sz w:val="15"/>
                <w:szCs w:val="15"/>
                <w:lang w:eastAsia="es-MX"/>
              </w:rPr>
              <w:t>208,059,484</w:t>
            </w:r>
          </w:p>
        </w:tc>
      </w:tr>
      <w:tr w:rsidR="00015492" w:rsidRPr="00995308" w14:paraId="106C007A" w14:textId="77777777" w:rsidTr="000F03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jc w:val="center"/>
        </w:trPr>
        <w:tc>
          <w:tcPr>
            <w:tcW w:w="5583" w:type="dxa"/>
            <w:shd w:val="clear" w:color="000000" w:fill="F2F2F2"/>
            <w:vAlign w:val="center"/>
          </w:tcPr>
          <w:p w14:paraId="160FDC6B" w14:textId="09B9E075" w:rsidR="00015492" w:rsidRPr="00255081" w:rsidRDefault="00015492" w:rsidP="004B170A">
            <w:pPr>
              <w:spacing w:after="120" w:line="240" w:lineRule="auto"/>
              <w:jc w:val="both"/>
              <w:rPr>
                <w:rFonts w:ascii="Montserrat" w:eastAsia="Times New Roman" w:hAnsi="Montserrat" w:cs="Calibri"/>
                <w:color w:val="000000"/>
                <w:sz w:val="15"/>
                <w:szCs w:val="15"/>
                <w:lang w:eastAsia="es-MX"/>
              </w:rPr>
            </w:pPr>
            <w:r w:rsidRPr="00255081">
              <w:rPr>
                <w:rFonts w:ascii="Montserrat" w:eastAsia="Times New Roman" w:hAnsi="Montserrat" w:cs="Calibri"/>
                <w:sz w:val="15"/>
                <w:szCs w:val="15"/>
                <w:lang w:eastAsia="es-MX"/>
              </w:rPr>
              <w:t>CIATEC, A.C. "Centro de Innovación Aplicada en Tecnologías Competitivas"</w:t>
            </w:r>
          </w:p>
        </w:tc>
        <w:tc>
          <w:tcPr>
            <w:tcW w:w="2463" w:type="dxa"/>
            <w:shd w:val="clear" w:color="000000" w:fill="F2F2F2"/>
            <w:noWrap/>
            <w:vAlign w:val="center"/>
          </w:tcPr>
          <w:p w14:paraId="7987AA38" w14:textId="3AE49337" w:rsidR="00015492" w:rsidRPr="00255081" w:rsidRDefault="00015492" w:rsidP="000A1B05">
            <w:pPr>
              <w:spacing w:after="120" w:line="240" w:lineRule="auto"/>
              <w:jc w:val="right"/>
              <w:rPr>
                <w:rFonts w:ascii="Montserrat" w:eastAsia="Times New Roman" w:hAnsi="Montserrat" w:cs="Calibri"/>
                <w:color w:val="000000"/>
                <w:sz w:val="15"/>
                <w:szCs w:val="15"/>
                <w:lang w:eastAsia="es-MX"/>
              </w:rPr>
            </w:pPr>
            <w:r w:rsidRPr="00255081">
              <w:rPr>
                <w:rFonts w:ascii="Montserrat" w:eastAsia="Times New Roman" w:hAnsi="Montserrat" w:cs="Calibri"/>
                <w:sz w:val="15"/>
                <w:szCs w:val="15"/>
                <w:lang w:eastAsia="es-MX"/>
              </w:rPr>
              <w:t>403,536,127</w:t>
            </w:r>
          </w:p>
        </w:tc>
        <w:tc>
          <w:tcPr>
            <w:tcW w:w="1192" w:type="dxa"/>
            <w:shd w:val="clear" w:color="000000" w:fill="F2F2F2"/>
            <w:noWrap/>
            <w:vAlign w:val="center"/>
          </w:tcPr>
          <w:p w14:paraId="649A0CC5" w14:textId="6DF06CFC" w:rsidR="00015492" w:rsidRPr="00255081" w:rsidRDefault="00015492" w:rsidP="000A1B05">
            <w:pPr>
              <w:spacing w:after="120" w:line="240" w:lineRule="auto"/>
              <w:jc w:val="right"/>
              <w:rPr>
                <w:rFonts w:ascii="Montserrat" w:eastAsia="Times New Roman" w:hAnsi="Montserrat" w:cs="Calibri"/>
                <w:color w:val="000000"/>
                <w:sz w:val="15"/>
                <w:szCs w:val="15"/>
                <w:lang w:eastAsia="es-MX"/>
              </w:rPr>
            </w:pPr>
            <w:r w:rsidRPr="00255081">
              <w:rPr>
                <w:rFonts w:ascii="Montserrat" w:eastAsia="Times New Roman" w:hAnsi="Montserrat" w:cs="Calibri"/>
                <w:sz w:val="15"/>
                <w:szCs w:val="15"/>
                <w:lang w:eastAsia="es-MX"/>
              </w:rPr>
              <w:t>100%</w:t>
            </w:r>
          </w:p>
        </w:tc>
        <w:tc>
          <w:tcPr>
            <w:tcW w:w="2558" w:type="dxa"/>
            <w:gridSpan w:val="2"/>
            <w:shd w:val="clear" w:color="000000" w:fill="F2F2F2"/>
            <w:noWrap/>
            <w:vAlign w:val="center"/>
          </w:tcPr>
          <w:p w14:paraId="04E8C719" w14:textId="3B91EEBE" w:rsidR="00015492" w:rsidRPr="00255081" w:rsidRDefault="00015492" w:rsidP="000A1B05">
            <w:pPr>
              <w:spacing w:after="120" w:line="240" w:lineRule="auto"/>
              <w:jc w:val="right"/>
              <w:rPr>
                <w:rFonts w:ascii="Montserrat" w:eastAsia="Times New Roman" w:hAnsi="Montserrat" w:cs="Calibri"/>
                <w:color w:val="000000"/>
                <w:sz w:val="15"/>
                <w:szCs w:val="15"/>
                <w:lang w:eastAsia="es-MX"/>
              </w:rPr>
            </w:pPr>
            <w:r w:rsidRPr="00255081">
              <w:rPr>
                <w:rFonts w:ascii="Montserrat" w:eastAsia="Times New Roman" w:hAnsi="Montserrat" w:cs="Calibri"/>
                <w:sz w:val="15"/>
                <w:szCs w:val="15"/>
                <w:lang w:eastAsia="es-MX"/>
              </w:rPr>
              <w:t>403,536,127</w:t>
            </w:r>
          </w:p>
        </w:tc>
      </w:tr>
      <w:tr w:rsidR="00015492" w:rsidRPr="00995308" w14:paraId="42B2AC46" w14:textId="77777777" w:rsidTr="000F03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jc w:val="center"/>
        </w:trPr>
        <w:tc>
          <w:tcPr>
            <w:tcW w:w="5583" w:type="dxa"/>
            <w:shd w:val="clear" w:color="000000" w:fill="F2F2F2"/>
            <w:vAlign w:val="center"/>
          </w:tcPr>
          <w:p w14:paraId="1A5B0457" w14:textId="6880B7C7" w:rsidR="00015492" w:rsidRPr="00255081" w:rsidRDefault="00015492" w:rsidP="004B170A">
            <w:pPr>
              <w:spacing w:after="120" w:line="240" w:lineRule="auto"/>
              <w:jc w:val="both"/>
              <w:rPr>
                <w:rFonts w:ascii="Montserrat" w:eastAsia="Times New Roman" w:hAnsi="Montserrat" w:cs="Calibri"/>
                <w:color w:val="000000"/>
                <w:sz w:val="15"/>
                <w:szCs w:val="15"/>
                <w:lang w:eastAsia="es-MX"/>
              </w:rPr>
            </w:pPr>
            <w:r w:rsidRPr="00255081">
              <w:rPr>
                <w:rFonts w:ascii="Montserrat" w:eastAsia="Times New Roman" w:hAnsi="Montserrat" w:cs="Calibri"/>
                <w:sz w:val="15"/>
                <w:szCs w:val="15"/>
                <w:lang w:eastAsia="es-MX"/>
              </w:rPr>
              <w:t>CIATEQ, A.C. Centro de Tecnología Avanzada</w:t>
            </w:r>
          </w:p>
        </w:tc>
        <w:tc>
          <w:tcPr>
            <w:tcW w:w="2463" w:type="dxa"/>
            <w:shd w:val="clear" w:color="000000" w:fill="F2F2F2"/>
            <w:noWrap/>
            <w:vAlign w:val="center"/>
          </w:tcPr>
          <w:p w14:paraId="30C2440A" w14:textId="2D173572" w:rsidR="00015492" w:rsidRPr="00255081" w:rsidRDefault="00015492" w:rsidP="000A1B05">
            <w:pPr>
              <w:spacing w:after="120" w:line="240" w:lineRule="auto"/>
              <w:jc w:val="right"/>
              <w:rPr>
                <w:rFonts w:ascii="Montserrat" w:eastAsia="Times New Roman" w:hAnsi="Montserrat" w:cs="Calibri"/>
                <w:color w:val="000000"/>
                <w:sz w:val="15"/>
                <w:szCs w:val="15"/>
                <w:lang w:eastAsia="es-MX"/>
              </w:rPr>
            </w:pPr>
            <w:r w:rsidRPr="00255081">
              <w:rPr>
                <w:rFonts w:ascii="Montserrat" w:eastAsia="Times New Roman" w:hAnsi="Montserrat" w:cs="Calibri"/>
                <w:sz w:val="15"/>
                <w:szCs w:val="15"/>
                <w:lang w:eastAsia="es-MX"/>
              </w:rPr>
              <w:t>399,745,886</w:t>
            </w:r>
          </w:p>
        </w:tc>
        <w:tc>
          <w:tcPr>
            <w:tcW w:w="1192" w:type="dxa"/>
            <w:shd w:val="clear" w:color="000000" w:fill="F2F2F2"/>
            <w:noWrap/>
            <w:vAlign w:val="center"/>
          </w:tcPr>
          <w:p w14:paraId="27B90395" w14:textId="6E6A1C52" w:rsidR="00015492" w:rsidRPr="00255081" w:rsidRDefault="00015492" w:rsidP="000A1B05">
            <w:pPr>
              <w:spacing w:after="120" w:line="240" w:lineRule="auto"/>
              <w:jc w:val="right"/>
              <w:rPr>
                <w:rFonts w:ascii="Montserrat" w:eastAsia="Times New Roman" w:hAnsi="Montserrat" w:cs="Calibri"/>
                <w:color w:val="000000"/>
                <w:sz w:val="15"/>
                <w:szCs w:val="15"/>
                <w:lang w:eastAsia="es-MX"/>
              </w:rPr>
            </w:pPr>
            <w:r w:rsidRPr="00255081">
              <w:rPr>
                <w:rFonts w:ascii="Montserrat" w:eastAsia="Times New Roman" w:hAnsi="Montserrat" w:cs="Calibri"/>
                <w:sz w:val="15"/>
                <w:szCs w:val="15"/>
                <w:lang w:eastAsia="es-MX"/>
              </w:rPr>
              <w:t>100%</w:t>
            </w:r>
          </w:p>
        </w:tc>
        <w:tc>
          <w:tcPr>
            <w:tcW w:w="2558" w:type="dxa"/>
            <w:gridSpan w:val="2"/>
            <w:shd w:val="clear" w:color="000000" w:fill="F2F2F2"/>
            <w:noWrap/>
            <w:vAlign w:val="center"/>
          </w:tcPr>
          <w:p w14:paraId="7FCB3DB2" w14:textId="77CD61AF" w:rsidR="00015492" w:rsidRPr="00255081" w:rsidRDefault="00015492" w:rsidP="000A1B05">
            <w:pPr>
              <w:spacing w:after="120" w:line="240" w:lineRule="auto"/>
              <w:jc w:val="right"/>
              <w:rPr>
                <w:rFonts w:ascii="Montserrat" w:eastAsia="Times New Roman" w:hAnsi="Montserrat" w:cs="Calibri"/>
                <w:color w:val="000000"/>
                <w:sz w:val="15"/>
                <w:szCs w:val="15"/>
                <w:lang w:eastAsia="es-MX"/>
              </w:rPr>
            </w:pPr>
            <w:r w:rsidRPr="00255081">
              <w:rPr>
                <w:rFonts w:ascii="Montserrat" w:eastAsia="Times New Roman" w:hAnsi="Montserrat" w:cs="Calibri"/>
                <w:sz w:val="15"/>
                <w:szCs w:val="15"/>
                <w:lang w:eastAsia="es-MX"/>
              </w:rPr>
              <w:t>399,745,886</w:t>
            </w:r>
          </w:p>
        </w:tc>
      </w:tr>
      <w:tr w:rsidR="00015492" w:rsidRPr="00995308" w14:paraId="112C1229" w14:textId="77777777" w:rsidTr="000F03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jc w:val="center"/>
        </w:trPr>
        <w:tc>
          <w:tcPr>
            <w:tcW w:w="5583" w:type="dxa"/>
            <w:shd w:val="clear" w:color="000000" w:fill="F2F2F2"/>
            <w:vAlign w:val="center"/>
          </w:tcPr>
          <w:p w14:paraId="5B87D0A5" w14:textId="1D2965FF" w:rsidR="00015492" w:rsidRPr="00255081" w:rsidRDefault="00015492" w:rsidP="004B170A">
            <w:pPr>
              <w:spacing w:after="120" w:line="240" w:lineRule="auto"/>
              <w:jc w:val="both"/>
              <w:rPr>
                <w:rFonts w:ascii="Montserrat" w:eastAsia="Times New Roman" w:hAnsi="Montserrat" w:cs="Calibri"/>
                <w:color w:val="000000"/>
                <w:sz w:val="15"/>
                <w:szCs w:val="15"/>
                <w:lang w:eastAsia="es-MX"/>
              </w:rPr>
            </w:pPr>
            <w:r w:rsidRPr="00255081">
              <w:rPr>
                <w:rFonts w:ascii="Montserrat" w:eastAsia="Times New Roman" w:hAnsi="Montserrat" w:cs="Calibri"/>
                <w:sz w:val="15"/>
                <w:szCs w:val="15"/>
                <w:lang w:eastAsia="es-MX"/>
              </w:rPr>
              <w:t>Consejo Nacional de Ciencia y Tecnología</w:t>
            </w:r>
          </w:p>
        </w:tc>
        <w:tc>
          <w:tcPr>
            <w:tcW w:w="2463" w:type="dxa"/>
            <w:shd w:val="clear" w:color="000000" w:fill="F2F2F2"/>
            <w:noWrap/>
            <w:vAlign w:val="center"/>
          </w:tcPr>
          <w:p w14:paraId="045C3445" w14:textId="583A9F02" w:rsidR="00015492" w:rsidRPr="00255081" w:rsidRDefault="00015492" w:rsidP="000A1B05">
            <w:pPr>
              <w:spacing w:after="120" w:line="240" w:lineRule="auto"/>
              <w:jc w:val="right"/>
              <w:rPr>
                <w:rFonts w:ascii="Montserrat" w:eastAsia="Times New Roman" w:hAnsi="Montserrat" w:cs="Calibri"/>
                <w:color w:val="000000"/>
                <w:sz w:val="15"/>
                <w:szCs w:val="15"/>
                <w:lang w:eastAsia="es-MX"/>
              </w:rPr>
            </w:pPr>
            <w:r w:rsidRPr="00255081">
              <w:rPr>
                <w:rFonts w:ascii="Montserrat" w:eastAsia="Times New Roman" w:hAnsi="Montserrat" w:cs="Calibri"/>
                <w:sz w:val="15"/>
                <w:szCs w:val="15"/>
                <w:lang w:eastAsia="es-MX"/>
              </w:rPr>
              <w:t>22,594,832,547</w:t>
            </w:r>
          </w:p>
        </w:tc>
        <w:tc>
          <w:tcPr>
            <w:tcW w:w="1192" w:type="dxa"/>
            <w:shd w:val="clear" w:color="000000" w:fill="F2F2F2"/>
            <w:noWrap/>
            <w:vAlign w:val="center"/>
          </w:tcPr>
          <w:p w14:paraId="604DE4E0" w14:textId="5BF2F27B" w:rsidR="00015492" w:rsidRPr="00255081" w:rsidRDefault="00015492" w:rsidP="000A1B05">
            <w:pPr>
              <w:spacing w:after="120" w:line="240" w:lineRule="auto"/>
              <w:jc w:val="right"/>
              <w:rPr>
                <w:rFonts w:ascii="Montserrat" w:eastAsia="Times New Roman" w:hAnsi="Montserrat" w:cs="Calibri"/>
                <w:color w:val="000000"/>
                <w:sz w:val="15"/>
                <w:szCs w:val="15"/>
                <w:lang w:eastAsia="es-MX"/>
              </w:rPr>
            </w:pPr>
            <w:r w:rsidRPr="00255081">
              <w:rPr>
                <w:rFonts w:ascii="Montserrat" w:eastAsia="Times New Roman" w:hAnsi="Montserrat" w:cs="Calibri"/>
                <w:sz w:val="15"/>
                <w:szCs w:val="15"/>
                <w:lang w:eastAsia="es-MX"/>
              </w:rPr>
              <w:t>100%</w:t>
            </w:r>
          </w:p>
        </w:tc>
        <w:tc>
          <w:tcPr>
            <w:tcW w:w="2558" w:type="dxa"/>
            <w:gridSpan w:val="2"/>
            <w:shd w:val="clear" w:color="000000" w:fill="F2F2F2"/>
            <w:noWrap/>
            <w:vAlign w:val="center"/>
          </w:tcPr>
          <w:p w14:paraId="27524CDA" w14:textId="124D41F6" w:rsidR="00015492" w:rsidRPr="00255081" w:rsidRDefault="00015492" w:rsidP="000A1B05">
            <w:pPr>
              <w:spacing w:after="120" w:line="240" w:lineRule="auto"/>
              <w:jc w:val="right"/>
              <w:rPr>
                <w:rFonts w:ascii="Montserrat" w:eastAsia="Times New Roman" w:hAnsi="Montserrat" w:cs="Calibri"/>
                <w:color w:val="000000"/>
                <w:sz w:val="15"/>
                <w:szCs w:val="15"/>
                <w:lang w:eastAsia="es-MX"/>
              </w:rPr>
            </w:pPr>
            <w:r w:rsidRPr="00255081">
              <w:rPr>
                <w:rFonts w:ascii="Montserrat" w:eastAsia="Times New Roman" w:hAnsi="Montserrat" w:cs="Calibri"/>
                <w:sz w:val="15"/>
                <w:szCs w:val="15"/>
                <w:lang w:eastAsia="es-MX"/>
              </w:rPr>
              <w:t>22,594,832,547</w:t>
            </w:r>
          </w:p>
        </w:tc>
      </w:tr>
      <w:tr w:rsidR="00015492" w:rsidRPr="00995308" w14:paraId="03454D3A" w14:textId="77777777" w:rsidTr="000F03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jc w:val="center"/>
        </w:trPr>
        <w:tc>
          <w:tcPr>
            <w:tcW w:w="5583" w:type="dxa"/>
            <w:shd w:val="clear" w:color="000000" w:fill="F2F2F2"/>
            <w:vAlign w:val="center"/>
          </w:tcPr>
          <w:p w14:paraId="62C17493" w14:textId="38E835B6" w:rsidR="00015492" w:rsidRPr="00255081" w:rsidRDefault="00015492" w:rsidP="004B170A">
            <w:pPr>
              <w:spacing w:after="120" w:line="240" w:lineRule="auto"/>
              <w:jc w:val="both"/>
              <w:rPr>
                <w:rFonts w:ascii="Montserrat" w:eastAsia="Times New Roman" w:hAnsi="Montserrat" w:cs="Calibri"/>
                <w:color w:val="000000"/>
                <w:sz w:val="15"/>
                <w:szCs w:val="15"/>
                <w:lang w:eastAsia="es-MX"/>
              </w:rPr>
            </w:pPr>
            <w:r w:rsidRPr="00255081">
              <w:rPr>
                <w:rFonts w:ascii="Montserrat" w:eastAsia="Times New Roman" w:hAnsi="Montserrat" w:cs="Calibri"/>
                <w:sz w:val="15"/>
                <w:szCs w:val="15"/>
                <w:lang w:eastAsia="es-MX"/>
              </w:rPr>
              <w:t>El Colegio de la Frontera Norte, A.C.</w:t>
            </w:r>
          </w:p>
        </w:tc>
        <w:tc>
          <w:tcPr>
            <w:tcW w:w="2463" w:type="dxa"/>
            <w:shd w:val="clear" w:color="000000" w:fill="F2F2F2"/>
            <w:noWrap/>
            <w:vAlign w:val="center"/>
          </w:tcPr>
          <w:p w14:paraId="32A228C2" w14:textId="3F615B90" w:rsidR="00015492" w:rsidRPr="00255081" w:rsidRDefault="00015492" w:rsidP="000A1B05">
            <w:pPr>
              <w:spacing w:after="120" w:line="240" w:lineRule="auto"/>
              <w:jc w:val="right"/>
              <w:rPr>
                <w:rFonts w:ascii="Montserrat" w:eastAsia="Times New Roman" w:hAnsi="Montserrat" w:cs="Calibri"/>
                <w:color w:val="000000"/>
                <w:sz w:val="15"/>
                <w:szCs w:val="15"/>
                <w:lang w:eastAsia="es-MX"/>
              </w:rPr>
            </w:pPr>
            <w:r w:rsidRPr="00255081">
              <w:rPr>
                <w:rFonts w:ascii="Montserrat" w:eastAsia="Times New Roman" w:hAnsi="Montserrat" w:cs="Calibri"/>
                <w:sz w:val="15"/>
                <w:szCs w:val="15"/>
                <w:lang w:eastAsia="es-MX"/>
              </w:rPr>
              <w:t>406,278,171</w:t>
            </w:r>
          </w:p>
        </w:tc>
        <w:tc>
          <w:tcPr>
            <w:tcW w:w="1192" w:type="dxa"/>
            <w:shd w:val="clear" w:color="000000" w:fill="F2F2F2"/>
            <w:noWrap/>
            <w:vAlign w:val="center"/>
          </w:tcPr>
          <w:p w14:paraId="12026FE6" w14:textId="150271FD" w:rsidR="00015492" w:rsidRPr="00255081" w:rsidRDefault="00015492" w:rsidP="000A1B05">
            <w:pPr>
              <w:spacing w:after="120" w:line="240" w:lineRule="auto"/>
              <w:jc w:val="right"/>
              <w:rPr>
                <w:rFonts w:ascii="Montserrat" w:eastAsia="Times New Roman" w:hAnsi="Montserrat" w:cs="Calibri"/>
                <w:color w:val="000000"/>
                <w:sz w:val="15"/>
                <w:szCs w:val="15"/>
                <w:lang w:eastAsia="es-MX"/>
              </w:rPr>
            </w:pPr>
            <w:r w:rsidRPr="00255081">
              <w:rPr>
                <w:rFonts w:ascii="Montserrat" w:eastAsia="Times New Roman" w:hAnsi="Montserrat" w:cs="Calibri"/>
                <w:sz w:val="15"/>
                <w:szCs w:val="15"/>
                <w:lang w:eastAsia="es-MX"/>
              </w:rPr>
              <w:t>100%</w:t>
            </w:r>
          </w:p>
        </w:tc>
        <w:tc>
          <w:tcPr>
            <w:tcW w:w="2558" w:type="dxa"/>
            <w:gridSpan w:val="2"/>
            <w:shd w:val="clear" w:color="000000" w:fill="F2F2F2"/>
            <w:noWrap/>
            <w:vAlign w:val="center"/>
          </w:tcPr>
          <w:p w14:paraId="028B80BB" w14:textId="19DBC61D" w:rsidR="00015492" w:rsidRPr="00255081" w:rsidRDefault="00015492" w:rsidP="000A1B05">
            <w:pPr>
              <w:spacing w:after="120" w:line="240" w:lineRule="auto"/>
              <w:jc w:val="right"/>
              <w:rPr>
                <w:rFonts w:ascii="Montserrat" w:eastAsia="Times New Roman" w:hAnsi="Montserrat" w:cs="Calibri"/>
                <w:color w:val="000000"/>
                <w:sz w:val="15"/>
                <w:szCs w:val="15"/>
                <w:lang w:eastAsia="es-MX"/>
              </w:rPr>
            </w:pPr>
            <w:r w:rsidRPr="00255081">
              <w:rPr>
                <w:rFonts w:ascii="Montserrat" w:eastAsia="Times New Roman" w:hAnsi="Montserrat" w:cs="Calibri"/>
                <w:sz w:val="15"/>
                <w:szCs w:val="15"/>
                <w:lang w:eastAsia="es-MX"/>
              </w:rPr>
              <w:t>406,278,171</w:t>
            </w:r>
          </w:p>
        </w:tc>
      </w:tr>
      <w:tr w:rsidR="00015492" w:rsidRPr="00995308" w14:paraId="371A82B4" w14:textId="77777777" w:rsidTr="000F03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jc w:val="center"/>
        </w:trPr>
        <w:tc>
          <w:tcPr>
            <w:tcW w:w="5583" w:type="dxa"/>
            <w:shd w:val="clear" w:color="000000" w:fill="F2F2F2"/>
            <w:vAlign w:val="center"/>
          </w:tcPr>
          <w:p w14:paraId="14B05010" w14:textId="1F4BF9CA" w:rsidR="00015492" w:rsidRPr="00255081" w:rsidRDefault="00015492" w:rsidP="004B170A">
            <w:pPr>
              <w:spacing w:after="120" w:line="240" w:lineRule="auto"/>
              <w:jc w:val="both"/>
              <w:rPr>
                <w:rFonts w:ascii="Montserrat" w:eastAsia="Times New Roman" w:hAnsi="Montserrat" w:cs="Calibri"/>
                <w:color w:val="000000"/>
                <w:sz w:val="15"/>
                <w:szCs w:val="15"/>
                <w:lang w:eastAsia="es-MX"/>
              </w:rPr>
            </w:pPr>
            <w:r w:rsidRPr="00255081">
              <w:rPr>
                <w:rFonts w:ascii="Montserrat" w:eastAsia="Times New Roman" w:hAnsi="Montserrat" w:cs="Calibri"/>
                <w:sz w:val="15"/>
                <w:szCs w:val="15"/>
                <w:lang w:eastAsia="es-MX"/>
              </w:rPr>
              <w:t>El Colegio de la Frontera Sur</w:t>
            </w:r>
          </w:p>
        </w:tc>
        <w:tc>
          <w:tcPr>
            <w:tcW w:w="2463" w:type="dxa"/>
            <w:shd w:val="clear" w:color="000000" w:fill="F2F2F2"/>
            <w:noWrap/>
            <w:vAlign w:val="center"/>
          </w:tcPr>
          <w:p w14:paraId="4AFC2CD0" w14:textId="40BA7726" w:rsidR="00015492" w:rsidRPr="00255081" w:rsidRDefault="00015492" w:rsidP="000A1B05">
            <w:pPr>
              <w:spacing w:after="120" w:line="240" w:lineRule="auto"/>
              <w:jc w:val="right"/>
              <w:rPr>
                <w:rFonts w:ascii="Montserrat" w:eastAsia="Times New Roman" w:hAnsi="Montserrat" w:cs="Calibri"/>
                <w:color w:val="000000"/>
                <w:sz w:val="15"/>
                <w:szCs w:val="15"/>
                <w:lang w:eastAsia="es-MX"/>
              </w:rPr>
            </w:pPr>
            <w:r w:rsidRPr="00255081">
              <w:rPr>
                <w:rFonts w:ascii="Montserrat" w:eastAsia="Times New Roman" w:hAnsi="Montserrat" w:cs="Calibri"/>
                <w:sz w:val="15"/>
                <w:szCs w:val="15"/>
                <w:lang w:eastAsia="es-MX"/>
              </w:rPr>
              <w:t>150,819,805</w:t>
            </w:r>
          </w:p>
        </w:tc>
        <w:tc>
          <w:tcPr>
            <w:tcW w:w="1192" w:type="dxa"/>
            <w:shd w:val="clear" w:color="000000" w:fill="F2F2F2"/>
            <w:noWrap/>
            <w:vAlign w:val="center"/>
          </w:tcPr>
          <w:p w14:paraId="474FFE7B" w14:textId="4C79D28F" w:rsidR="00015492" w:rsidRPr="00255081" w:rsidRDefault="00015492" w:rsidP="000A1B05">
            <w:pPr>
              <w:spacing w:after="120" w:line="240" w:lineRule="auto"/>
              <w:jc w:val="right"/>
              <w:rPr>
                <w:rFonts w:ascii="Montserrat" w:eastAsia="Times New Roman" w:hAnsi="Montserrat" w:cs="Calibri"/>
                <w:color w:val="000000"/>
                <w:sz w:val="15"/>
                <w:szCs w:val="15"/>
                <w:lang w:eastAsia="es-MX"/>
              </w:rPr>
            </w:pPr>
            <w:r w:rsidRPr="00255081">
              <w:rPr>
                <w:rFonts w:ascii="Montserrat" w:eastAsia="Times New Roman" w:hAnsi="Montserrat" w:cs="Calibri"/>
                <w:sz w:val="15"/>
                <w:szCs w:val="15"/>
                <w:lang w:eastAsia="es-MX"/>
              </w:rPr>
              <w:t>100%</w:t>
            </w:r>
          </w:p>
        </w:tc>
        <w:tc>
          <w:tcPr>
            <w:tcW w:w="2558" w:type="dxa"/>
            <w:gridSpan w:val="2"/>
            <w:shd w:val="clear" w:color="000000" w:fill="F2F2F2"/>
            <w:noWrap/>
            <w:vAlign w:val="center"/>
          </w:tcPr>
          <w:p w14:paraId="62E28322" w14:textId="788F850C" w:rsidR="00015492" w:rsidRPr="00255081" w:rsidRDefault="00015492" w:rsidP="000A1B05">
            <w:pPr>
              <w:spacing w:after="120" w:line="240" w:lineRule="auto"/>
              <w:jc w:val="right"/>
              <w:rPr>
                <w:rFonts w:ascii="Montserrat" w:eastAsia="Times New Roman" w:hAnsi="Montserrat" w:cs="Calibri"/>
                <w:color w:val="000000"/>
                <w:sz w:val="15"/>
                <w:szCs w:val="15"/>
                <w:lang w:eastAsia="es-MX"/>
              </w:rPr>
            </w:pPr>
            <w:r w:rsidRPr="00255081">
              <w:rPr>
                <w:rFonts w:ascii="Montserrat" w:eastAsia="Times New Roman" w:hAnsi="Montserrat" w:cs="Calibri"/>
                <w:sz w:val="15"/>
                <w:szCs w:val="15"/>
                <w:lang w:eastAsia="es-MX"/>
              </w:rPr>
              <w:t>150,819,805</w:t>
            </w:r>
          </w:p>
        </w:tc>
      </w:tr>
      <w:tr w:rsidR="00015492" w:rsidRPr="00995308" w14:paraId="1635056E" w14:textId="77777777" w:rsidTr="000F03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0"/>
          <w:jc w:val="center"/>
        </w:trPr>
        <w:tc>
          <w:tcPr>
            <w:tcW w:w="5583" w:type="dxa"/>
            <w:shd w:val="clear" w:color="000000" w:fill="F2F2F2"/>
            <w:vAlign w:val="center"/>
          </w:tcPr>
          <w:p w14:paraId="0F151566" w14:textId="34F01A0B" w:rsidR="00015492" w:rsidRPr="00255081" w:rsidRDefault="00015492" w:rsidP="004B170A">
            <w:pPr>
              <w:spacing w:after="120" w:line="240" w:lineRule="auto"/>
              <w:jc w:val="both"/>
              <w:rPr>
                <w:rFonts w:ascii="Montserrat" w:eastAsia="Times New Roman" w:hAnsi="Montserrat" w:cs="Calibri"/>
                <w:color w:val="000000"/>
                <w:sz w:val="15"/>
                <w:szCs w:val="15"/>
                <w:lang w:eastAsia="es-MX"/>
              </w:rPr>
            </w:pPr>
            <w:r w:rsidRPr="00255081">
              <w:rPr>
                <w:rFonts w:ascii="Montserrat" w:eastAsia="Times New Roman" w:hAnsi="Montserrat" w:cs="Calibri"/>
                <w:sz w:val="15"/>
                <w:szCs w:val="15"/>
                <w:lang w:eastAsia="es-MX"/>
              </w:rPr>
              <w:t>El Colegio de Michoacán, A.C.</w:t>
            </w:r>
          </w:p>
        </w:tc>
        <w:tc>
          <w:tcPr>
            <w:tcW w:w="2463" w:type="dxa"/>
            <w:shd w:val="clear" w:color="000000" w:fill="F2F2F2"/>
            <w:noWrap/>
            <w:vAlign w:val="center"/>
          </w:tcPr>
          <w:p w14:paraId="36E2B403" w14:textId="7A23D50F" w:rsidR="00015492" w:rsidRPr="00255081" w:rsidRDefault="00015492" w:rsidP="000A1B05">
            <w:pPr>
              <w:spacing w:after="120" w:line="240" w:lineRule="auto"/>
              <w:jc w:val="right"/>
              <w:rPr>
                <w:rFonts w:ascii="Montserrat" w:eastAsia="Times New Roman" w:hAnsi="Montserrat" w:cs="Calibri"/>
                <w:color w:val="000000"/>
                <w:sz w:val="15"/>
                <w:szCs w:val="15"/>
                <w:lang w:eastAsia="es-MX"/>
              </w:rPr>
            </w:pPr>
            <w:r w:rsidRPr="00255081">
              <w:rPr>
                <w:rFonts w:ascii="Montserrat" w:eastAsia="Times New Roman" w:hAnsi="Montserrat" w:cs="Calibri"/>
                <w:sz w:val="15"/>
                <w:szCs w:val="15"/>
                <w:lang w:eastAsia="es-MX"/>
              </w:rPr>
              <w:t>79,470,016</w:t>
            </w:r>
          </w:p>
        </w:tc>
        <w:tc>
          <w:tcPr>
            <w:tcW w:w="1192" w:type="dxa"/>
            <w:shd w:val="clear" w:color="000000" w:fill="F2F2F2"/>
            <w:noWrap/>
            <w:vAlign w:val="center"/>
          </w:tcPr>
          <w:p w14:paraId="32209548" w14:textId="4BB1A213" w:rsidR="00015492" w:rsidRPr="00255081" w:rsidRDefault="00015492" w:rsidP="000A1B05">
            <w:pPr>
              <w:spacing w:after="120" w:line="240" w:lineRule="auto"/>
              <w:jc w:val="right"/>
              <w:rPr>
                <w:rFonts w:ascii="Montserrat" w:eastAsia="Times New Roman" w:hAnsi="Montserrat" w:cs="Calibri"/>
                <w:color w:val="000000"/>
                <w:sz w:val="15"/>
                <w:szCs w:val="15"/>
                <w:lang w:eastAsia="es-MX"/>
              </w:rPr>
            </w:pPr>
            <w:r w:rsidRPr="00255081">
              <w:rPr>
                <w:rFonts w:ascii="Montserrat" w:eastAsia="Times New Roman" w:hAnsi="Montserrat" w:cs="Calibri"/>
                <w:sz w:val="15"/>
                <w:szCs w:val="15"/>
                <w:lang w:eastAsia="es-MX"/>
              </w:rPr>
              <w:t>100%</w:t>
            </w:r>
          </w:p>
        </w:tc>
        <w:tc>
          <w:tcPr>
            <w:tcW w:w="2558" w:type="dxa"/>
            <w:gridSpan w:val="2"/>
            <w:shd w:val="clear" w:color="000000" w:fill="F2F2F2"/>
            <w:noWrap/>
            <w:vAlign w:val="center"/>
          </w:tcPr>
          <w:p w14:paraId="270BBBDB" w14:textId="78A39608" w:rsidR="00015492" w:rsidRPr="00255081" w:rsidRDefault="00015492" w:rsidP="000A1B05">
            <w:pPr>
              <w:spacing w:after="120" w:line="240" w:lineRule="auto"/>
              <w:jc w:val="right"/>
              <w:rPr>
                <w:rFonts w:ascii="Montserrat" w:eastAsia="Times New Roman" w:hAnsi="Montserrat" w:cs="Calibri"/>
                <w:color w:val="000000"/>
                <w:sz w:val="15"/>
                <w:szCs w:val="15"/>
                <w:lang w:eastAsia="es-MX"/>
              </w:rPr>
            </w:pPr>
            <w:r w:rsidRPr="00255081">
              <w:rPr>
                <w:rFonts w:ascii="Montserrat" w:eastAsia="Times New Roman" w:hAnsi="Montserrat" w:cs="Calibri"/>
                <w:sz w:val="15"/>
                <w:szCs w:val="15"/>
                <w:lang w:eastAsia="es-MX"/>
              </w:rPr>
              <w:t>79,470,016</w:t>
            </w:r>
          </w:p>
        </w:tc>
      </w:tr>
      <w:tr w:rsidR="00015492" w:rsidRPr="00995308" w14:paraId="2C0A4D9D" w14:textId="77777777" w:rsidTr="000F03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jc w:val="center"/>
        </w:trPr>
        <w:tc>
          <w:tcPr>
            <w:tcW w:w="5583" w:type="dxa"/>
            <w:shd w:val="clear" w:color="000000" w:fill="F2F2F2"/>
            <w:vAlign w:val="center"/>
          </w:tcPr>
          <w:p w14:paraId="0B1E13D9" w14:textId="6F039EA5" w:rsidR="00015492" w:rsidRPr="00255081" w:rsidRDefault="00015492" w:rsidP="004B170A">
            <w:pPr>
              <w:spacing w:after="120" w:line="240" w:lineRule="auto"/>
              <w:jc w:val="both"/>
              <w:rPr>
                <w:rFonts w:ascii="Montserrat" w:eastAsia="Times New Roman" w:hAnsi="Montserrat" w:cs="Calibri"/>
                <w:color w:val="000000"/>
                <w:sz w:val="15"/>
                <w:szCs w:val="15"/>
                <w:lang w:eastAsia="es-MX"/>
              </w:rPr>
            </w:pPr>
            <w:r w:rsidRPr="00255081">
              <w:rPr>
                <w:rFonts w:ascii="Montserrat" w:eastAsia="Times New Roman" w:hAnsi="Montserrat" w:cs="Calibri"/>
                <w:sz w:val="15"/>
                <w:szCs w:val="15"/>
                <w:lang w:eastAsia="es-MX"/>
              </w:rPr>
              <w:t>El Colegio de San Luis, A.C.</w:t>
            </w:r>
          </w:p>
        </w:tc>
        <w:tc>
          <w:tcPr>
            <w:tcW w:w="2463" w:type="dxa"/>
            <w:shd w:val="clear" w:color="000000" w:fill="F2F2F2"/>
            <w:noWrap/>
            <w:vAlign w:val="center"/>
          </w:tcPr>
          <w:p w14:paraId="1BEC18DE" w14:textId="78EA0431" w:rsidR="00015492" w:rsidRPr="00255081" w:rsidRDefault="00015492" w:rsidP="000A1B05">
            <w:pPr>
              <w:spacing w:after="120" w:line="240" w:lineRule="auto"/>
              <w:jc w:val="right"/>
              <w:rPr>
                <w:rFonts w:ascii="Montserrat" w:eastAsia="Times New Roman" w:hAnsi="Montserrat" w:cs="Calibri"/>
                <w:color w:val="000000"/>
                <w:sz w:val="15"/>
                <w:szCs w:val="15"/>
                <w:lang w:eastAsia="es-MX"/>
              </w:rPr>
            </w:pPr>
            <w:r w:rsidRPr="00255081">
              <w:rPr>
                <w:rFonts w:ascii="Montserrat" w:eastAsia="Times New Roman" w:hAnsi="Montserrat" w:cs="Calibri"/>
                <w:sz w:val="15"/>
                <w:szCs w:val="15"/>
                <w:lang w:eastAsia="es-MX"/>
              </w:rPr>
              <w:t>138,455,308</w:t>
            </w:r>
          </w:p>
        </w:tc>
        <w:tc>
          <w:tcPr>
            <w:tcW w:w="1192" w:type="dxa"/>
            <w:shd w:val="clear" w:color="000000" w:fill="F2F2F2"/>
            <w:noWrap/>
            <w:vAlign w:val="center"/>
          </w:tcPr>
          <w:p w14:paraId="4B82B67E" w14:textId="44AFCD80" w:rsidR="00015492" w:rsidRPr="00255081" w:rsidRDefault="00015492" w:rsidP="000A1B05">
            <w:pPr>
              <w:spacing w:after="120" w:line="240" w:lineRule="auto"/>
              <w:jc w:val="right"/>
              <w:rPr>
                <w:rFonts w:ascii="Montserrat" w:eastAsia="Times New Roman" w:hAnsi="Montserrat" w:cs="Calibri"/>
                <w:color w:val="000000"/>
                <w:sz w:val="15"/>
                <w:szCs w:val="15"/>
                <w:lang w:eastAsia="es-MX"/>
              </w:rPr>
            </w:pPr>
            <w:r w:rsidRPr="00255081">
              <w:rPr>
                <w:rFonts w:ascii="Montserrat" w:eastAsia="Times New Roman" w:hAnsi="Montserrat" w:cs="Calibri"/>
                <w:sz w:val="15"/>
                <w:szCs w:val="15"/>
                <w:lang w:eastAsia="es-MX"/>
              </w:rPr>
              <w:t>100%</w:t>
            </w:r>
          </w:p>
        </w:tc>
        <w:tc>
          <w:tcPr>
            <w:tcW w:w="2558" w:type="dxa"/>
            <w:gridSpan w:val="2"/>
            <w:shd w:val="clear" w:color="000000" w:fill="F2F2F2"/>
            <w:noWrap/>
            <w:vAlign w:val="center"/>
          </w:tcPr>
          <w:p w14:paraId="709FE24D" w14:textId="276B9186" w:rsidR="00015492" w:rsidRPr="00255081" w:rsidRDefault="00015492" w:rsidP="000A1B05">
            <w:pPr>
              <w:spacing w:after="120" w:line="240" w:lineRule="auto"/>
              <w:jc w:val="right"/>
              <w:rPr>
                <w:rFonts w:ascii="Montserrat" w:eastAsia="Times New Roman" w:hAnsi="Montserrat" w:cs="Calibri"/>
                <w:color w:val="000000"/>
                <w:sz w:val="15"/>
                <w:szCs w:val="15"/>
                <w:lang w:eastAsia="es-MX"/>
              </w:rPr>
            </w:pPr>
            <w:r w:rsidRPr="00255081">
              <w:rPr>
                <w:rFonts w:ascii="Montserrat" w:eastAsia="Times New Roman" w:hAnsi="Montserrat" w:cs="Calibri"/>
                <w:sz w:val="15"/>
                <w:szCs w:val="15"/>
                <w:lang w:eastAsia="es-MX"/>
              </w:rPr>
              <w:t>138,455,308</w:t>
            </w:r>
          </w:p>
        </w:tc>
      </w:tr>
      <w:tr w:rsidR="00015492" w:rsidRPr="00995308" w14:paraId="4D05B905" w14:textId="77777777" w:rsidTr="000F03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jc w:val="center"/>
        </w:trPr>
        <w:tc>
          <w:tcPr>
            <w:tcW w:w="5583" w:type="dxa"/>
            <w:shd w:val="clear" w:color="000000" w:fill="F2F2F2"/>
            <w:vAlign w:val="center"/>
          </w:tcPr>
          <w:p w14:paraId="22503AEE" w14:textId="64BA9C57" w:rsidR="00015492" w:rsidRPr="00255081" w:rsidRDefault="00015492" w:rsidP="004B170A">
            <w:pPr>
              <w:spacing w:after="120" w:line="240" w:lineRule="auto"/>
              <w:jc w:val="both"/>
              <w:rPr>
                <w:rFonts w:ascii="Montserrat" w:eastAsia="Times New Roman" w:hAnsi="Montserrat" w:cs="Calibri"/>
                <w:color w:val="000000"/>
                <w:sz w:val="15"/>
                <w:szCs w:val="15"/>
                <w:lang w:eastAsia="es-MX"/>
              </w:rPr>
            </w:pPr>
            <w:r w:rsidRPr="00255081">
              <w:rPr>
                <w:rFonts w:ascii="Montserrat" w:eastAsia="Times New Roman" w:hAnsi="Montserrat" w:cs="Calibri"/>
                <w:sz w:val="15"/>
                <w:szCs w:val="15"/>
                <w:lang w:eastAsia="es-MX"/>
              </w:rPr>
              <w:t>Fondo para el Desarrollo de Recursos Humanos</w:t>
            </w:r>
          </w:p>
        </w:tc>
        <w:tc>
          <w:tcPr>
            <w:tcW w:w="2463" w:type="dxa"/>
            <w:shd w:val="clear" w:color="000000" w:fill="F2F2F2"/>
            <w:noWrap/>
            <w:vAlign w:val="center"/>
          </w:tcPr>
          <w:p w14:paraId="7AF18D75" w14:textId="660CAD90" w:rsidR="00015492" w:rsidRPr="00255081" w:rsidRDefault="00015492" w:rsidP="000A1B05">
            <w:pPr>
              <w:spacing w:after="120" w:line="240" w:lineRule="auto"/>
              <w:jc w:val="right"/>
              <w:rPr>
                <w:rFonts w:ascii="Montserrat" w:eastAsia="Times New Roman" w:hAnsi="Montserrat" w:cs="Calibri"/>
                <w:color w:val="000000"/>
                <w:sz w:val="15"/>
                <w:szCs w:val="15"/>
                <w:lang w:eastAsia="es-MX"/>
              </w:rPr>
            </w:pPr>
            <w:r w:rsidRPr="00255081">
              <w:rPr>
                <w:rFonts w:ascii="Montserrat" w:eastAsia="Times New Roman" w:hAnsi="Montserrat" w:cs="Calibri"/>
                <w:sz w:val="15"/>
                <w:szCs w:val="15"/>
                <w:lang w:eastAsia="es-MX"/>
              </w:rPr>
              <w:t>1,255,047,262</w:t>
            </w:r>
          </w:p>
        </w:tc>
        <w:tc>
          <w:tcPr>
            <w:tcW w:w="1192" w:type="dxa"/>
            <w:shd w:val="clear" w:color="000000" w:fill="F2F2F2"/>
            <w:noWrap/>
            <w:vAlign w:val="center"/>
          </w:tcPr>
          <w:p w14:paraId="1FCCA8E8" w14:textId="0F6B661A" w:rsidR="00015492" w:rsidRPr="00255081" w:rsidRDefault="00015492" w:rsidP="000A1B05">
            <w:pPr>
              <w:spacing w:after="120" w:line="240" w:lineRule="auto"/>
              <w:jc w:val="right"/>
              <w:rPr>
                <w:rFonts w:ascii="Montserrat" w:eastAsia="Times New Roman" w:hAnsi="Montserrat" w:cs="Calibri"/>
                <w:color w:val="000000"/>
                <w:sz w:val="15"/>
                <w:szCs w:val="15"/>
                <w:lang w:eastAsia="es-MX"/>
              </w:rPr>
            </w:pPr>
            <w:r w:rsidRPr="00255081">
              <w:rPr>
                <w:rFonts w:ascii="Montserrat" w:eastAsia="Times New Roman" w:hAnsi="Montserrat" w:cs="Calibri"/>
                <w:sz w:val="15"/>
                <w:szCs w:val="15"/>
                <w:lang w:eastAsia="es-MX"/>
              </w:rPr>
              <w:t>100%</w:t>
            </w:r>
          </w:p>
        </w:tc>
        <w:tc>
          <w:tcPr>
            <w:tcW w:w="2558" w:type="dxa"/>
            <w:gridSpan w:val="2"/>
            <w:shd w:val="clear" w:color="000000" w:fill="F2F2F2"/>
            <w:noWrap/>
            <w:vAlign w:val="center"/>
          </w:tcPr>
          <w:p w14:paraId="0978993C" w14:textId="26389F6E" w:rsidR="00015492" w:rsidRPr="00255081" w:rsidRDefault="00015492" w:rsidP="000A1B05">
            <w:pPr>
              <w:spacing w:after="120" w:line="240" w:lineRule="auto"/>
              <w:jc w:val="right"/>
              <w:rPr>
                <w:rFonts w:ascii="Montserrat" w:eastAsia="Times New Roman" w:hAnsi="Montserrat" w:cs="Calibri"/>
                <w:color w:val="000000"/>
                <w:sz w:val="15"/>
                <w:szCs w:val="15"/>
                <w:lang w:eastAsia="es-MX"/>
              </w:rPr>
            </w:pPr>
            <w:r w:rsidRPr="00255081">
              <w:rPr>
                <w:rFonts w:ascii="Montserrat" w:eastAsia="Times New Roman" w:hAnsi="Montserrat" w:cs="Calibri"/>
                <w:sz w:val="15"/>
                <w:szCs w:val="15"/>
                <w:lang w:eastAsia="es-MX"/>
              </w:rPr>
              <w:t>1,255,047,262</w:t>
            </w:r>
          </w:p>
        </w:tc>
      </w:tr>
      <w:tr w:rsidR="00015492" w:rsidRPr="00995308" w14:paraId="1AD843AE" w14:textId="77777777" w:rsidTr="000F03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jc w:val="center"/>
        </w:trPr>
        <w:tc>
          <w:tcPr>
            <w:tcW w:w="5583" w:type="dxa"/>
            <w:shd w:val="clear" w:color="000000" w:fill="F2F2F2"/>
            <w:vAlign w:val="center"/>
          </w:tcPr>
          <w:p w14:paraId="6F97CF67" w14:textId="65490A56" w:rsidR="00015492" w:rsidRPr="00255081" w:rsidRDefault="00015492" w:rsidP="004B170A">
            <w:pPr>
              <w:spacing w:after="120" w:line="240" w:lineRule="auto"/>
              <w:jc w:val="both"/>
              <w:rPr>
                <w:rFonts w:ascii="Montserrat" w:eastAsia="Times New Roman" w:hAnsi="Montserrat" w:cs="Calibri"/>
                <w:color w:val="000000"/>
                <w:sz w:val="15"/>
                <w:szCs w:val="15"/>
                <w:lang w:eastAsia="es-MX"/>
              </w:rPr>
            </w:pPr>
            <w:r w:rsidRPr="00255081">
              <w:rPr>
                <w:rFonts w:ascii="Montserrat" w:eastAsia="Times New Roman" w:hAnsi="Montserrat" w:cs="Calibri"/>
                <w:sz w:val="15"/>
                <w:szCs w:val="15"/>
                <w:lang w:eastAsia="es-MX"/>
              </w:rPr>
              <w:t>INFOTEC Centro de Investigación e Innovación en Tecnologías de la Información y Comunicación</w:t>
            </w:r>
          </w:p>
        </w:tc>
        <w:tc>
          <w:tcPr>
            <w:tcW w:w="2463" w:type="dxa"/>
            <w:shd w:val="clear" w:color="000000" w:fill="F2F2F2"/>
            <w:noWrap/>
            <w:vAlign w:val="center"/>
          </w:tcPr>
          <w:p w14:paraId="2DFC9369" w14:textId="3E1E7B1B" w:rsidR="00015492" w:rsidRPr="00255081" w:rsidRDefault="00015492" w:rsidP="000A1B05">
            <w:pPr>
              <w:spacing w:after="120" w:line="240" w:lineRule="auto"/>
              <w:jc w:val="right"/>
              <w:rPr>
                <w:rFonts w:ascii="Montserrat" w:eastAsia="Times New Roman" w:hAnsi="Montserrat" w:cs="Calibri"/>
                <w:color w:val="000000"/>
                <w:sz w:val="15"/>
                <w:szCs w:val="15"/>
                <w:lang w:eastAsia="es-MX"/>
              </w:rPr>
            </w:pPr>
            <w:r w:rsidRPr="00255081">
              <w:rPr>
                <w:rFonts w:ascii="Montserrat" w:eastAsia="Times New Roman" w:hAnsi="Montserrat" w:cs="Calibri"/>
                <w:sz w:val="15"/>
                <w:szCs w:val="15"/>
                <w:lang w:eastAsia="es-MX"/>
              </w:rPr>
              <w:t>287,356,378</w:t>
            </w:r>
          </w:p>
        </w:tc>
        <w:tc>
          <w:tcPr>
            <w:tcW w:w="1192" w:type="dxa"/>
            <w:shd w:val="clear" w:color="000000" w:fill="F2F2F2"/>
            <w:noWrap/>
            <w:vAlign w:val="center"/>
          </w:tcPr>
          <w:p w14:paraId="4DAFF9B0" w14:textId="326589EF" w:rsidR="00015492" w:rsidRPr="00255081" w:rsidRDefault="00015492" w:rsidP="000A1B05">
            <w:pPr>
              <w:spacing w:after="120" w:line="240" w:lineRule="auto"/>
              <w:jc w:val="right"/>
              <w:rPr>
                <w:rFonts w:ascii="Montserrat" w:eastAsia="Times New Roman" w:hAnsi="Montserrat" w:cs="Calibri"/>
                <w:color w:val="000000"/>
                <w:sz w:val="15"/>
                <w:szCs w:val="15"/>
                <w:lang w:eastAsia="es-MX"/>
              </w:rPr>
            </w:pPr>
            <w:r w:rsidRPr="00255081">
              <w:rPr>
                <w:rFonts w:ascii="Montserrat" w:eastAsia="Times New Roman" w:hAnsi="Montserrat" w:cs="Calibri"/>
                <w:sz w:val="15"/>
                <w:szCs w:val="15"/>
                <w:lang w:eastAsia="es-MX"/>
              </w:rPr>
              <w:t>100%</w:t>
            </w:r>
          </w:p>
        </w:tc>
        <w:tc>
          <w:tcPr>
            <w:tcW w:w="2558" w:type="dxa"/>
            <w:gridSpan w:val="2"/>
            <w:shd w:val="clear" w:color="000000" w:fill="F2F2F2"/>
            <w:noWrap/>
            <w:vAlign w:val="center"/>
          </w:tcPr>
          <w:p w14:paraId="730AA6E8" w14:textId="7C696877" w:rsidR="00015492" w:rsidRPr="00255081" w:rsidRDefault="00015492" w:rsidP="000A1B05">
            <w:pPr>
              <w:spacing w:after="120" w:line="240" w:lineRule="auto"/>
              <w:jc w:val="right"/>
              <w:rPr>
                <w:rFonts w:ascii="Montserrat" w:eastAsia="Times New Roman" w:hAnsi="Montserrat" w:cs="Calibri"/>
                <w:color w:val="000000"/>
                <w:sz w:val="15"/>
                <w:szCs w:val="15"/>
                <w:lang w:eastAsia="es-MX"/>
              </w:rPr>
            </w:pPr>
            <w:r w:rsidRPr="00255081">
              <w:rPr>
                <w:rFonts w:ascii="Montserrat" w:eastAsia="Times New Roman" w:hAnsi="Montserrat" w:cs="Calibri"/>
                <w:sz w:val="15"/>
                <w:szCs w:val="15"/>
                <w:lang w:eastAsia="es-MX"/>
              </w:rPr>
              <w:t>287,356,378</w:t>
            </w:r>
          </w:p>
        </w:tc>
      </w:tr>
      <w:tr w:rsidR="00015492" w:rsidRPr="00995308" w14:paraId="5B10C3C1" w14:textId="77777777" w:rsidTr="000F03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jc w:val="center"/>
        </w:trPr>
        <w:tc>
          <w:tcPr>
            <w:tcW w:w="5583" w:type="dxa"/>
            <w:shd w:val="clear" w:color="000000" w:fill="F2F2F2"/>
            <w:vAlign w:val="center"/>
          </w:tcPr>
          <w:p w14:paraId="75A91824" w14:textId="237C0600" w:rsidR="00015492" w:rsidRPr="00255081" w:rsidRDefault="00015492" w:rsidP="004B170A">
            <w:pPr>
              <w:spacing w:after="120" w:line="240" w:lineRule="auto"/>
              <w:jc w:val="both"/>
              <w:rPr>
                <w:rFonts w:ascii="Montserrat" w:eastAsia="Times New Roman" w:hAnsi="Montserrat" w:cs="Calibri"/>
                <w:color w:val="000000"/>
                <w:sz w:val="15"/>
                <w:szCs w:val="15"/>
                <w:lang w:eastAsia="es-MX"/>
              </w:rPr>
            </w:pPr>
            <w:r w:rsidRPr="00255081">
              <w:rPr>
                <w:rFonts w:ascii="Montserrat" w:eastAsia="Times New Roman" w:hAnsi="Montserrat" w:cs="Calibri"/>
                <w:sz w:val="15"/>
                <w:szCs w:val="15"/>
                <w:lang w:eastAsia="es-MX"/>
              </w:rPr>
              <w:t>Instituto de Ecología, A.C.</w:t>
            </w:r>
          </w:p>
        </w:tc>
        <w:tc>
          <w:tcPr>
            <w:tcW w:w="2463" w:type="dxa"/>
            <w:shd w:val="clear" w:color="000000" w:fill="F2F2F2"/>
            <w:noWrap/>
            <w:vAlign w:val="center"/>
          </w:tcPr>
          <w:p w14:paraId="7310042D" w14:textId="67FEE645" w:rsidR="00015492" w:rsidRPr="00255081" w:rsidRDefault="00015492" w:rsidP="000A1B05">
            <w:pPr>
              <w:spacing w:after="120" w:line="240" w:lineRule="auto"/>
              <w:jc w:val="right"/>
              <w:rPr>
                <w:rFonts w:ascii="Montserrat" w:eastAsia="Times New Roman" w:hAnsi="Montserrat" w:cs="Calibri"/>
                <w:color w:val="000000"/>
                <w:sz w:val="15"/>
                <w:szCs w:val="15"/>
                <w:lang w:eastAsia="es-MX"/>
              </w:rPr>
            </w:pPr>
            <w:r w:rsidRPr="00255081">
              <w:rPr>
                <w:rFonts w:ascii="Montserrat" w:eastAsia="Times New Roman" w:hAnsi="Montserrat" w:cs="Calibri"/>
                <w:sz w:val="15"/>
                <w:szCs w:val="15"/>
                <w:lang w:eastAsia="es-MX"/>
              </w:rPr>
              <w:t>577,513,078</w:t>
            </w:r>
          </w:p>
        </w:tc>
        <w:tc>
          <w:tcPr>
            <w:tcW w:w="1192" w:type="dxa"/>
            <w:shd w:val="clear" w:color="000000" w:fill="F2F2F2"/>
            <w:noWrap/>
            <w:vAlign w:val="center"/>
          </w:tcPr>
          <w:p w14:paraId="487D3027" w14:textId="38D4CEB7" w:rsidR="00015492" w:rsidRPr="00255081" w:rsidRDefault="00015492" w:rsidP="000A1B05">
            <w:pPr>
              <w:spacing w:after="120" w:line="240" w:lineRule="auto"/>
              <w:jc w:val="right"/>
              <w:rPr>
                <w:rFonts w:ascii="Montserrat" w:eastAsia="Times New Roman" w:hAnsi="Montserrat" w:cs="Calibri"/>
                <w:color w:val="000000"/>
                <w:sz w:val="15"/>
                <w:szCs w:val="15"/>
                <w:lang w:eastAsia="es-MX"/>
              </w:rPr>
            </w:pPr>
            <w:r w:rsidRPr="00255081">
              <w:rPr>
                <w:rFonts w:ascii="Montserrat" w:eastAsia="Times New Roman" w:hAnsi="Montserrat" w:cs="Calibri"/>
                <w:sz w:val="15"/>
                <w:szCs w:val="15"/>
                <w:lang w:eastAsia="es-MX"/>
              </w:rPr>
              <w:t>100%</w:t>
            </w:r>
          </w:p>
        </w:tc>
        <w:tc>
          <w:tcPr>
            <w:tcW w:w="2558" w:type="dxa"/>
            <w:gridSpan w:val="2"/>
            <w:shd w:val="clear" w:color="000000" w:fill="F2F2F2"/>
            <w:noWrap/>
            <w:vAlign w:val="center"/>
          </w:tcPr>
          <w:p w14:paraId="05AD211D" w14:textId="570B20AA" w:rsidR="00015492" w:rsidRPr="00255081" w:rsidRDefault="00015492" w:rsidP="000A1B05">
            <w:pPr>
              <w:spacing w:after="120" w:line="240" w:lineRule="auto"/>
              <w:jc w:val="right"/>
              <w:rPr>
                <w:rFonts w:ascii="Montserrat" w:eastAsia="Times New Roman" w:hAnsi="Montserrat" w:cs="Calibri"/>
                <w:color w:val="000000"/>
                <w:sz w:val="15"/>
                <w:szCs w:val="15"/>
                <w:lang w:eastAsia="es-MX"/>
              </w:rPr>
            </w:pPr>
            <w:r w:rsidRPr="00255081">
              <w:rPr>
                <w:rFonts w:ascii="Montserrat" w:eastAsia="Times New Roman" w:hAnsi="Montserrat" w:cs="Calibri"/>
                <w:sz w:val="15"/>
                <w:szCs w:val="15"/>
                <w:lang w:eastAsia="es-MX"/>
              </w:rPr>
              <w:t>577,513,078</w:t>
            </w:r>
          </w:p>
        </w:tc>
      </w:tr>
      <w:tr w:rsidR="00015492" w:rsidRPr="00995308" w14:paraId="00F8F1FC" w14:textId="77777777" w:rsidTr="000F03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jc w:val="center"/>
        </w:trPr>
        <w:tc>
          <w:tcPr>
            <w:tcW w:w="5583" w:type="dxa"/>
            <w:shd w:val="clear" w:color="000000" w:fill="F2F2F2"/>
            <w:vAlign w:val="center"/>
          </w:tcPr>
          <w:p w14:paraId="2D32B335" w14:textId="60F0FFF5" w:rsidR="00015492" w:rsidRPr="00255081" w:rsidRDefault="00015492" w:rsidP="004B170A">
            <w:pPr>
              <w:spacing w:after="120" w:line="240" w:lineRule="auto"/>
              <w:jc w:val="both"/>
              <w:rPr>
                <w:rFonts w:ascii="Montserrat" w:eastAsia="Times New Roman" w:hAnsi="Montserrat" w:cs="Calibri"/>
                <w:color w:val="000000"/>
                <w:sz w:val="15"/>
                <w:szCs w:val="15"/>
                <w:lang w:eastAsia="es-MX"/>
              </w:rPr>
            </w:pPr>
            <w:r w:rsidRPr="00255081">
              <w:rPr>
                <w:rFonts w:ascii="Montserrat" w:eastAsia="Times New Roman" w:hAnsi="Montserrat" w:cs="Calibri"/>
                <w:sz w:val="15"/>
                <w:szCs w:val="15"/>
                <w:lang w:eastAsia="es-MX"/>
              </w:rPr>
              <w:t>Instituto de Investigaciones "Dr. José María Luis Mora"</w:t>
            </w:r>
          </w:p>
        </w:tc>
        <w:tc>
          <w:tcPr>
            <w:tcW w:w="2463" w:type="dxa"/>
            <w:shd w:val="clear" w:color="000000" w:fill="F2F2F2"/>
            <w:noWrap/>
            <w:vAlign w:val="center"/>
          </w:tcPr>
          <w:p w14:paraId="0D11C7E8" w14:textId="189850EB" w:rsidR="00015492" w:rsidRPr="00255081" w:rsidRDefault="00015492" w:rsidP="000A1B05">
            <w:pPr>
              <w:spacing w:after="120" w:line="240" w:lineRule="auto"/>
              <w:jc w:val="right"/>
              <w:rPr>
                <w:rFonts w:ascii="Montserrat" w:eastAsia="Times New Roman" w:hAnsi="Montserrat" w:cs="Calibri"/>
                <w:color w:val="000000"/>
                <w:sz w:val="15"/>
                <w:szCs w:val="15"/>
                <w:lang w:eastAsia="es-MX"/>
              </w:rPr>
            </w:pPr>
            <w:r w:rsidRPr="00255081">
              <w:rPr>
                <w:rFonts w:ascii="Montserrat" w:eastAsia="Times New Roman" w:hAnsi="Montserrat" w:cs="Calibri"/>
                <w:sz w:val="15"/>
                <w:szCs w:val="15"/>
                <w:lang w:eastAsia="es-MX"/>
              </w:rPr>
              <w:t>194,806,527</w:t>
            </w:r>
          </w:p>
        </w:tc>
        <w:tc>
          <w:tcPr>
            <w:tcW w:w="1192" w:type="dxa"/>
            <w:shd w:val="clear" w:color="000000" w:fill="F2F2F2"/>
            <w:noWrap/>
            <w:vAlign w:val="center"/>
          </w:tcPr>
          <w:p w14:paraId="7E2EC5FA" w14:textId="266504F7" w:rsidR="00015492" w:rsidRPr="00255081" w:rsidRDefault="00015492" w:rsidP="000A1B05">
            <w:pPr>
              <w:spacing w:after="120" w:line="240" w:lineRule="auto"/>
              <w:jc w:val="right"/>
              <w:rPr>
                <w:rFonts w:ascii="Montserrat" w:eastAsia="Times New Roman" w:hAnsi="Montserrat" w:cs="Calibri"/>
                <w:color w:val="000000"/>
                <w:sz w:val="15"/>
                <w:szCs w:val="15"/>
                <w:lang w:eastAsia="es-MX"/>
              </w:rPr>
            </w:pPr>
            <w:r w:rsidRPr="00255081">
              <w:rPr>
                <w:rFonts w:ascii="Montserrat" w:eastAsia="Times New Roman" w:hAnsi="Montserrat" w:cs="Calibri"/>
                <w:sz w:val="15"/>
                <w:szCs w:val="15"/>
                <w:lang w:eastAsia="es-MX"/>
              </w:rPr>
              <w:t>100%</w:t>
            </w:r>
          </w:p>
        </w:tc>
        <w:tc>
          <w:tcPr>
            <w:tcW w:w="2558" w:type="dxa"/>
            <w:gridSpan w:val="2"/>
            <w:shd w:val="clear" w:color="000000" w:fill="F2F2F2"/>
            <w:noWrap/>
            <w:vAlign w:val="center"/>
          </w:tcPr>
          <w:p w14:paraId="636DF896" w14:textId="0C7C370C" w:rsidR="00015492" w:rsidRPr="00255081" w:rsidRDefault="00015492" w:rsidP="000A1B05">
            <w:pPr>
              <w:spacing w:after="120" w:line="240" w:lineRule="auto"/>
              <w:jc w:val="right"/>
              <w:rPr>
                <w:rFonts w:ascii="Montserrat" w:eastAsia="Times New Roman" w:hAnsi="Montserrat" w:cs="Calibri"/>
                <w:color w:val="000000"/>
                <w:sz w:val="15"/>
                <w:szCs w:val="15"/>
                <w:lang w:eastAsia="es-MX"/>
              </w:rPr>
            </w:pPr>
            <w:r w:rsidRPr="00255081">
              <w:rPr>
                <w:rFonts w:ascii="Montserrat" w:eastAsia="Times New Roman" w:hAnsi="Montserrat" w:cs="Calibri"/>
                <w:sz w:val="15"/>
                <w:szCs w:val="15"/>
                <w:lang w:eastAsia="es-MX"/>
              </w:rPr>
              <w:t>194,806,527</w:t>
            </w:r>
          </w:p>
        </w:tc>
      </w:tr>
      <w:tr w:rsidR="00015492" w:rsidRPr="00995308" w14:paraId="7A0671BC" w14:textId="77777777" w:rsidTr="000F03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jc w:val="center"/>
        </w:trPr>
        <w:tc>
          <w:tcPr>
            <w:tcW w:w="5583" w:type="dxa"/>
            <w:shd w:val="clear" w:color="000000" w:fill="F2F2F2"/>
            <w:vAlign w:val="center"/>
          </w:tcPr>
          <w:p w14:paraId="6967F3D6" w14:textId="14588D7F" w:rsidR="00015492" w:rsidRPr="00255081" w:rsidRDefault="00015492" w:rsidP="004B170A">
            <w:pPr>
              <w:spacing w:after="120" w:line="240" w:lineRule="auto"/>
              <w:jc w:val="both"/>
              <w:rPr>
                <w:rFonts w:ascii="Montserrat" w:eastAsia="Times New Roman" w:hAnsi="Montserrat" w:cs="Calibri"/>
                <w:color w:val="000000"/>
                <w:sz w:val="15"/>
                <w:szCs w:val="15"/>
                <w:lang w:eastAsia="es-MX"/>
              </w:rPr>
            </w:pPr>
            <w:r w:rsidRPr="00255081">
              <w:rPr>
                <w:rFonts w:ascii="Montserrat" w:eastAsia="Times New Roman" w:hAnsi="Montserrat" w:cs="Calibri"/>
                <w:sz w:val="15"/>
                <w:szCs w:val="15"/>
                <w:lang w:eastAsia="es-MX"/>
              </w:rPr>
              <w:t>Instituto Nacional de Astrofísica, Óptica y Electrónica</w:t>
            </w:r>
          </w:p>
        </w:tc>
        <w:tc>
          <w:tcPr>
            <w:tcW w:w="2463" w:type="dxa"/>
            <w:shd w:val="clear" w:color="000000" w:fill="F2F2F2"/>
            <w:noWrap/>
            <w:vAlign w:val="center"/>
          </w:tcPr>
          <w:p w14:paraId="540247C9" w14:textId="2438F537" w:rsidR="00015492" w:rsidRPr="00255081" w:rsidRDefault="00015492" w:rsidP="000A1B05">
            <w:pPr>
              <w:spacing w:after="120" w:line="240" w:lineRule="auto"/>
              <w:jc w:val="right"/>
              <w:rPr>
                <w:rFonts w:ascii="Montserrat" w:eastAsia="Times New Roman" w:hAnsi="Montserrat" w:cs="Calibri"/>
                <w:color w:val="000000"/>
                <w:sz w:val="15"/>
                <w:szCs w:val="15"/>
                <w:lang w:eastAsia="es-MX"/>
              </w:rPr>
            </w:pPr>
            <w:r w:rsidRPr="00255081">
              <w:rPr>
                <w:rFonts w:ascii="Montserrat" w:eastAsia="Times New Roman" w:hAnsi="Montserrat" w:cs="Calibri"/>
                <w:sz w:val="15"/>
                <w:szCs w:val="15"/>
                <w:lang w:eastAsia="es-MX"/>
              </w:rPr>
              <w:t>2,079,383,310</w:t>
            </w:r>
          </w:p>
        </w:tc>
        <w:tc>
          <w:tcPr>
            <w:tcW w:w="1192" w:type="dxa"/>
            <w:shd w:val="clear" w:color="000000" w:fill="F2F2F2"/>
            <w:noWrap/>
            <w:vAlign w:val="center"/>
          </w:tcPr>
          <w:p w14:paraId="7688D6AA" w14:textId="3823FBAC" w:rsidR="00015492" w:rsidRPr="00255081" w:rsidRDefault="00015492" w:rsidP="000A1B05">
            <w:pPr>
              <w:spacing w:after="120" w:line="240" w:lineRule="auto"/>
              <w:jc w:val="right"/>
              <w:rPr>
                <w:rFonts w:ascii="Montserrat" w:eastAsia="Times New Roman" w:hAnsi="Montserrat" w:cs="Calibri"/>
                <w:color w:val="000000"/>
                <w:sz w:val="15"/>
                <w:szCs w:val="15"/>
                <w:lang w:eastAsia="es-MX"/>
              </w:rPr>
            </w:pPr>
            <w:r w:rsidRPr="00255081">
              <w:rPr>
                <w:rFonts w:ascii="Montserrat" w:eastAsia="Times New Roman" w:hAnsi="Montserrat" w:cs="Calibri"/>
                <w:sz w:val="15"/>
                <w:szCs w:val="15"/>
                <w:lang w:eastAsia="es-MX"/>
              </w:rPr>
              <w:t>100%</w:t>
            </w:r>
          </w:p>
        </w:tc>
        <w:tc>
          <w:tcPr>
            <w:tcW w:w="2558" w:type="dxa"/>
            <w:gridSpan w:val="2"/>
            <w:shd w:val="clear" w:color="000000" w:fill="F2F2F2"/>
            <w:noWrap/>
            <w:vAlign w:val="center"/>
          </w:tcPr>
          <w:p w14:paraId="7AA02021" w14:textId="577AD444" w:rsidR="00015492" w:rsidRPr="00255081" w:rsidRDefault="00015492" w:rsidP="000A1B05">
            <w:pPr>
              <w:spacing w:after="120" w:line="240" w:lineRule="auto"/>
              <w:jc w:val="right"/>
              <w:rPr>
                <w:rFonts w:ascii="Montserrat" w:eastAsia="Times New Roman" w:hAnsi="Montserrat" w:cs="Calibri"/>
                <w:color w:val="000000"/>
                <w:sz w:val="15"/>
                <w:szCs w:val="15"/>
                <w:lang w:eastAsia="es-MX"/>
              </w:rPr>
            </w:pPr>
            <w:r w:rsidRPr="00255081">
              <w:rPr>
                <w:rFonts w:ascii="Montserrat" w:eastAsia="Times New Roman" w:hAnsi="Montserrat" w:cs="Calibri"/>
                <w:sz w:val="15"/>
                <w:szCs w:val="15"/>
                <w:lang w:eastAsia="es-MX"/>
              </w:rPr>
              <w:t>2,079,383,310</w:t>
            </w:r>
          </w:p>
        </w:tc>
      </w:tr>
      <w:tr w:rsidR="00015492" w:rsidRPr="00995308" w14:paraId="4C5199C7" w14:textId="77777777" w:rsidTr="000F03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0"/>
          <w:jc w:val="center"/>
        </w:trPr>
        <w:tc>
          <w:tcPr>
            <w:tcW w:w="5583" w:type="dxa"/>
            <w:shd w:val="clear" w:color="000000" w:fill="F2F2F2"/>
            <w:vAlign w:val="center"/>
          </w:tcPr>
          <w:p w14:paraId="64462CC2" w14:textId="6C65E8D3" w:rsidR="00015492" w:rsidRPr="00255081" w:rsidRDefault="00015492" w:rsidP="004B170A">
            <w:pPr>
              <w:spacing w:after="120" w:line="240" w:lineRule="auto"/>
              <w:jc w:val="both"/>
              <w:rPr>
                <w:rFonts w:ascii="Montserrat" w:eastAsia="Times New Roman" w:hAnsi="Montserrat" w:cs="Calibri"/>
                <w:color w:val="000000"/>
                <w:sz w:val="15"/>
                <w:szCs w:val="15"/>
                <w:lang w:eastAsia="es-MX"/>
              </w:rPr>
            </w:pPr>
            <w:r w:rsidRPr="00255081">
              <w:rPr>
                <w:rFonts w:ascii="Montserrat" w:eastAsia="Times New Roman" w:hAnsi="Montserrat" w:cs="Calibri"/>
                <w:sz w:val="15"/>
                <w:szCs w:val="15"/>
                <w:lang w:eastAsia="es-MX"/>
              </w:rPr>
              <w:t>Instituto Potosino de Investigación Científica y Tecnológica, A.C.</w:t>
            </w:r>
          </w:p>
        </w:tc>
        <w:tc>
          <w:tcPr>
            <w:tcW w:w="2463" w:type="dxa"/>
            <w:shd w:val="clear" w:color="000000" w:fill="F2F2F2"/>
            <w:noWrap/>
            <w:vAlign w:val="center"/>
          </w:tcPr>
          <w:p w14:paraId="73300B3B" w14:textId="1CA1CD9B" w:rsidR="00015492" w:rsidRPr="00255081" w:rsidRDefault="00015492" w:rsidP="000A1B05">
            <w:pPr>
              <w:spacing w:after="120" w:line="240" w:lineRule="auto"/>
              <w:jc w:val="right"/>
              <w:rPr>
                <w:rFonts w:ascii="Montserrat" w:eastAsia="Times New Roman" w:hAnsi="Montserrat" w:cs="Calibri"/>
                <w:color w:val="000000"/>
                <w:sz w:val="15"/>
                <w:szCs w:val="15"/>
                <w:lang w:eastAsia="es-MX"/>
              </w:rPr>
            </w:pPr>
            <w:r w:rsidRPr="00255081">
              <w:rPr>
                <w:rFonts w:ascii="Montserrat" w:eastAsia="Times New Roman" w:hAnsi="Montserrat" w:cs="Calibri"/>
                <w:sz w:val="15"/>
                <w:szCs w:val="15"/>
                <w:lang w:eastAsia="es-MX"/>
              </w:rPr>
              <w:t>518,998,827</w:t>
            </w:r>
          </w:p>
        </w:tc>
        <w:tc>
          <w:tcPr>
            <w:tcW w:w="1192" w:type="dxa"/>
            <w:shd w:val="clear" w:color="000000" w:fill="F2F2F2"/>
            <w:noWrap/>
            <w:vAlign w:val="center"/>
          </w:tcPr>
          <w:p w14:paraId="152BC0D6" w14:textId="06597CF8" w:rsidR="00015492" w:rsidRPr="00255081" w:rsidRDefault="00015492" w:rsidP="000A1B05">
            <w:pPr>
              <w:spacing w:after="120" w:line="240" w:lineRule="auto"/>
              <w:jc w:val="right"/>
              <w:rPr>
                <w:rFonts w:ascii="Montserrat" w:eastAsia="Times New Roman" w:hAnsi="Montserrat" w:cs="Calibri"/>
                <w:color w:val="000000"/>
                <w:sz w:val="15"/>
                <w:szCs w:val="15"/>
                <w:lang w:eastAsia="es-MX"/>
              </w:rPr>
            </w:pPr>
            <w:r w:rsidRPr="00255081">
              <w:rPr>
                <w:rFonts w:ascii="Montserrat" w:eastAsia="Times New Roman" w:hAnsi="Montserrat" w:cs="Calibri"/>
                <w:sz w:val="15"/>
                <w:szCs w:val="15"/>
                <w:lang w:eastAsia="es-MX"/>
              </w:rPr>
              <w:t>100%</w:t>
            </w:r>
          </w:p>
        </w:tc>
        <w:tc>
          <w:tcPr>
            <w:tcW w:w="2558" w:type="dxa"/>
            <w:gridSpan w:val="2"/>
            <w:shd w:val="clear" w:color="000000" w:fill="F2F2F2"/>
            <w:noWrap/>
            <w:vAlign w:val="center"/>
          </w:tcPr>
          <w:p w14:paraId="4A918285" w14:textId="321BD869" w:rsidR="00015492" w:rsidRPr="00255081" w:rsidRDefault="00015492" w:rsidP="000A1B05">
            <w:pPr>
              <w:spacing w:after="120" w:line="240" w:lineRule="auto"/>
              <w:jc w:val="right"/>
              <w:rPr>
                <w:rFonts w:ascii="Montserrat" w:eastAsia="Times New Roman" w:hAnsi="Montserrat" w:cs="Calibri"/>
                <w:color w:val="000000"/>
                <w:sz w:val="15"/>
                <w:szCs w:val="15"/>
                <w:lang w:eastAsia="es-MX"/>
              </w:rPr>
            </w:pPr>
            <w:r w:rsidRPr="00255081">
              <w:rPr>
                <w:rFonts w:ascii="Montserrat" w:eastAsia="Times New Roman" w:hAnsi="Montserrat" w:cs="Calibri"/>
                <w:sz w:val="15"/>
                <w:szCs w:val="15"/>
                <w:lang w:eastAsia="es-MX"/>
              </w:rPr>
              <w:t>518,998,827</w:t>
            </w:r>
          </w:p>
        </w:tc>
      </w:tr>
      <w:tr w:rsidR="00015492" w:rsidRPr="00995308" w14:paraId="4AAACC20" w14:textId="77777777" w:rsidTr="000F03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jc w:val="center"/>
        </w:trPr>
        <w:tc>
          <w:tcPr>
            <w:tcW w:w="5583" w:type="dxa"/>
            <w:shd w:val="clear" w:color="000000" w:fill="F2F2F2"/>
            <w:vAlign w:val="center"/>
          </w:tcPr>
          <w:p w14:paraId="71854E64" w14:textId="4221018C" w:rsidR="00015492" w:rsidRPr="00255081" w:rsidRDefault="00015492" w:rsidP="004B170A">
            <w:pPr>
              <w:spacing w:after="120" w:line="240" w:lineRule="auto"/>
              <w:jc w:val="both"/>
              <w:rPr>
                <w:rFonts w:ascii="Montserrat" w:eastAsia="Times New Roman" w:hAnsi="Montserrat" w:cs="Calibri"/>
                <w:color w:val="000000"/>
                <w:sz w:val="15"/>
                <w:szCs w:val="15"/>
                <w:lang w:eastAsia="es-MX"/>
              </w:rPr>
            </w:pPr>
            <w:r w:rsidRPr="00255081">
              <w:rPr>
                <w:rFonts w:ascii="Montserrat" w:eastAsia="Times New Roman" w:hAnsi="Montserrat" w:cs="Calibri"/>
                <w:sz w:val="15"/>
                <w:szCs w:val="15"/>
                <w:lang w:eastAsia="es-MX"/>
              </w:rPr>
              <w:t>Corporación Mexicana de Investigación en Materiales, S.A. de C.V.</w:t>
            </w:r>
          </w:p>
        </w:tc>
        <w:tc>
          <w:tcPr>
            <w:tcW w:w="2463" w:type="dxa"/>
            <w:shd w:val="clear" w:color="000000" w:fill="F2F2F2"/>
            <w:noWrap/>
            <w:vAlign w:val="center"/>
          </w:tcPr>
          <w:p w14:paraId="221D5023" w14:textId="07451D06" w:rsidR="00015492" w:rsidRPr="00255081" w:rsidRDefault="00015492" w:rsidP="000A1B05">
            <w:pPr>
              <w:spacing w:after="120" w:line="240" w:lineRule="auto"/>
              <w:jc w:val="right"/>
              <w:rPr>
                <w:rFonts w:ascii="Montserrat" w:eastAsia="Times New Roman" w:hAnsi="Montserrat" w:cs="Calibri"/>
                <w:color w:val="000000"/>
                <w:sz w:val="15"/>
                <w:szCs w:val="15"/>
                <w:lang w:eastAsia="es-MX"/>
              </w:rPr>
            </w:pPr>
            <w:r w:rsidRPr="00255081">
              <w:rPr>
                <w:rFonts w:ascii="Montserrat" w:eastAsia="Times New Roman" w:hAnsi="Montserrat" w:cs="Calibri"/>
                <w:sz w:val="15"/>
                <w:szCs w:val="15"/>
                <w:lang w:eastAsia="es-MX"/>
              </w:rPr>
              <w:t>573,279,187</w:t>
            </w:r>
          </w:p>
        </w:tc>
        <w:tc>
          <w:tcPr>
            <w:tcW w:w="1192" w:type="dxa"/>
            <w:shd w:val="clear" w:color="000000" w:fill="F2F2F2"/>
            <w:noWrap/>
            <w:vAlign w:val="center"/>
          </w:tcPr>
          <w:p w14:paraId="5998014A" w14:textId="01771566" w:rsidR="00015492" w:rsidRPr="00255081" w:rsidRDefault="00015492" w:rsidP="000A1B05">
            <w:pPr>
              <w:spacing w:after="120" w:line="240" w:lineRule="auto"/>
              <w:jc w:val="right"/>
              <w:rPr>
                <w:rFonts w:ascii="Montserrat" w:eastAsia="Times New Roman" w:hAnsi="Montserrat" w:cs="Calibri"/>
                <w:color w:val="000000"/>
                <w:sz w:val="15"/>
                <w:szCs w:val="15"/>
                <w:lang w:eastAsia="es-MX"/>
              </w:rPr>
            </w:pPr>
            <w:r w:rsidRPr="00255081">
              <w:rPr>
                <w:rFonts w:ascii="Montserrat" w:eastAsia="Times New Roman" w:hAnsi="Montserrat" w:cs="Calibri"/>
                <w:sz w:val="15"/>
                <w:szCs w:val="15"/>
                <w:lang w:eastAsia="es-MX"/>
              </w:rPr>
              <w:t>100%</w:t>
            </w:r>
          </w:p>
        </w:tc>
        <w:tc>
          <w:tcPr>
            <w:tcW w:w="2558" w:type="dxa"/>
            <w:gridSpan w:val="2"/>
            <w:shd w:val="clear" w:color="000000" w:fill="F2F2F2"/>
            <w:noWrap/>
            <w:vAlign w:val="center"/>
          </w:tcPr>
          <w:p w14:paraId="37766506" w14:textId="507C8F98" w:rsidR="00015492" w:rsidRPr="00255081" w:rsidRDefault="00015492" w:rsidP="000A1B05">
            <w:pPr>
              <w:spacing w:after="120" w:line="240" w:lineRule="auto"/>
              <w:jc w:val="right"/>
              <w:rPr>
                <w:rFonts w:ascii="Montserrat" w:eastAsia="Times New Roman" w:hAnsi="Montserrat" w:cs="Calibri"/>
                <w:color w:val="000000"/>
                <w:sz w:val="15"/>
                <w:szCs w:val="15"/>
                <w:lang w:eastAsia="es-MX"/>
              </w:rPr>
            </w:pPr>
            <w:r w:rsidRPr="00255081">
              <w:rPr>
                <w:rFonts w:ascii="Montserrat" w:eastAsia="Times New Roman" w:hAnsi="Montserrat" w:cs="Calibri"/>
                <w:sz w:val="15"/>
                <w:szCs w:val="15"/>
                <w:lang w:eastAsia="es-MX"/>
              </w:rPr>
              <w:t>573,279,187</w:t>
            </w:r>
          </w:p>
        </w:tc>
      </w:tr>
      <w:tr w:rsidR="00015492" w:rsidRPr="00995308" w14:paraId="147852CA" w14:textId="77777777" w:rsidTr="000F03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jc w:val="center"/>
        </w:trPr>
        <w:tc>
          <w:tcPr>
            <w:tcW w:w="5583" w:type="dxa"/>
            <w:shd w:val="clear" w:color="000000" w:fill="F2F2F2"/>
            <w:vAlign w:val="center"/>
          </w:tcPr>
          <w:p w14:paraId="1565B747" w14:textId="559D9422" w:rsidR="00015492" w:rsidRPr="00255081" w:rsidRDefault="00015492" w:rsidP="004B170A">
            <w:pPr>
              <w:spacing w:after="120" w:line="240" w:lineRule="auto"/>
              <w:jc w:val="both"/>
              <w:rPr>
                <w:rFonts w:ascii="Montserrat" w:eastAsia="Times New Roman" w:hAnsi="Montserrat" w:cs="Calibri"/>
                <w:color w:val="000000"/>
                <w:sz w:val="15"/>
                <w:szCs w:val="15"/>
                <w:lang w:eastAsia="es-MX"/>
              </w:rPr>
            </w:pPr>
            <w:r w:rsidRPr="00255081">
              <w:rPr>
                <w:rFonts w:ascii="Montserrat" w:eastAsia="Times New Roman" w:hAnsi="Montserrat" w:cs="Calibri"/>
                <w:sz w:val="15"/>
                <w:szCs w:val="15"/>
                <w:lang w:eastAsia="es-MX"/>
              </w:rPr>
              <w:t>Comisión Nacional para el Desarrollo de los Pueblos Indígenas</w:t>
            </w:r>
          </w:p>
        </w:tc>
        <w:tc>
          <w:tcPr>
            <w:tcW w:w="2463" w:type="dxa"/>
            <w:shd w:val="clear" w:color="000000" w:fill="F2F2F2"/>
            <w:noWrap/>
            <w:vAlign w:val="center"/>
          </w:tcPr>
          <w:p w14:paraId="7A34D57D" w14:textId="1948C075" w:rsidR="00015492" w:rsidRPr="00255081" w:rsidRDefault="00015492" w:rsidP="000A1B05">
            <w:pPr>
              <w:spacing w:after="120" w:line="240" w:lineRule="auto"/>
              <w:jc w:val="right"/>
              <w:rPr>
                <w:rFonts w:ascii="Montserrat" w:eastAsia="Times New Roman" w:hAnsi="Montserrat" w:cs="Calibri"/>
                <w:color w:val="000000"/>
                <w:sz w:val="15"/>
                <w:szCs w:val="15"/>
                <w:lang w:eastAsia="es-MX"/>
              </w:rPr>
            </w:pPr>
            <w:r w:rsidRPr="00255081">
              <w:rPr>
                <w:rFonts w:ascii="Montserrat" w:eastAsia="Times New Roman" w:hAnsi="Montserrat" w:cs="Calibri"/>
                <w:sz w:val="15"/>
                <w:szCs w:val="15"/>
                <w:lang w:eastAsia="es-MX"/>
              </w:rPr>
              <w:t>1,100,018,059</w:t>
            </w:r>
          </w:p>
        </w:tc>
        <w:tc>
          <w:tcPr>
            <w:tcW w:w="1192" w:type="dxa"/>
            <w:shd w:val="clear" w:color="000000" w:fill="F2F2F2"/>
            <w:noWrap/>
            <w:vAlign w:val="center"/>
          </w:tcPr>
          <w:p w14:paraId="57EF0D2D" w14:textId="170C15C2" w:rsidR="00015492" w:rsidRPr="00255081" w:rsidRDefault="00015492" w:rsidP="000A1B05">
            <w:pPr>
              <w:spacing w:after="120" w:line="240" w:lineRule="auto"/>
              <w:jc w:val="right"/>
              <w:rPr>
                <w:rFonts w:ascii="Montserrat" w:eastAsia="Times New Roman" w:hAnsi="Montserrat" w:cs="Calibri"/>
                <w:color w:val="000000"/>
                <w:sz w:val="15"/>
                <w:szCs w:val="15"/>
                <w:lang w:eastAsia="es-MX"/>
              </w:rPr>
            </w:pPr>
            <w:r w:rsidRPr="00255081">
              <w:rPr>
                <w:rFonts w:ascii="Montserrat" w:eastAsia="Times New Roman" w:hAnsi="Montserrat" w:cs="Calibri"/>
                <w:sz w:val="15"/>
                <w:szCs w:val="15"/>
                <w:lang w:eastAsia="es-MX"/>
              </w:rPr>
              <w:t>100%</w:t>
            </w:r>
          </w:p>
        </w:tc>
        <w:tc>
          <w:tcPr>
            <w:tcW w:w="2558" w:type="dxa"/>
            <w:gridSpan w:val="2"/>
            <w:shd w:val="clear" w:color="000000" w:fill="F2F2F2"/>
            <w:noWrap/>
            <w:vAlign w:val="center"/>
          </w:tcPr>
          <w:p w14:paraId="08D95F6D" w14:textId="45AB715E" w:rsidR="00015492" w:rsidRPr="00255081" w:rsidRDefault="00015492" w:rsidP="000A1B05">
            <w:pPr>
              <w:spacing w:after="120" w:line="240" w:lineRule="auto"/>
              <w:jc w:val="right"/>
              <w:rPr>
                <w:rFonts w:ascii="Montserrat" w:eastAsia="Times New Roman" w:hAnsi="Montserrat" w:cs="Calibri"/>
                <w:color w:val="000000"/>
                <w:sz w:val="15"/>
                <w:szCs w:val="15"/>
                <w:lang w:eastAsia="es-MX"/>
              </w:rPr>
            </w:pPr>
            <w:r w:rsidRPr="00255081">
              <w:rPr>
                <w:rFonts w:ascii="Montserrat" w:eastAsia="Times New Roman" w:hAnsi="Montserrat" w:cs="Calibri"/>
                <w:sz w:val="15"/>
                <w:szCs w:val="15"/>
                <w:lang w:eastAsia="es-MX"/>
              </w:rPr>
              <w:t>1,100,018,059</w:t>
            </w:r>
          </w:p>
        </w:tc>
      </w:tr>
      <w:tr w:rsidR="00015492" w:rsidRPr="00995308" w14:paraId="79D9E132" w14:textId="77777777" w:rsidTr="000F03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jc w:val="center"/>
        </w:trPr>
        <w:tc>
          <w:tcPr>
            <w:tcW w:w="5583" w:type="dxa"/>
            <w:shd w:val="clear" w:color="000000" w:fill="F2F2F2"/>
            <w:vAlign w:val="center"/>
          </w:tcPr>
          <w:p w14:paraId="670CD810" w14:textId="5D28FE56" w:rsidR="00015492" w:rsidRPr="00255081" w:rsidRDefault="00015492" w:rsidP="004B170A">
            <w:pPr>
              <w:spacing w:after="120" w:line="240" w:lineRule="auto"/>
              <w:jc w:val="both"/>
              <w:rPr>
                <w:rFonts w:ascii="Montserrat" w:eastAsia="Times New Roman" w:hAnsi="Montserrat" w:cs="Calibri"/>
                <w:color w:val="000000"/>
                <w:sz w:val="15"/>
                <w:szCs w:val="15"/>
                <w:lang w:eastAsia="es-MX"/>
              </w:rPr>
            </w:pPr>
            <w:r w:rsidRPr="00255081">
              <w:rPr>
                <w:rFonts w:ascii="Montserrat" w:eastAsia="Times New Roman" w:hAnsi="Montserrat" w:cs="Calibri"/>
                <w:sz w:val="15"/>
                <w:szCs w:val="15"/>
                <w:lang w:eastAsia="es-MX"/>
              </w:rPr>
              <w:t>Notimex, Agencia de Noticias del Estado Mexicano</w:t>
            </w:r>
          </w:p>
        </w:tc>
        <w:tc>
          <w:tcPr>
            <w:tcW w:w="2463" w:type="dxa"/>
            <w:shd w:val="clear" w:color="000000" w:fill="F2F2F2"/>
            <w:noWrap/>
            <w:vAlign w:val="center"/>
          </w:tcPr>
          <w:p w14:paraId="72C9BEFE" w14:textId="08B20542" w:rsidR="00015492" w:rsidRPr="00255081" w:rsidRDefault="00015492" w:rsidP="000A1B05">
            <w:pPr>
              <w:spacing w:after="120" w:line="240" w:lineRule="auto"/>
              <w:jc w:val="right"/>
              <w:rPr>
                <w:rFonts w:ascii="Montserrat" w:eastAsia="Times New Roman" w:hAnsi="Montserrat" w:cs="Calibri"/>
                <w:color w:val="000000"/>
                <w:sz w:val="15"/>
                <w:szCs w:val="15"/>
                <w:lang w:eastAsia="es-MX"/>
              </w:rPr>
            </w:pPr>
            <w:r w:rsidRPr="00255081">
              <w:rPr>
                <w:rFonts w:ascii="Montserrat" w:eastAsia="Times New Roman" w:hAnsi="Montserrat" w:cs="Calibri"/>
                <w:sz w:val="15"/>
                <w:szCs w:val="15"/>
                <w:lang w:eastAsia="es-MX"/>
              </w:rPr>
              <w:t>5,757,635</w:t>
            </w:r>
          </w:p>
        </w:tc>
        <w:tc>
          <w:tcPr>
            <w:tcW w:w="1192" w:type="dxa"/>
            <w:shd w:val="clear" w:color="000000" w:fill="F2F2F2"/>
            <w:noWrap/>
            <w:vAlign w:val="center"/>
          </w:tcPr>
          <w:p w14:paraId="40B106AB" w14:textId="30806A8D" w:rsidR="00015492" w:rsidRPr="00255081" w:rsidRDefault="00015492" w:rsidP="000A1B05">
            <w:pPr>
              <w:spacing w:after="120" w:line="240" w:lineRule="auto"/>
              <w:jc w:val="right"/>
              <w:rPr>
                <w:rFonts w:ascii="Montserrat" w:eastAsia="Times New Roman" w:hAnsi="Montserrat" w:cs="Calibri"/>
                <w:color w:val="000000"/>
                <w:sz w:val="15"/>
                <w:szCs w:val="15"/>
                <w:lang w:eastAsia="es-MX"/>
              </w:rPr>
            </w:pPr>
            <w:r w:rsidRPr="00255081">
              <w:rPr>
                <w:rFonts w:ascii="Montserrat" w:eastAsia="Times New Roman" w:hAnsi="Montserrat" w:cs="Calibri"/>
                <w:sz w:val="15"/>
                <w:szCs w:val="15"/>
                <w:lang w:eastAsia="es-MX"/>
              </w:rPr>
              <w:t>100%</w:t>
            </w:r>
          </w:p>
        </w:tc>
        <w:tc>
          <w:tcPr>
            <w:tcW w:w="2558" w:type="dxa"/>
            <w:gridSpan w:val="2"/>
            <w:shd w:val="clear" w:color="000000" w:fill="F2F2F2"/>
            <w:noWrap/>
            <w:vAlign w:val="center"/>
          </w:tcPr>
          <w:p w14:paraId="62599347" w14:textId="49847831" w:rsidR="00015492" w:rsidRPr="00255081" w:rsidRDefault="00015492" w:rsidP="000A1B05">
            <w:pPr>
              <w:spacing w:after="120" w:line="240" w:lineRule="auto"/>
              <w:jc w:val="right"/>
              <w:rPr>
                <w:rFonts w:ascii="Montserrat" w:eastAsia="Times New Roman" w:hAnsi="Montserrat" w:cs="Calibri"/>
                <w:color w:val="000000"/>
                <w:sz w:val="15"/>
                <w:szCs w:val="15"/>
                <w:lang w:eastAsia="es-MX"/>
              </w:rPr>
            </w:pPr>
            <w:r w:rsidRPr="00255081">
              <w:rPr>
                <w:rFonts w:ascii="Montserrat" w:eastAsia="Times New Roman" w:hAnsi="Montserrat" w:cs="Calibri"/>
                <w:sz w:val="15"/>
                <w:szCs w:val="15"/>
                <w:lang w:eastAsia="es-MX"/>
              </w:rPr>
              <w:t>5,757,635</w:t>
            </w:r>
          </w:p>
        </w:tc>
      </w:tr>
      <w:tr w:rsidR="00015492" w:rsidRPr="00995308" w14:paraId="588335EF" w14:textId="77777777" w:rsidTr="000F03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jc w:val="center"/>
        </w:trPr>
        <w:tc>
          <w:tcPr>
            <w:tcW w:w="5583" w:type="dxa"/>
            <w:shd w:val="clear" w:color="000000" w:fill="F2F2F2"/>
            <w:vAlign w:val="center"/>
          </w:tcPr>
          <w:p w14:paraId="36A13B71" w14:textId="7E3EAB8A" w:rsidR="00015492" w:rsidRPr="00255081" w:rsidRDefault="00015492" w:rsidP="004B170A">
            <w:pPr>
              <w:spacing w:after="120" w:line="240" w:lineRule="auto"/>
              <w:jc w:val="both"/>
              <w:rPr>
                <w:rFonts w:ascii="Montserrat" w:eastAsia="Times New Roman" w:hAnsi="Montserrat" w:cs="Calibri"/>
                <w:color w:val="000000"/>
                <w:sz w:val="15"/>
                <w:szCs w:val="15"/>
                <w:lang w:eastAsia="es-MX"/>
              </w:rPr>
            </w:pPr>
            <w:r w:rsidRPr="00255081">
              <w:rPr>
                <w:rFonts w:ascii="Montserrat" w:eastAsia="Times New Roman" w:hAnsi="Montserrat" w:cs="Calibri"/>
                <w:sz w:val="15"/>
                <w:szCs w:val="15"/>
                <w:lang w:eastAsia="es-MX"/>
              </w:rPr>
              <w:t>Procuraduría de la Defensa del Contribuyente</w:t>
            </w:r>
          </w:p>
        </w:tc>
        <w:tc>
          <w:tcPr>
            <w:tcW w:w="2463" w:type="dxa"/>
            <w:shd w:val="clear" w:color="000000" w:fill="F2F2F2"/>
            <w:noWrap/>
            <w:vAlign w:val="center"/>
          </w:tcPr>
          <w:p w14:paraId="627236B0" w14:textId="4547CFBC" w:rsidR="00015492" w:rsidRPr="00255081" w:rsidRDefault="00015492" w:rsidP="000A1B05">
            <w:pPr>
              <w:spacing w:after="120" w:line="240" w:lineRule="auto"/>
              <w:jc w:val="right"/>
              <w:rPr>
                <w:rFonts w:ascii="Montserrat" w:eastAsia="Times New Roman" w:hAnsi="Montserrat" w:cs="Calibri"/>
                <w:color w:val="000000"/>
                <w:sz w:val="15"/>
                <w:szCs w:val="15"/>
                <w:lang w:eastAsia="es-MX"/>
              </w:rPr>
            </w:pPr>
            <w:r w:rsidRPr="00255081">
              <w:rPr>
                <w:rFonts w:ascii="Montserrat" w:eastAsia="Times New Roman" w:hAnsi="Montserrat" w:cs="Calibri"/>
                <w:sz w:val="15"/>
                <w:szCs w:val="15"/>
                <w:lang w:eastAsia="es-MX"/>
              </w:rPr>
              <w:t>-271,900</w:t>
            </w:r>
          </w:p>
        </w:tc>
        <w:tc>
          <w:tcPr>
            <w:tcW w:w="1192" w:type="dxa"/>
            <w:shd w:val="clear" w:color="000000" w:fill="F2F2F2"/>
            <w:noWrap/>
            <w:vAlign w:val="center"/>
          </w:tcPr>
          <w:p w14:paraId="52A8F992" w14:textId="6EF929D9" w:rsidR="00015492" w:rsidRPr="00255081" w:rsidRDefault="00015492" w:rsidP="000A1B05">
            <w:pPr>
              <w:spacing w:after="120" w:line="240" w:lineRule="auto"/>
              <w:jc w:val="right"/>
              <w:rPr>
                <w:rFonts w:ascii="Montserrat" w:eastAsia="Times New Roman" w:hAnsi="Montserrat" w:cs="Calibri"/>
                <w:color w:val="000000"/>
                <w:sz w:val="15"/>
                <w:szCs w:val="15"/>
                <w:lang w:eastAsia="es-MX"/>
              </w:rPr>
            </w:pPr>
            <w:r w:rsidRPr="00255081">
              <w:rPr>
                <w:rFonts w:ascii="Montserrat" w:eastAsia="Times New Roman" w:hAnsi="Montserrat" w:cs="Calibri"/>
                <w:sz w:val="15"/>
                <w:szCs w:val="15"/>
                <w:lang w:eastAsia="es-MX"/>
              </w:rPr>
              <w:t>100%</w:t>
            </w:r>
          </w:p>
        </w:tc>
        <w:tc>
          <w:tcPr>
            <w:tcW w:w="2558" w:type="dxa"/>
            <w:gridSpan w:val="2"/>
            <w:shd w:val="clear" w:color="000000" w:fill="F2F2F2"/>
            <w:noWrap/>
            <w:vAlign w:val="center"/>
          </w:tcPr>
          <w:p w14:paraId="377B24A4" w14:textId="67C75FC4" w:rsidR="00015492" w:rsidRPr="00255081" w:rsidRDefault="00015492" w:rsidP="000A1B05">
            <w:pPr>
              <w:spacing w:after="120" w:line="240" w:lineRule="auto"/>
              <w:jc w:val="right"/>
              <w:rPr>
                <w:rFonts w:ascii="Montserrat" w:eastAsia="Times New Roman" w:hAnsi="Montserrat" w:cs="Calibri"/>
                <w:color w:val="000000"/>
                <w:sz w:val="15"/>
                <w:szCs w:val="15"/>
                <w:lang w:eastAsia="es-MX"/>
              </w:rPr>
            </w:pPr>
            <w:r w:rsidRPr="00255081">
              <w:rPr>
                <w:rFonts w:ascii="Montserrat" w:eastAsia="Times New Roman" w:hAnsi="Montserrat" w:cs="Calibri"/>
                <w:sz w:val="15"/>
                <w:szCs w:val="15"/>
                <w:lang w:eastAsia="es-MX"/>
              </w:rPr>
              <w:t>0</w:t>
            </w:r>
          </w:p>
        </w:tc>
      </w:tr>
      <w:tr w:rsidR="00015492" w:rsidRPr="00995308" w14:paraId="60B6F31F" w14:textId="77777777" w:rsidTr="000F03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jc w:val="center"/>
        </w:trPr>
        <w:tc>
          <w:tcPr>
            <w:tcW w:w="5583" w:type="dxa"/>
            <w:shd w:val="clear" w:color="000000" w:fill="F2F2F2"/>
            <w:vAlign w:val="center"/>
          </w:tcPr>
          <w:p w14:paraId="3CB8F495" w14:textId="66B1DECF" w:rsidR="00015492" w:rsidRPr="00255081" w:rsidRDefault="00015492" w:rsidP="004B170A">
            <w:pPr>
              <w:spacing w:after="120" w:line="240" w:lineRule="auto"/>
              <w:jc w:val="both"/>
              <w:rPr>
                <w:rFonts w:ascii="Montserrat" w:eastAsia="Times New Roman" w:hAnsi="Montserrat" w:cs="Calibri"/>
                <w:color w:val="000000"/>
                <w:sz w:val="15"/>
                <w:szCs w:val="15"/>
                <w:lang w:eastAsia="es-MX"/>
              </w:rPr>
            </w:pPr>
            <w:r w:rsidRPr="00255081">
              <w:rPr>
                <w:rFonts w:ascii="Montserrat" w:eastAsia="Times New Roman" w:hAnsi="Montserrat" w:cs="Calibri"/>
                <w:sz w:val="15"/>
                <w:szCs w:val="15"/>
                <w:lang w:eastAsia="es-MX"/>
              </w:rPr>
              <w:t>Comisión Ejecutiva de Atención a Víctimas</w:t>
            </w:r>
          </w:p>
        </w:tc>
        <w:tc>
          <w:tcPr>
            <w:tcW w:w="2463" w:type="dxa"/>
            <w:shd w:val="clear" w:color="000000" w:fill="F2F2F2"/>
            <w:noWrap/>
            <w:vAlign w:val="center"/>
          </w:tcPr>
          <w:p w14:paraId="1E8BBB0B" w14:textId="50BD87A9" w:rsidR="00015492" w:rsidRPr="00255081" w:rsidRDefault="00015492" w:rsidP="000A1B05">
            <w:pPr>
              <w:spacing w:after="120" w:line="240" w:lineRule="auto"/>
              <w:jc w:val="right"/>
              <w:rPr>
                <w:rFonts w:ascii="Montserrat" w:eastAsia="Times New Roman" w:hAnsi="Montserrat" w:cs="Calibri"/>
                <w:color w:val="000000"/>
                <w:sz w:val="15"/>
                <w:szCs w:val="15"/>
                <w:lang w:eastAsia="es-MX"/>
              </w:rPr>
            </w:pPr>
            <w:r w:rsidRPr="00255081">
              <w:rPr>
                <w:rFonts w:ascii="Montserrat" w:eastAsia="Times New Roman" w:hAnsi="Montserrat" w:cs="Calibri"/>
                <w:sz w:val="15"/>
                <w:szCs w:val="15"/>
                <w:lang w:eastAsia="es-MX"/>
              </w:rPr>
              <w:t>357,351,638</w:t>
            </w:r>
          </w:p>
        </w:tc>
        <w:tc>
          <w:tcPr>
            <w:tcW w:w="1192" w:type="dxa"/>
            <w:shd w:val="clear" w:color="000000" w:fill="F2F2F2"/>
            <w:noWrap/>
            <w:vAlign w:val="center"/>
          </w:tcPr>
          <w:p w14:paraId="71935056" w14:textId="120A3DC8" w:rsidR="00015492" w:rsidRPr="00255081" w:rsidRDefault="00015492" w:rsidP="000A1B05">
            <w:pPr>
              <w:spacing w:after="120" w:line="240" w:lineRule="auto"/>
              <w:jc w:val="right"/>
              <w:rPr>
                <w:rFonts w:ascii="Montserrat" w:eastAsia="Times New Roman" w:hAnsi="Montserrat" w:cs="Calibri"/>
                <w:color w:val="000000"/>
                <w:sz w:val="15"/>
                <w:szCs w:val="15"/>
                <w:lang w:eastAsia="es-MX"/>
              </w:rPr>
            </w:pPr>
            <w:r w:rsidRPr="00255081">
              <w:rPr>
                <w:rFonts w:ascii="Montserrat" w:eastAsia="Times New Roman" w:hAnsi="Montserrat" w:cs="Calibri"/>
                <w:sz w:val="15"/>
                <w:szCs w:val="15"/>
                <w:lang w:eastAsia="es-MX"/>
              </w:rPr>
              <w:t>100%</w:t>
            </w:r>
          </w:p>
        </w:tc>
        <w:tc>
          <w:tcPr>
            <w:tcW w:w="2558" w:type="dxa"/>
            <w:gridSpan w:val="2"/>
            <w:shd w:val="clear" w:color="000000" w:fill="F2F2F2"/>
            <w:noWrap/>
            <w:vAlign w:val="center"/>
          </w:tcPr>
          <w:p w14:paraId="3B7DEE0D" w14:textId="2DF0DDE6" w:rsidR="00015492" w:rsidRPr="00255081" w:rsidRDefault="00015492" w:rsidP="000A1B05">
            <w:pPr>
              <w:spacing w:after="120" w:line="240" w:lineRule="auto"/>
              <w:jc w:val="right"/>
              <w:rPr>
                <w:rFonts w:ascii="Montserrat" w:eastAsia="Times New Roman" w:hAnsi="Montserrat" w:cs="Calibri"/>
                <w:color w:val="000000"/>
                <w:sz w:val="15"/>
                <w:szCs w:val="15"/>
                <w:lang w:eastAsia="es-MX"/>
              </w:rPr>
            </w:pPr>
            <w:r w:rsidRPr="00255081">
              <w:rPr>
                <w:rFonts w:ascii="Montserrat" w:eastAsia="Times New Roman" w:hAnsi="Montserrat" w:cs="Calibri"/>
                <w:sz w:val="15"/>
                <w:szCs w:val="15"/>
                <w:lang w:eastAsia="es-MX"/>
              </w:rPr>
              <w:t>357,351,638</w:t>
            </w:r>
          </w:p>
        </w:tc>
      </w:tr>
      <w:tr w:rsidR="00015492" w:rsidRPr="00995308" w14:paraId="7F3A3199" w14:textId="77777777" w:rsidTr="000F03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jc w:val="center"/>
        </w:trPr>
        <w:tc>
          <w:tcPr>
            <w:tcW w:w="5583" w:type="dxa"/>
            <w:shd w:val="clear" w:color="000000" w:fill="F2F2F2"/>
            <w:vAlign w:val="center"/>
          </w:tcPr>
          <w:p w14:paraId="6599E81E" w14:textId="42E78C0B" w:rsidR="00015492" w:rsidRPr="00255081" w:rsidRDefault="00015492" w:rsidP="004B170A">
            <w:pPr>
              <w:spacing w:after="120" w:line="240" w:lineRule="auto"/>
              <w:jc w:val="both"/>
              <w:rPr>
                <w:rFonts w:ascii="Montserrat" w:eastAsia="Times New Roman" w:hAnsi="Montserrat" w:cs="Calibri"/>
                <w:color w:val="000000"/>
                <w:sz w:val="15"/>
                <w:szCs w:val="15"/>
                <w:lang w:eastAsia="es-MX"/>
              </w:rPr>
            </w:pPr>
            <w:r w:rsidRPr="00255081">
              <w:rPr>
                <w:rFonts w:ascii="Montserrat" w:eastAsia="Times New Roman" w:hAnsi="Montserrat" w:cs="Calibri"/>
                <w:sz w:val="15"/>
                <w:szCs w:val="15"/>
                <w:lang w:eastAsia="es-MX"/>
              </w:rPr>
              <w:t>Sistema Público de Radiodifusión del Estado Mexicano</w:t>
            </w:r>
          </w:p>
        </w:tc>
        <w:tc>
          <w:tcPr>
            <w:tcW w:w="2463" w:type="dxa"/>
            <w:shd w:val="clear" w:color="000000" w:fill="F2F2F2"/>
            <w:noWrap/>
            <w:vAlign w:val="center"/>
          </w:tcPr>
          <w:p w14:paraId="5C6AAA67" w14:textId="274A9CFD" w:rsidR="00015492" w:rsidRPr="00255081" w:rsidRDefault="00015492" w:rsidP="000A1B05">
            <w:pPr>
              <w:spacing w:after="120" w:line="240" w:lineRule="auto"/>
              <w:jc w:val="right"/>
              <w:rPr>
                <w:rFonts w:ascii="Montserrat" w:eastAsia="Times New Roman" w:hAnsi="Montserrat" w:cs="Calibri"/>
                <w:color w:val="000000"/>
                <w:sz w:val="15"/>
                <w:szCs w:val="15"/>
                <w:lang w:eastAsia="es-MX"/>
              </w:rPr>
            </w:pPr>
            <w:r w:rsidRPr="00255081">
              <w:rPr>
                <w:rFonts w:ascii="Montserrat" w:eastAsia="Times New Roman" w:hAnsi="Montserrat" w:cs="Calibri"/>
                <w:sz w:val="15"/>
                <w:szCs w:val="15"/>
                <w:lang w:eastAsia="es-MX"/>
              </w:rPr>
              <w:t>717,458,848</w:t>
            </w:r>
          </w:p>
        </w:tc>
        <w:tc>
          <w:tcPr>
            <w:tcW w:w="1192" w:type="dxa"/>
            <w:shd w:val="clear" w:color="000000" w:fill="F2F2F2"/>
            <w:noWrap/>
            <w:vAlign w:val="center"/>
          </w:tcPr>
          <w:p w14:paraId="031813A7" w14:textId="74756BA0" w:rsidR="00015492" w:rsidRPr="00255081" w:rsidRDefault="00015492" w:rsidP="000A1B05">
            <w:pPr>
              <w:spacing w:after="120" w:line="240" w:lineRule="auto"/>
              <w:jc w:val="right"/>
              <w:rPr>
                <w:rFonts w:ascii="Montserrat" w:eastAsia="Times New Roman" w:hAnsi="Montserrat" w:cs="Calibri"/>
                <w:color w:val="000000"/>
                <w:sz w:val="15"/>
                <w:szCs w:val="15"/>
                <w:lang w:eastAsia="es-MX"/>
              </w:rPr>
            </w:pPr>
            <w:r w:rsidRPr="00255081">
              <w:rPr>
                <w:rFonts w:ascii="Montserrat" w:eastAsia="Times New Roman" w:hAnsi="Montserrat" w:cs="Calibri"/>
                <w:sz w:val="15"/>
                <w:szCs w:val="15"/>
                <w:lang w:eastAsia="es-MX"/>
              </w:rPr>
              <w:t>100%</w:t>
            </w:r>
          </w:p>
        </w:tc>
        <w:tc>
          <w:tcPr>
            <w:tcW w:w="2558" w:type="dxa"/>
            <w:gridSpan w:val="2"/>
            <w:shd w:val="clear" w:color="000000" w:fill="F2F2F2"/>
            <w:noWrap/>
            <w:vAlign w:val="center"/>
          </w:tcPr>
          <w:p w14:paraId="4DB6A62A" w14:textId="57AED189" w:rsidR="00015492" w:rsidRPr="00255081" w:rsidRDefault="00015492" w:rsidP="000A1B05">
            <w:pPr>
              <w:spacing w:after="120" w:line="240" w:lineRule="auto"/>
              <w:jc w:val="right"/>
              <w:rPr>
                <w:rFonts w:ascii="Montserrat" w:eastAsia="Times New Roman" w:hAnsi="Montserrat" w:cs="Calibri"/>
                <w:color w:val="000000"/>
                <w:sz w:val="15"/>
                <w:szCs w:val="15"/>
                <w:lang w:eastAsia="es-MX"/>
              </w:rPr>
            </w:pPr>
            <w:r w:rsidRPr="00255081">
              <w:rPr>
                <w:rFonts w:ascii="Montserrat" w:eastAsia="Times New Roman" w:hAnsi="Montserrat" w:cs="Calibri"/>
                <w:sz w:val="15"/>
                <w:szCs w:val="15"/>
                <w:lang w:eastAsia="es-MX"/>
              </w:rPr>
              <w:t>717,458,848</w:t>
            </w:r>
          </w:p>
        </w:tc>
      </w:tr>
      <w:tr w:rsidR="00015492" w:rsidRPr="00995308" w14:paraId="3340531F" w14:textId="77777777" w:rsidTr="000F03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jc w:val="center"/>
        </w:trPr>
        <w:tc>
          <w:tcPr>
            <w:tcW w:w="5583" w:type="dxa"/>
            <w:shd w:val="clear" w:color="000000" w:fill="F2F2F2"/>
            <w:vAlign w:val="center"/>
          </w:tcPr>
          <w:p w14:paraId="768DBF47" w14:textId="68A94AB6" w:rsidR="00015492" w:rsidRPr="00255081" w:rsidRDefault="00015492" w:rsidP="004B170A">
            <w:pPr>
              <w:spacing w:after="120" w:line="240" w:lineRule="auto"/>
              <w:jc w:val="both"/>
              <w:rPr>
                <w:rFonts w:ascii="Montserrat" w:eastAsia="Times New Roman" w:hAnsi="Montserrat" w:cs="Calibri"/>
                <w:color w:val="000000"/>
                <w:sz w:val="15"/>
                <w:szCs w:val="15"/>
                <w:lang w:eastAsia="es-MX"/>
              </w:rPr>
            </w:pPr>
            <w:r w:rsidRPr="00255081">
              <w:rPr>
                <w:rFonts w:ascii="Montserrat" w:eastAsia="Times New Roman" w:hAnsi="Montserrat" w:cs="Calibri"/>
                <w:sz w:val="15"/>
                <w:szCs w:val="15"/>
                <w:lang w:eastAsia="es-MX"/>
              </w:rPr>
              <w:t>Secretaría Ejecutiva del Sistema Nacional Anticorrupción</w:t>
            </w:r>
          </w:p>
        </w:tc>
        <w:tc>
          <w:tcPr>
            <w:tcW w:w="2463" w:type="dxa"/>
            <w:shd w:val="clear" w:color="000000" w:fill="F2F2F2"/>
            <w:noWrap/>
            <w:vAlign w:val="center"/>
          </w:tcPr>
          <w:p w14:paraId="36EFFB02" w14:textId="41A40F12" w:rsidR="00015492" w:rsidRPr="00255081" w:rsidRDefault="00015492" w:rsidP="000A1B05">
            <w:pPr>
              <w:spacing w:after="120" w:line="240" w:lineRule="auto"/>
              <w:jc w:val="right"/>
              <w:rPr>
                <w:rFonts w:ascii="Montserrat" w:eastAsia="Times New Roman" w:hAnsi="Montserrat" w:cs="Calibri"/>
                <w:color w:val="000000"/>
                <w:sz w:val="15"/>
                <w:szCs w:val="15"/>
                <w:lang w:eastAsia="es-MX"/>
              </w:rPr>
            </w:pPr>
            <w:r w:rsidRPr="00255081">
              <w:rPr>
                <w:rFonts w:ascii="Montserrat" w:eastAsia="Times New Roman" w:hAnsi="Montserrat" w:cs="Calibri"/>
                <w:sz w:val="15"/>
                <w:szCs w:val="15"/>
                <w:lang w:eastAsia="es-MX"/>
              </w:rPr>
              <w:t>0</w:t>
            </w:r>
          </w:p>
        </w:tc>
        <w:tc>
          <w:tcPr>
            <w:tcW w:w="1192" w:type="dxa"/>
            <w:shd w:val="clear" w:color="000000" w:fill="F2F2F2"/>
            <w:noWrap/>
            <w:vAlign w:val="center"/>
          </w:tcPr>
          <w:p w14:paraId="2F7D4B14" w14:textId="4DE2EF0B" w:rsidR="00015492" w:rsidRPr="00255081" w:rsidRDefault="00015492" w:rsidP="000A1B05">
            <w:pPr>
              <w:spacing w:after="120" w:line="240" w:lineRule="auto"/>
              <w:jc w:val="right"/>
              <w:rPr>
                <w:rFonts w:ascii="Montserrat" w:eastAsia="Times New Roman" w:hAnsi="Montserrat" w:cs="Calibri"/>
                <w:color w:val="000000"/>
                <w:sz w:val="15"/>
                <w:szCs w:val="15"/>
                <w:lang w:eastAsia="es-MX"/>
              </w:rPr>
            </w:pPr>
            <w:r w:rsidRPr="00255081">
              <w:rPr>
                <w:rFonts w:ascii="Montserrat" w:eastAsia="Times New Roman" w:hAnsi="Montserrat" w:cs="Calibri"/>
                <w:sz w:val="15"/>
                <w:szCs w:val="15"/>
                <w:lang w:eastAsia="es-MX"/>
              </w:rPr>
              <w:t>100%</w:t>
            </w:r>
          </w:p>
        </w:tc>
        <w:tc>
          <w:tcPr>
            <w:tcW w:w="2558" w:type="dxa"/>
            <w:gridSpan w:val="2"/>
            <w:shd w:val="clear" w:color="000000" w:fill="F2F2F2"/>
            <w:noWrap/>
            <w:vAlign w:val="center"/>
          </w:tcPr>
          <w:p w14:paraId="74B5FF73" w14:textId="15F95A1B" w:rsidR="00015492" w:rsidRPr="00255081" w:rsidRDefault="00015492" w:rsidP="000A1B05">
            <w:pPr>
              <w:spacing w:after="120" w:line="240" w:lineRule="auto"/>
              <w:jc w:val="right"/>
              <w:rPr>
                <w:rFonts w:ascii="Montserrat" w:eastAsia="Times New Roman" w:hAnsi="Montserrat" w:cs="Calibri"/>
                <w:color w:val="000000"/>
                <w:sz w:val="15"/>
                <w:szCs w:val="15"/>
                <w:lang w:eastAsia="es-MX"/>
              </w:rPr>
            </w:pPr>
            <w:r w:rsidRPr="00255081">
              <w:rPr>
                <w:rFonts w:ascii="Montserrat" w:eastAsia="Times New Roman" w:hAnsi="Montserrat" w:cs="Calibri"/>
                <w:sz w:val="15"/>
                <w:szCs w:val="15"/>
                <w:lang w:eastAsia="es-MX"/>
              </w:rPr>
              <w:t>0</w:t>
            </w:r>
          </w:p>
        </w:tc>
      </w:tr>
      <w:tr w:rsidR="00015492" w:rsidRPr="00995308" w14:paraId="4AFB2213" w14:textId="77777777" w:rsidTr="000F03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jc w:val="center"/>
        </w:trPr>
        <w:tc>
          <w:tcPr>
            <w:tcW w:w="5583" w:type="dxa"/>
            <w:shd w:val="clear" w:color="000000" w:fill="F2F2F2"/>
            <w:vAlign w:val="center"/>
          </w:tcPr>
          <w:p w14:paraId="45C1994A" w14:textId="1A0280DF" w:rsidR="00015492" w:rsidRPr="00255081" w:rsidRDefault="00015492" w:rsidP="004B170A">
            <w:pPr>
              <w:spacing w:after="120" w:line="240" w:lineRule="auto"/>
              <w:jc w:val="both"/>
              <w:rPr>
                <w:rFonts w:ascii="Montserrat" w:eastAsia="Times New Roman" w:hAnsi="Montserrat" w:cs="Calibri"/>
                <w:color w:val="000000"/>
                <w:sz w:val="15"/>
                <w:szCs w:val="15"/>
                <w:lang w:eastAsia="es-MX"/>
              </w:rPr>
            </w:pPr>
            <w:r w:rsidRPr="00255081">
              <w:rPr>
                <w:rFonts w:ascii="Montserrat" w:eastAsia="Times New Roman" w:hAnsi="Montserrat" w:cs="Calibri"/>
                <w:sz w:val="15"/>
                <w:szCs w:val="15"/>
                <w:lang w:eastAsia="es-MX"/>
              </w:rPr>
              <w:t>Archivo General de la Nación</w:t>
            </w:r>
          </w:p>
        </w:tc>
        <w:tc>
          <w:tcPr>
            <w:tcW w:w="2463" w:type="dxa"/>
            <w:shd w:val="clear" w:color="000000" w:fill="F2F2F2"/>
            <w:noWrap/>
            <w:vAlign w:val="center"/>
          </w:tcPr>
          <w:p w14:paraId="2F227B3C" w14:textId="6D16B44A" w:rsidR="00015492" w:rsidRPr="00255081" w:rsidRDefault="00015492" w:rsidP="000A1B05">
            <w:pPr>
              <w:spacing w:after="120" w:line="240" w:lineRule="auto"/>
              <w:jc w:val="right"/>
              <w:rPr>
                <w:rFonts w:ascii="Montserrat" w:eastAsia="Times New Roman" w:hAnsi="Montserrat" w:cs="Calibri"/>
                <w:color w:val="000000"/>
                <w:sz w:val="15"/>
                <w:szCs w:val="15"/>
                <w:lang w:eastAsia="es-MX"/>
              </w:rPr>
            </w:pPr>
            <w:r w:rsidRPr="00255081">
              <w:rPr>
                <w:rFonts w:ascii="Montserrat" w:eastAsia="Times New Roman" w:hAnsi="Montserrat" w:cs="Calibri"/>
                <w:sz w:val="15"/>
                <w:szCs w:val="15"/>
                <w:lang w:eastAsia="es-MX"/>
              </w:rPr>
              <w:t>1,078,955,186</w:t>
            </w:r>
          </w:p>
        </w:tc>
        <w:tc>
          <w:tcPr>
            <w:tcW w:w="1192" w:type="dxa"/>
            <w:shd w:val="clear" w:color="000000" w:fill="F2F2F2"/>
            <w:noWrap/>
            <w:vAlign w:val="center"/>
          </w:tcPr>
          <w:p w14:paraId="58DE6DFC" w14:textId="1B0F6D73" w:rsidR="00015492" w:rsidRPr="00255081" w:rsidRDefault="00015492" w:rsidP="000A1B05">
            <w:pPr>
              <w:spacing w:after="120" w:line="240" w:lineRule="auto"/>
              <w:jc w:val="right"/>
              <w:rPr>
                <w:rFonts w:ascii="Montserrat" w:eastAsia="Times New Roman" w:hAnsi="Montserrat" w:cs="Calibri"/>
                <w:color w:val="000000"/>
                <w:sz w:val="15"/>
                <w:szCs w:val="15"/>
                <w:lang w:eastAsia="es-MX"/>
              </w:rPr>
            </w:pPr>
            <w:r w:rsidRPr="00255081">
              <w:rPr>
                <w:rFonts w:ascii="Montserrat" w:eastAsia="Times New Roman" w:hAnsi="Montserrat" w:cs="Calibri"/>
                <w:sz w:val="15"/>
                <w:szCs w:val="15"/>
                <w:lang w:eastAsia="es-MX"/>
              </w:rPr>
              <w:t>100%</w:t>
            </w:r>
          </w:p>
        </w:tc>
        <w:tc>
          <w:tcPr>
            <w:tcW w:w="2558" w:type="dxa"/>
            <w:gridSpan w:val="2"/>
            <w:shd w:val="clear" w:color="000000" w:fill="F2F2F2"/>
            <w:noWrap/>
            <w:vAlign w:val="center"/>
          </w:tcPr>
          <w:p w14:paraId="682E376F" w14:textId="39E6A447" w:rsidR="00015492" w:rsidRPr="00255081" w:rsidRDefault="00015492" w:rsidP="000A1B05">
            <w:pPr>
              <w:spacing w:after="120" w:line="240" w:lineRule="auto"/>
              <w:jc w:val="right"/>
              <w:rPr>
                <w:rFonts w:ascii="Montserrat" w:eastAsia="Times New Roman" w:hAnsi="Montserrat" w:cs="Calibri"/>
                <w:color w:val="000000"/>
                <w:sz w:val="15"/>
                <w:szCs w:val="15"/>
                <w:lang w:eastAsia="es-MX"/>
              </w:rPr>
            </w:pPr>
            <w:r w:rsidRPr="00255081">
              <w:rPr>
                <w:rFonts w:ascii="Montserrat" w:eastAsia="Times New Roman" w:hAnsi="Montserrat" w:cs="Calibri"/>
                <w:sz w:val="15"/>
                <w:szCs w:val="15"/>
                <w:lang w:eastAsia="es-MX"/>
              </w:rPr>
              <w:t>1,078,955,186</w:t>
            </w:r>
          </w:p>
        </w:tc>
      </w:tr>
      <w:tr w:rsidR="00015492" w:rsidRPr="00995308" w14:paraId="2B7E11DB" w14:textId="77777777" w:rsidTr="000F03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jc w:val="center"/>
        </w:trPr>
        <w:tc>
          <w:tcPr>
            <w:tcW w:w="5583" w:type="dxa"/>
            <w:shd w:val="clear" w:color="000000" w:fill="F2F2F2"/>
            <w:vAlign w:val="center"/>
          </w:tcPr>
          <w:p w14:paraId="1CD30970" w14:textId="77777777" w:rsidR="0065225C" w:rsidRDefault="0065225C" w:rsidP="004B170A">
            <w:pPr>
              <w:spacing w:after="120" w:line="240" w:lineRule="auto"/>
              <w:jc w:val="both"/>
              <w:rPr>
                <w:rFonts w:ascii="Montserrat" w:eastAsia="Times New Roman" w:hAnsi="Montserrat" w:cs="Calibri"/>
                <w:sz w:val="15"/>
                <w:szCs w:val="15"/>
                <w:lang w:eastAsia="es-MX"/>
              </w:rPr>
            </w:pPr>
          </w:p>
          <w:p w14:paraId="1F570660" w14:textId="603906EA" w:rsidR="00015492" w:rsidRPr="00255081" w:rsidRDefault="00015492" w:rsidP="004B170A">
            <w:pPr>
              <w:spacing w:after="120" w:line="240" w:lineRule="auto"/>
              <w:jc w:val="both"/>
              <w:rPr>
                <w:rFonts w:ascii="Montserrat" w:eastAsia="Times New Roman" w:hAnsi="Montserrat" w:cs="Calibri"/>
                <w:color w:val="000000"/>
                <w:sz w:val="15"/>
                <w:szCs w:val="15"/>
                <w:lang w:eastAsia="es-MX"/>
              </w:rPr>
            </w:pPr>
            <w:r w:rsidRPr="00255081">
              <w:rPr>
                <w:rFonts w:ascii="Montserrat" w:eastAsia="Times New Roman" w:hAnsi="Montserrat" w:cs="Calibri"/>
                <w:sz w:val="15"/>
                <w:szCs w:val="15"/>
                <w:lang w:eastAsia="es-MX"/>
              </w:rPr>
              <w:t>Instituto Nacional de las Mujeres</w:t>
            </w:r>
          </w:p>
        </w:tc>
        <w:tc>
          <w:tcPr>
            <w:tcW w:w="2463" w:type="dxa"/>
            <w:shd w:val="clear" w:color="000000" w:fill="F2F2F2"/>
            <w:noWrap/>
            <w:vAlign w:val="center"/>
          </w:tcPr>
          <w:p w14:paraId="671DBE17" w14:textId="77777777" w:rsidR="0065225C" w:rsidRDefault="0065225C" w:rsidP="000A1B05">
            <w:pPr>
              <w:spacing w:after="120" w:line="240" w:lineRule="auto"/>
              <w:jc w:val="right"/>
              <w:rPr>
                <w:rFonts w:ascii="Montserrat" w:eastAsia="Times New Roman" w:hAnsi="Montserrat" w:cs="Calibri"/>
                <w:sz w:val="15"/>
                <w:szCs w:val="15"/>
                <w:lang w:eastAsia="es-MX"/>
              </w:rPr>
            </w:pPr>
          </w:p>
          <w:p w14:paraId="689C51B0" w14:textId="06CB3805" w:rsidR="00015492" w:rsidRPr="00255081" w:rsidRDefault="00015492" w:rsidP="000A1B05">
            <w:pPr>
              <w:spacing w:after="120" w:line="240" w:lineRule="auto"/>
              <w:jc w:val="right"/>
              <w:rPr>
                <w:rFonts w:ascii="Montserrat" w:eastAsia="Times New Roman" w:hAnsi="Montserrat" w:cs="Calibri"/>
                <w:color w:val="000000"/>
                <w:sz w:val="15"/>
                <w:szCs w:val="15"/>
                <w:lang w:eastAsia="es-MX"/>
              </w:rPr>
            </w:pPr>
            <w:r w:rsidRPr="00255081">
              <w:rPr>
                <w:rFonts w:ascii="Montserrat" w:eastAsia="Times New Roman" w:hAnsi="Montserrat" w:cs="Calibri"/>
                <w:sz w:val="15"/>
                <w:szCs w:val="15"/>
                <w:lang w:eastAsia="es-MX"/>
              </w:rPr>
              <w:t>19,469,789</w:t>
            </w:r>
          </w:p>
        </w:tc>
        <w:tc>
          <w:tcPr>
            <w:tcW w:w="1192" w:type="dxa"/>
            <w:shd w:val="clear" w:color="000000" w:fill="F2F2F2"/>
            <w:noWrap/>
            <w:vAlign w:val="center"/>
          </w:tcPr>
          <w:p w14:paraId="7B125F3B" w14:textId="77777777" w:rsidR="0065225C" w:rsidRDefault="0065225C" w:rsidP="000A1B05">
            <w:pPr>
              <w:spacing w:after="120" w:line="240" w:lineRule="auto"/>
              <w:jc w:val="right"/>
              <w:rPr>
                <w:rFonts w:ascii="Montserrat" w:eastAsia="Times New Roman" w:hAnsi="Montserrat" w:cs="Calibri"/>
                <w:sz w:val="15"/>
                <w:szCs w:val="15"/>
                <w:lang w:eastAsia="es-MX"/>
              </w:rPr>
            </w:pPr>
          </w:p>
          <w:p w14:paraId="4FF6AB59" w14:textId="3D30D8B4" w:rsidR="00015492" w:rsidRPr="00255081" w:rsidRDefault="00015492" w:rsidP="000A1B05">
            <w:pPr>
              <w:spacing w:after="120" w:line="240" w:lineRule="auto"/>
              <w:jc w:val="right"/>
              <w:rPr>
                <w:rFonts w:ascii="Montserrat" w:eastAsia="Times New Roman" w:hAnsi="Montserrat" w:cs="Calibri"/>
                <w:color w:val="000000"/>
                <w:sz w:val="15"/>
                <w:szCs w:val="15"/>
                <w:lang w:eastAsia="es-MX"/>
              </w:rPr>
            </w:pPr>
            <w:r w:rsidRPr="00255081">
              <w:rPr>
                <w:rFonts w:ascii="Montserrat" w:eastAsia="Times New Roman" w:hAnsi="Montserrat" w:cs="Calibri"/>
                <w:sz w:val="15"/>
                <w:szCs w:val="15"/>
                <w:lang w:eastAsia="es-MX"/>
              </w:rPr>
              <w:t>100%</w:t>
            </w:r>
          </w:p>
        </w:tc>
        <w:tc>
          <w:tcPr>
            <w:tcW w:w="2558" w:type="dxa"/>
            <w:gridSpan w:val="2"/>
            <w:shd w:val="clear" w:color="000000" w:fill="F2F2F2"/>
            <w:noWrap/>
            <w:vAlign w:val="center"/>
          </w:tcPr>
          <w:p w14:paraId="0ADC4356" w14:textId="77777777" w:rsidR="0065225C" w:rsidRDefault="0065225C" w:rsidP="000A1B05">
            <w:pPr>
              <w:spacing w:after="120" w:line="240" w:lineRule="auto"/>
              <w:jc w:val="right"/>
              <w:rPr>
                <w:rFonts w:ascii="Montserrat" w:eastAsia="Times New Roman" w:hAnsi="Montserrat" w:cs="Calibri"/>
                <w:sz w:val="15"/>
                <w:szCs w:val="15"/>
                <w:lang w:eastAsia="es-MX"/>
              </w:rPr>
            </w:pPr>
          </w:p>
          <w:p w14:paraId="45184A13" w14:textId="15F656C6" w:rsidR="00015492" w:rsidRPr="00255081" w:rsidRDefault="00015492" w:rsidP="000A1B05">
            <w:pPr>
              <w:spacing w:after="120" w:line="240" w:lineRule="auto"/>
              <w:jc w:val="right"/>
              <w:rPr>
                <w:rFonts w:ascii="Montserrat" w:eastAsia="Times New Roman" w:hAnsi="Montserrat" w:cs="Calibri"/>
                <w:color w:val="000000"/>
                <w:sz w:val="15"/>
                <w:szCs w:val="15"/>
                <w:lang w:eastAsia="es-MX"/>
              </w:rPr>
            </w:pPr>
            <w:r w:rsidRPr="00255081">
              <w:rPr>
                <w:rFonts w:ascii="Montserrat" w:eastAsia="Times New Roman" w:hAnsi="Montserrat" w:cs="Calibri"/>
                <w:sz w:val="15"/>
                <w:szCs w:val="15"/>
                <w:lang w:eastAsia="es-MX"/>
              </w:rPr>
              <w:t>19,469,789</w:t>
            </w:r>
          </w:p>
        </w:tc>
      </w:tr>
      <w:tr w:rsidR="00015492" w:rsidRPr="00995308" w14:paraId="46C384B7" w14:textId="77777777" w:rsidTr="000F03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0"/>
          <w:jc w:val="center"/>
        </w:trPr>
        <w:tc>
          <w:tcPr>
            <w:tcW w:w="5583" w:type="dxa"/>
            <w:shd w:val="clear" w:color="000000" w:fill="F2F2F2"/>
            <w:vAlign w:val="center"/>
          </w:tcPr>
          <w:p w14:paraId="1E7FD9AC" w14:textId="266B9431" w:rsidR="00015492" w:rsidRPr="00255081" w:rsidRDefault="00015492" w:rsidP="004B170A">
            <w:pPr>
              <w:spacing w:after="120" w:line="240" w:lineRule="auto"/>
              <w:jc w:val="both"/>
              <w:rPr>
                <w:rFonts w:ascii="Montserrat" w:eastAsia="Times New Roman" w:hAnsi="Montserrat" w:cs="Calibri"/>
                <w:color w:val="000000"/>
                <w:sz w:val="15"/>
                <w:szCs w:val="15"/>
                <w:lang w:eastAsia="es-MX"/>
              </w:rPr>
            </w:pPr>
            <w:r w:rsidRPr="00255081">
              <w:rPr>
                <w:rFonts w:ascii="Montserrat" w:eastAsia="Times New Roman" w:hAnsi="Montserrat" w:cs="Calibri"/>
                <w:sz w:val="15"/>
                <w:szCs w:val="15"/>
                <w:lang w:eastAsia="es-MX"/>
              </w:rPr>
              <w:t>Centro de Capacitación Cinematográfica, A.C.</w:t>
            </w:r>
          </w:p>
        </w:tc>
        <w:tc>
          <w:tcPr>
            <w:tcW w:w="2463" w:type="dxa"/>
            <w:shd w:val="clear" w:color="000000" w:fill="F2F2F2"/>
            <w:noWrap/>
            <w:vAlign w:val="center"/>
          </w:tcPr>
          <w:p w14:paraId="29CE7088" w14:textId="0820E05D" w:rsidR="00015492" w:rsidRPr="00255081" w:rsidRDefault="00015492" w:rsidP="000A1B05">
            <w:pPr>
              <w:spacing w:after="120" w:line="240" w:lineRule="auto"/>
              <w:jc w:val="right"/>
              <w:rPr>
                <w:rFonts w:ascii="Montserrat" w:eastAsia="Times New Roman" w:hAnsi="Montserrat" w:cs="Calibri"/>
                <w:color w:val="000000"/>
                <w:sz w:val="15"/>
                <w:szCs w:val="15"/>
                <w:lang w:eastAsia="es-MX"/>
              </w:rPr>
            </w:pPr>
            <w:r w:rsidRPr="00255081">
              <w:rPr>
                <w:rFonts w:ascii="Montserrat" w:eastAsia="Times New Roman" w:hAnsi="Montserrat" w:cs="Calibri"/>
                <w:sz w:val="15"/>
                <w:szCs w:val="15"/>
                <w:lang w:eastAsia="es-MX"/>
              </w:rPr>
              <w:t>40,211,303</w:t>
            </w:r>
          </w:p>
        </w:tc>
        <w:tc>
          <w:tcPr>
            <w:tcW w:w="1192" w:type="dxa"/>
            <w:shd w:val="clear" w:color="000000" w:fill="F2F2F2"/>
            <w:noWrap/>
            <w:vAlign w:val="center"/>
          </w:tcPr>
          <w:p w14:paraId="6FBFCB19" w14:textId="704C0AFA" w:rsidR="00015492" w:rsidRPr="00255081" w:rsidRDefault="00015492" w:rsidP="000A1B05">
            <w:pPr>
              <w:spacing w:after="120" w:line="240" w:lineRule="auto"/>
              <w:jc w:val="right"/>
              <w:rPr>
                <w:rFonts w:ascii="Montserrat" w:eastAsia="Times New Roman" w:hAnsi="Montserrat" w:cs="Calibri"/>
                <w:color w:val="000000"/>
                <w:sz w:val="15"/>
                <w:szCs w:val="15"/>
                <w:lang w:eastAsia="es-MX"/>
              </w:rPr>
            </w:pPr>
            <w:r w:rsidRPr="00255081">
              <w:rPr>
                <w:rFonts w:ascii="Montserrat" w:eastAsia="Times New Roman" w:hAnsi="Montserrat" w:cs="Calibri"/>
                <w:sz w:val="15"/>
                <w:szCs w:val="15"/>
                <w:lang w:eastAsia="es-MX"/>
              </w:rPr>
              <w:t>100%</w:t>
            </w:r>
          </w:p>
        </w:tc>
        <w:tc>
          <w:tcPr>
            <w:tcW w:w="2558" w:type="dxa"/>
            <w:gridSpan w:val="2"/>
            <w:shd w:val="clear" w:color="000000" w:fill="F2F2F2"/>
            <w:noWrap/>
            <w:vAlign w:val="center"/>
          </w:tcPr>
          <w:p w14:paraId="2BDF790A" w14:textId="304E05B1" w:rsidR="00015492" w:rsidRPr="00255081" w:rsidRDefault="00015492" w:rsidP="000A1B05">
            <w:pPr>
              <w:spacing w:after="120" w:line="240" w:lineRule="auto"/>
              <w:jc w:val="right"/>
              <w:rPr>
                <w:rFonts w:ascii="Montserrat" w:eastAsia="Times New Roman" w:hAnsi="Montserrat" w:cs="Calibri"/>
                <w:color w:val="000000"/>
                <w:sz w:val="15"/>
                <w:szCs w:val="15"/>
                <w:lang w:eastAsia="es-MX"/>
              </w:rPr>
            </w:pPr>
            <w:r w:rsidRPr="00255081">
              <w:rPr>
                <w:rFonts w:ascii="Montserrat" w:eastAsia="Times New Roman" w:hAnsi="Montserrat" w:cs="Calibri"/>
                <w:sz w:val="15"/>
                <w:szCs w:val="15"/>
                <w:lang w:eastAsia="es-MX"/>
              </w:rPr>
              <w:t>40,211,303</w:t>
            </w:r>
          </w:p>
        </w:tc>
      </w:tr>
      <w:tr w:rsidR="00015492" w:rsidRPr="00995308" w14:paraId="78309F7B" w14:textId="77777777" w:rsidTr="000F03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jc w:val="center"/>
        </w:trPr>
        <w:tc>
          <w:tcPr>
            <w:tcW w:w="5583" w:type="dxa"/>
            <w:shd w:val="clear" w:color="000000" w:fill="F2F2F2"/>
            <w:vAlign w:val="center"/>
          </w:tcPr>
          <w:p w14:paraId="55C736B9" w14:textId="1225C8AB" w:rsidR="00015492" w:rsidRPr="00255081" w:rsidRDefault="00015492" w:rsidP="004B170A">
            <w:pPr>
              <w:spacing w:after="120" w:line="240" w:lineRule="auto"/>
              <w:jc w:val="both"/>
              <w:rPr>
                <w:rFonts w:ascii="Montserrat" w:eastAsia="Times New Roman" w:hAnsi="Montserrat" w:cs="Calibri"/>
                <w:color w:val="000000"/>
                <w:sz w:val="15"/>
                <w:szCs w:val="15"/>
                <w:lang w:eastAsia="es-MX"/>
              </w:rPr>
            </w:pPr>
            <w:r w:rsidRPr="00255081">
              <w:rPr>
                <w:rFonts w:ascii="Montserrat" w:eastAsia="Times New Roman" w:hAnsi="Montserrat" w:cs="Calibri"/>
                <w:sz w:val="15"/>
                <w:szCs w:val="15"/>
                <w:lang w:eastAsia="es-MX"/>
              </w:rPr>
              <w:t>Compañía Operadora del Centro Cultural y Turístico de Tijuana, S.A. de C.V.</w:t>
            </w:r>
          </w:p>
        </w:tc>
        <w:tc>
          <w:tcPr>
            <w:tcW w:w="2463" w:type="dxa"/>
            <w:shd w:val="clear" w:color="000000" w:fill="F2F2F2"/>
            <w:noWrap/>
            <w:vAlign w:val="center"/>
          </w:tcPr>
          <w:p w14:paraId="568B33AB" w14:textId="4E8FFE4B" w:rsidR="00015492" w:rsidRPr="00255081" w:rsidRDefault="00015492" w:rsidP="000A1B05">
            <w:pPr>
              <w:spacing w:after="120" w:line="240" w:lineRule="auto"/>
              <w:jc w:val="right"/>
              <w:rPr>
                <w:rFonts w:ascii="Montserrat" w:eastAsia="Times New Roman" w:hAnsi="Montserrat" w:cs="Calibri"/>
                <w:color w:val="000000"/>
                <w:sz w:val="15"/>
                <w:szCs w:val="15"/>
                <w:lang w:eastAsia="es-MX"/>
              </w:rPr>
            </w:pPr>
            <w:r w:rsidRPr="00255081">
              <w:rPr>
                <w:rFonts w:ascii="Montserrat" w:eastAsia="Times New Roman" w:hAnsi="Montserrat" w:cs="Calibri"/>
                <w:sz w:val="15"/>
                <w:szCs w:val="15"/>
                <w:lang w:eastAsia="es-MX"/>
              </w:rPr>
              <w:t>66,580,450</w:t>
            </w:r>
          </w:p>
        </w:tc>
        <w:tc>
          <w:tcPr>
            <w:tcW w:w="1192" w:type="dxa"/>
            <w:shd w:val="clear" w:color="000000" w:fill="F2F2F2"/>
            <w:noWrap/>
            <w:vAlign w:val="center"/>
          </w:tcPr>
          <w:p w14:paraId="354A0681" w14:textId="051B699A" w:rsidR="00015492" w:rsidRPr="00255081" w:rsidRDefault="00015492" w:rsidP="000A1B05">
            <w:pPr>
              <w:spacing w:after="120" w:line="240" w:lineRule="auto"/>
              <w:jc w:val="right"/>
              <w:rPr>
                <w:rFonts w:ascii="Montserrat" w:eastAsia="Times New Roman" w:hAnsi="Montserrat" w:cs="Calibri"/>
                <w:color w:val="000000"/>
                <w:sz w:val="15"/>
                <w:szCs w:val="15"/>
                <w:lang w:eastAsia="es-MX"/>
              </w:rPr>
            </w:pPr>
            <w:r w:rsidRPr="00255081">
              <w:rPr>
                <w:rFonts w:ascii="Montserrat" w:eastAsia="Times New Roman" w:hAnsi="Montserrat" w:cs="Calibri"/>
                <w:sz w:val="15"/>
                <w:szCs w:val="15"/>
                <w:lang w:eastAsia="es-MX"/>
              </w:rPr>
              <w:t>100%</w:t>
            </w:r>
          </w:p>
        </w:tc>
        <w:tc>
          <w:tcPr>
            <w:tcW w:w="2558" w:type="dxa"/>
            <w:gridSpan w:val="2"/>
            <w:shd w:val="clear" w:color="000000" w:fill="F2F2F2"/>
            <w:noWrap/>
            <w:vAlign w:val="center"/>
          </w:tcPr>
          <w:p w14:paraId="73E86577" w14:textId="07AEF112" w:rsidR="00015492" w:rsidRPr="00255081" w:rsidRDefault="00015492" w:rsidP="000A1B05">
            <w:pPr>
              <w:spacing w:after="120" w:line="240" w:lineRule="auto"/>
              <w:jc w:val="right"/>
              <w:rPr>
                <w:rFonts w:ascii="Montserrat" w:eastAsia="Times New Roman" w:hAnsi="Montserrat" w:cs="Calibri"/>
                <w:color w:val="000000"/>
                <w:sz w:val="15"/>
                <w:szCs w:val="15"/>
                <w:lang w:eastAsia="es-MX"/>
              </w:rPr>
            </w:pPr>
            <w:r w:rsidRPr="00255081">
              <w:rPr>
                <w:rFonts w:ascii="Montserrat" w:eastAsia="Times New Roman" w:hAnsi="Montserrat" w:cs="Calibri"/>
                <w:sz w:val="15"/>
                <w:szCs w:val="15"/>
                <w:lang w:eastAsia="es-MX"/>
              </w:rPr>
              <w:t>66,580,450</w:t>
            </w:r>
          </w:p>
        </w:tc>
      </w:tr>
      <w:tr w:rsidR="00015492" w:rsidRPr="00995308" w14:paraId="1610B712" w14:textId="77777777" w:rsidTr="000F03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jc w:val="center"/>
        </w:trPr>
        <w:tc>
          <w:tcPr>
            <w:tcW w:w="5583" w:type="dxa"/>
            <w:shd w:val="clear" w:color="000000" w:fill="F2F2F2"/>
            <w:vAlign w:val="center"/>
          </w:tcPr>
          <w:p w14:paraId="7C6332B5" w14:textId="5D62F4E3" w:rsidR="00015492" w:rsidRPr="00255081" w:rsidRDefault="00015492" w:rsidP="004B170A">
            <w:pPr>
              <w:spacing w:after="120" w:line="240" w:lineRule="auto"/>
              <w:jc w:val="both"/>
              <w:rPr>
                <w:rFonts w:ascii="Montserrat" w:eastAsia="Times New Roman" w:hAnsi="Montserrat" w:cs="Calibri"/>
                <w:color w:val="000000"/>
                <w:sz w:val="15"/>
                <w:szCs w:val="15"/>
                <w:lang w:eastAsia="es-MX"/>
              </w:rPr>
            </w:pPr>
            <w:r w:rsidRPr="00255081">
              <w:rPr>
                <w:rFonts w:ascii="Montserrat" w:eastAsia="Times New Roman" w:hAnsi="Montserrat" w:cs="Calibri"/>
                <w:sz w:val="15"/>
                <w:szCs w:val="15"/>
                <w:lang w:eastAsia="es-MX"/>
              </w:rPr>
              <w:t>Educal, S.A de C.V.</w:t>
            </w:r>
          </w:p>
        </w:tc>
        <w:tc>
          <w:tcPr>
            <w:tcW w:w="2463" w:type="dxa"/>
            <w:shd w:val="clear" w:color="000000" w:fill="F2F2F2"/>
            <w:noWrap/>
            <w:vAlign w:val="center"/>
          </w:tcPr>
          <w:p w14:paraId="049D41DE" w14:textId="38598EE5" w:rsidR="00015492" w:rsidRPr="00255081" w:rsidRDefault="00015492" w:rsidP="000A1B05">
            <w:pPr>
              <w:spacing w:after="120" w:line="240" w:lineRule="auto"/>
              <w:jc w:val="right"/>
              <w:rPr>
                <w:rFonts w:ascii="Montserrat" w:eastAsia="Times New Roman" w:hAnsi="Montserrat" w:cs="Calibri"/>
                <w:color w:val="000000"/>
                <w:sz w:val="15"/>
                <w:szCs w:val="15"/>
                <w:lang w:eastAsia="es-MX"/>
              </w:rPr>
            </w:pPr>
            <w:r w:rsidRPr="00255081">
              <w:rPr>
                <w:rFonts w:ascii="Montserrat" w:eastAsia="Times New Roman" w:hAnsi="Montserrat" w:cs="Calibri"/>
                <w:sz w:val="15"/>
                <w:szCs w:val="15"/>
                <w:lang w:eastAsia="es-MX"/>
              </w:rPr>
              <w:t>152,784,090</w:t>
            </w:r>
          </w:p>
        </w:tc>
        <w:tc>
          <w:tcPr>
            <w:tcW w:w="1192" w:type="dxa"/>
            <w:shd w:val="clear" w:color="000000" w:fill="F2F2F2"/>
            <w:noWrap/>
            <w:vAlign w:val="center"/>
          </w:tcPr>
          <w:p w14:paraId="1FF49BB8" w14:textId="5ECBA648" w:rsidR="00015492" w:rsidRPr="00255081" w:rsidRDefault="00015492" w:rsidP="000A1B05">
            <w:pPr>
              <w:spacing w:after="120" w:line="240" w:lineRule="auto"/>
              <w:jc w:val="right"/>
              <w:rPr>
                <w:rFonts w:ascii="Montserrat" w:eastAsia="Times New Roman" w:hAnsi="Montserrat" w:cs="Calibri"/>
                <w:color w:val="000000"/>
                <w:sz w:val="15"/>
                <w:szCs w:val="15"/>
                <w:lang w:eastAsia="es-MX"/>
              </w:rPr>
            </w:pPr>
            <w:r w:rsidRPr="00255081">
              <w:rPr>
                <w:rFonts w:ascii="Montserrat" w:eastAsia="Times New Roman" w:hAnsi="Montserrat" w:cs="Calibri"/>
                <w:sz w:val="15"/>
                <w:szCs w:val="15"/>
                <w:lang w:eastAsia="es-MX"/>
              </w:rPr>
              <w:t>100%</w:t>
            </w:r>
          </w:p>
        </w:tc>
        <w:tc>
          <w:tcPr>
            <w:tcW w:w="2558" w:type="dxa"/>
            <w:gridSpan w:val="2"/>
            <w:shd w:val="clear" w:color="000000" w:fill="F2F2F2"/>
            <w:noWrap/>
            <w:vAlign w:val="center"/>
          </w:tcPr>
          <w:p w14:paraId="0606B2EC" w14:textId="45B6EFBF" w:rsidR="00015492" w:rsidRPr="00255081" w:rsidRDefault="00015492" w:rsidP="000A1B05">
            <w:pPr>
              <w:spacing w:after="120" w:line="240" w:lineRule="auto"/>
              <w:jc w:val="right"/>
              <w:rPr>
                <w:rFonts w:ascii="Montserrat" w:eastAsia="Times New Roman" w:hAnsi="Montserrat" w:cs="Calibri"/>
                <w:color w:val="000000"/>
                <w:sz w:val="15"/>
                <w:szCs w:val="15"/>
                <w:lang w:eastAsia="es-MX"/>
              </w:rPr>
            </w:pPr>
            <w:r w:rsidRPr="00255081">
              <w:rPr>
                <w:rFonts w:ascii="Montserrat" w:eastAsia="Times New Roman" w:hAnsi="Montserrat" w:cs="Calibri"/>
                <w:sz w:val="15"/>
                <w:szCs w:val="15"/>
                <w:lang w:eastAsia="es-MX"/>
              </w:rPr>
              <w:t>152,784,090</w:t>
            </w:r>
          </w:p>
        </w:tc>
      </w:tr>
      <w:tr w:rsidR="00015492" w:rsidRPr="00995308" w14:paraId="234AD908" w14:textId="77777777" w:rsidTr="000F03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jc w:val="center"/>
        </w:trPr>
        <w:tc>
          <w:tcPr>
            <w:tcW w:w="5583" w:type="dxa"/>
            <w:shd w:val="clear" w:color="000000" w:fill="F2F2F2"/>
            <w:vAlign w:val="center"/>
          </w:tcPr>
          <w:p w14:paraId="1A4BF64C" w14:textId="16185931" w:rsidR="00015492" w:rsidRPr="00255081" w:rsidRDefault="00015492" w:rsidP="004B170A">
            <w:pPr>
              <w:spacing w:after="120" w:line="240" w:lineRule="auto"/>
              <w:jc w:val="both"/>
              <w:rPr>
                <w:rFonts w:ascii="Montserrat" w:eastAsia="Times New Roman" w:hAnsi="Montserrat" w:cs="Calibri"/>
                <w:color w:val="000000"/>
                <w:sz w:val="15"/>
                <w:szCs w:val="15"/>
                <w:lang w:eastAsia="es-MX"/>
              </w:rPr>
            </w:pPr>
            <w:r w:rsidRPr="00255081">
              <w:rPr>
                <w:rFonts w:ascii="Montserrat" w:eastAsia="Times New Roman" w:hAnsi="Montserrat" w:cs="Calibri"/>
                <w:sz w:val="15"/>
                <w:szCs w:val="15"/>
                <w:lang w:eastAsia="es-MX"/>
              </w:rPr>
              <w:t>Estudios Churubusco Azteca, S.A.</w:t>
            </w:r>
          </w:p>
        </w:tc>
        <w:tc>
          <w:tcPr>
            <w:tcW w:w="2463" w:type="dxa"/>
            <w:shd w:val="clear" w:color="000000" w:fill="F2F2F2"/>
            <w:noWrap/>
            <w:vAlign w:val="center"/>
          </w:tcPr>
          <w:p w14:paraId="6F348365" w14:textId="3F22685F" w:rsidR="00015492" w:rsidRPr="00255081" w:rsidRDefault="00015492" w:rsidP="000A1B05">
            <w:pPr>
              <w:spacing w:after="120" w:line="240" w:lineRule="auto"/>
              <w:jc w:val="right"/>
              <w:rPr>
                <w:rFonts w:ascii="Montserrat" w:eastAsia="Times New Roman" w:hAnsi="Montserrat" w:cs="Calibri"/>
                <w:color w:val="000000"/>
                <w:sz w:val="15"/>
                <w:szCs w:val="15"/>
                <w:lang w:eastAsia="es-MX"/>
              </w:rPr>
            </w:pPr>
            <w:r w:rsidRPr="00255081">
              <w:rPr>
                <w:rFonts w:ascii="Montserrat" w:eastAsia="Times New Roman" w:hAnsi="Montserrat" w:cs="Calibri"/>
                <w:sz w:val="15"/>
                <w:szCs w:val="15"/>
                <w:lang w:eastAsia="es-MX"/>
              </w:rPr>
              <w:t>1,047,533,912</w:t>
            </w:r>
          </w:p>
        </w:tc>
        <w:tc>
          <w:tcPr>
            <w:tcW w:w="1192" w:type="dxa"/>
            <w:shd w:val="clear" w:color="000000" w:fill="F2F2F2"/>
            <w:noWrap/>
            <w:vAlign w:val="center"/>
          </w:tcPr>
          <w:p w14:paraId="4CA1A5F6" w14:textId="260AC780" w:rsidR="00015492" w:rsidRPr="00255081" w:rsidRDefault="00015492" w:rsidP="000A1B05">
            <w:pPr>
              <w:spacing w:after="120" w:line="240" w:lineRule="auto"/>
              <w:jc w:val="right"/>
              <w:rPr>
                <w:rFonts w:ascii="Montserrat" w:eastAsia="Times New Roman" w:hAnsi="Montserrat" w:cs="Calibri"/>
                <w:color w:val="000000"/>
                <w:sz w:val="15"/>
                <w:szCs w:val="15"/>
                <w:lang w:eastAsia="es-MX"/>
              </w:rPr>
            </w:pPr>
            <w:r w:rsidRPr="00255081">
              <w:rPr>
                <w:rFonts w:ascii="Montserrat" w:eastAsia="Times New Roman" w:hAnsi="Montserrat" w:cs="Calibri"/>
                <w:sz w:val="15"/>
                <w:szCs w:val="15"/>
                <w:lang w:eastAsia="es-MX"/>
              </w:rPr>
              <w:t>100%</w:t>
            </w:r>
          </w:p>
        </w:tc>
        <w:tc>
          <w:tcPr>
            <w:tcW w:w="2558" w:type="dxa"/>
            <w:gridSpan w:val="2"/>
            <w:shd w:val="clear" w:color="000000" w:fill="F2F2F2"/>
            <w:noWrap/>
            <w:vAlign w:val="center"/>
          </w:tcPr>
          <w:p w14:paraId="7068BA56" w14:textId="06943BD1" w:rsidR="00015492" w:rsidRPr="00255081" w:rsidRDefault="00015492" w:rsidP="000A1B05">
            <w:pPr>
              <w:spacing w:after="120" w:line="240" w:lineRule="auto"/>
              <w:jc w:val="right"/>
              <w:rPr>
                <w:rFonts w:ascii="Montserrat" w:eastAsia="Times New Roman" w:hAnsi="Montserrat" w:cs="Calibri"/>
                <w:color w:val="000000"/>
                <w:sz w:val="15"/>
                <w:szCs w:val="15"/>
                <w:lang w:eastAsia="es-MX"/>
              </w:rPr>
            </w:pPr>
            <w:r w:rsidRPr="00255081">
              <w:rPr>
                <w:rFonts w:ascii="Montserrat" w:eastAsia="Times New Roman" w:hAnsi="Montserrat" w:cs="Calibri"/>
                <w:sz w:val="15"/>
                <w:szCs w:val="15"/>
                <w:lang w:eastAsia="es-MX"/>
              </w:rPr>
              <w:t>1,047,533,912</w:t>
            </w:r>
          </w:p>
        </w:tc>
      </w:tr>
      <w:tr w:rsidR="00015492" w:rsidRPr="00995308" w14:paraId="236DC3BD" w14:textId="77777777" w:rsidTr="000F03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jc w:val="center"/>
        </w:trPr>
        <w:tc>
          <w:tcPr>
            <w:tcW w:w="5583" w:type="dxa"/>
            <w:shd w:val="clear" w:color="000000" w:fill="F2F2F2"/>
            <w:vAlign w:val="center"/>
          </w:tcPr>
          <w:p w14:paraId="0974BDC9" w14:textId="7FC76AE2" w:rsidR="00015492" w:rsidRPr="00255081" w:rsidRDefault="00015492" w:rsidP="004B170A">
            <w:pPr>
              <w:spacing w:after="120" w:line="240" w:lineRule="auto"/>
              <w:jc w:val="both"/>
              <w:rPr>
                <w:rFonts w:ascii="Montserrat" w:eastAsia="Times New Roman" w:hAnsi="Montserrat" w:cs="Calibri"/>
                <w:color w:val="000000"/>
                <w:sz w:val="15"/>
                <w:szCs w:val="15"/>
                <w:lang w:eastAsia="es-MX"/>
              </w:rPr>
            </w:pPr>
            <w:r w:rsidRPr="00255081">
              <w:rPr>
                <w:rFonts w:ascii="Montserrat" w:eastAsia="Times New Roman" w:hAnsi="Montserrat" w:cs="Calibri"/>
                <w:sz w:val="15"/>
                <w:szCs w:val="15"/>
                <w:lang w:eastAsia="es-MX"/>
              </w:rPr>
              <w:t>Fideicomiso para la Cineteca Nacional</w:t>
            </w:r>
          </w:p>
        </w:tc>
        <w:tc>
          <w:tcPr>
            <w:tcW w:w="2463" w:type="dxa"/>
            <w:shd w:val="clear" w:color="000000" w:fill="F2F2F2"/>
            <w:noWrap/>
            <w:vAlign w:val="center"/>
          </w:tcPr>
          <w:p w14:paraId="5EA16C22" w14:textId="205C5584" w:rsidR="00015492" w:rsidRPr="00255081" w:rsidRDefault="00015492" w:rsidP="000A1B05">
            <w:pPr>
              <w:spacing w:after="120" w:line="240" w:lineRule="auto"/>
              <w:jc w:val="right"/>
              <w:rPr>
                <w:rFonts w:ascii="Montserrat" w:eastAsia="Times New Roman" w:hAnsi="Montserrat" w:cs="Calibri"/>
                <w:color w:val="000000"/>
                <w:sz w:val="15"/>
                <w:szCs w:val="15"/>
                <w:lang w:eastAsia="es-MX"/>
              </w:rPr>
            </w:pPr>
            <w:r w:rsidRPr="00255081">
              <w:rPr>
                <w:rFonts w:ascii="Montserrat" w:eastAsia="Times New Roman" w:hAnsi="Montserrat" w:cs="Calibri"/>
                <w:sz w:val="15"/>
                <w:szCs w:val="15"/>
                <w:lang w:eastAsia="es-MX"/>
              </w:rPr>
              <w:t>1,921,491,930</w:t>
            </w:r>
          </w:p>
        </w:tc>
        <w:tc>
          <w:tcPr>
            <w:tcW w:w="1192" w:type="dxa"/>
            <w:shd w:val="clear" w:color="000000" w:fill="F2F2F2"/>
            <w:noWrap/>
            <w:vAlign w:val="center"/>
          </w:tcPr>
          <w:p w14:paraId="71BE4351" w14:textId="114974B5" w:rsidR="00015492" w:rsidRPr="00255081" w:rsidRDefault="00015492" w:rsidP="000A1B05">
            <w:pPr>
              <w:spacing w:after="120" w:line="240" w:lineRule="auto"/>
              <w:jc w:val="right"/>
              <w:rPr>
                <w:rFonts w:ascii="Montserrat" w:eastAsia="Times New Roman" w:hAnsi="Montserrat" w:cs="Calibri"/>
                <w:color w:val="000000"/>
                <w:sz w:val="15"/>
                <w:szCs w:val="15"/>
                <w:lang w:eastAsia="es-MX"/>
              </w:rPr>
            </w:pPr>
            <w:r w:rsidRPr="00255081">
              <w:rPr>
                <w:rFonts w:ascii="Montserrat" w:eastAsia="Times New Roman" w:hAnsi="Montserrat" w:cs="Calibri"/>
                <w:sz w:val="15"/>
                <w:szCs w:val="15"/>
                <w:lang w:eastAsia="es-MX"/>
              </w:rPr>
              <w:t>100%</w:t>
            </w:r>
          </w:p>
        </w:tc>
        <w:tc>
          <w:tcPr>
            <w:tcW w:w="2558" w:type="dxa"/>
            <w:gridSpan w:val="2"/>
            <w:shd w:val="clear" w:color="000000" w:fill="F2F2F2"/>
            <w:noWrap/>
            <w:vAlign w:val="center"/>
          </w:tcPr>
          <w:p w14:paraId="2B297B01" w14:textId="4A0F0FBB" w:rsidR="00015492" w:rsidRPr="00255081" w:rsidRDefault="00015492" w:rsidP="000A1B05">
            <w:pPr>
              <w:spacing w:after="120" w:line="240" w:lineRule="auto"/>
              <w:jc w:val="right"/>
              <w:rPr>
                <w:rFonts w:ascii="Montserrat" w:eastAsia="Times New Roman" w:hAnsi="Montserrat" w:cs="Calibri"/>
                <w:color w:val="000000"/>
                <w:sz w:val="15"/>
                <w:szCs w:val="15"/>
                <w:lang w:eastAsia="es-MX"/>
              </w:rPr>
            </w:pPr>
            <w:r w:rsidRPr="00255081">
              <w:rPr>
                <w:rFonts w:ascii="Montserrat" w:eastAsia="Times New Roman" w:hAnsi="Montserrat" w:cs="Calibri"/>
                <w:sz w:val="15"/>
                <w:szCs w:val="15"/>
                <w:lang w:eastAsia="es-MX"/>
              </w:rPr>
              <w:t>1,921,491,930</w:t>
            </w:r>
          </w:p>
        </w:tc>
      </w:tr>
      <w:tr w:rsidR="00015492" w:rsidRPr="00995308" w14:paraId="2C75285F" w14:textId="77777777" w:rsidTr="000F03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jc w:val="center"/>
        </w:trPr>
        <w:tc>
          <w:tcPr>
            <w:tcW w:w="5583" w:type="dxa"/>
            <w:shd w:val="clear" w:color="000000" w:fill="F2F2F2"/>
            <w:vAlign w:val="center"/>
          </w:tcPr>
          <w:p w14:paraId="44FAF9E9" w14:textId="00117B73" w:rsidR="00015492" w:rsidRPr="00255081" w:rsidRDefault="00015492" w:rsidP="004B170A">
            <w:pPr>
              <w:spacing w:after="120" w:line="240" w:lineRule="auto"/>
              <w:jc w:val="both"/>
              <w:rPr>
                <w:rFonts w:ascii="Montserrat" w:eastAsia="Times New Roman" w:hAnsi="Montserrat" w:cs="Calibri"/>
                <w:color w:val="000000"/>
                <w:sz w:val="15"/>
                <w:szCs w:val="15"/>
                <w:lang w:eastAsia="es-MX"/>
              </w:rPr>
            </w:pPr>
            <w:r w:rsidRPr="00255081">
              <w:rPr>
                <w:rFonts w:ascii="Montserrat" w:eastAsia="Times New Roman" w:hAnsi="Montserrat" w:cs="Calibri"/>
                <w:sz w:val="15"/>
                <w:szCs w:val="15"/>
                <w:lang w:eastAsia="es-MX"/>
              </w:rPr>
              <w:t>Instituto Mexicano de Cinematografía</w:t>
            </w:r>
          </w:p>
        </w:tc>
        <w:tc>
          <w:tcPr>
            <w:tcW w:w="2463" w:type="dxa"/>
            <w:shd w:val="clear" w:color="000000" w:fill="F2F2F2"/>
            <w:noWrap/>
            <w:vAlign w:val="center"/>
          </w:tcPr>
          <w:p w14:paraId="6B5227B9" w14:textId="39B99A0F" w:rsidR="00015492" w:rsidRPr="00255081" w:rsidRDefault="00015492" w:rsidP="000A1B05">
            <w:pPr>
              <w:spacing w:after="120" w:line="240" w:lineRule="auto"/>
              <w:jc w:val="right"/>
              <w:rPr>
                <w:rFonts w:ascii="Montserrat" w:eastAsia="Times New Roman" w:hAnsi="Montserrat" w:cs="Calibri"/>
                <w:color w:val="000000"/>
                <w:sz w:val="15"/>
                <w:szCs w:val="15"/>
                <w:lang w:eastAsia="es-MX"/>
              </w:rPr>
            </w:pPr>
            <w:r w:rsidRPr="00255081">
              <w:rPr>
                <w:rFonts w:ascii="Montserrat" w:eastAsia="Times New Roman" w:hAnsi="Montserrat" w:cs="Calibri"/>
                <w:sz w:val="15"/>
                <w:szCs w:val="15"/>
                <w:lang w:eastAsia="es-MX"/>
              </w:rPr>
              <w:t>925,669,197</w:t>
            </w:r>
          </w:p>
        </w:tc>
        <w:tc>
          <w:tcPr>
            <w:tcW w:w="1192" w:type="dxa"/>
            <w:shd w:val="clear" w:color="000000" w:fill="F2F2F2"/>
            <w:noWrap/>
            <w:vAlign w:val="center"/>
          </w:tcPr>
          <w:p w14:paraId="49CADA5E" w14:textId="2057FC88" w:rsidR="00015492" w:rsidRPr="00255081" w:rsidRDefault="00015492" w:rsidP="000A1B05">
            <w:pPr>
              <w:spacing w:after="120" w:line="240" w:lineRule="auto"/>
              <w:jc w:val="right"/>
              <w:rPr>
                <w:rFonts w:ascii="Montserrat" w:eastAsia="Times New Roman" w:hAnsi="Montserrat" w:cs="Calibri"/>
                <w:color w:val="000000"/>
                <w:sz w:val="15"/>
                <w:szCs w:val="15"/>
                <w:lang w:eastAsia="es-MX"/>
              </w:rPr>
            </w:pPr>
            <w:r w:rsidRPr="00255081">
              <w:rPr>
                <w:rFonts w:ascii="Montserrat" w:eastAsia="Times New Roman" w:hAnsi="Montserrat" w:cs="Calibri"/>
                <w:sz w:val="15"/>
                <w:szCs w:val="15"/>
                <w:lang w:eastAsia="es-MX"/>
              </w:rPr>
              <w:t>100%</w:t>
            </w:r>
          </w:p>
        </w:tc>
        <w:tc>
          <w:tcPr>
            <w:tcW w:w="2558" w:type="dxa"/>
            <w:gridSpan w:val="2"/>
            <w:shd w:val="clear" w:color="000000" w:fill="F2F2F2"/>
            <w:noWrap/>
            <w:vAlign w:val="center"/>
          </w:tcPr>
          <w:p w14:paraId="0628333A" w14:textId="6A7FAEAB" w:rsidR="00015492" w:rsidRPr="00255081" w:rsidRDefault="00015492" w:rsidP="000A1B05">
            <w:pPr>
              <w:spacing w:after="120" w:line="240" w:lineRule="auto"/>
              <w:jc w:val="right"/>
              <w:rPr>
                <w:rFonts w:ascii="Montserrat" w:eastAsia="Times New Roman" w:hAnsi="Montserrat" w:cs="Calibri"/>
                <w:color w:val="000000"/>
                <w:sz w:val="15"/>
                <w:szCs w:val="15"/>
                <w:lang w:eastAsia="es-MX"/>
              </w:rPr>
            </w:pPr>
            <w:r w:rsidRPr="00255081">
              <w:rPr>
                <w:rFonts w:ascii="Montserrat" w:eastAsia="Times New Roman" w:hAnsi="Montserrat" w:cs="Calibri"/>
                <w:sz w:val="15"/>
                <w:szCs w:val="15"/>
                <w:lang w:eastAsia="es-MX"/>
              </w:rPr>
              <w:t>925,669,197</w:t>
            </w:r>
          </w:p>
        </w:tc>
      </w:tr>
      <w:tr w:rsidR="00015492" w:rsidRPr="00995308" w14:paraId="0163F1EA" w14:textId="77777777" w:rsidTr="000F03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jc w:val="center"/>
        </w:trPr>
        <w:tc>
          <w:tcPr>
            <w:tcW w:w="5583" w:type="dxa"/>
            <w:shd w:val="clear" w:color="000000" w:fill="F2F2F2"/>
            <w:vAlign w:val="center"/>
          </w:tcPr>
          <w:p w14:paraId="259A9C2E" w14:textId="3F5CB7FA" w:rsidR="00015492" w:rsidRPr="00255081" w:rsidRDefault="00015492" w:rsidP="004B170A">
            <w:pPr>
              <w:spacing w:after="120" w:line="240" w:lineRule="auto"/>
              <w:jc w:val="both"/>
              <w:rPr>
                <w:rFonts w:ascii="Montserrat" w:eastAsia="Times New Roman" w:hAnsi="Montserrat" w:cs="Calibri"/>
                <w:color w:val="000000"/>
                <w:sz w:val="15"/>
                <w:szCs w:val="15"/>
                <w:lang w:eastAsia="es-MX"/>
              </w:rPr>
            </w:pPr>
            <w:r w:rsidRPr="00255081">
              <w:rPr>
                <w:rFonts w:ascii="Montserrat" w:eastAsia="Times New Roman" w:hAnsi="Montserrat" w:cs="Calibri"/>
                <w:sz w:val="15"/>
                <w:szCs w:val="15"/>
                <w:lang w:eastAsia="es-MX"/>
              </w:rPr>
              <w:t>Instituto Nacional de Lenguas Indígenas</w:t>
            </w:r>
          </w:p>
        </w:tc>
        <w:tc>
          <w:tcPr>
            <w:tcW w:w="2463" w:type="dxa"/>
            <w:shd w:val="clear" w:color="000000" w:fill="F2F2F2"/>
            <w:noWrap/>
            <w:vAlign w:val="center"/>
          </w:tcPr>
          <w:p w14:paraId="3766581E" w14:textId="630AD433" w:rsidR="00015492" w:rsidRPr="00255081" w:rsidRDefault="00015492" w:rsidP="000A1B05">
            <w:pPr>
              <w:spacing w:after="120" w:line="240" w:lineRule="auto"/>
              <w:jc w:val="right"/>
              <w:rPr>
                <w:rFonts w:ascii="Montserrat" w:eastAsia="Times New Roman" w:hAnsi="Montserrat" w:cs="Calibri"/>
                <w:color w:val="000000"/>
                <w:sz w:val="15"/>
                <w:szCs w:val="15"/>
                <w:lang w:eastAsia="es-MX"/>
              </w:rPr>
            </w:pPr>
            <w:r w:rsidRPr="00255081">
              <w:rPr>
                <w:rFonts w:ascii="Montserrat" w:eastAsia="Times New Roman" w:hAnsi="Montserrat" w:cs="Calibri"/>
                <w:sz w:val="15"/>
                <w:szCs w:val="15"/>
                <w:lang w:eastAsia="es-MX"/>
              </w:rPr>
              <w:t>306,032</w:t>
            </w:r>
          </w:p>
        </w:tc>
        <w:tc>
          <w:tcPr>
            <w:tcW w:w="1192" w:type="dxa"/>
            <w:shd w:val="clear" w:color="000000" w:fill="F2F2F2"/>
            <w:noWrap/>
            <w:vAlign w:val="center"/>
          </w:tcPr>
          <w:p w14:paraId="6C4F54B5" w14:textId="317B9553" w:rsidR="00015492" w:rsidRPr="00255081" w:rsidRDefault="00015492" w:rsidP="000A1B05">
            <w:pPr>
              <w:spacing w:after="120" w:line="240" w:lineRule="auto"/>
              <w:jc w:val="right"/>
              <w:rPr>
                <w:rFonts w:ascii="Montserrat" w:eastAsia="Times New Roman" w:hAnsi="Montserrat" w:cs="Calibri"/>
                <w:color w:val="000000"/>
                <w:sz w:val="15"/>
                <w:szCs w:val="15"/>
                <w:lang w:eastAsia="es-MX"/>
              </w:rPr>
            </w:pPr>
            <w:r w:rsidRPr="00255081">
              <w:rPr>
                <w:rFonts w:ascii="Montserrat" w:eastAsia="Times New Roman" w:hAnsi="Montserrat" w:cs="Calibri"/>
                <w:sz w:val="15"/>
                <w:szCs w:val="15"/>
                <w:lang w:eastAsia="es-MX"/>
              </w:rPr>
              <w:t>100%</w:t>
            </w:r>
          </w:p>
        </w:tc>
        <w:tc>
          <w:tcPr>
            <w:tcW w:w="2558" w:type="dxa"/>
            <w:gridSpan w:val="2"/>
            <w:shd w:val="clear" w:color="000000" w:fill="F2F2F2"/>
            <w:noWrap/>
            <w:vAlign w:val="center"/>
          </w:tcPr>
          <w:p w14:paraId="3A718D7A" w14:textId="6D1C6119" w:rsidR="00015492" w:rsidRPr="00255081" w:rsidRDefault="00015492" w:rsidP="000A1B05">
            <w:pPr>
              <w:spacing w:after="120" w:line="240" w:lineRule="auto"/>
              <w:jc w:val="right"/>
              <w:rPr>
                <w:rFonts w:ascii="Montserrat" w:eastAsia="Times New Roman" w:hAnsi="Montserrat" w:cs="Calibri"/>
                <w:color w:val="000000"/>
                <w:sz w:val="15"/>
                <w:szCs w:val="15"/>
                <w:lang w:eastAsia="es-MX"/>
              </w:rPr>
            </w:pPr>
            <w:r w:rsidRPr="00255081">
              <w:rPr>
                <w:rFonts w:ascii="Montserrat" w:eastAsia="Times New Roman" w:hAnsi="Montserrat" w:cs="Calibri"/>
                <w:sz w:val="15"/>
                <w:szCs w:val="15"/>
                <w:lang w:eastAsia="es-MX"/>
              </w:rPr>
              <w:t>306,032</w:t>
            </w:r>
          </w:p>
        </w:tc>
      </w:tr>
      <w:tr w:rsidR="003B0EEA" w:rsidRPr="00995308" w14:paraId="11FF8EB0" w14:textId="77777777" w:rsidTr="000F03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jc w:val="center"/>
        </w:trPr>
        <w:tc>
          <w:tcPr>
            <w:tcW w:w="5583" w:type="dxa"/>
            <w:shd w:val="clear" w:color="000000" w:fill="F2F2F2"/>
            <w:vAlign w:val="center"/>
          </w:tcPr>
          <w:p w14:paraId="7C948DD3" w14:textId="1FC56A26" w:rsidR="003B0EEA" w:rsidRPr="00255081" w:rsidRDefault="003B0EEA" w:rsidP="004B170A">
            <w:pPr>
              <w:spacing w:after="120" w:line="240" w:lineRule="auto"/>
              <w:jc w:val="both"/>
              <w:rPr>
                <w:rFonts w:ascii="Montserrat" w:eastAsia="Times New Roman" w:hAnsi="Montserrat" w:cs="Calibri"/>
                <w:sz w:val="15"/>
                <w:szCs w:val="15"/>
                <w:lang w:eastAsia="es-MX"/>
              </w:rPr>
            </w:pPr>
            <w:r w:rsidRPr="00255081">
              <w:rPr>
                <w:rFonts w:ascii="Montserrat" w:eastAsia="Times New Roman" w:hAnsi="Montserrat" w:cs="Calibri"/>
                <w:sz w:val="15"/>
                <w:szCs w:val="15"/>
                <w:lang w:eastAsia="es-MX"/>
              </w:rPr>
              <w:t>Televisión Metropolitana, S.A. de C.V.</w:t>
            </w:r>
          </w:p>
        </w:tc>
        <w:tc>
          <w:tcPr>
            <w:tcW w:w="2463" w:type="dxa"/>
            <w:shd w:val="clear" w:color="000000" w:fill="F2F2F2"/>
            <w:noWrap/>
            <w:vAlign w:val="center"/>
          </w:tcPr>
          <w:p w14:paraId="6A11D59B" w14:textId="738608B2" w:rsidR="003B0EEA" w:rsidRPr="00255081" w:rsidRDefault="003B0EEA" w:rsidP="000A1B05">
            <w:pPr>
              <w:spacing w:after="120" w:line="240" w:lineRule="auto"/>
              <w:jc w:val="right"/>
              <w:rPr>
                <w:rFonts w:ascii="Montserrat" w:eastAsia="Times New Roman" w:hAnsi="Montserrat" w:cs="Calibri"/>
                <w:sz w:val="15"/>
                <w:szCs w:val="15"/>
                <w:lang w:eastAsia="es-MX"/>
              </w:rPr>
            </w:pPr>
            <w:r w:rsidRPr="00255081">
              <w:rPr>
                <w:rFonts w:ascii="Montserrat" w:eastAsia="Times New Roman" w:hAnsi="Montserrat" w:cs="Calibri"/>
                <w:sz w:val="15"/>
                <w:szCs w:val="15"/>
                <w:lang w:eastAsia="es-MX"/>
              </w:rPr>
              <w:t>395,647,138</w:t>
            </w:r>
          </w:p>
        </w:tc>
        <w:tc>
          <w:tcPr>
            <w:tcW w:w="1192" w:type="dxa"/>
            <w:shd w:val="clear" w:color="000000" w:fill="F2F2F2"/>
            <w:noWrap/>
            <w:vAlign w:val="center"/>
          </w:tcPr>
          <w:p w14:paraId="493C822F" w14:textId="78088D25" w:rsidR="003B0EEA" w:rsidRPr="00255081" w:rsidRDefault="003B0EEA" w:rsidP="000A1B05">
            <w:pPr>
              <w:spacing w:after="120" w:line="240" w:lineRule="auto"/>
              <w:jc w:val="right"/>
              <w:rPr>
                <w:rFonts w:ascii="Montserrat" w:eastAsia="Times New Roman" w:hAnsi="Montserrat" w:cs="Calibri"/>
                <w:sz w:val="15"/>
                <w:szCs w:val="15"/>
                <w:lang w:eastAsia="es-MX"/>
              </w:rPr>
            </w:pPr>
            <w:r w:rsidRPr="00255081">
              <w:rPr>
                <w:rFonts w:ascii="Montserrat" w:eastAsia="Times New Roman" w:hAnsi="Montserrat" w:cs="Calibri"/>
                <w:sz w:val="15"/>
                <w:szCs w:val="15"/>
                <w:lang w:eastAsia="es-MX"/>
              </w:rPr>
              <w:t>100%</w:t>
            </w:r>
          </w:p>
        </w:tc>
        <w:tc>
          <w:tcPr>
            <w:tcW w:w="2558" w:type="dxa"/>
            <w:gridSpan w:val="2"/>
            <w:shd w:val="clear" w:color="000000" w:fill="F2F2F2"/>
            <w:noWrap/>
            <w:vAlign w:val="center"/>
          </w:tcPr>
          <w:p w14:paraId="315B2DFA" w14:textId="7B1BC7A3" w:rsidR="003B0EEA" w:rsidRPr="00255081" w:rsidRDefault="003B0EEA" w:rsidP="000A1B05">
            <w:pPr>
              <w:spacing w:after="120" w:line="240" w:lineRule="auto"/>
              <w:jc w:val="right"/>
              <w:rPr>
                <w:rFonts w:ascii="Montserrat" w:eastAsia="Times New Roman" w:hAnsi="Montserrat" w:cs="Calibri"/>
                <w:sz w:val="15"/>
                <w:szCs w:val="15"/>
                <w:lang w:eastAsia="es-MX"/>
              </w:rPr>
            </w:pPr>
            <w:r w:rsidRPr="00255081">
              <w:rPr>
                <w:rFonts w:ascii="Montserrat" w:eastAsia="Times New Roman" w:hAnsi="Montserrat" w:cs="Calibri"/>
                <w:sz w:val="15"/>
                <w:szCs w:val="15"/>
                <w:lang w:eastAsia="es-MX"/>
              </w:rPr>
              <w:t>395,647,138</w:t>
            </w:r>
          </w:p>
        </w:tc>
      </w:tr>
      <w:tr w:rsidR="003B0EEA" w:rsidRPr="00995308" w14:paraId="44E214ED" w14:textId="77777777" w:rsidTr="000F03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jc w:val="center"/>
        </w:trPr>
        <w:tc>
          <w:tcPr>
            <w:tcW w:w="5583" w:type="dxa"/>
            <w:tcBorders>
              <w:bottom w:val="single" w:sz="12" w:space="0" w:color="808080" w:themeColor="background1" w:themeShade="80"/>
            </w:tcBorders>
            <w:shd w:val="clear" w:color="000000" w:fill="F2F2F2"/>
            <w:vAlign w:val="center"/>
          </w:tcPr>
          <w:p w14:paraId="7578AD18" w14:textId="68C0CD5E" w:rsidR="003B0EEA" w:rsidRPr="000F0321" w:rsidRDefault="003B0EEA" w:rsidP="000A1B05">
            <w:pPr>
              <w:spacing w:after="120" w:line="240" w:lineRule="auto"/>
              <w:jc w:val="right"/>
              <w:rPr>
                <w:rFonts w:ascii="Montserrat" w:eastAsia="Times New Roman" w:hAnsi="Montserrat" w:cs="Calibri"/>
                <w:b/>
                <w:bCs/>
                <w:color w:val="000000"/>
                <w:sz w:val="15"/>
                <w:szCs w:val="15"/>
                <w:lang w:val="es-MX" w:eastAsia="es-MX"/>
              </w:rPr>
            </w:pPr>
            <w:r w:rsidRPr="000F0321">
              <w:rPr>
                <w:rFonts w:ascii="Montserrat" w:eastAsia="Times New Roman" w:hAnsi="Montserrat" w:cs="Calibri"/>
                <w:b/>
                <w:bCs/>
                <w:color w:val="000000"/>
                <w:sz w:val="15"/>
                <w:szCs w:val="15"/>
                <w:lang w:val="es-MX" w:eastAsia="es-MX"/>
              </w:rPr>
              <w:t>Totales</w:t>
            </w:r>
          </w:p>
        </w:tc>
        <w:tc>
          <w:tcPr>
            <w:tcW w:w="2463" w:type="dxa"/>
            <w:tcBorders>
              <w:bottom w:val="single" w:sz="12" w:space="0" w:color="808080" w:themeColor="background1" w:themeShade="80"/>
            </w:tcBorders>
            <w:shd w:val="clear" w:color="000000" w:fill="F2F2F2"/>
            <w:noWrap/>
            <w:vAlign w:val="center"/>
          </w:tcPr>
          <w:p w14:paraId="31956256" w14:textId="3A0CB0C7" w:rsidR="003B0EEA" w:rsidRPr="000F0321" w:rsidRDefault="003B0EEA" w:rsidP="000A1B05">
            <w:pPr>
              <w:spacing w:after="120" w:line="240" w:lineRule="auto"/>
              <w:jc w:val="right"/>
              <w:rPr>
                <w:rFonts w:ascii="Montserrat" w:eastAsia="Times New Roman" w:hAnsi="Montserrat" w:cs="Calibri"/>
                <w:b/>
                <w:bCs/>
                <w:color w:val="000000"/>
                <w:sz w:val="15"/>
                <w:szCs w:val="15"/>
                <w:lang w:val="es-MX" w:eastAsia="es-MX"/>
              </w:rPr>
            </w:pPr>
            <w:r w:rsidRPr="000F0321">
              <w:rPr>
                <w:rFonts w:ascii="Montserrat" w:eastAsia="Times New Roman" w:hAnsi="Montserrat" w:cs="Calibri"/>
                <w:b/>
                <w:bCs/>
                <w:color w:val="000000"/>
                <w:sz w:val="15"/>
                <w:szCs w:val="15"/>
                <w:lang w:val="es-MX" w:eastAsia="es-MX"/>
              </w:rPr>
              <w:t>1,684,872,940,512</w:t>
            </w:r>
          </w:p>
        </w:tc>
        <w:tc>
          <w:tcPr>
            <w:tcW w:w="1192" w:type="dxa"/>
            <w:tcBorders>
              <w:bottom w:val="single" w:sz="12" w:space="0" w:color="808080" w:themeColor="background1" w:themeShade="80"/>
            </w:tcBorders>
            <w:shd w:val="clear" w:color="000000" w:fill="F2F2F2"/>
            <w:noWrap/>
            <w:vAlign w:val="center"/>
          </w:tcPr>
          <w:p w14:paraId="4AEA5761" w14:textId="77777777" w:rsidR="003B0EEA" w:rsidRPr="000F0321" w:rsidRDefault="003B0EEA" w:rsidP="000A1B05">
            <w:pPr>
              <w:spacing w:after="120" w:line="240" w:lineRule="auto"/>
              <w:jc w:val="right"/>
              <w:rPr>
                <w:rFonts w:ascii="Montserrat" w:eastAsia="Times New Roman" w:hAnsi="Montserrat" w:cs="Calibri"/>
                <w:b/>
                <w:bCs/>
                <w:color w:val="000000"/>
                <w:sz w:val="15"/>
                <w:szCs w:val="15"/>
                <w:lang w:val="es-MX" w:eastAsia="es-MX"/>
              </w:rPr>
            </w:pPr>
          </w:p>
        </w:tc>
        <w:tc>
          <w:tcPr>
            <w:tcW w:w="2558" w:type="dxa"/>
            <w:gridSpan w:val="2"/>
            <w:tcBorders>
              <w:bottom w:val="single" w:sz="12" w:space="0" w:color="808080" w:themeColor="background1" w:themeShade="80"/>
            </w:tcBorders>
            <w:shd w:val="clear" w:color="000000" w:fill="F2F2F2"/>
            <w:noWrap/>
            <w:vAlign w:val="center"/>
          </w:tcPr>
          <w:p w14:paraId="1B2711C9" w14:textId="2D378F33" w:rsidR="003B0EEA" w:rsidRPr="000F0321" w:rsidRDefault="003B0EEA" w:rsidP="000A1B05">
            <w:pPr>
              <w:spacing w:after="120" w:line="240" w:lineRule="auto"/>
              <w:jc w:val="right"/>
              <w:rPr>
                <w:rFonts w:ascii="Montserrat" w:eastAsia="Times New Roman" w:hAnsi="Montserrat" w:cs="Calibri"/>
                <w:b/>
                <w:bCs/>
                <w:color w:val="000000"/>
                <w:sz w:val="15"/>
                <w:szCs w:val="15"/>
                <w:lang w:val="es-MX" w:eastAsia="es-MX"/>
              </w:rPr>
            </w:pPr>
            <w:r w:rsidRPr="000F0321">
              <w:rPr>
                <w:rFonts w:ascii="Montserrat" w:eastAsia="Times New Roman" w:hAnsi="Montserrat" w:cs="Calibri"/>
                <w:b/>
                <w:bCs/>
                <w:color w:val="000000"/>
                <w:sz w:val="15"/>
                <w:szCs w:val="15"/>
                <w:lang w:val="es-MX" w:eastAsia="es-MX"/>
              </w:rPr>
              <w:t>1,669,803,490,266</w:t>
            </w:r>
          </w:p>
        </w:tc>
      </w:tr>
    </w:tbl>
    <w:p w14:paraId="496D09E4" w14:textId="77777777" w:rsidR="00A22920" w:rsidRDefault="00A22920" w:rsidP="008A4916">
      <w:pPr>
        <w:spacing w:after="0" w:line="240" w:lineRule="auto"/>
        <w:ind w:left="709"/>
        <w:jc w:val="both"/>
        <w:rPr>
          <w:rFonts w:ascii="Montserrat" w:hAnsi="Montserrat" w:cs="Arial"/>
          <w:spacing w:val="-1"/>
          <w:sz w:val="18"/>
          <w:szCs w:val="18"/>
        </w:rPr>
      </w:pPr>
    </w:p>
    <w:tbl>
      <w:tblPr>
        <w:tblW w:w="13140" w:type="dxa"/>
        <w:tblInd w:w="-5" w:type="dxa"/>
        <w:tblCellMar>
          <w:left w:w="70" w:type="dxa"/>
          <w:right w:w="70" w:type="dxa"/>
        </w:tblCellMar>
        <w:tblLook w:val="04A0" w:firstRow="1" w:lastRow="0" w:firstColumn="1" w:lastColumn="0" w:noHBand="0" w:noVBand="1"/>
      </w:tblPr>
      <w:tblGrid>
        <w:gridCol w:w="6420"/>
        <w:gridCol w:w="2380"/>
        <w:gridCol w:w="1960"/>
        <w:gridCol w:w="2380"/>
      </w:tblGrid>
      <w:tr w:rsidR="003B0EEA" w:rsidRPr="00C526DF" w14:paraId="782049F6" w14:textId="77777777" w:rsidTr="00255081">
        <w:trPr>
          <w:trHeight w:val="195"/>
        </w:trPr>
        <w:tc>
          <w:tcPr>
            <w:tcW w:w="6420" w:type="dxa"/>
            <w:tcBorders>
              <w:top w:val="nil"/>
              <w:left w:val="nil"/>
              <w:bottom w:val="nil"/>
              <w:right w:val="nil"/>
            </w:tcBorders>
            <w:shd w:val="clear" w:color="auto" w:fill="auto"/>
            <w:noWrap/>
            <w:vAlign w:val="bottom"/>
            <w:hideMark/>
          </w:tcPr>
          <w:p w14:paraId="3C01A5AD" w14:textId="681CB6EF" w:rsidR="003B0EEA" w:rsidRPr="00C526DF" w:rsidRDefault="003B0EEA" w:rsidP="00220C11">
            <w:pPr>
              <w:spacing w:after="0" w:line="240" w:lineRule="auto"/>
              <w:rPr>
                <w:rFonts w:ascii="Montserrat" w:eastAsia="Times New Roman" w:hAnsi="Montserrat" w:cs="Calibri"/>
                <w:color w:val="000000"/>
                <w:sz w:val="15"/>
                <w:szCs w:val="15"/>
                <w:lang w:eastAsia="es-MX"/>
              </w:rPr>
            </w:pPr>
            <w:r w:rsidRPr="00C526DF">
              <w:rPr>
                <w:rFonts w:ascii="Montserrat" w:eastAsia="Times New Roman" w:hAnsi="Montserrat" w:cs="Calibri"/>
                <w:color w:val="000000"/>
                <w:sz w:val="15"/>
                <w:szCs w:val="15"/>
                <w:lang w:eastAsia="es-MX"/>
              </w:rPr>
              <w:t xml:space="preserve">1/ Los importes pueden </w:t>
            </w:r>
            <w:r w:rsidR="00220C11">
              <w:rPr>
                <w:rFonts w:ascii="Montserrat" w:eastAsia="Times New Roman" w:hAnsi="Montserrat" w:cs="Calibri"/>
                <w:color w:val="000000"/>
                <w:sz w:val="15"/>
                <w:szCs w:val="15"/>
                <w:lang w:eastAsia="es-MX"/>
              </w:rPr>
              <w:t>no coincidir</w:t>
            </w:r>
            <w:r w:rsidRPr="00C526DF">
              <w:rPr>
                <w:rFonts w:ascii="Montserrat" w:eastAsia="Times New Roman" w:hAnsi="Montserrat" w:cs="Calibri"/>
                <w:color w:val="000000"/>
                <w:sz w:val="15"/>
                <w:szCs w:val="15"/>
                <w:lang w:eastAsia="es-MX"/>
              </w:rPr>
              <w:t xml:space="preserve"> debido al redondeo por el porcentaje aplicado.</w:t>
            </w:r>
          </w:p>
        </w:tc>
        <w:tc>
          <w:tcPr>
            <w:tcW w:w="2380" w:type="dxa"/>
            <w:tcBorders>
              <w:top w:val="nil"/>
              <w:left w:val="nil"/>
              <w:bottom w:val="nil"/>
              <w:right w:val="nil"/>
            </w:tcBorders>
            <w:shd w:val="clear" w:color="auto" w:fill="auto"/>
            <w:noWrap/>
            <w:vAlign w:val="bottom"/>
            <w:hideMark/>
          </w:tcPr>
          <w:p w14:paraId="263DC088" w14:textId="77777777" w:rsidR="003B0EEA" w:rsidRPr="00C526DF" w:rsidRDefault="003B0EEA" w:rsidP="00255081">
            <w:pPr>
              <w:spacing w:after="0" w:line="240" w:lineRule="auto"/>
              <w:rPr>
                <w:rFonts w:ascii="Montserrat" w:eastAsia="Times New Roman" w:hAnsi="Montserrat" w:cs="Calibri"/>
                <w:color w:val="000000"/>
                <w:sz w:val="15"/>
                <w:szCs w:val="15"/>
                <w:lang w:eastAsia="es-MX"/>
              </w:rPr>
            </w:pPr>
          </w:p>
        </w:tc>
        <w:tc>
          <w:tcPr>
            <w:tcW w:w="1960" w:type="dxa"/>
            <w:tcBorders>
              <w:top w:val="nil"/>
              <w:left w:val="nil"/>
              <w:bottom w:val="nil"/>
              <w:right w:val="nil"/>
            </w:tcBorders>
            <w:shd w:val="clear" w:color="auto" w:fill="auto"/>
            <w:noWrap/>
            <w:vAlign w:val="bottom"/>
            <w:hideMark/>
          </w:tcPr>
          <w:p w14:paraId="2A0FDD5A" w14:textId="77777777" w:rsidR="003B0EEA" w:rsidRPr="00C526DF" w:rsidRDefault="003B0EEA" w:rsidP="00255081">
            <w:pPr>
              <w:spacing w:after="0" w:line="240" w:lineRule="auto"/>
              <w:rPr>
                <w:rFonts w:ascii="Times New Roman" w:eastAsia="Times New Roman" w:hAnsi="Times New Roman"/>
                <w:sz w:val="20"/>
                <w:szCs w:val="20"/>
                <w:lang w:eastAsia="es-MX"/>
              </w:rPr>
            </w:pPr>
          </w:p>
        </w:tc>
        <w:tc>
          <w:tcPr>
            <w:tcW w:w="2380" w:type="dxa"/>
            <w:tcBorders>
              <w:top w:val="nil"/>
              <w:left w:val="nil"/>
              <w:bottom w:val="nil"/>
              <w:right w:val="nil"/>
            </w:tcBorders>
            <w:shd w:val="clear" w:color="auto" w:fill="auto"/>
            <w:noWrap/>
            <w:vAlign w:val="bottom"/>
            <w:hideMark/>
          </w:tcPr>
          <w:p w14:paraId="3DAB8529" w14:textId="77777777" w:rsidR="003B0EEA" w:rsidRPr="00C526DF" w:rsidRDefault="003B0EEA" w:rsidP="00255081">
            <w:pPr>
              <w:spacing w:after="0" w:line="240" w:lineRule="auto"/>
              <w:rPr>
                <w:rFonts w:ascii="Times New Roman" w:eastAsia="Times New Roman" w:hAnsi="Times New Roman"/>
                <w:sz w:val="20"/>
                <w:szCs w:val="20"/>
                <w:lang w:eastAsia="es-MX"/>
              </w:rPr>
            </w:pPr>
          </w:p>
        </w:tc>
      </w:tr>
      <w:tr w:rsidR="003B0EEA" w:rsidRPr="00C526DF" w14:paraId="782614EB" w14:textId="77777777" w:rsidTr="00255081">
        <w:trPr>
          <w:trHeight w:val="195"/>
        </w:trPr>
        <w:tc>
          <w:tcPr>
            <w:tcW w:w="6420" w:type="dxa"/>
            <w:tcBorders>
              <w:top w:val="nil"/>
              <w:left w:val="nil"/>
              <w:bottom w:val="nil"/>
              <w:right w:val="nil"/>
            </w:tcBorders>
            <w:shd w:val="clear" w:color="auto" w:fill="auto"/>
            <w:noWrap/>
            <w:vAlign w:val="bottom"/>
            <w:hideMark/>
          </w:tcPr>
          <w:p w14:paraId="09C25AEE" w14:textId="77777777" w:rsidR="003B0EEA" w:rsidRPr="00F86C1F" w:rsidRDefault="003B0EEA" w:rsidP="00255081">
            <w:pPr>
              <w:spacing w:after="0" w:line="240" w:lineRule="auto"/>
              <w:rPr>
                <w:rFonts w:ascii="Montserrat" w:eastAsia="Times New Roman" w:hAnsi="Montserrat" w:cs="Calibri"/>
                <w:color w:val="000000"/>
                <w:sz w:val="15"/>
                <w:szCs w:val="15"/>
                <w:lang w:eastAsia="es-MX"/>
              </w:rPr>
            </w:pPr>
            <w:r w:rsidRPr="00F86C1F">
              <w:rPr>
                <w:rFonts w:ascii="Montserrat" w:eastAsia="Times New Roman" w:hAnsi="Montserrat" w:cs="Calibri"/>
                <w:color w:val="000000"/>
                <w:sz w:val="15"/>
                <w:szCs w:val="15"/>
                <w:lang w:eastAsia="es-MX"/>
              </w:rPr>
              <w:t>2/ El patrimonio corresponde a las cifras dictaminadas del ejercicio 2018.</w:t>
            </w:r>
          </w:p>
        </w:tc>
        <w:tc>
          <w:tcPr>
            <w:tcW w:w="2380" w:type="dxa"/>
            <w:tcBorders>
              <w:top w:val="nil"/>
              <w:left w:val="nil"/>
              <w:bottom w:val="nil"/>
              <w:right w:val="nil"/>
            </w:tcBorders>
            <w:shd w:val="clear" w:color="auto" w:fill="auto"/>
            <w:noWrap/>
            <w:vAlign w:val="bottom"/>
            <w:hideMark/>
          </w:tcPr>
          <w:p w14:paraId="002719FB" w14:textId="77777777" w:rsidR="003B0EEA" w:rsidRPr="00C526DF" w:rsidRDefault="003B0EEA" w:rsidP="00255081">
            <w:pPr>
              <w:spacing w:after="0" w:line="240" w:lineRule="auto"/>
              <w:rPr>
                <w:rFonts w:ascii="Montserrat" w:eastAsia="Times New Roman" w:hAnsi="Montserrat" w:cs="Calibri"/>
                <w:color w:val="000000"/>
                <w:sz w:val="15"/>
                <w:szCs w:val="15"/>
                <w:lang w:eastAsia="es-MX"/>
              </w:rPr>
            </w:pPr>
          </w:p>
        </w:tc>
        <w:tc>
          <w:tcPr>
            <w:tcW w:w="1960" w:type="dxa"/>
            <w:tcBorders>
              <w:top w:val="nil"/>
              <w:left w:val="nil"/>
              <w:bottom w:val="nil"/>
              <w:right w:val="nil"/>
            </w:tcBorders>
            <w:shd w:val="clear" w:color="auto" w:fill="auto"/>
            <w:noWrap/>
            <w:vAlign w:val="bottom"/>
            <w:hideMark/>
          </w:tcPr>
          <w:p w14:paraId="771C6A87" w14:textId="77777777" w:rsidR="003B0EEA" w:rsidRPr="00C526DF" w:rsidRDefault="003B0EEA" w:rsidP="00255081">
            <w:pPr>
              <w:spacing w:after="0" w:line="240" w:lineRule="auto"/>
              <w:rPr>
                <w:rFonts w:ascii="Times New Roman" w:eastAsia="Times New Roman" w:hAnsi="Times New Roman"/>
                <w:sz w:val="20"/>
                <w:szCs w:val="20"/>
                <w:lang w:eastAsia="es-MX"/>
              </w:rPr>
            </w:pPr>
          </w:p>
        </w:tc>
        <w:tc>
          <w:tcPr>
            <w:tcW w:w="2380" w:type="dxa"/>
            <w:tcBorders>
              <w:top w:val="nil"/>
              <w:left w:val="nil"/>
              <w:bottom w:val="nil"/>
              <w:right w:val="nil"/>
            </w:tcBorders>
            <w:shd w:val="clear" w:color="auto" w:fill="auto"/>
            <w:noWrap/>
            <w:vAlign w:val="bottom"/>
            <w:hideMark/>
          </w:tcPr>
          <w:p w14:paraId="182FADAA" w14:textId="77777777" w:rsidR="003B0EEA" w:rsidRPr="00C526DF" w:rsidRDefault="003B0EEA" w:rsidP="00255081">
            <w:pPr>
              <w:spacing w:after="0" w:line="240" w:lineRule="auto"/>
              <w:rPr>
                <w:rFonts w:ascii="Times New Roman" w:eastAsia="Times New Roman" w:hAnsi="Times New Roman"/>
                <w:sz w:val="20"/>
                <w:szCs w:val="20"/>
                <w:lang w:eastAsia="es-MX"/>
              </w:rPr>
            </w:pPr>
          </w:p>
        </w:tc>
      </w:tr>
    </w:tbl>
    <w:p w14:paraId="1FE978B3" w14:textId="77777777" w:rsidR="008A4916" w:rsidRDefault="008A4916" w:rsidP="008A4916">
      <w:pPr>
        <w:spacing w:after="0" w:line="240" w:lineRule="auto"/>
        <w:jc w:val="both"/>
        <w:rPr>
          <w:rFonts w:ascii="Montserrat" w:hAnsi="Montserrat" w:cs="Arial"/>
          <w:spacing w:val="-1"/>
          <w:sz w:val="18"/>
          <w:szCs w:val="18"/>
        </w:rPr>
      </w:pPr>
    </w:p>
    <w:p w14:paraId="5AC821CC" w14:textId="77777777" w:rsidR="009C3C24" w:rsidRPr="004E44CE" w:rsidRDefault="009C3C24" w:rsidP="008A4916">
      <w:pPr>
        <w:pStyle w:val="VIETAFLECHA"/>
        <w:numPr>
          <w:ilvl w:val="0"/>
          <w:numId w:val="13"/>
        </w:numPr>
        <w:ind w:left="357" w:hanging="357"/>
        <w:rPr>
          <w:rFonts w:cs="Arial"/>
          <w:spacing w:val="-1"/>
        </w:rPr>
      </w:pPr>
      <w:r w:rsidRPr="004E44CE">
        <w:rPr>
          <w:rFonts w:cs="Arial"/>
          <w:spacing w:val="-1"/>
        </w:rPr>
        <w:t>Participaciones y Aportaciones de Capital a LP en el Sector Externo</w:t>
      </w:r>
    </w:p>
    <w:p w14:paraId="4AC586D8" w14:textId="022A62C3" w:rsidR="009C3C24" w:rsidRDefault="008F25A8" w:rsidP="00063579">
      <w:pPr>
        <w:spacing w:after="120" w:line="250" w:lineRule="exact"/>
        <w:jc w:val="both"/>
        <w:rPr>
          <w:rFonts w:ascii="Montserrat" w:hAnsi="Montserrat"/>
          <w:sz w:val="18"/>
          <w:szCs w:val="18"/>
        </w:rPr>
      </w:pPr>
      <w:r w:rsidRPr="00F30620">
        <w:rPr>
          <w:rFonts w:ascii="Montserrat" w:hAnsi="Montserrat"/>
          <w:sz w:val="18"/>
          <w:szCs w:val="18"/>
        </w:rPr>
        <w:t xml:space="preserve">Representa </w:t>
      </w:r>
      <w:r w:rsidR="009C3C24" w:rsidRPr="00F30620">
        <w:rPr>
          <w:rFonts w:ascii="Montserrat" w:hAnsi="Montserrat"/>
          <w:sz w:val="18"/>
          <w:szCs w:val="18"/>
        </w:rPr>
        <w:t xml:space="preserve">las aportaciones que el Poder Ejecutivo Federal, a través de la </w:t>
      </w:r>
      <w:r w:rsidR="00F067C3">
        <w:rPr>
          <w:rFonts w:ascii="Montserrat" w:hAnsi="Montserrat"/>
          <w:sz w:val="18"/>
          <w:szCs w:val="18"/>
        </w:rPr>
        <w:t>SHCP</w:t>
      </w:r>
      <w:r w:rsidR="009C3C24" w:rsidRPr="00F30620">
        <w:rPr>
          <w:rFonts w:ascii="Montserrat" w:hAnsi="Montserrat"/>
          <w:sz w:val="18"/>
          <w:szCs w:val="18"/>
        </w:rPr>
        <w:t>, ha realizado a organismos internacionales,</w:t>
      </w:r>
      <w:r w:rsidR="003B020D" w:rsidRPr="00F30620">
        <w:rPr>
          <w:rFonts w:ascii="Montserrat" w:hAnsi="Montserrat"/>
          <w:sz w:val="18"/>
          <w:szCs w:val="18"/>
        </w:rPr>
        <w:t xml:space="preserve"> como son el </w:t>
      </w:r>
      <w:r w:rsidR="009C3C24" w:rsidRPr="00F30620">
        <w:rPr>
          <w:rFonts w:ascii="Montserrat" w:hAnsi="Montserrat"/>
          <w:sz w:val="18"/>
          <w:szCs w:val="18"/>
        </w:rPr>
        <w:t>Banco Interamericano de Desarrollo, Banco Internacional de Reconstrucción y Fomento, y Banco de Desarrollo de América del Norte.</w:t>
      </w:r>
      <w:r w:rsidR="009C3C24" w:rsidRPr="00063579">
        <w:rPr>
          <w:rFonts w:ascii="Montserrat" w:hAnsi="Montserrat"/>
          <w:sz w:val="18"/>
          <w:szCs w:val="18"/>
        </w:rPr>
        <w:t xml:space="preserve"> </w:t>
      </w:r>
    </w:p>
    <w:p w14:paraId="16D2F05A" w14:textId="77777777" w:rsidR="009B70B4" w:rsidRPr="008A4916" w:rsidRDefault="009B70B4" w:rsidP="008A4916">
      <w:pPr>
        <w:spacing w:after="0" w:line="240" w:lineRule="auto"/>
        <w:jc w:val="both"/>
        <w:rPr>
          <w:rFonts w:ascii="Montserrat" w:hAnsi="Montserrat" w:cs="Arial"/>
          <w:spacing w:val="-1"/>
          <w:sz w:val="18"/>
          <w:szCs w:val="18"/>
        </w:rPr>
      </w:pPr>
    </w:p>
    <w:p w14:paraId="355B650B" w14:textId="77777777" w:rsidR="009C3C24" w:rsidRPr="00936371" w:rsidRDefault="009C3C24" w:rsidP="00E52592">
      <w:pPr>
        <w:spacing w:after="60"/>
        <w:jc w:val="center"/>
        <w:rPr>
          <w:rFonts w:ascii="Montserrat" w:hAnsi="Montserrat" w:cs="Arial"/>
          <w:spacing w:val="-1"/>
          <w:sz w:val="18"/>
          <w:szCs w:val="18"/>
        </w:rPr>
      </w:pPr>
      <w:r w:rsidRPr="00936371">
        <w:rPr>
          <w:rFonts w:ascii="Montserrat" w:eastAsia="Times New Roman" w:hAnsi="Montserrat" w:cs="Calibri"/>
          <w:bCs/>
          <w:sz w:val="16"/>
          <w:szCs w:val="16"/>
          <w:lang w:val="es-MX" w:eastAsia="es-MX"/>
        </w:rPr>
        <w:t>(Pesos)</w:t>
      </w:r>
    </w:p>
    <w:tbl>
      <w:tblPr>
        <w:tblW w:w="7803" w:type="dxa"/>
        <w:jc w:val="center"/>
        <w:tblCellMar>
          <w:left w:w="70" w:type="dxa"/>
          <w:right w:w="70" w:type="dxa"/>
        </w:tblCellMar>
        <w:tblLook w:val="04A0" w:firstRow="1" w:lastRow="0" w:firstColumn="1" w:lastColumn="0" w:noHBand="0" w:noVBand="1"/>
      </w:tblPr>
      <w:tblGrid>
        <w:gridCol w:w="3607"/>
        <w:gridCol w:w="2098"/>
        <w:gridCol w:w="2098"/>
      </w:tblGrid>
      <w:tr w:rsidR="00C4519E" w:rsidRPr="000411EB" w14:paraId="4D486E50" w14:textId="77777777" w:rsidTr="00CC40D5">
        <w:trPr>
          <w:trHeight w:val="57"/>
          <w:jc w:val="center"/>
        </w:trPr>
        <w:tc>
          <w:tcPr>
            <w:tcW w:w="7803" w:type="dxa"/>
            <w:gridSpan w:val="3"/>
            <w:tcBorders>
              <w:top w:val="single" w:sz="12" w:space="0" w:color="808080" w:themeColor="background1" w:themeShade="80"/>
            </w:tcBorders>
            <w:shd w:val="clear" w:color="auto" w:fill="auto"/>
            <w:vAlign w:val="center"/>
          </w:tcPr>
          <w:p w14:paraId="0E402141" w14:textId="77777777" w:rsidR="00C4519E" w:rsidRPr="000411EB" w:rsidRDefault="00C4519E" w:rsidP="002F797B">
            <w:pPr>
              <w:spacing w:after="0" w:line="240" w:lineRule="auto"/>
              <w:jc w:val="center"/>
              <w:rPr>
                <w:rFonts w:ascii="Montserrat" w:eastAsia="Times New Roman" w:hAnsi="Montserrat" w:cs="Calibri"/>
                <w:b/>
                <w:bCs/>
                <w:color w:val="FFFFFF"/>
                <w:sz w:val="4"/>
                <w:szCs w:val="4"/>
                <w:lang w:val="es-MX" w:eastAsia="es-MX"/>
              </w:rPr>
            </w:pPr>
          </w:p>
        </w:tc>
      </w:tr>
      <w:tr w:rsidR="009C3C24" w:rsidRPr="006F0DF1" w14:paraId="6703F695" w14:textId="77777777" w:rsidTr="008A4916">
        <w:trPr>
          <w:trHeight w:val="317"/>
          <w:jc w:val="center"/>
        </w:trPr>
        <w:tc>
          <w:tcPr>
            <w:tcW w:w="3607" w:type="dxa"/>
            <w:tcBorders>
              <w:left w:val="single" w:sz="8" w:space="0" w:color="FFFFFF" w:themeColor="background1"/>
              <w:bottom w:val="double" w:sz="12" w:space="0" w:color="808080" w:themeColor="background1" w:themeShade="80"/>
              <w:right w:val="single" w:sz="8" w:space="0" w:color="FFFFFF" w:themeColor="background1"/>
            </w:tcBorders>
            <w:shd w:val="clear" w:color="auto" w:fill="D4C19C"/>
            <w:vAlign w:val="center"/>
            <w:hideMark/>
          </w:tcPr>
          <w:p w14:paraId="6EBCD9A3" w14:textId="77777777" w:rsidR="009C3C24" w:rsidRPr="006F0DF1" w:rsidRDefault="009C3C24" w:rsidP="002F797B">
            <w:pPr>
              <w:spacing w:after="0" w:line="240" w:lineRule="auto"/>
              <w:jc w:val="center"/>
              <w:rPr>
                <w:rFonts w:ascii="Montserrat" w:eastAsia="Times New Roman" w:hAnsi="Montserrat" w:cs="Calibri"/>
                <w:b/>
                <w:bCs/>
                <w:color w:val="FFFFFF"/>
                <w:sz w:val="16"/>
                <w:szCs w:val="16"/>
                <w:lang w:val="es-MX" w:eastAsia="es-MX"/>
              </w:rPr>
            </w:pPr>
            <w:r w:rsidRPr="006F0DF1">
              <w:rPr>
                <w:rFonts w:ascii="Montserrat" w:eastAsia="Times New Roman" w:hAnsi="Montserrat" w:cs="Calibri"/>
                <w:b/>
                <w:bCs/>
                <w:color w:val="FFFFFF"/>
                <w:sz w:val="16"/>
                <w:szCs w:val="16"/>
                <w:lang w:val="es-MX" w:eastAsia="es-MX"/>
              </w:rPr>
              <w:t>Concepto</w:t>
            </w:r>
          </w:p>
        </w:tc>
        <w:tc>
          <w:tcPr>
            <w:tcW w:w="2098" w:type="dxa"/>
            <w:tcBorders>
              <w:left w:val="single" w:sz="8" w:space="0" w:color="FFFFFF" w:themeColor="background1"/>
              <w:bottom w:val="double" w:sz="12" w:space="0" w:color="808080" w:themeColor="background1" w:themeShade="80"/>
              <w:right w:val="single" w:sz="8" w:space="0" w:color="FFFFFF" w:themeColor="background1"/>
            </w:tcBorders>
            <w:shd w:val="clear" w:color="auto" w:fill="D4C19C"/>
            <w:vAlign w:val="center"/>
            <w:hideMark/>
          </w:tcPr>
          <w:p w14:paraId="5DF6359A" w14:textId="77777777" w:rsidR="009C3C24" w:rsidRPr="006F0DF1" w:rsidRDefault="009C3C24" w:rsidP="002F797B">
            <w:pPr>
              <w:spacing w:after="0" w:line="240" w:lineRule="auto"/>
              <w:jc w:val="center"/>
              <w:rPr>
                <w:rFonts w:ascii="Montserrat" w:eastAsia="Times New Roman" w:hAnsi="Montserrat" w:cs="Calibri"/>
                <w:b/>
                <w:bCs/>
                <w:color w:val="FFFFFF"/>
                <w:sz w:val="16"/>
                <w:szCs w:val="16"/>
                <w:lang w:val="es-MX" w:eastAsia="es-MX"/>
              </w:rPr>
            </w:pPr>
            <w:r>
              <w:rPr>
                <w:rFonts w:ascii="Montserrat" w:eastAsia="Times New Roman" w:hAnsi="Montserrat" w:cs="Calibri"/>
                <w:b/>
                <w:bCs/>
                <w:color w:val="FFFFFF"/>
                <w:sz w:val="16"/>
                <w:szCs w:val="16"/>
                <w:lang w:val="es-MX" w:eastAsia="es-MX"/>
              </w:rPr>
              <w:t>201</w:t>
            </w:r>
            <w:r w:rsidR="00BC4F01">
              <w:rPr>
                <w:rFonts w:ascii="Montserrat" w:eastAsia="Times New Roman" w:hAnsi="Montserrat" w:cs="Calibri"/>
                <w:b/>
                <w:bCs/>
                <w:color w:val="FFFFFF"/>
                <w:sz w:val="16"/>
                <w:szCs w:val="16"/>
                <w:lang w:val="es-MX" w:eastAsia="es-MX"/>
              </w:rPr>
              <w:t>9</w:t>
            </w:r>
          </w:p>
        </w:tc>
        <w:tc>
          <w:tcPr>
            <w:tcW w:w="2098" w:type="dxa"/>
            <w:tcBorders>
              <w:left w:val="single" w:sz="8" w:space="0" w:color="FFFFFF" w:themeColor="background1"/>
              <w:bottom w:val="double" w:sz="12" w:space="0" w:color="808080" w:themeColor="background1" w:themeShade="80"/>
              <w:right w:val="single" w:sz="8" w:space="0" w:color="FFFFFF" w:themeColor="background1"/>
            </w:tcBorders>
            <w:shd w:val="clear" w:color="auto" w:fill="D4C19C"/>
            <w:vAlign w:val="center"/>
            <w:hideMark/>
          </w:tcPr>
          <w:p w14:paraId="49734AA8" w14:textId="77777777" w:rsidR="009C3C24" w:rsidRPr="006F0DF1" w:rsidRDefault="009C3C24" w:rsidP="002F797B">
            <w:pPr>
              <w:spacing w:after="0" w:line="240" w:lineRule="auto"/>
              <w:jc w:val="center"/>
              <w:rPr>
                <w:rFonts w:ascii="Montserrat" w:eastAsia="Times New Roman" w:hAnsi="Montserrat" w:cs="Calibri"/>
                <w:b/>
                <w:bCs/>
                <w:color w:val="FFFFFF"/>
                <w:sz w:val="16"/>
                <w:szCs w:val="16"/>
                <w:lang w:val="es-MX" w:eastAsia="es-MX"/>
              </w:rPr>
            </w:pPr>
            <w:r>
              <w:rPr>
                <w:rFonts w:ascii="Montserrat" w:eastAsia="Times New Roman" w:hAnsi="Montserrat" w:cs="Calibri"/>
                <w:b/>
                <w:bCs/>
                <w:color w:val="FFFFFF"/>
                <w:sz w:val="16"/>
                <w:szCs w:val="16"/>
                <w:lang w:val="es-MX" w:eastAsia="es-MX"/>
              </w:rPr>
              <w:t>201</w:t>
            </w:r>
            <w:r w:rsidR="00BC4F01">
              <w:rPr>
                <w:rFonts w:ascii="Montserrat" w:eastAsia="Times New Roman" w:hAnsi="Montserrat" w:cs="Calibri"/>
                <w:b/>
                <w:bCs/>
                <w:color w:val="FFFFFF"/>
                <w:sz w:val="16"/>
                <w:szCs w:val="16"/>
                <w:lang w:val="es-MX" w:eastAsia="es-MX"/>
              </w:rPr>
              <w:t>8</w:t>
            </w:r>
          </w:p>
        </w:tc>
      </w:tr>
      <w:tr w:rsidR="001C197E" w:rsidRPr="006F0DF1" w14:paraId="7D911A47" w14:textId="77777777" w:rsidTr="00BC4F01">
        <w:trPr>
          <w:trHeight w:val="215"/>
          <w:jc w:val="center"/>
        </w:trPr>
        <w:tc>
          <w:tcPr>
            <w:tcW w:w="3607" w:type="dxa"/>
            <w:tcBorders>
              <w:top w:val="double" w:sz="12" w:space="0" w:color="808080" w:themeColor="background1" w:themeShade="80"/>
            </w:tcBorders>
            <w:shd w:val="clear" w:color="auto" w:fill="F2F2F2" w:themeFill="background1" w:themeFillShade="F2"/>
            <w:vAlign w:val="center"/>
            <w:hideMark/>
          </w:tcPr>
          <w:p w14:paraId="1E178D05" w14:textId="77777777" w:rsidR="001C197E" w:rsidRPr="00255081" w:rsidRDefault="001C197E" w:rsidP="001C197E">
            <w:pPr>
              <w:spacing w:before="60" w:after="60" w:line="240" w:lineRule="auto"/>
              <w:ind w:left="170"/>
              <w:jc w:val="both"/>
              <w:rPr>
                <w:rFonts w:ascii="Montserrat" w:eastAsia="Times New Roman" w:hAnsi="Montserrat" w:cs="Calibri"/>
                <w:color w:val="000000"/>
                <w:sz w:val="15"/>
                <w:szCs w:val="15"/>
                <w:lang w:val="es-MX" w:eastAsia="es-MX"/>
              </w:rPr>
            </w:pPr>
            <w:r w:rsidRPr="00255081">
              <w:rPr>
                <w:rFonts w:ascii="Montserrat" w:eastAsia="Times New Roman" w:hAnsi="Montserrat" w:cs="Calibri"/>
                <w:color w:val="000000"/>
                <w:sz w:val="15"/>
                <w:szCs w:val="15"/>
                <w:lang w:val="es-MX" w:eastAsia="es-MX"/>
              </w:rPr>
              <w:t>Participaciones y Aportaciones de Capital a LP en el Sector Externo</w:t>
            </w:r>
          </w:p>
        </w:tc>
        <w:tc>
          <w:tcPr>
            <w:tcW w:w="2098" w:type="dxa"/>
            <w:tcBorders>
              <w:top w:val="double" w:sz="12" w:space="0" w:color="808080" w:themeColor="background1" w:themeShade="80"/>
            </w:tcBorders>
            <w:shd w:val="clear" w:color="000000" w:fill="F2F2F2"/>
            <w:vAlign w:val="center"/>
          </w:tcPr>
          <w:p w14:paraId="0889B8F5" w14:textId="709A1407" w:rsidR="001C197E" w:rsidRPr="00255081" w:rsidRDefault="00B343FE" w:rsidP="001C197E">
            <w:pPr>
              <w:spacing w:after="0" w:line="240" w:lineRule="auto"/>
              <w:jc w:val="right"/>
              <w:rPr>
                <w:rFonts w:ascii="Montserrat" w:hAnsi="Montserrat" w:cs="Calibri"/>
                <w:color w:val="000000"/>
                <w:sz w:val="15"/>
                <w:szCs w:val="15"/>
                <w:lang w:val="es-MX" w:eastAsia="es-MX"/>
              </w:rPr>
            </w:pPr>
            <w:r w:rsidRPr="000F0321">
              <w:rPr>
                <w:rFonts w:ascii="Montserrat" w:hAnsi="Montserrat" w:cs="Arial"/>
                <w:color w:val="000000"/>
                <w:sz w:val="15"/>
                <w:szCs w:val="15"/>
              </w:rPr>
              <w:t>14,174,488,962</w:t>
            </w:r>
          </w:p>
        </w:tc>
        <w:tc>
          <w:tcPr>
            <w:tcW w:w="2098" w:type="dxa"/>
            <w:tcBorders>
              <w:top w:val="double" w:sz="12" w:space="0" w:color="808080" w:themeColor="background1" w:themeShade="80"/>
            </w:tcBorders>
            <w:shd w:val="clear" w:color="auto" w:fill="F2F2F2" w:themeFill="background1" w:themeFillShade="F2"/>
            <w:vAlign w:val="center"/>
          </w:tcPr>
          <w:p w14:paraId="26895510" w14:textId="77777777" w:rsidR="001C197E" w:rsidRPr="00255081" w:rsidRDefault="001C197E" w:rsidP="001C197E">
            <w:pPr>
              <w:spacing w:after="0" w:line="240" w:lineRule="auto"/>
              <w:jc w:val="right"/>
              <w:rPr>
                <w:rFonts w:ascii="Montserrat" w:hAnsi="Montserrat" w:cs="Calibri"/>
                <w:color w:val="000000"/>
                <w:sz w:val="15"/>
                <w:szCs w:val="15"/>
                <w:lang w:val="es-MX" w:eastAsia="es-MX"/>
              </w:rPr>
            </w:pPr>
            <w:r w:rsidRPr="00255081">
              <w:rPr>
                <w:rFonts w:ascii="Montserrat" w:hAnsi="Montserrat" w:cs="Calibri"/>
                <w:color w:val="000000"/>
                <w:sz w:val="15"/>
                <w:szCs w:val="15"/>
              </w:rPr>
              <w:t>14,174,488,962</w:t>
            </w:r>
          </w:p>
        </w:tc>
      </w:tr>
      <w:tr w:rsidR="001C197E" w:rsidRPr="006F0DF1" w14:paraId="53320F90" w14:textId="77777777" w:rsidTr="00556DB3">
        <w:trPr>
          <w:trHeight w:val="215"/>
          <w:jc w:val="center"/>
        </w:trPr>
        <w:tc>
          <w:tcPr>
            <w:tcW w:w="3607" w:type="dxa"/>
            <w:tcBorders>
              <w:bottom w:val="single" w:sz="12" w:space="0" w:color="808080" w:themeColor="background1" w:themeShade="80"/>
            </w:tcBorders>
            <w:shd w:val="clear" w:color="auto" w:fill="F2F2F2" w:themeFill="background1" w:themeFillShade="F2"/>
            <w:vAlign w:val="center"/>
          </w:tcPr>
          <w:p w14:paraId="42AA2355" w14:textId="77777777" w:rsidR="001C197E" w:rsidRPr="00255081" w:rsidRDefault="001C197E" w:rsidP="001C197E">
            <w:pPr>
              <w:spacing w:before="60" w:after="60" w:line="240" w:lineRule="auto"/>
              <w:jc w:val="right"/>
              <w:rPr>
                <w:rFonts w:ascii="Montserrat" w:eastAsia="Times New Roman" w:hAnsi="Montserrat" w:cs="Calibri"/>
                <w:b/>
                <w:color w:val="000000"/>
                <w:sz w:val="15"/>
                <w:szCs w:val="15"/>
                <w:lang w:val="es-MX" w:eastAsia="es-MX"/>
              </w:rPr>
            </w:pPr>
            <w:r w:rsidRPr="00255081">
              <w:rPr>
                <w:rFonts w:ascii="Montserrat" w:eastAsia="Times New Roman" w:hAnsi="Montserrat" w:cs="Calibri"/>
                <w:b/>
                <w:color w:val="000000"/>
                <w:sz w:val="15"/>
                <w:szCs w:val="15"/>
                <w:lang w:val="es-MX" w:eastAsia="es-MX"/>
              </w:rPr>
              <w:t>Total Participaciones y Aportaciones de Capital a LP en el Sector Externo</w:t>
            </w:r>
          </w:p>
        </w:tc>
        <w:tc>
          <w:tcPr>
            <w:tcW w:w="2098" w:type="dxa"/>
            <w:tcBorders>
              <w:bottom w:val="single" w:sz="12" w:space="0" w:color="808080" w:themeColor="background1" w:themeShade="80"/>
            </w:tcBorders>
            <w:shd w:val="clear" w:color="000000" w:fill="F2F2F2"/>
            <w:vAlign w:val="center"/>
          </w:tcPr>
          <w:p w14:paraId="141A525E" w14:textId="1605C317" w:rsidR="001C197E" w:rsidRPr="00255081" w:rsidRDefault="00B343FE" w:rsidP="001C197E">
            <w:pPr>
              <w:spacing w:before="60" w:after="60" w:line="240" w:lineRule="auto"/>
              <w:jc w:val="right"/>
              <w:rPr>
                <w:rFonts w:ascii="Montserrat" w:eastAsia="Times New Roman" w:hAnsi="Montserrat" w:cs="Calibri"/>
                <w:b/>
                <w:sz w:val="15"/>
                <w:szCs w:val="15"/>
                <w:lang w:val="es-MX" w:eastAsia="es-MX"/>
              </w:rPr>
            </w:pPr>
            <w:r w:rsidRPr="000F0321">
              <w:rPr>
                <w:rFonts w:ascii="Montserrat" w:hAnsi="Montserrat" w:cs="Arial"/>
                <w:b/>
                <w:bCs/>
                <w:color w:val="000000"/>
                <w:sz w:val="15"/>
                <w:szCs w:val="15"/>
              </w:rPr>
              <w:t>14,174,488,962</w:t>
            </w:r>
          </w:p>
        </w:tc>
        <w:tc>
          <w:tcPr>
            <w:tcW w:w="2098" w:type="dxa"/>
            <w:tcBorders>
              <w:bottom w:val="single" w:sz="12" w:space="0" w:color="808080" w:themeColor="background1" w:themeShade="80"/>
            </w:tcBorders>
            <w:shd w:val="clear" w:color="auto" w:fill="F2F2F2" w:themeFill="background1" w:themeFillShade="F2"/>
            <w:vAlign w:val="center"/>
          </w:tcPr>
          <w:p w14:paraId="50D6957F" w14:textId="77777777" w:rsidR="001C197E" w:rsidRPr="00255081" w:rsidRDefault="001C197E" w:rsidP="001C197E">
            <w:pPr>
              <w:spacing w:before="60" w:after="60" w:line="240" w:lineRule="auto"/>
              <w:jc w:val="right"/>
              <w:rPr>
                <w:rFonts w:ascii="Montserrat" w:eastAsia="Times New Roman" w:hAnsi="Montserrat" w:cs="Calibri"/>
                <w:b/>
                <w:sz w:val="15"/>
                <w:szCs w:val="15"/>
                <w:lang w:val="es-MX" w:eastAsia="es-MX"/>
              </w:rPr>
            </w:pPr>
            <w:r w:rsidRPr="00255081">
              <w:rPr>
                <w:rFonts w:ascii="Montserrat" w:eastAsia="Times New Roman" w:hAnsi="Montserrat" w:cs="Calibri"/>
                <w:b/>
                <w:sz w:val="15"/>
                <w:szCs w:val="15"/>
                <w:lang w:val="es-MX" w:eastAsia="es-MX"/>
              </w:rPr>
              <w:t>14,174,488,962</w:t>
            </w:r>
          </w:p>
        </w:tc>
      </w:tr>
    </w:tbl>
    <w:p w14:paraId="428BECC4" w14:textId="77777777" w:rsidR="008A4916" w:rsidRPr="008A4916" w:rsidRDefault="008A4916" w:rsidP="008A4916">
      <w:pPr>
        <w:spacing w:after="0" w:line="240" w:lineRule="auto"/>
        <w:jc w:val="both"/>
        <w:rPr>
          <w:rFonts w:ascii="Montserrat" w:hAnsi="Montserrat" w:cs="Arial"/>
          <w:spacing w:val="-1"/>
          <w:sz w:val="18"/>
          <w:szCs w:val="18"/>
        </w:rPr>
      </w:pPr>
    </w:p>
    <w:p w14:paraId="0D06F2CC" w14:textId="77777777" w:rsidR="009C3C24" w:rsidRPr="004E44CE" w:rsidRDefault="009C3C24" w:rsidP="003270CC">
      <w:pPr>
        <w:pStyle w:val="VIETAFLECHA"/>
        <w:numPr>
          <w:ilvl w:val="0"/>
          <w:numId w:val="13"/>
        </w:numPr>
        <w:spacing w:before="120"/>
        <w:ind w:left="357" w:hanging="357"/>
        <w:rPr>
          <w:rFonts w:cs="Arial"/>
          <w:spacing w:val="-1"/>
        </w:rPr>
      </w:pPr>
      <w:r w:rsidRPr="004E44CE">
        <w:rPr>
          <w:rFonts w:cs="Arial"/>
          <w:spacing w:val="-1"/>
        </w:rPr>
        <w:t>Derechos a Recibir Efectivo o E</w:t>
      </w:r>
      <w:r w:rsidRPr="000A7F3A">
        <w:rPr>
          <w:rFonts w:cs="Arial"/>
          <w:spacing w:val="-1"/>
        </w:rPr>
        <w:t>q</w:t>
      </w:r>
      <w:r w:rsidRPr="004E44CE">
        <w:rPr>
          <w:rFonts w:cs="Arial"/>
          <w:spacing w:val="-1"/>
        </w:rPr>
        <w:t>uivalentes a Largo Plazo</w:t>
      </w:r>
    </w:p>
    <w:p w14:paraId="5E9D3C8C" w14:textId="77777777" w:rsidR="009C3C24" w:rsidRPr="00063579" w:rsidRDefault="009C3C24" w:rsidP="00063579">
      <w:pPr>
        <w:spacing w:after="120" w:line="250" w:lineRule="exact"/>
        <w:jc w:val="both"/>
        <w:rPr>
          <w:rFonts w:ascii="Montserrat" w:hAnsi="Montserrat"/>
          <w:sz w:val="18"/>
          <w:szCs w:val="18"/>
        </w:rPr>
      </w:pPr>
      <w:r w:rsidRPr="00063579">
        <w:rPr>
          <w:rFonts w:ascii="Montserrat" w:hAnsi="Montserrat"/>
          <w:sz w:val="18"/>
          <w:szCs w:val="18"/>
        </w:rPr>
        <w:t>En este rubro se registran los descuentos otorgados en colocación de valores gubernamentales segregados, pendientes de regularizar a largo plazo.</w:t>
      </w:r>
    </w:p>
    <w:tbl>
      <w:tblPr>
        <w:tblW w:w="8290" w:type="dxa"/>
        <w:jc w:val="center"/>
        <w:tblCellMar>
          <w:left w:w="70" w:type="dxa"/>
          <w:right w:w="70" w:type="dxa"/>
        </w:tblCellMar>
        <w:tblLook w:val="04A0" w:firstRow="1" w:lastRow="0" w:firstColumn="1" w:lastColumn="0" w:noHBand="0" w:noVBand="1"/>
      </w:tblPr>
      <w:tblGrid>
        <w:gridCol w:w="4208"/>
        <w:gridCol w:w="2041"/>
        <w:gridCol w:w="1928"/>
        <w:gridCol w:w="113"/>
      </w:tblGrid>
      <w:tr w:rsidR="009C3C24" w:rsidRPr="006F0DF1" w14:paraId="1FE036BC" w14:textId="77777777" w:rsidTr="000411EB">
        <w:trPr>
          <w:gridAfter w:val="1"/>
          <w:wAfter w:w="113" w:type="dxa"/>
          <w:trHeight w:val="215"/>
          <w:jc w:val="center"/>
        </w:trPr>
        <w:tc>
          <w:tcPr>
            <w:tcW w:w="8177" w:type="dxa"/>
            <w:gridSpan w:val="3"/>
            <w:tcBorders>
              <w:top w:val="nil"/>
            </w:tcBorders>
            <w:shd w:val="clear" w:color="auto" w:fill="auto"/>
            <w:vAlign w:val="center"/>
            <w:hideMark/>
          </w:tcPr>
          <w:p w14:paraId="5128A8CA" w14:textId="77777777" w:rsidR="009C3C24" w:rsidRPr="00936371" w:rsidRDefault="009C3C24" w:rsidP="00E52592">
            <w:pPr>
              <w:spacing w:after="60"/>
              <w:jc w:val="center"/>
              <w:rPr>
                <w:rFonts w:ascii="Montserrat" w:eastAsia="Times New Roman" w:hAnsi="Montserrat" w:cs="Calibri"/>
                <w:bCs/>
                <w:sz w:val="16"/>
                <w:szCs w:val="16"/>
                <w:lang w:val="es-MX" w:eastAsia="es-MX"/>
              </w:rPr>
            </w:pPr>
            <w:r w:rsidRPr="00936371">
              <w:rPr>
                <w:rFonts w:ascii="Montserrat" w:eastAsia="Times New Roman" w:hAnsi="Montserrat" w:cs="Calibri"/>
                <w:bCs/>
                <w:sz w:val="16"/>
                <w:szCs w:val="16"/>
                <w:lang w:val="es-MX" w:eastAsia="es-MX"/>
              </w:rPr>
              <w:lastRenderedPageBreak/>
              <w:t>(Pesos)</w:t>
            </w:r>
          </w:p>
        </w:tc>
      </w:tr>
      <w:tr w:rsidR="00C4519E" w:rsidRPr="000411EB" w14:paraId="653F0CFE" w14:textId="77777777" w:rsidTr="00CC40D5">
        <w:trPr>
          <w:trHeight w:val="57"/>
          <w:jc w:val="center"/>
        </w:trPr>
        <w:tc>
          <w:tcPr>
            <w:tcW w:w="8290" w:type="dxa"/>
            <w:gridSpan w:val="4"/>
            <w:tcBorders>
              <w:top w:val="single" w:sz="12" w:space="0" w:color="808080" w:themeColor="background1" w:themeShade="80"/>
            </w:tcBorders>
            <w:shd w:val="clear" w:color="auto" w:fill="auto"/>
            <w:vAlign w:val="center"/>
          </w:tcPr>
          <w:p w14:paraId="77A08C9B" w14:textId="77777777" w:rsidR="00C4519E" w:rsidRPr="000411EB" w:rsidRDefault="00C4519E" w:rsidP="002F797B">
            <w:pPr>
              <w:spacing w:after="0" w:line="240" w:lineRule="auto"/>
              <w:jc w:val="center"/>
              <w:rPr>
                <w:rFonts w:ascii="Montserrat" w:eastAsia="Times New Roman" w:hAnsi="Montserrat" w:cs="Calibri"/>
                <w:b/>
                <w:bCs/>
                <w:color w:val="FFFFFF"/>
                <w:sz w:val="4"/>
                <w:szCs w:val="4"/>
                <w:lang w:val="es-MX" w:eastAsia="es-MX"/>
              </w:rPr>
            </w:pPr>
          </w:p>
        </w:tc>
      </w:tr>
      <w:tr w:rsidR="009C3C24" w:rsidRPr="006F0DF1" w14:paraId="3AF98CC9" w14:textId="77777777" w:rsidTr="008A4916">
        <w:trPr>
          <w:trHeight w:val="317"/>
          <w:jc w:val="center"/>
        </w:trPr>
        <w:tc>
          <w:tcPr>
            <w:tcW w:w="4208" w:type="dxa"/>
            <w:tcBorders>
              <w:left w:val="single" w:sz="8" w:space="0" w:color="FFFFFF" w:themeColor="background1"/>
              <w:bottom w:val="double" w:sz="12" w:space="0" w:color="808080" w:themeColor="background1" w:themeShade="80"/>
              <w:right w:val="single" w:sz="8" w:space="0" w:color="FFFFFF" w:themeColor="background1"/>
            </w:tcBorders>
            <w:shd w:val="clear" w:color="auto" w:fill="D4C19C"/>
            <w:vAlign w:val="center"/>
            <w:hideMark/>
          </w:tcPr>
          <w:p w14:paraId="3EE261B0" w14:textId="77777777" w:rsidR="009C3C24" w:rsidRPr="006F0DF1" w:rsidRDefault="009C3C24" w:rsidP="002F797B">
            <w:pPr>
              <w:spacing w:after="0" w:line="240" w:lineRule="auto"/>
              <w:jc w:val="center"/>
              <w:rPr>
                <w:rFonts w:ascii="Montserrat" w:eastAsia="Times New Roman" w:hAnsi="Montserrat" w:cs="Calibri"/>
                <w:b/>
                <w:bCs/>
                <w:color w:val="FFFFFF"/>
                <w:sz w:val="16"/>
                <w:szCs w:val="16"/>
                <w:lang w:val="es-MX" w:eastAsia="es-MX"/>
              </w:rPr>
            </w:pPr>
            <w:r w:rsidRPr="006F0DF1">
              <w:rPr>
                <w:rFonts w:ascii="Montserrat" w:eastAsia="Times New Roman" w:hAnsi="Montserrat" w:cs="Calibri"/>
                <w:b/>
                <w:bCs/>
                <w:color w:val="FFFFFF"/>
                <w:sz w:val="16"/>
                <w:szCs w:val="16"/>
                <w:lang w:val="es-MX" w:eastAsia="es-MX"/>
              </w:rPr>
              <w:t>Concepto</w:t>
            </w:r>
          </w:p>
        </w:tc>
        <w:tc>
          <w:tcPr>
            <w:tcW w:w="2041" w:type="dxa"/>
            <w:tcBorders>
              <w:left w:val="single" w:sz="8" w:space="0" w:color="FFFFFF" w:themeColor="background1"/>
              <w:bottom w:val="double" w:sz="12" w:space="0" w:color="808080" w:themeColor="background1" w:themeShade="80"/>
              <w:right w:val="single" w:sz="8" w:space="0" w:color="FFFFFF" w:themeColor="background1"/>
            </w:tcBorders>
            <w:shd w:val="clear" w:color="auto" w:fill="D4C19C"/>
            <w:vAlign w:val="center"/>
            <w:hideMark/>
          </w:tcPr>
          <w:p w14:paraId="0DCA689E" w14:textId="77777777" w:rsidR="009C3C24" w:rsidRPr="006F0DF1" w:rsidRDefault="009C3C24" w:rsidP="002F797B">
            <w:pPr>
              <w:spacing w:after="0" w:line="240" w:lineRule="auto"/>
              <w:jc w:val="center"/>
              <w:rPr>
                <w:rFonts w:ascii="Montserrat" w:eastAsia="Times New Roman" w:hAnsi="Montserrat" w:cs="Calibri"/>
                <w:b/>
                <w:bCs/>
                <w:color w:val="FFFFFF"/>
                <w:sz w:val="16"/>
                <w:szCs w:val="16"/>
                <w:lang w:val="es-MX" w:eastAsia="es-MX"/>
              </w:rPr>
            </w:pPr>
            <w:r>
              <w:rPr>
                <w:rFonts w:ascii="Montserrat" w:eastAsia="Times New Roman" w:hAnsi="Montserrat" w:cs="Calibri"/>
                <w:b/>
                <w:bCs/>
                <w:color w:val="FFFFFF"/>
                <w:sz w:val="16"/>
                <w:szCs w:val="16"/>
                <w:lang w:val="es-MX" w:eastAsia="es-MX"/>
              </w:rPr>
              <w:t>201</w:t>
            </w:r>
            <w:r w:rsidR="00BC4F01">
              <w:rPr>
                <w:rFonts w:ascii="Montserrat" w:eastAsia="Times New Roman" w:hAnsi="Montserrat" w:cs="Calibri"/>
                <w:b/>
                <w:bCs/>
                <w:color w:val="FFFFFF"/>
                <w:sz w:val="16"/>
                <w:szCs w:val="16"/>
                <w:lang w:val="es-MX" w:eastAsia="es-MX"/>
              </w:rPr>
              <w:t>9</w:t>
            </w:r>
          </w:p>
        </w:tc>
        <w:tc>
          <w:tcPr>
            <w:tcW w:w="2041" w:type="dxa"/>
            <w:gridSpan w:val="2"/>
            <w:tcBorders>
              <w:left w:val="single" w:sz="8" w:space="0" w:color="FFFFFF" w:themeColor="background1"/>
              <w:bottom w:val="double" w:sz="12" w:space="0" w:color="808080" w:themeColor="background1" w:themeShade="80"/>
              <w:right w:val="single" w:sz="8" w:space="0" w:color="FFFFFF" w:themeColor="background1"/>
            </w:tcBorders>
            <w:shd w:val="clear" w:color="auto" w:fill="D4C19C"/>
            <w:vAlign w:val="center"/>
            <w:hideMark/>
          </w:tcPr>
          <w:p w14:paraId="291C3A69" w14:textId="77777777" w:rsidR="009C3C24" w:rsidRPr="006F0DF1" w:rsidRDefault="009C3C24" w:rsidP="002F797B">
            <w:pPr>
              <w:spacing w:after="0" w:line="240" w:lineRule="auto"/>
              <w:jc w:val="center"/>
              <w:rPr>
                <w:rFonts w:ascii="Montserrat" w:eastAsia="Times New Roman" w:hAnsi="Montserrat" w:cs="Calibri"/>
                <w:b/>
                <w:bCs/>
                <w:color w:val="FFFFFF"/>
                <w:sz w:val="16"/>
                <w:szCs w:val="16"/>
                <w:lang w:val="es-MX" w:eastAsia="es-MX"/>
              </w:rPr>
            </w:pPr>
            <w:r>
              <w:rPr>
                <w:rFonts w:ascii="Montserrat" w:eastAsia="Times New Roman" w:hAnsi="Montserrat" w:cs="Calibri"/>
                <w:b/>
                <w:bCs/>
                <w:color w:val="FFFFFF"/>
                <w:sz w:val="16"/>
                <w:szCs w:val="16"/>
                <w:lang w:val="es-MX" w:eastAsia="es-MX"/>
              </w:rPr>
              <w:t>201</w:t>
            </w:r>
            <w:r w:rsidR="00BC4F01">
              <w:rPr>
                <w:rFonts w:ascii="Montserrat" w:eastAsia="Times New Roman" w:hAnsi="Montserrat" w:cs="Calibri"/>
                <w:b/>
                <w:bCs/>
                <w:color w:val="FFFFFF"/>
                <w:sz w:val="16"/>
                <w:szCs w:val="16"/>
                <w:lang w:val="es-MX" w:eastAsia="es-MX"/>
              </w:rPr>
              <w:t>8</w:t>
            </w:r>
          </w:p>
        </w:tc>
      </w:tr>
      <w:tr w:rsidR="00B343FE" w:rsidRPr="006F0DF1" w14:paraId="702B747C" w14:textId="77777777" w:rsidTr="000F0321">
        <w:trPr>
          <w:trHeight w:val="215"/>
          <w:jc w:val="center"/>
        </w:trPr>
        <w:tc>
          <w:tcPr>
            <w:tcW w:w="4208" w:type="dxa"/>
            <w:tcBorders>
              <w:top w:val="double" w:sz="12" w:space="0" w:color="808080" w:themeColor="background1" w:themeShade="80"/>
            </w:tcBorders>
            <w:shd w:val="clear" w:color="auto" w:fill="F2F2F2" w:themeFill="background1" w:themeFillShade="F2"/>
            <w:vAlign w:val="center"/>
            <w:hideMark/>
          </w:tcPr>
          <w:p w14:paraId="129ACF2B" w14:textId="77777777" w:rsidR="00B343FE" w:rsidRPr="00255081" w:rsidRDefault="00B343FE" w:rsidP="00B343FE">
            <w:pPr>
              <w:spacing w:after="0" w:line="240" w:lineRule="auto"/>
              <w:jc w:val="both"/>
              <w:rPr>
                <w:rFonts w:ascii="Montserrat" w:eastAsia="Times New Roman" w:hAnsi="Montserrat" w:cs="Calibri"/>
                <w:color w:val="000000"/>
                <w:sz w:val="15"/>
                <w:szCs w:val="15"/>
                <w:lang w:val="es-MX" w:eastAsia="es-MX"/>
              </w:rPr>
            </w:pPr>
            <w:r w:rsidRPr="00255081">
              <w:rPr>
                <w:rFonts w:ascii="Montserrat" w:eastAsia="Times New Roman" w:hAnsi="Montserrat" w:cs="Calibri"/>
                <w:color w:val="000000"/>
                <w:sz w:val="15"/>
                <w:szCs w:val="15"/>
                <w:lang w:val="es-MX" w:eastAsia="es-MX"/>
              </w:rPr>
              <w:t>Deudores por Acuerdos a Regularizar por Descuentos a LP</w:t>
            </w:r>
          </w:p>
        </w:tc>
        <w:tc>
          <w:tcPr>
            <w:tcW w:w="2041" w:type="dxa"/>
            <w:tcBorders>
              <w:top w:val="double" w:sz="12" w:space="0" w:color="808080" w:themeColor="background1" w:themeShade="80"/>
            </w:tcBorders>
            <w:shd w:val="clear" w:color="auto" w:fill="F2F2F2" w:themeFill="background1" w:themeFillShade="F2"/>
            <w:vAlign w:val="center"/>
          </w:tcPr>
          <w:p w14:paraId="580A576C" w14:textId="62BABA04" w:rsidR="00B343FE" w:rsidRPr="00255081" w:rsidRDefault="00B343FE" w:rsidP="00B343FE">
            <w:pPr>
              <w:spacing w:after="0" w:line="240" w:lineRule="auto"/>
              <w:jc w:val="right"/>
              <w:rPr>
                <w:rFonts w:ascii="Montserrat" w:eastAsia="Times New Roman" w:hAnsi="Montserrat" w:cs="Calibri"/>
                <w:color w:val="000000"/>
                <w:sz w:val="15"/>
                <w:szCs w:val="15"/>
                <w:lang w:val="es-MX" w:eastAsia="es-MX"/>
              </w:rPr>
            </w:pPr>
            <w:r w:rsidRPr="000F0321">
              <w:rPr>
                <w:rFonts w:ascii="Montserrat" w:hAnsi="Montserrat" w:cs="Arial"/>
                <w:color w:val="000000"/>
                <w:sz w:val="15"/>
                <w:szCs w:val="15"/>
              </w:rPr>
              <w:t>1,061,337,574,366</w:t>
            </w:r>
          </w:p>
        </w:tc>
        <w:tc>
          <w:tcPr>
            <w:tcW w:w="2041" w:type="dxa"/>
            <w:gridSpan w:val="2"/>
            <w:tcBorders>
              <w:top w:val="double" w:sz="12" w:space="0" w:color="808080" w:themeColor="background1" w:themeShade="80"/>
            </w:tcBorders>
            <w:shd w:val="clear" w:color="auto" w:fill="F2F2F2" w:themeFill="background1" w:themeFillShade="F2"/>
            <w:vAlign w:val="center"/>
            <w:hideMark/>
          </w:tcPr>
          <w:p w14:paraId="1FC8A9EC" w14:textId="77777777" w:rsidR="00B343FE" w:rsidRPr="00255081" w:rsidRDefault="00B343FE" w:rsidP="00B343FE">
            <w:pPr>
              <w:spacing w:after="0" w:line="240" w:lineRule="auto"/>
              <w:jc w:val="right"/>
              <w:rPr>
                <w:rFonts w:ascii="Montserrat" w:eastAsia="Times New Roman" w:hAnsi="Montserrat" w:cs="Calibri"/>
                <w:color w:val="000000"/>
                <w:sz w:val="15"/>
                <w:szCs w:val="15"/>
                <w:lang w:val="es-MX" w:eastAsia="es-MX"/>
              </w:rPr>
            </w:pPr>
            <w:r w:rsidRPr="00255081">
              <w:rPr>
                <w:rFonts w:ascii="Montserrat" w:hAnsi="Montserrat" w:cs="Calibri"/>
                <w:color w:val="000000"/>
                <w:sz w:val="15"/>
                <w:szCs w:val="15"/>
              </w:rPr>
              <w:t>1,173,896,574,683</w:t>
            </w:r>
          </w:p>
        </w:tc>
      </w:tr>
      <w:tr w:rsidR="00B343FE" w:rsidRPr="006F0DF1" w14:paraId="77F29B2F" w14:textId="77777777" w:rsidTr="000F0321">
        <w:trPr>
          <w:trHeight w:val="215"/>
          <w:jc w:val="center"/>
        </w:trPr>
        <w:tc>
          <w:tcPr>
            <w:tcW w:w="4208" w:type="dxa"/>
            <w:tcBorders>
              <w:top w:val="nil"/>
            </w:tcBorders>
            <w:shd w:val="clear" w:color="auto" w:fill="F2F2F2" w:themeFill="background1" w:themeFillShade="F2"/>
            <w:vAlign w:val="center"/>
          </w:tcPr>
          <w:p w14:paraId="4E20AA43" w14:textId="77777777" w:rsidR="00B343FE" w:rsidRPr="00255081" w:rsidRDefault="00B343FE" w:rsidP="00B343FE">
            <w:pPr>
              <w:spacing w:after="0" w:line="240" w:lineRule="auto"/>
              <w:jc w:val="both"/>
              <w:rPr>
                <w:rFonts w:ascii="Montserrat" w:eastAsia="Times New Roman" w:hAnsi="Montserrat" w:cs="Calibri"/>
                <w:color w:val="000000"/>
                <w:sz w:val="15"/>
                <w:szCs w:val="15"/>
                <w:lang w:val="es-MX" w:eastAsia="es-MX"/>
              </w:rPr>
            </w:pPr>
            <w:r w:rsidRPr="00255081">
              <w:rPr>
                <w:rFonts w:ascii="Montserrat" w:eastAsia="Times New Roman" w:hAnsi="Montserrat" w:cs="Calibri"/>
                <w:color w:val="000000"/>
                <w:sz w:val="15"/>
                <w:szCs w:val="15"/>
                <w:lang w:val="es-MX" w:eastAsia="es-MX"/>
              </w:rPr>
              <w:t>Préstamos Otorgados a LP al Sector Público</w:t>
            </w:r>
          </w:p>
        </w:tc>
        <w:tc>
          <w:tcPr>
            <w:tcW w:w="2041" w:type="dxa"/>
            <w:tcBorders>
              <w:top w:val="nil"/>
            </w:tcBorders>
            <w:shd w:val="clear" w:color="auto" w:fill="F2F2F2" w:themeFill="background1" w:themeFillShade="F2"/>
            <w:vAlign w:val="center"/>
          </w:tcPr>
          <w:p w14:paraId="5630B7DC" w14:textId="0EA6640F" w:rsidR="00B343FE" w:rsidRPr="00255081" w:rsidRDefault="00B343FE" w:rsidP="00B343FE">
            <w:pPr>
              <w:spacing w:after="0" w:line="240" w:lineRule="auto"/>
              <w:jc w:val="right"/>
              <w:rPr>
                <w:rFonts w:ascii="Montserrat" w:eastAsia="Times New Roman" w:hAnsi="Montserrat" w:cs="Calibri"/>
                <w:color w:val="000000"/>
                <w:sz w:val="15"/>
                <w:szCs w:val="15"/>
                <w:lang w:val="es-MX" w:eastAsia="es-MX"/>
              </w:rPr>
            </w:pPr>
            <w:r w:rsidRPr="000F0321">
              <w:rPr>
                <w:rFonts w:ascii="Montserrat" w:hAnsi="Montserrat" w:cs="Arial"/>
                <w:color w:val="000000"/>
                <w:sz w:val="15"/>
                <w:szCs w:val="15"/>
              </w:rPr>
              <w:t>78,418,299,699</w:t>
            </w:r>
          </w:p>
        </w:tc>
        <w:tc>
          <w:tcPr>
            <w:tcW w:w="2041" w:type="dxa"/>
            <w:gridSpan w:val="2"/>
            <w:tcBorders>
              <w:top w:val="nil"/>
            </w:tcBorders>
            <w:shd w:val="clear" w:color="auto" w:fill="F2F2F2" w:themeFill="background1" w:themeFillShade="F2"/>
            <w:vAlign w:val="center"/>
          </w:tcPr>
          <w:p w14:paraId="260A65DD" w14:textId="77777777" w:rsidR="00B343FE" w:rsidRPr="00255081" w:rsidRDefault="00B343FE" w:rsidP="00B343FE">
            <w:pPr>
              <w:spacing w:after="0" w:line="240" w:lineRule="auto"/>
              <w:jc w:val="right"/>
              <w:rPr>
                <w:rFonts w:ascii="Montserrat" w:eastAsia="Times New Roman" w:hAnsi="Montserrat" w:cs="Calibri"/>
                <w:color w:val="000000"/>
                <w:sz w:val="15"/>
                <w:szCs w:val="15"/>
                <w:lang w:val="es-MX" w:eastAsia="es-MX"/>
              </w:rPr>
            </w:pPr>
            <w:r w:rsidRPr="00255081">
              <w:rPr>
                <w:rFonts w:ascii="Montserrat" w:hAnsi="Montserrat" w:cs="Calibri"/>
                <w:color w:val="000000"/>
                <w:sz w:val="15"/>
                <w:szCs w:val="15"/>
              </w:rPr>
              <w:t>73,813,354,992</w:t>
            </w:r>
          </w:p>
        </w:tc>
      </w:tr>
      <w:tr w:rsidR="00B343FE" w:rsidRPr="001F39D2" w14:paraId="129FC731" w14:textId="77777777" w:rsidTr="000F0321">
        <w:trPr>
          <w:trHeight w:val="215"/>
          <w:jc w:val="center"/>
        </w:trPr>
        <w:tc>
          <w:tcPr>
            <w:tcW w:w="4208" w:type="dxa"/>
            <w:tcBorders>
              <w:bottom w:val="single" w:sz="12" w:space="0" w:color="808080" w:themeColor="background1" w:themeShade="80"/>
            </w:tcBorders>
            <w:shd w:val="clear" w:color="auto" w:fill="F2F2F2" w:themeFill="background1" w:themeFillShade="F2"/>
            <w:vAlign w:val="center"/>
          </w:tcPr>
          <w:p w14:paraId="31385A5A" w14:textId="77777777" w:rsidR="00B343FE" w:rsidRPr="00255081" w:rsidRDefault="00B343FE" w:rsidP="00B343FE">
            <w:pPr>
              <w:spacing w:after="0" w:line="240" w:lineRule="auto"/>
              <w:jc w:val="right"/>
              <w:rPr>
                <w:rFonts w:ascii="Montserrat" w:eastAsia="Times New Roman" w:hAnsi="Montserrat" w:cs="Calibri"/>
                <w:b/>
                <w:color w:val="000000"/>
                <w:sz w:val="15"/>
                <w:szCs w:val="15"/>
                <w:lang w:val="es-MX" w:eastAsia="es-MX"/>
              </w:rPr>
            </w:pPr>
            <w:r w:rsidRPr="00255081">
              <w:rPr>
                <w:rFonts w:ascii="Montserrat" w:eastAsia="Times New Roman" w:hAnsi="Montserrat" w:cs="Calibri"/>
                <w:b/>
                <w:color w:val="000000"/>
                <w:sz w:val="15"/>
                <w:szCs w:val="15"/>
                <w:lang w:val="es-MX" w:eastAsia="es-MX"/>
              </w:rPr>
              <w:t>Total Deudores por Descuentos y Préstamos al Sector Público</w:t>
            </w:r>
          </w:p>
        </w:tc>
        <w:tc>
          <w:tcPr>
            <w:tcW w:w="2041" w:type="dxa"/>
            <w:tcBorders>
              <w:bottom w:val="single" w:sz="12" w:space="0" w:color="808080" w:themeColor="background1" w:themeShade="80"/>
            </w:tcBorders>
            <w:shd w:val="clear" w:color="auto" w:fill="F2F2F2" w:themeFill="background1" w:themeFillShade="F2"/>
            <w:vAlign w:val="center"/>
          </w:tcPr>
          <w:p w14:paraId="59EF0756" w14:textId="3E6D7267" w:rsidR="00B343FE" w:rsidRPr="00255081" w:rsidRDefault="00B343FE" w:rsidP="00B343FE">
            <w:pPr>
              <w:spacing w:before="60" w:after="60" w:line="240" w:lineRule="auto"/>
              <w:jc w:val="right"/>
              <w:rPr>
                <w:rFonts w:ascii="Montserrat" w:eastAsia="Times New Roman" w:hAnsi="Montserrat" w:cs="Calibri"/>
                <w:b/>
                <w:sz w:val="15"/>
                <w:szCs w:val="15"/>
                <w:lang w:val="es-MX" w:eastAsia="es-MX"/>
              </w:rPr>
            </w:pPr>
            <w:r w:rsidRPr="000F0321">
              <w:rPr>
                <w:rFonts w:ascii="Montserrat" w:hAnsi="Montserrat" w:cs="Arial"/>
                <w:b/>
                <w:bCs/>
                <w:color w:val="000000"/>
                <w:sz w:val="15"/>
                <w:szCs w:val="15"/>
              </w:rPr>
              <w:t>1,139,755,874,065</w:t>
            </w:r>
          </w:p>
        </w:tc>
        <w:tc>
          <w:tcPr>
            <w:tcW w:w="2041" w:type="dxa"/>
            <w:gridSpan w:val="2"/>
            <w:tcBorders>
              <w:bottom w:val="single" w:sz="12" w:space="0" w:color="808080" w:themeColor="background1" w:themeShade="80"/>
            </w:tcBorders>
            <w:shd w:val="clear" w:color="auto" w:fill="F2F2F2" w:themeFill="background1" w:themeFillShade="F2"/>
            <w:vAlign w:val="center"/>
          </w:tcPr>
          <w:p w14:paraId="41F94383" w14:textId="77777777" w:rsidR="00B343FE" w:rsidRPr="00255081" w:rsidRDefault="00B343FE" w:rsidP="00B343FE">
            <w:pPr>
              <w:spacing w:before="60" w:after="60" w:line="240" w:lineRule="auto"/>
              <w:jc w:val="right"/>
              <w:rPr>
                <w:rFonts w:ascii="Montserrat" w:eastAsia="Times New Roman" w:hAnsi="Montserrat" w:cs="Calibri"/>
                <w:b/>
                <w:sz w:val="15"/>
                <w:szCs w:val="15"/>
                <w:lang w:val="es-MX" w:eastAsia="es-MX"/>
              </w:rPr>
            </w:pPr>
            <w:r w:rsidRPr="00255081">
              <w:rPr>
                <w:rFonts w:ascii="Montserrat" w:hAnsi="Montserrat" w:cs="Calibri"/>
                <w:b/>
                <w:bCs/>
                <w:sz w:val="15"/>
                <w:szCs w:val="15"/>
              </w:rPr>
              <w:t>1,247,709,929,675</w:t>
            </w:r>
          </w:p>
        </w:tc>
      </w:tr>
    </w:tbl>
    <w:p w14:paraId="16A96B09" w14:textId="77777777" w:rsidR="008A4916" w:rsidRDefault="008A4916" w:rsidP="008A4916">
      <w:pPr>
        <w:spacing w:after="0" w:line="240" w:lineRule="auto"/>
        <w:jc w:val="both"/>
        <w:rPr>
          <w:rFonts w:ascii="Montserrat" w:hAnsi="Montserrat" w:cs="Arial"/>
          <w:spacing w:val="-1"/>
          <w:sz w:val="18"/>
          <w:szCs w:val="18"/>
        </w:rPr>
      </w:pPr>
    </w:p>
    <w:p w14:paraId="7C7BEFA3" w14:textId="77777777" w:rsidR="009C3C24" w:rsidRPr="004E44CE" w:rsidRDefault="009C3C24" w:rsidP="003270CC">
      <w:pPr>
        <w:pStyle w:val="VIETAFLECHA"/>
        <w:numPr>
          <w:ilvl w:val="0"/>
          <w:numId w:val="13"/>
        </w:numPr>
        <w:spacing w:before="120"/>
        <w:ind w:left="357" w:hanging="357"/>
        <w:rPr>
          <w:rFonts w:cs="Arial"/>
          <w:spacing w:val="-1"/>
        </w:rPr>
      </w:pPr>
      <w:r w:rsidRPr="004E44CE">
        <w:rPr>
          <w:rFonts w:cs="Arial"/>
          <w:spacing w:val="-1"/>
        </w:rPr>
        <w:t>Bienes Inmuebles, Muebles e Intangibles</w:t>
      </w:r>
    </w:p>
    <w:p w14:paraId="39A54956" w14:textId="779D5FDC" w:rsidR="009C3C24" w:rsidRPr="00063579" w:rsidRDefault="00F067C3" w:rsidP="00063579">
      <w:pPr>
        <w:spacing w:after="120" w:line="250" w:lineRule="exact"/>
        <w:jc w:val="both"/>
        <w:rPr>
          <w:rFonts w:ascii="Montserrat" w:hAnsi="Montserrat"/>
          <w:sz w:val="18"/>
          <w:szCs w:val="18"/>
        </w:rPr>
      </w:pPr>
      <w:r>
        <w:rPr>
          <w:rFonts w:ascii="Montserrat" w:hAnsi="Montserrat"/>
          <w:sz w:val="18"/>
          <w:szCs w:val="18"/>
        </w:rPr>
        <w:t>Se</w:t>
      </w:r>
      <w:r w:rsidR="009C3C24" w:rsidRPr="00063579">
        <w:rPr>
          <w:rFonts w:ascii="Montserrat" w:hAnsi="Montserrat"/>
          <w:sz w:val="18"/>
          <w:szCs w:val="18"/>
        </w:rPr>
        <w:t xml:space="preserve"> conforma</w:t>
      </w:r>
      <w:r>
        <w:rPr>
          <w:rFonts w:ascii="Montserrat" w:hAnsi="Montserrat"/>
          <w:sz w:val="18"/>
          <w:szCs w:val="18"/>
        </w:rPr>
        <w:t xml:space="preserve"> por </w:t>
      </w:r>
      <w:r w:rsidR="009C3C24" w:rsidRPr="00063579">
        <w:rPr>
          <w:rFonts w:ascii="Montserrat" w:hAnsi="Montserrat"/>
          <w:sz w:val="18"/>
          <w:szCs w:val="18"/>
        </w:rPr>
        <w:t xml:space="preserve">los bienes necesarios para llevar a cabo las actividades de gobierno del Poder Ejecutivo </w:t>
      </w:r>
      <w:r w:rsidR="008E3E6E" w:rsidRPr="00063579">
        <w:rPr>
          <w:rFonts w:ascii="Montserrat" w:hAnsi="Montserrat"/>
          <w:sz w:val="18"/>
          <w:szCs w:val="18"/>
        </w:rPr>
        <w:t xml:space="preserve">Federal </w:t>
      </w:r>
      <w:r w:rsidR="009C3C24" w:rsidRPr="00063579">
        <w:rPr>
          <w:rFonts w:ascii="Montserrat" w:hAnsi="Montserrat"/>
          <w:sz w:val="18"/>
          <w:szCs w:val="18"/>
        </w:rPr>
        <w:t xml:space="preserve">y su valor de registro se realiza atendiendo a lo dispuesto en el Postulado Básico de Contabilidad Gubernamental 9.- Valuación, que señala que “Todos los eventos que afecten económicamente al ente público deben ser cuantificados en términos monetarios y se registrarán al costo histórico o al valor económico más objetivo registrándose en moneda nacional”. </w:t>
      </w:r>
    </w:p>
    <w:p w14:paraId="755DCBD1" w14:textId="77777777" w:rsidR="00F36D96" w:rsidRPr="008A4916" w:rsidRDefault="00F36D96" w:rsidP="008A4916">
      <w:pPr>
        <w:spacing w:after="0" w:line="240" w:lineRule="auto"/>
        <w:jc w:val="both"/>
        <w:rPr>
          <w:rFonts w:ascii="Montserrat" w:hAnsi="Montserrat" w:cs="Arial"/>
          <w:spacing w:val="-1"/>
          <w:sz w:val="18"/>
          <w:szCs w:val="18"/>
        </w:rPr>
      </w:pPr>
    </w:p>
    <w:p w14:paraId="02B9189F" w14:textId="77777777" w:rsidR="009C3C24" w:rsidRPr="004E44CE" w:rsidRDefault="009C3C24" w:rsidP="003270CC">
      <w:pPr>
        <w:pStyle w:val="VIETAFLECHA"/>
        <w:numPr>
          <w:ilvl w:val="0"/>
          <w:numId w:val="13"/>
        </w:numPr>
        <w:spacing w:before="120"/>
        <w:ind w:left="357" w:hanging="357"/>
        <w:rPr>
          <w:rFonts w:cs="Arial"/>
          <w:spacing w:val="-1"/>
        </w:rPr>
      </w:pPr>
      <w:r w:rsidRPr="004E44CE">
        <w:rPr>
          <w:rFonts w:cs="Arial"/>
          <w:spacing w:val="-1"/>
        </w:rPr>
        <w:t>Bienes Inmuebles, Infraestructura y Construcciones en Proceso</w:t>
      </w:r>
    </w:p>
    <w:p w14:paraId="11F2319B" w14:textId="77777777" w:rsidR="009C3C24" w:rsidRDefault="009C3C24" w:rsidP="00063579">
      <w:pPr>
        <w:spacing w:after="120" w:line="250" w:lineRule="exact"/>
        <w:jc w:val="both"/>
        <w:rPr>
          <w:rFonts w:ascii="Montserrat" w:hAnsi="Montserrat"/>
          <w:sz w:val="18"/>
          <w:szCs w:val="18"/>
        </w:rPr>
      </w:pPr>
      <w:r w:rsidRPr="00063579">
        <w:rPr>
          <w:rFonts w:ascii="Montserrat" w:hAnsi="Montserrat"/>
          <w:sz w:val="18"/>
          <w:szCs w:val="18"/>
        </w:rPr>
        <w:t>A continuación, se presenta la integración de los saldos contables de las cuentas de bienes inmuebles, infraestructura y construcciones en proceso:</w:t>
      </w:r>
    </w:p>
    <w:p w14:paraId="3F2C0BAC" w14:textId="77777777" w:rsidR="009C3C24" w:rsidRPr="00936371" w:rsidRDefault="009C3C24" w:rsidP="00E52592">
      <w:pPr>
        <w:spacing w:after="60"/>
        <w:jc w:val="center"/>
        <w:rPr>
          <w:rFonts w:ascii="Montserrat" w:hAnsi="Montserrat" w:cs="Arial"/>
          <w:spacing w:val="-1"/>
          <w:sz w:val="18"/>
          <w:szCs w:val="18"/>
        </w:rPr>
      </w:pPr>
      <w:r w:rsidRPr="00936371">
        <w:rPr>
          <w:rFonts w:ascii="Montserrat" w:eastAsia="Times New Roman" w:hAnsi="Montserrat" w:cs="Calibri"/>
          <w:bCs/>
          <w:sz w:val="16"/>
          <w:szCs w:val="16"/>
          <w:lang w:val="es-MX" w:eastAsia="es-MX"/>
        </w:rPr>
        <w:t>(Pesos)</w:t>
      </w:r>
    </w:p>
    <w:tbl>
      <w:tblPr>
        <w:tblW w:w="8135" w:type="dxa"/>
        <w:jc w:val="center"/>
        <w:tblCellMar>
          <w:left w:w="70" w:type="dxa"/>
          <w:right w:w="70" w:type="dxa"/>
        </w:tblCellMar>
        <w:tblLook w:val="04A0" w:firstRow="1" w:lastRow="0" w:firstColumn="1" w:lastColumn="0" w:noHBand="0" w:noVBand="1"/>
      </w:tblPr>
      <w:tblGrid>
        <w:gridCol w:w="3939"/>
        <w:gridCol w:w="2098"/>
        <w:gridCol w:w="2098"/>
      </w:tblGrid>
      <w:tr w:rsidR="00C4519E" w:rsidRPr="000411EB" w14:paraId="04C359C7" w14:textId="77777777" w:rsidTr="00CC40D5">
        <w:trPr>
          <w:trHeight w:val="57"/>
          <w:jc w:val="center"/>
        </w:trPr>
        <w:tc>
          <w:tcPr>
            <w:tcW w:w="8135" w:type="dxa"/>
            <w:gridSpan w:val="3"/>
            <w:tcBorders>
              <w:top w:val="single" w:sz="12" w:space="0" w:color="808080" w:themeColor="background1" w:themeShade="80"/>
            </w:tcBorders>
            <w:shd w:val="clear" w:color="auto" w:fill="auto"/>
            <w:vAlign w:val="center"/>
          </w:tcPr>
          <w:p w14:paraId="17C89330" w14:textId="77777777" w:rsidR="00C4519E" w:rsidRPr="000411EB" w:rsidRDefault="00C4519E" w:rsidP="002F797B">
            <w:pPr>
              <w:spacing w:after="0" w:line="240" w:lineRule="auto"/>
              <w:jc w:val="center"/>
              <w:rPr>
                <w:rFonts w:ascii="Montserrat" w:eastAsia="Times New Roman" w:hAnsi="Montserrat" w:cs="Calibri"/>
                <w:b/>
                <w:bCs/>
                <w:color w:val="FFFFFF"/>
                <w:sz w:val="4"/>
                <w:szCs w:val="4"/>
                <w:lang w:val="es-MX" w:eastAsia="es-MX"/>
              </w:rPr>
            </w:pPr>
          </w:p>
        </w:tc>
      </w:tr>
      <w:tr w:rsidR="009C3C24" w:rsidRPr="006F0DF1" w14:paraId="43CC1200" w14:textId="77777777" w:rsidTr="008A4916">
        <w:trPr>
          <w:trHeight w:val="317"/>
          <w:jc w:val="center"/>
        </w:trPr>
        <w:tc>
          <w:tcPr>
            <w:tcW w:w="3939" w:type="dxa"/>
            <w:tcBorders>
              <w:left w:val="single" w:sz="8" w:space="0" w:color="FFFFFF" w:themeColor="background1"/>
              <w:bottom w:val="double" w:sz="12" w:space="0" w:color="808080" w:themeColor="background1" w:themeShade="80"/>
              <w:right w:val="single" w:sz="8" w:space="0" w:color="FFFFFF" w:themeColor="background1"/>
            </w:tcBorders>
            <w:shd w:val="clear" w:color="auto" w:fill="D4C19C"/>
            <w:vAlign w:val="center"/>
            <w:hideMark/>
          </w:tcPr>
          <w:p w14:paraId="5557E9C1" w14:textId="77777777" w:rsidR="009C3C24" w:rsidRPr="000411EB" w:rsidRDefault="009C3C24" w:rsidP="002F797B">
            <w:pPr>
              <w:spacing w:after="0" w:line="240" w:lineRule="auto"/>
              <w:jc w:val="center"/>
              <w:rPr>
                <w:rFonts w:ascii="Montserrat" w:eastAsia="Times New Roman" w:hAnsi="Montserrat" w:cs="Calibri"/>
                <w:b/>
                <w:bCs/>
                <w:color w:val="FFFFFF"/>
                <w:sz w:val="20"/>
                <w:szCs w:val="20"/>
                <w:lang w:val="es-MX" w:eastAsia="es-MX"/>
              </w:rPr>
            </w:pPr>
            <w:r w:rsidRPr="000411EB">
              <w:rPr>
                <w:rFonts w:ascii="Montserrat" w:eastAsia="Times New Roman" w:hAnsi="Montserrat" w:cs="Calibri"/>
                <w:b/>
                <w:bCs/>
                <w:color w:val="FFFFFF"/>
                <w:sz w:val="20"/>
                <w:szCs w:val="20"/>
                <w:lang w:val="es-MX" w:eastAsia="es-MX"/>
              </w:rPr>
              <w:t>Concepto</w:t>
            </w:r>
          </w:p>
        </w:tc>
        <w:tc>
          <w:tcPr>
            <w:tcW w:w="2098" w:type="dxa"/>
            <w:tcBorders>
              <w:left w:val="single" w:sz="8" w:space="0" w:color="FFFFFF" w:themeColor="background1"/>
              <w:bottom w:val="double" w:sz="12" w:space="0" w:color="808080" w:themeColor="background1" w:themeShade="80"/>
              <w:right w:val="single" w:sz="8" w:space="0" w:color="FFFFFF" w:themeColor="background1"/>
            </w:tcBorders>
            <w:shd w:val="clear" w:color="auto" w:fill="D4C19C"/>
            <w:vAlign w:val="center"/>
            <w:hideMark/>
          </w:tcPr>
          <w:p w14:paraId="28AF6F60" w14:textId="77777777" w:rsidR="009C3C24" w:rsidRPr="006F0DF1" w:rsidRDefault="009C3C24" w:rsidP="002F797B">
            <w:pPr>
              <w:spacing w:after="0" w:line="240" w:lineRule="auto"/>
              <w:jc w:val="center"/>
              <w:rPr>
                <w:rFonts w:ascii="Montserrat" w:eastAsia="Times New Roman" w:hAnsi="Montserrat" w:cs="Calibri"/>
                <w:b/>
                <w:bCs/>
                <w:color w:val="FFFFFF"/>
                <w:sz w:val="16"/>
                <w:szCs w:val="16"/>
                <w:lang w:val="es-MX" w:eastAsia="es-MX"/>
              </w:rPr>
            </w:pPr>
            <w:r>
              <w:rPr>
                <w:rFonts w:ascii="Montserrat" w:eastAsia="Times New Roman" w:hAnsi="Montserrat" w:cs="Calibri"/>
                <w:b/>
                <w:bCs/>
                <w:color w:val="FFFFFF"/>
                <w:sz w:val="16"/>
                <w:szCs w:val="16"/>
                <w:lang w:val="es-MX" w:eastAsia="es-MX"/>
              </w:rPr>
              <w:t>201</w:t>
            </w:r>
            <w:r w:rsidR="00BC4F01">
              <w:rPr>
                <w:rFonts w:ascii="Montserrat" w:eastAsia="Times New Roman" w:hAnsi="Montserrat" w:cs="Calibri"/>
                <w:b/>
                <w:bCs/>
                <w:color w:val="FFFFFF"/>
                <w:sz w:val="16"/>
                <w:szCs w:val="16"/>
                <w:lang w:val="es-MX" w:eastAsia="es-MX"/>
              </w:rPr>
              <w:t>9</w:t>
            </w:r>
          </w:p>
        </w:tc>
        <w:tc>
          <w:tcPr>
            <w:tcW w:w="2098" w:type="dxa"/>
            <w:tcBorders>
              <w:left w:val="single" w:sz="8" w:space="0" w:color="FFFFFF" w:themeColor="background1"/>
              <w:bottom w:val="double" w:sz="12" w:space="0" w:color="808080" w:themeColor="background1" w:themeShade="80"/>
              <w:right w:val="single" w:sz="8" w:space="0" w:color="FFFFFF" w:themeColor="background1"/>
            </w:tcBorders>
            <w:shd w:val="clear" w:color="auto" w:fill="D4C19C"/>
            <w:vAlign w:val="center"/>
            <w:hideMark/>
          </w:tcPr>
          <w:p w14:paraId="6D507CAE" w14:textId="77777777" w:rsidR="009C3C24" w:rsidRPr="006F0DF1" w:rsidRDefault="009C3C24" w:rsidP="002F797B">
            <w:pPr>
              <w:spacing w:after="0" w:line="240" w:lineRule="auto"/>
              <w:jc w:val="center"/>
              <w:rPr>
                <w:rFonts w:ascii="Montserrat" w:eastAsia="Times New Roman" w:hAnsi="Montserrat" w:cs="Calibri"/>
                <w:b/>
                <w:bCs/>
                <w:color w:val="FFFFFF"/>
                <w:sz w:val="16"/>
                <w:szCs w:val="16"/>
                <w:lang w:val="es-MX" w:eastAsia="es-MX"/>
              </w:rPr>
            </w:pPr>
            <w:r>
              <w:rPr>
                <w:rFonts w:ascii="Montserrat" w:eastAsia="Times New Roman" w:hAnsi="Montserrat" w:cs="Calibri"/>
                <w:b/>
                <w:bCs/>
                <w:color w:val="FFFFFF"/>
                <w:sz w:val="16"/>
                <w:szCs w:val="16"/>
                <w:lang w:val="es-MX" w:eastAsia="es-MX"/>
              </w:rPr>
              <w:t>201</w:t>
            </w:r>
            <w:r w:rsidR="00BC4F01">
              <w:rPr>
                <w:rFonts w:ascii="Montserrat" w:eastAsia="Times New Roman" w:hAnsi="Montserrat" w:cs="Calibri"/>
                <w:b/>
                <w:bCs/>
                <w:color w:val="FFFFFF"/>
                <w:sz w:val="16"/>
                <w:szCs w:val="16"/>
                <w:lang w:val="es-MX" w:eastAsia="es-MX"/>
              </w:rPr>
              <w:t>8</w:t>
            </w:r>
          </w:p>
        </w:tc>
      </w:tr>
      <w:tr w:rsidR="00B343FE" w:rsidRPr="006F0DF1" w14:paraId="0A670331" w14:textId="77777777" w:rsidTr="00556DB3">
        <w:trPr>
          <w:trHeight w:val="215"/>
          <w:jc w:val="center"/>
        </w:trPr>
        <w:tc>
          <w:tcPr>
            <w:tcW w:w="3939" w:type="dxa"/>
            <w:tcBorders>
              <w:top w:val="double" w:sz="12" w:space="0" w:color="808080" w:themeColor="background1" w:themeShade="80"/>
            </w:tcBorders>
            <w:shd w:val="clear" w:color="auto" w:fill="F2F2F2" w:themeFill="background1" w:themeFillShade="F2"/>
            <w:vAlign w:val="center"/>
            <w:hideMark/>
          </w:tcPr>
          <w:p w14:paraId="06DB6E55" w14:textId="77777777" w:rsidR="00B343FE" w:rsidRPr="00255081" w:rsidRDefault="00B343FE" w:rsidP="00B343FE">
            <w:pPr>
              <w:spacing w:after="0" w:line="240" w:lineRule="auto"/>
              <w:ind w:left="170"/>
              <w:jc w:val="both"/>
              <w:rPr>
                <w:rFonts w:ascii="Montserrat" w:eastAsia="Times New Roman" w:hAnsi="Montserrat" w:cs="Calibri"/>
                <w:color w:val="000000"/>
                <w:sz w:val="15"/>
                <w:szCs w:val="15"/>
                <w:lang w:val="es-MX" w:eastAsia="es-MX"/>
              </w:rPr>
            </w:pPr>
            <w:r w:rsidRPr="00255081">
              <w:rPr>
                <w:rFonts w:ascii="Montserrat" w:eastAsia="Times New Roman" w:hAnsi="Montserrat" w:cs="Calibri"/>
                <w:color w:val="000000"/>
                <w:sz w:val="15"/>
                <w:szCs w:val="15"/>
                <w:lang w:val="es-MX" w:eastAsia="es-MX"/>
              </w:rPr>
              <w:t>Terrenos</w:t>
            </w:r>
          </w:p>
        </w:tc>
        <w:tc>
          <w:tcPr>
            <w:tcW w:w="2098" w:type="dxa"/>
            <w:tcBorders>
              <w:top w:val="double" w:sz="12" w:space="0" w:color="808080" w:themeColor="background1" w:themeShade="80"/>
            </w:tcBorders>
            <w:shd w:val="clear" w:color="000000" w:fill="F2F2F2"/>
            <w:vAlign w:val="center"/>
          </w:tcPr>
          <w:p w14:paraId="2B246EAC" w14:textId="6CC31684" w:rsidR="00B343FE" w:rsidRPr="00255081" w:rsidRDefault="00B343FE" w:rsidP="00B343FE">
            <w:pPr>
              <w:spacing w:after="0" w:line="240" w:lineRule="auto"/>
              <w:jc w:val="right"/>
              <w:rPr>
                <w:rFonts w:ascii="Montserrat" w:hAnsi="Montserrat" w:cs="Calibri"/>
                <w:color w:val="000000"/>
                <w:sz w:val="15"/>
                <w:szCs w:val="15"/>
                <w:lang w:val="es-MX" w:eastAsia="es-MX"/>
              </w:rPr>
            </w:pPr>
            <w:r w:rsidRPr="000F0321">
              <w:rPr>
                <w:rFonts w:ascii="Montserrat" w:hAnsi="Montserrat" w:cs="Arial"/>
                <w:color w:val="000000"/>
                <w:sz w:val="15"/>
                <w:szCs w:val="15"/>
              </w:rPr>
              <w:t>16,226,657,454</w:t>
            </w:r>
          </w:p>
        </w:tc>
        <w:tc>
          <w:tcPr>
            <w:tcW w:w="2098" w:type="dxa"/>
            <w:tcBorders>
              <w:top w:val="double" w:sz="12" w:space="0" w:color="808080" w:themeColor="background1" w:themeShade="80"/>
            </w:tcBorders>
            <w:shd w:val="clear" w:color="auto" w:fill="F2F2F2" w:themeFill="background1" w:themeFillShade="F2"/>
            <w:vAlign w:val="center"/>
            <w:hideMark/>
          </w:tcPr>
          <w:p w14:paraId="2FB69460" w14:textId="77777777" w:rsidR="00B343FE" w:rsidRPr="00255081" w:rsidRDefault="00B343FE" w:rsidP="00B343FE">
            <w:pPr>
              <w:spacing w:after="0" w:line="240" w:lineRule="auto"/>
              <w:jc w:val="right"/>
              <w:rPr>
                <w:rFonts w:ascii="Montserrat" w:hAnsi="Montserrat" w:cs="Calibri"/>
                <w:color w:val="000000"/>
                <w:sz w:val="15"/>
                <w:szCs w:val="15"/>
                <w:lang w:val="es-MX" w:eastAsia="es-MX"/>
              </w:rPr>
            </w:pPr>
            <w:r w:rsidRPr="00255081">
              <w:rPr>
                <w:rFonts w:ascii="Montserrat" w:hAnsi="Montserrat" w:cs="Calibri"/>
                <w:color w:val="000000"/>
                <w:sz w:val="15"/>
                <w:szCs w:val="15"/>
              </w:rPr>
              <w:t>14,246,051,274</w:t>
            </w:r>
          </w:p>
        </w:tc>
      </w:tr>
      <w:tr w:rsidR="00B343FE" w:rsidRPr="006F0DF1" w14:paraId="04D14848" w14:textId="77777777" w:rsidTr="00556DB3">
        <w:trPr>
          <w:trHeight w:val="215"/>
          <w:jc w:val="center"/>
        </w:trPr>
        <w:tc>
          <w:tcPr>
            <w:tcW w:w="3939" w:type="dxa"/>
            <w:shd w:val="clear" w:color="auto" w:fill="F2F2F2" w:themeFill="background1" w:themeFillShade="F2"/>
            <w:vAlign w:val="center"/>
            <w:hideMark/>
          </w:tcPr>
          <w:p w14:paraId="2CF219E3" w14:textId="77777777" w:rsidR="00B343FE" w:rsidRPr="00255081" w:rsidRDefault="00B343FE" w:rsidP="00B343FE">
            <w:pPr>
              <w:spacing w:after="0" w:line="240" w:lineRule="auto"/>
              <w:ind w:left="170"/>
              <w:jc w:val="both"/>
              <w:rPr>
                <w:rFonts w:ascii="Montserrat" w:eastAsia="Times New Roman" w:hAnsi="Montserrat" w:cs="Calibri"/>
                <w:color w:val="000000"/>
                <w:sz w:val="15"/>
                <w:szCs w:val="15"/>
                <w:lang w:val="es-MX" w:eastAsia="es-MX"/>
              </w:rPr>
            </w:pPr>
            <w:r w:rsidRPr="00255081">
              <w:rPr>
                <w:rFonts w:ascii="Montserrat" w:eastAsia="Times New Roman" w:hAnsi="Montserrat" w:cs="Calibri"/>
                <w:color w:val="000000"/>
                <w:sz w:val="15"/>
                <w:szCs w:val="15"/>
                <w:lang w:val="es-MX" w:eastAsia="es-MX"/>
              </w:rPr>
              <w:t>Viviendas</w:t>
            </w:r>
          </w:p>
        </w:tc>
        <w:tc>
          <w:tcPr>
            <w:tcW w:w="2098" w:type="dxa"/>
            <w:shd w:val="clear" w:color="000000" w:fill="F2F2F2"/>
            <w:vAlign w:val="center"/>
          </w:tcPr>
          <w:p w14:paraId="5ED7DDF3" w14:textId="2A721C6B" w:rsidR="00B343FE" w:rsidRPr="00255081" w:rsidRDefault="00B343FE" w:rsidP="00B343FE">
            <w:pPr>
              <w:spacing w:after="0" w:line="240" w:lineRule="auto"/>
              <w:jc w:val="right"/>
              <w:rPr>
                <w:rFonts w:ascii="Montserrat" w:hAnsi="Montserrat" w:cs="Calibri"/>
                <w:color w:val="000000"/>
                <w:sz w:val="15"/>
                <w:szCs w:val="15"/>
              </w:rPr>
            </w:pPr>
            <w:r w:rsidRPr="000F0321">
              <w:rPr>
                <w:rFonts w:ascii="Montserrat" w:hAnsi="Montserrat" w:cs="Arial"/>
                <w:color w:val="000000"/>
                <w:sz w:val="15"/>
                <w:szCs w:val="15"/>
              </w:rPr>
              <w:t>7,682,525,440</w:t>
            </w:r>
          </w:p>
        </w:tc>
        <w:tc>
          <w:tcPr>
            <w:tcW w:w="2098" w:type="dxa"/>
            <w:shd w:val="clear" w:color="auto" w:fill="F2F2F2" w:themeFill="background1" w:themeFillShade="F2"/>
            <w:vAlign w:val="center"/>
            <w:hideMark/>
          </w:tcPr>
          <w:p w14:paraId="1A6A8DDE" w14:textId="77777777" w:rsidR="00B343FE" w:rsidRPr="00255081" w:rsidRDefault="00B343FE" w:rsidP="00B343FE">
            <w:pPr>
              <w:spacing w:after="0" w:line="240" w:lineRule="auto"/>
              <w:jc w:val="right"/>
              <w:rPr>
                <w:rFonts w:ascii="Montserrat" w:hAnsi="Montserrat" w:cs="Calibri"/>
                <w:color w:val="000000"/>
                <w:sz w:val="15"/>
                <w:szCs w:val="15"/>
              </w:rPr>
            </w:pPr>
            <w:r w:rsidRPr="00255081">
              <w:rPr>
                <w:rFonts w:ascii="Montserrat" w:hAnsi="Montserrat" w:cs="Calibri"/>
                <w:color w:val="000000"/>
                <w:sz w:val="15"/>
                <w:szCs w:val="15"/>
              </w:rPr>
              <w:t>7,560,687,674</w:t>
            </w:r>
          </w:p>
        </w:tc>
      </w:tr>
      <w:tr w:rsidR="00B343FE" w:rsidRPr="006F0DF1" w14:paraId="6E0AFEA8" w14:textId="77777777" w:rsidTr="00556DB3">
        <w:trPr>
          <w:trHeight w:val="215"/>
          <w:jc w:val="center"/>
        </w:trPr>
        <w:tc>
          <w:tcPr>
            <w:tcW w:w="3939" w:type="dxa"/>
            <w:tcBorders>
              <w:top w:val="nil"/>
            </w:tcBorders>
            <w:shd w:val="clear" w:color="auto" w:fill="F2F2F2" w:themeFill="background1" w:themeFillShade="F2"/>
            <w:vAlign w:val="center"/>
            <w:hideMark/>
          </w:tcPr>
          <w:p w14:paraId="6BCEA255" w14:textId="77777777" w:rsidR="00B343FE" w:rsidRPr="00255081" w:rsidRDefault="00B343FE" w:rsidP="00B343FE">
            <w:pPr>
              <w:spacing w:after="0" w:line="240" w:lineRule="auto"/>
              <w:ind w:left="170"/>
              <w:jc w:val="both"/>
              <w:rPr>
                <w:rFonts w:ascii="Montserrat" w:eastAsia="Times New Roman" w:hAnsi="Montserrat" w:cs="Calibri"/>
                <w:color w:val="000000"/>
                <w:sz w:val="15"/>
                <w:szCs w:val="15"/>
                <w:lang w:val="es-MX" w:eastAsia="es-MX"/>
              </w:rPr>
            </w:pPr>
            <w:r w:rsidRPr="00255081">
              <w:rPr>
                <w:rFonts w:ascii="Montserrat" w:eastAsia="Times New Roman" w:hAnsi="Montserrat" w:cs="Calibri"/>
                <w:color w:val="000000"/>
                <w:sz w:val="15"/>
                <w:szCs w:val="15"/>
                <w:lang w:val="es-MX" w:eastAsia="es-MX"/>
              </w:rPr>
              <w:t>Edificios no Habitacionales</w:t>
            </w:r>
          </w:p>
        </w:tc>
        <w:tc>
          <w:tcPr>
            <w:tcW w:w="2098" w:type="dxa"/>
            <w:tcBorders>
              <w:top w:val="nil"/>
            </w:tcBorders>
            <w:shd w:val="clear" w:color="000000" w:fill="F2F2F2"/>
            <w:vAlign w:val="center"/>
          </w:tcPr>
          <w:p w14:paraId="71368F36" w14:textId="2DA85C18" w:rsidR="00B343FE" w:rsidRPr="00255081" w:rsidRDefault="00B343FE" w:rsidP="00B343FE">
            <w:pPr>
              <w:spacing w:after="0" w:line="240" w:lineRule="auto"/>
              <w:jc w:val="right"/>
              <w:rPr>
                <w:rFonts w:ascii="Montserrat" w:hAnsi="Montserrat" w:cs="Calibri"/>
                <w:color w:val="000000"/>
                <w:sz w:val="15"/>
                <w:szCs w:val="15"/>
              </w:rPr>
            </w:pPr>
            <w:r w:rsidRPr="000F0321">
              <w:rPr>
                <w:rFonts w:ascii="Montserrat" w:hAnsi="Montserrat" w:cs="Arial"/>
                <w:color w:val="000000"/>
                <w:sz w:val="15"/>
                <w:szCs w:val="15"/>
              </w:rPr>
              <w:t>488,235,975,063</w:t>
            </w:r>
          </w:p>
        </w:tc>
        <w:tc>
          <w:tcPr>
            <w:tcW w:w="2098" w:type="dxa"/>
            <w:tcBorders>
              <w:top w:val="nil"/>
            </w:tcBorders>
            <w:shd w:val="clear" w:color="auto" w:fill="F2F2F2" w:themeFill="background1" w:themeFillShade="F2"/>
            <w:vAlign w:val="center"/>
            <w:hideMark/>
          </w:tcPr>
          <w:p w14:paraId="55210007" w14:textId="77777777" w:rsidR="00B343FE" w:rsidRPr="00255081" w:rsidRDefault="00B343FE" w:rsidP="00B343FE">
            <w:pPr>
              <w:spacing w:after="0" w:line="240" w:lineRule="auto"/>
              <w:jc w:val="right"/>
              <w:rPr>
                <w:rFonts w:ascii="Montserrat" w:hAnsi="Montserrat" w:cs="Calibri"/>
                <w:color w:val="000000"/>
                <w:sz w:val="15"/>
                <w:szCs w:val="15"/>
              </w:rPr>
            </w:pPr>
            <w:r w:rsidRPr="00255081">
              <w:rPr>
                <w:rFonts w:ascii="Montserrat" w:hAnsi="Montserrat" w:cs="Calibri"/>
                <w:color w:val="000000"/>
                <w:sz w:val="15"/>
                <w:szCs w:val="15"/>
              </w:rPr>
              <w:t>620,597,707,919</w:t>
            </w:r>
          </w:p>
        </w:tc>
      </w:tr>
      <w:tr w:rsidR="00B343FE" w:rsidRPr="006F0DF1" w14:paraId="47493A0B" w14:textId="77777777" w:rsidTr="00556DB3">
        <w:trPr>
          <w:trHeight w:val="215"/>
          <w:jc w:val="center"/>
        </w:trPr>
        <w:tc>
          <w:tcPr>
            <w:tcW w:w="3939" w:type="dxa"/>
            <w:tcBorders>
              <w:top w:val="nil"/>
            </w:tcBorders>
            <w:shd w:val="clear" w:color="auto" w:fill="F2F2F2" w:themeFill="background1" w:themeFillShade="F2"/>
            <w:vAlign w:val="center"/>
            <w:hideMark/>
          </w:tcPr>
          <w:p w14:paraId="36D8655F" w14:textId="77777777" w:rsidR="00B343FE" w:rsidRPr="00255081" w:rsidRDefault="00B343FE" w:rsidP="00B343FE">
            <w:pPr>
              <w:spacing w:after="0" w:line="240" w:lineRule="auto"/>
              <w:ind w:left="170"/>
              <w:jc w:val="both"/>
              <w:rPr>
                <w:rFonts w:ascii="Montserrat" w:eastAsia="Times New Roman" w:hAnsi="Montserrat" w:cs="Calibri"/>
                <w:color w:val="000000"/>
                <w:sz w:val="15"/>
                <w:szCs w:val="15"/>
                <w:lang w:val="es-MX" w:eastAsia="es-MX"/>
              </w:rPr>
            </w:pPr>
            <w:r w:rsidRPr="00255081">
              <w:rPr>
                <w:rFonts w:ascii="Montserrat" w:eastAsia="Times New Roman" w:hAnsi="Montserrat" w:cs="Calibri"/>
                <w:color w:val="000000"/>
                <w:sz w:val="15"/>
                <w:szCs w:val="15"/>
                <w:lang w:val="es-MX" w:eastAsia="es-MX"/>
              </w:rPr>
              <w:t>Otros Bienes Inmuebles</w:t>
            </w:r>
          </w:p>
        </w:tc>
        <w:tc>
          <w:tcPr>
            <w:tcW w:w="2098" w:type="dxa"/>
            <w:tcBorders>
              <w:top w:val="nil"/>
            </w:tcBorders>
            <w:shd w:val="clear" w:color="000000" w:fill="F2F2F2"/>
            <w:vAlign w:val="center"/>
          </w:tcPr>
          <w:p w14:paraId="26B5CE8C" w14:textId="286745B4" w:rsidR="00B343FE" w:rsidRPr="00255081" w:rsidRDefault="00B343FE" w:rsidP="00B343FE">
            <w:pPr>
              <w:spacing w:after="0" w:line="240" w:lineRule="auto"/>
              <w:jc w:val="right"/>
              <w:rPr>
                <w:rFonts w:ascii="Montserrat" w:hAnsi="Montserrat" w:cs="Calibri"/>
                <w:color w:val="000000"/>
                <w:sz w:val="15"/>
                <w:szCs w:val="15"/>
              </w:rPr>
            </w:pPr>
            <w:r w:rsidRPr="000F0321">
              <w:rPr>
                <w:rFonts w:ascii="Montserrat" w:hAnsi="Montserrat" w:cs="Arial"/>
                <w:color w:val="000000"/>
                <w:sz w:val="15"/>
                <w:szCs w:val="15"/>
              </w:rPr>
              <w:t>7,073,670,907</w:t>
            </w:r>
          </w:p>
        </w:tc>
        <w:tc>
          <w:tcPr>
            <w:tcW w:w="2098" w:type="dxa"/>
            <w:tcBorders>
              <w:top w:val="nil"/>
            </w:tcBorders>
            <w:shd w:val="clear" w:color="auto" w:fill="F2F2F2" w:themeFill="background1" w:themeFillShade="F2"/>
            <w:vAlign w:val="center"/>
            <w:hideMark/>
          </w:tcPr>
          <w:p w14:paraId="27C18CF4" w14:textId="77777777" w:rsidR="00B343FE" w:rsidRPr="00255081" w:rsidRDefault="00B343FE" w:rsidP="00B343FE">
            <w:pPr>
              <w:spacing w:after="0" w:line="240" w:lineRule="auto"/>
              <w:jc w:val="right"/>
              <w:rPr>
                <w:rFonts w:ascii="Montserrat" w:hAnsi="Montserrat" w:cs="Calibri"/>
                <w:color w:val="000000"/>
                <w:sz w:val="15"/>
                <w:szCs w:val="15"/>
              </w:rPr>
            </w:pPr>
            <w:r w:rsidRPr="00255081">
              <w:rPr>
                <w:rFonts w:ascii="Montserrat" w:hAnsi="Montserrat" w:cs="Calibri"/>
                <w:color w:val="000000"/>
                <w:sz w:val="15"/>
                <w:szCs w:val="15"/>
              </w:rPr>
              <w:t>2,999,172,118</w:t>
            </w:r>
          </w:p>
        </w:tc>
      </w:tr>
      <w:tr w:rsidR="00B343FE" w:rsidRPr="006F0DF1" w14:paraId="1716AEDE" w14:textId="77777777" w:rsidTr="00556DB3">
        <w:trPr>
          <w:trHeight w:val="215"/>
          <w:jc w:val="center"/>
        </w:trPr>
        <w:tc>
          <w:tcPr>
            <w:tcW w:w="3939" w:type="dxa"/>
            <w:tcBorders>
              <w:top w:val="nil"/>
            </w:tcBorders>
            <w:shd w:val="clear" w:color="auto" w:fill="F2F2F2" w:themeFill="background1" w:themeFillShade="F2"/>
            <w:vAlign w:val="center"/>
            <w:hideMark/>
          </w:tcPr>
          <w:p w14:paraId="5F4483D2" w14:textId="77777777" w:rsidR="00B343FE" w:rsidRPr="00255081" w:rsidRDefault="00B343FE" w:rsidP="00B343FE">
            <w:pPr>
              <w:spacing w:after="0" w:line="240" w:lineRule="auto"/>
              <w:ind w:left="567"/>
              <w:jc w:val="right"/>
              <w:rPr>
                <w:rFonts w:ascii="Montserrat" w:eastAsia="Times New Roman" w:hAnsi="Montserrat" w:cs="Calibri"/>
                <w:b/>
                <w:bCs/>
                <w:color w:val="000000"/>
                <w:sz w:val="15"/>
                <w:szCs w:val="15"/>
                <w:lang w:val="es-MX" w:eastAsia="es-MX"/>
              </w:rPr>
            </w:pPr>
            <w:r w:rsidRPr="00255081">
              <w:rPr>
                <w:rFonts w:ascii="Montserrat" w:eastAsia="Times New Roman" w:hAnsi="Montserrat" w:cs="Calibri"/>
                <w:b/>
                <w:bCs/>
                <w:color w:val="000000"/>
                <w:sz w:val="15"/>
                <w:szCs w:val="15"/>
                <w:lang w:val="es-MX" w:eastAsia="es-MX"/>
              </w:rPr>
              <w:t>Bienes Inmuebles</w:t>
            </w:r>
          </w:p>
        </w:tc>
        <w:tc>
          <w:tcPr>
            <w:tcW w:w="2098" w:type="dxa"/>
            <w:tcBorders>
              <w:top w:val="nil"/>
            </w:tcBorders>
            <w:shd w:val="clear" w:color="000000" w:fill="F2F2F2"/>
            <w:vAlign w:val="center"/>
          </w:tcPr>
          <w:p w14:paraId="62820899" w14:textId="6DF1AD0E" w:rsidR="00B343FE" w:rsidRPr="00255081" w:rsidRDefault="00B343FE" w:rsidP="00B343FE">
            <w:pPr>
              <w:spacing w:after="0" w:line="240" w:lineRule="auto"/>
              <w:jc w:val="right"/>
              <w:rPr>
                <w:rFonts w:ascii="Montserrat" w:hAnsi="Montserrat" w:cs="Calibri"/>
                <w:b/>
                <w:color w:val="000000"/>
                <w:sz w:val="15"/>
                <w:szCs w:val="15"/>
              </w:rPr>
            </w:pPr>
            <w:r w:rsidRPr="000F0321">
              <w:rPr>
                <w:rFonts w:ascii="Montserrat" w:hAnsi="Montserrat" w:cs="Arial"/>
                <w:b/>
                <w:bCs/>
                <w:color w:val="000000"/>
                <w:sz w:val="15"/>
                <w:szCs w:val="15"/>
              </w:rPr>
              <w:t>519,218,828,864</w:t>
            </w:r>
          </w:p>
        </w:tc>
        <w:tc>
          <w:tcPr>
            <w:tcW w:w="2098" w:type="dxa"/>
            <w:tcBorders>
              <w:top w:val="nil"/>
            </w:tcBorders>
            <w:shd w:val="clear" w:color="auto" w:fill="F2F2F2" w:themeFill="background1" w:themeFillShade="F2"/>
            <w:vAlign w:val="center"/>
            <w:hideMark/>
          </w:tcPr>
          <w:p w14:paraId="3190B258" w14:textId="77777777" w:rsidR="00B343FE" w:rsidRPr="00255081" w:rsidRDefault="00B343FE" w:rsidP="00B343FE">
            <w:pPr>
              <w:spacing w:after="0" w:line="240" w:lineRule="auto"/>
              <w:jc w:val="right"/>
              <w:rPr>
                <w:rFonts w:ascii="Montserrat" w:hAnsi="Montserrat" w:cs="Calibri"/>
                <w:b/>
                <w:color w:val="000000"/>
                <w:sz w:val="15"/>
                <w:szCs w:val="15"/>
              </w:rPr>
            </w:pPr>
            <w:r w:rsidRPr="00255081">
              <w:rPr>
                <w:rFonts w:ascii="Montserrat" w:hAnsi="Montserrat" w:cs="Calibri"/>
                <w:b/>
                <w:color w:val="000000"/>
                <w:sz w:val="15"/>
                <w:szCs w:val="15"/>
              </w:rPr>
              <w:t>645,403,618,985</w:t>
            </w:r>
          </w:p>
        </w:tc>
      </w:tr>
      <w:tr w:rsidR="00B343FE" w:rsidRPr="006F0DF1" w14:paraId="301DDD7E" w14:textId="77777777" w:rsidTr="00556DB3">
        <w:trPr>
          <w:trHeight w:val="215"/>
          <w:jc w:val="center"/>
        </w:trPr>
        <w:tc>
          <w:tcPr>
            <w:tcW w:w="3939" w:type="dxa"/>
            <w:tcBorders>
              <w:top w:val="nil"/>
            </w:tcBorders>
            <w:shd w:val="clear" w:color="auto" w:fill="F2F2F2" w:themeFill="background1" w:themeFillShade="F2"/>
            <w:vAlign w:val="center"/>
            <w:hideMark/>
          </w:tcPr>
          <w:p w14:paraId="5C3F2668" w14:textId="77777777" w:rsidR="00B343FE" w:rsidRPr="00255081" w:rsidRDefault="00B343FE" w:rsidP="00B343FE">
            <w:pPr>
              <w:spacing w:after="0" w:line="240" w:lineRule="auto"/>
              <w:ind w:left="170"/>
              <w:jc w:val="both"/>
              <w:rPr>
                <w:rFonts w:ascii="Montserrat" w:eastAsia="Times New Roman" w:hAnsi="Montserrat" w:cs="Calibri"/>
                <w:color w:val="000000"/>
                <w:sz w:val="15"/>
                <w:szCs w:val="15"/>
                <w:lang w:val="es-MX" w:eastAsia="es-MX"/>
              </w:rPr>
            </w:pPr>
            <w:r w:rsidRPr="00255081">
              <w:rPr>
                <w:rFonts w:ascii="Montserrat" w:eastAsia="Times New Roman" w:hAnsi="Montserrat" w:cs="Calibri"/>
                <w:color w:val="000000"/>
                <w:sz w:val="15"/>
                <w:szCs w:val="15"/>
                <w:lang w:val="es-MX" w:eastAsia="es-MX"/>
              </w:rPr>
              <w:t>Infraestructura</w:t>
            </w:r>
          </w:p>
        </w:tc>
        <w:tc>
          <w:tcPr>
            <w:tcW w:w="2098" w:type="dxa"/>
            <w:tcBorders>
              <w:top w:val="nil"/>
            </w:tcBorders>
            <w:shd w:val="clear" w:color="000000" w:fill="F2F2F2"/>
            <w:vAlign w:val="center"/>
          </w:tcPr>
          <w:p w14:paraId="7DB1409D" w14:textId="67AB6EDF" w:rsidR="00B343FE" w:rsidRPr="00255081" w:rsidRDefault="00B343FE" w:rsidP="00B343FE">
            <w:pPr>
              <w:spacing w:after="0" w:line="240" w:lineRule="auto"/>
              <w:jc w:val="right"/>
              <w:rPr>
                <w:rFonts w:ascii="Montserrat" w:hAnsi="Montserrat" w:cs="Calibri"/>
                <w:color w:val="000000"/>
                <w:sz w:val="15"/>
                <w:szCs w:val="15"/>
              </w:rPr>
            </w:pPr>
            <w:r w:rsidRPr="000F0321">
              <w:rPr>
                <w:rFonts w:ascii="Montserrat" w:hAnsi="Montserrat" w:cs="Arial"/>
                <w:color w:val="000000"/>
                <w:sz w:val="15"/>
                <w:szCs w:val="15"/>
              </w:rPr>
              <w:t>588,051,468,109</w:t>
            </w:r>
          </w:p>
        </w:tc>
        <w:tc>
          <w:tcPr>
            <w:tcW w:w="2098" w:type="dxa"/>
            <w:tcBorders>
              <w:top w:val="nil"/>
            </w:tcBorders>
            <w:shd w:val="clear" w:color="auto" w:fill="F2F2F2" w:themeFill="background1" w:themeFillShade="F2"/>
            <w:vAlign w:val="center"/>
            <w:hideMark/>
          </w:tcPr>
          <w:p w14:paraId="1408C943" w14:textId="77777777" w:rsidR="00B343FE" w:rsidRPr="00255081" w:rsidRDefault="00B343FE" w:rsidP="00B343FE">
            <w:pPr>
              <w:spacing w:after="0" w:line="240" w:lineRule="auto"/>
              <w:jc w:val="right"/>
              <w:rPr>
                <w:rFonts w:ascii="Montserrat" w:hAnsi="Montserrat" w:cs="Calibri"/>
                <w:color w:val="000000"/>
                <w:sz w:val="15"/>
                <w:szCs w:val="15"/>
              </w:rPr>
            </w:pPr>
            <w:r w:rsidRPr="00255081">
              <w:rPr>
                <w:rFonts w:ascii="Montserrat" w:hAnsi="Montserrat" w:cs="Calibri"/>
                <w:color w:val="000000"/>
                <w:sz w:val="15"/>
                <w:szCs w:val="15"/>
              </w:rPr>
              <w:t>584,012,995,824</w:t>
            </w:r>
          </w:p>
        </w:tc>
      </w:tr>
      <w:tr w:rsidR="00B343FE" w:rsidRPr="006F0DF1" w14:paraId="744DF1B0" w14:textId="77777777" w:rsidTr="00556DB3">
        <w:trPr>
          <w:trHeight w:val="215"/>
          <w:jc w:val="center"/>
        </w:trPr>
        <w:tc>
          <w:tcPr>
            <w:tcW w:w="3939" w:type="dxa"/>
            <w:tcBorders>
              <w:top w:val="nil"/>
            </w:tcBorders>
            <w:shd w:val="clear" w:color="auto" w:fill="F2F2F2" w:themeFill="background1" w:themeFillShade="F2"/>
            <w:vAlign w:val="center"/>
            <w:hideMark/>
          </w:tcPr>
          <w:p w14:paraId="04C6EF90" w14:textId="77777777" w:rsidR="00B343FE" w:rsidRPr="00255081" w:rsidRDefault="00B343FE" w:rsidP="00B343FE">
            <w:pPr>
              <w:spacing w:after="0" w:line="240" w:lineRule="auto"/>
              <w:ind w:left="567"/>
              <w:jc w:val="right"/>
              <w:rPr>
                <w:rFonts w:ascii="Montserrat" w:eastAsia="Times New Roman" w:hAnsi="Montserrat" w:cs="Calibri"/>
                <w:b/>
                <w:bCs/>
                <w:color w:val="000000"/>
                <w:sz w:val="15"/>
                <w:szCs w:val="15"/>
                <w:lang w:val="es-MX" w:eastAsia="es-MX"/>
              </w:rPr>
            </w:pPr>
            <w:r w:rsidRPr="00255081">
              <w:rPr>
                <w:rFonts w:ascii="Montserrat" w:eastAsia="Times New Roman" w:hAnsi="Montserrat" w:cs="Calibri"/>
                <w:b/>
                <w:bCs/>
                <w:color w:val="000000"/>
                <w:sz w:val="15"/>
                <w:szCs w:val="15"/>
                <w:lang w:val="es-MX" w:eastAsia="es-MX"/>
              </w:rPr>
              <w:t>Infraestructura</w:t>
            </w:r>
          </w:p>
        </w:tc>
        <w:tc>
          <w:tcPr>
            <w:tcW w:w="2098" w:type="dxa"/>
            <w:tcBorders>
              <w:top w:val="nil"/>
            </w:tcBorders>
            <w:shd w:val="clear" w:color="000000" w:fill="F2F2F2"/>
            <w:vAlign w:val="center"/>
          </w:tcPr>
          <w:p w14:paraId="5EE1110C" w14:textId="4C005A6E" w:rsidR="00B343FE" w:rsidRPr="00255081" w:rsidRDefault="00B343FE" w:rsidP="00B343FE">
            <w:pPr>
              <w:spacing w:after="0" w:line="240" w:lineRule="auto"/>
              <w:jc w:val="right"/>
              <w:rPr>
                <w:rFonts w:ascii="Montserrat" w:hAnsi="Montserrat" w:cs="Calibri"/>
                <w:b/>
                <w:bCs/>
                <w:color w:val="000000"/>
                <w:sz w:val="15"/>
                <w:szCs w:val="15"/>
              </w:rPr>
            </w:pPr>
            <w:r w:rsidRPr="000F0321">
              <w:rPr>
                <w:rFonts w:ascii="Montserrat" w:hAnsi="Montserrat" w:cs="Arial"/>
                <w:b/>
                <w:bCs/>
                <w:color w:val="000000"/>
                <w:sz w:val="15"/>
                <w:szCs w:val="15"/>
              </w:rPr>
              <w:t>588,051,468,109</w:t>
            </w:r>
          </w:p>
        </w:tc>
        <w:tc>
          <w:tcPr>
            <w:tcW w:w="2098" w:type="dxa"/>
            <w:tcBorders>
              <w:top w:val="nil"/>
            </w:tcBorders>
            <w:shd w:val="clear" w:color="auto" w:fill="F2F2F2" w:themeFill="background1" w:themeFillShade="F2"/>
            <w:vAlign w:val="center"/>
            <w:hideMark/>
          </w:tcPr>
          <w:p w14:paraId="7B57D9DD" w14:textId="77777777" w:rsidR="00B343FE" w:rsidRPr="00255081" w:rsidRDefault="00B343FE" w:rsidP="00B343FE">
            <w:pPr>
              <w:spacing w:after="0" w:line="240" w:lineRule="auto"/>
              <w:jc w:val="right"/>
              <w:rPr>
                <w:rFonts w:ascii="Montserrat" w:hAnsi="Montserrat" w:cs="Calibri"/>
                <w:b/>
                <w:bCs/>
                <w:color w:val="000000"/>
                <w:sz w:val="15"/>
                <w:szCs w:val="15"/>
              </w:rPr>
            </w:pPr>
            <w:r w:rsidRPr="00255081">
              <w:rPr>
                <w:rFonts w:ascii="Montserrat" w:hAnsi="Montserrat" w:cs="Calibri"/>
                <w:b/>
                <w:color w:val="000000"/>
                <w:sz w:val="15"/>
                <w:szCs w:val="15"/>
              </w:rPr>
              <w:t>584</w:t>
            </w:r>
            <w:r w:rsidRPr="00255081">
              <w:rPr>
                <w:rFonts w:ascii="Montserrat" w:hAnsi="Montserrat" w:cs="Calibri"/>
                <w:b/>
                <w:bCs/>
                <w:color w:val="000000"/>
                <w:sz w:val="15"/>
                <w:szCs w:val="15"/>
              </w:rPr>
              <w:t>,012,995,824</w:t>
            </w:r>
          </w:p>
        </w:tc>
      </w:tr>
      <w:tr w:rsidR="00B343FE" w:rsidRPr="006F0DF1" w14:paraId="2990CBEF" w14:textId="77777777" w:rsidTr="00556DB3">
        <w:trPr>
          <w:trHeight w:val="215"/>
          <w:jc w:val="center"/>
        </w:trPr>
        <w:tc>
          <w:tcPr>
            <w:tcW w:w="3939" w:type="dxa"/>
            <w:tcBorders>
              <w:top w:val="nil"/>
            </w:tcBorders>
            <w:shd w:val="clear" w:color="auto" w:fill="F2F2F2" w:themeFill="background1" w:themeFillShade="F2"/>
            <w:noWrap/>
            <w:vAlign w:val="center"/>
            <w:hideMark/>
          </w:tcPr>
          <w:p w14:paraId="6D3DD742" w14:textId="77777777" w:rsidR="00B343FE" w:rsidRPr="00255081" w:rsidRDefault="00B343FE" w:rsidP="00B343FE">
            <w:pPr>
              <w:spacing w:after="0" w:line="240" w:lineRule="auto"/>
              <w:ind w:left="170"/>
              <w:jc w:val="both"/>
              <w:rPr>
                <w:rFonts w:ascii="Montserrat" w:eastAsia="Times New Roman" w:hAnsi="Montserrat" w:cs="Calibri"/>
                <w:color w:val="000000"/>
                <w:sz w:val="15"/>
                <w:szCs w:val="15"/>
                <w:lang w:val="es-MX" w:eastAsia="es-MX"/>
              </w:rPr>
            </w:pPr>
            <w:r w:rsidRPr="00255081">
              <w:rPr>
                <w:rFonts w:ascii="Montserrat" w:eastAsia="Times New Roman" w:hAnsi="Montserrat" w:cs="Calibri"/>
                <w:color w:val="000000"/>
                <w:sz w:val="15"/>
                <w:szCs w:val="15"/>
                <w:lang w:val="es-MX" w:eastAsia="es-MX"/>
              </w:rPr>
              <w:t>Construcciones en Proceso en Bienes de Dominio Público</w:t>
            </w:r>
          </w:p>
        </w:tc>
        <w:tc>
          <w:tcPr>
            <w:tcW w:w="2098" w:type="dxa"/>
            <w:tcBorders>
              <w:top w:val="nil"/>
            </w:tcBorders>
            <w:shd w:val="clear" w:color="000000" w:fill="F2F2F2"/>
            <w:vAlign w:val="center"/>
          </w:tcPr>
          <w:p w14:paraId="7877F596" w14:textId="0C3A28BE" w:rsidR="00B343FE" w:rsidRPr="00255081" w:rsidRDefault="00B343FE" w:rsidP="00B343FE">
            <w:pPr>
              <w:spacing w:after="0" w:line="240" w:lineRule="auto"/>
              <w:jc w:val="right"/>
              <w:rPr>
                <w:rFonts w:ascii="Montserrat" w:hAnsi="Montserrat" w:cs="Calibri"/>
                <w:color w:val="000000"/>
                <w:sz w:val="15"/>
                <w:szCs w:val="15"/>
              </w:rPr>
            </w:pPr>
            <w:r w:rsidRPr="000F0321">
              <w:rPr>
                <w:rFonts w:ascii="Montserrat" w:hAnsi="Montserrat" w:cs="Arial"/>
                <w:color w:val="000000"/>
                <w:sz w:val="15"/>
                <w:szCs w:val="15"/>
              </w:rPr>
              <w:t>5,789,945,723</w:t>
            </w:r>
          </w:p>
        </w:tc>
        <w:tc>
          <w:tcPr>
            <w:tcW w:w="2098" w:type="dxa"/>
            <w:tcBorders>
              <w:top w:val="nil"/>
            </w:tcBorders>
            <w:shd w:val="clear" w:color="auto" w:fill="F2F2F2" w:themeFill="background1" w:themeFillShade="F2"/>
            <w:vAlign w:val="center"/>
            <w:hideMark/>
          </w:tcPr>
          <w:p w14:paraId="2D156A03" w14:textId="77777777" w:rsidR="00B343FE" w:rsidRPr="00255081" w:rsidRDefault="00B343FE" w:rsidP="00B343FE">
            <w:pPr>
              <w:spacing w:after="0" w:line="240" w:lineRule="auto"/>
              <w:jc w:val="right"/>
              <w:rPr>
                <w:rFonts w:ascii="Montserrat" w:hAnsi="Montserrat" w:cs="Calibri"/>
                <w:color w:val="000000"/>
                <w:sz w:val="15"/>
                <w:szCs w:val="15"/>
              </w:rPr>
            </w:pPr>
            <w:r w:rsidRPr="00255081">
              <w:rPr>
                <w:rFonts w:ascii="Montserrat" w:hAnsi="Montserrat" w:cs="Calibri"/>
                <w:color w:val="000000"/>
                <w:sz w:val="15"/>
                <w:szCs w:val="15"/>
              </w:rPr>
              <w:t>8,703,273,747</w:t>
            </w:r>
          </w:p>
        </w:tc>
      </w:tr>
      <w:tr w:rsidR="00B343FE" w:rsidRPr="006F0DF1" w14:paraId="6E6D5A3D" w14:textId="77777777" w:rsidTr="00556DB3">
        <w:trPr>
          <w:trHeight w:val="215"/>
          <w:jc w:val="center"/>
        </w:trPr>
        <w:tc>
          <w:tcPr>
            <w:tcW w:w="3939" w:type="dxa"/>
            <w:tcBorders>
              <w:top w:val="nil"/>
            </w:tcBorders>
            <w:shd w:val="clear" w:color="auto" w:fill="F2F2F2" w:themeFill="background1" w:themeFillShade="F2"/>
            <w:vAlign w:val="center"/>
            <w:hideMark/>
          </w:tcPr>
          <w:p w14:paraId="32EC574F" w14:textId="77777777" w:rsidR="00B343FE" w:rsidRPr="00255081" w:rsidRDefault="00B343FE" w:rsidP="00B343FE">
            <w:pPr>
              <w:spacing w:after="0" w:line="240" w:lineRule="auto"/>
              <w:ind w:left="170"/>
              <w:jc w:val="both"/>
              <w:rPr>
                <w:rFonts w:ascii="Montserrat" w:eastAsia="Times New Roman" w:hAnsi="Montserrat" w:cs="Calibri"/>
                <w:color w:val="000000"/>
                <w:sz w:val="15"/>
                <w:szCs w:val="15"/>
                <w:lang w:val="es-MX" w:eastAsia="es-MX"/>
              </w:rPr>
            </w:pPr>
            <w:r w:rsidRPr="00255081">
              <w:rPr>
                <w:rFonts w:ascii="Montserrat" w:eastAsia="Times New Roman" w:hAnsi="Montserrat" w:cs="Calibri"/>
                <w:color w:val="000000"/>
                <w:sz w:val="15"/>
                <w:szCs w:val="15"/>
                <w:lang w:val="es-MX" w:eastAsia="es-MX"/>
              </w:rPr>
              <w:t>Construcciones en Proceso en Bienes Propios</w:t>
            </w:r>
          </w:p>
        </w:tc>
        <w:tc>
          <w:tcPr>
            <w:tcW w:w="2098" w:type="dxa"/>
            <w:tcBorders>
              <w:top w:val="nil"/>
            </w:tcBorders>
            <w:shd w:val="clear" w:color="000000" w:fill="F2F2F2"/>
            <w:vAlign w:val="center"/>
          </w:tcPr>
          <w:p w14:paraId="2FDE301E" w14:textId="2C0456DB" w:rsidR="00B343FE" w:rsidRPr="00255081" w:rsidRDefault="00B343FE" w:rsidP="00B343FE">
            <w:pPr>
              <w:spacing w:after="0" w:line="240" w:lineRule="auto"/>
              <w:jc w:val="right"/>
              <w:rPr>
                <w:rFonts w:ascii="Montserrat" w:hAnsi="Montserrat" w:cs="Calibri"/>
                <w:color w:val="000000"/>
                <w:sz w:val="15"/>
                <w:szCs w:val="15"/>
              </w:rPr>
            </w:pPr>
            <w:r w:rsidRPr="000F0321">
              <w:rPr>
                <w:rFonts w:ascii="Montserrat" w:hAnsi="Montserrat" w:cs="Arial"/>
                <w:color w:val="000000"/>
                <w:sz w:val="15"/>
                <w:szCs w:val="15"/>
              </w:rPr>
              <w:t>245,767,735,001</w:t>
            </w:r>
          </w:p>
        </w:tc>
        <w:tc>
          <w:tcPr>
            <w:tcW w:w="2098" w:type="dxa"/>
            <w:tcBorders>
              <w:top w:val="nil"/>
            </w:tcBorders>
            <w:shd w:val="clear" w:color="auto" w:fill="F2F2F2" w:themeFill="background1" w:themeFillShade="F2"/>
            <w:vAlign w:val="center"/>
            <w:hideMark/>
          </w:tcPr>
          <w:p w14:paraId="79E8AE22" w14:textId="77777777" w:rsidR="00B343FE" w:rsidRPr="00255081" w:rsidRDefault="00B343FE" w:rsidP="00B343FE">
            <w:pPr>
              <w:spacing w:after="0" w:line="240" w:lineRule="auto"/>
              <w:jc w:val="right"/>
              <w:rPr>
                <w:rFonts w:ascii="Montserrat" w:hAnsi="Montserrat" w:cs="Calibri"/>
                <w:color w:val="000000"/>
                <w:sz w:val="15"/>
                <w:szCs w:val="15"/>
              </w:rPr>
            </w:pPr>
            <w:r w:rsidRPr="00255081">
              <w:rPr>
                <w:rFonts w:ascii="Montserrat" w:hAnsi="Montserrat" w:cs="Calibri"/>
                <w:color w:val="000000"/>
                <w:sz w:val="15"/>
                <w:szCs w:val="15"/>
              </w:rPr>
              <w:t>204,509,694,084</w:t>
            </w:r>
          </w:p>
        </w:tc>
      </w:tr>
      <w:tr w:rsidR="00B343FE" w:rsidRPr="006F0DF1" w14:paraId="26856A28" w14:textId="77777777" w:rsidTr="00556DB3">
        <w:trPr>
          <w:trHeight w:val="215"/>
          <w:jc w:val="center"/>
        </w:trPr>
        <w:tc>
          <w:tcPr>
            <w:tcW w:w="3939" w:type="dxa"/>
            <w:tcBorders>
              <w:top w:val="nil"/>
            </w:tcBorders>
            <w:shd w:val="clear" w:color="auto" w:fill="F2F2F2" w:themeFill="background1" w:themeFillShade="F2"/>
            <w:vAlign w:val="center"/>
            <w:hideMark/>
          </w:tcPr>
          <w:p w14:paraId="742BDB28" w14:textId="77777777" w:rsidR="00B343FE" w:rsidRPr="00255081" w:rsidRDefault="00B343FE" w:rsidP="00B343FE">
            <w:pPr>
              <w:spacing w:after="0" w:line="240" w:lineRule="auto"/>
              <w:ind w:left="567"/>
              <w:jc w:val="right"/>
              <w:rPr>
                <w:rFonts w:ascii="Montserrat" w:eastAsia="Times New Roman" w:hAnsi="Montserrat" w:cs="Calibri"/>
                <w:b/>
                <w:bCs/>
                <w:color w:val="000000"/>
                <w:sz w:val="15"/>
                <w:szCs w:val="15"/>
                <w:lang w:val="es-MX" w:eastAsia="es-MX"/>
              </w:rPr>
            </w:pPr>
            <w:r w:rsidRPr="00255081">
              <w:rPr>
                <w:rFonts w:ascii="Montserrat" w:eastAsia="Times New Roman" w:hAnsi="Montserrat" w:cs="Calibri"/>
                <w:b/>
                <w:bCs/>
                <w:color w:val="000000"/>
                <w:sz w:val="15"/>
                <w:szCs w:val="15"/>
                <w:lang w:val="es-MX" w:eastAsia="es-MX"/>
              </w:rPr>
              <w:t>Construcciones en Proceso</w:t>
            </w:r>
          </w:p>
        </w:tc>
        <w:tc>
          <w:tcPr>
            <w:tcW w:w="2098" w:type="dxa"/>
            <w:tcBorders>
              <w:top w:val="nil"/>
            </w:tcBorders>
            <w:shd w:val="clear" w:color="000000" w:fill="F2F2F2"/>
            <w:vAlign w:val="center"/>
          </w:tcPr>
          <w:p w14:paraId="51837741" w14:textId="06649E55" w:rsidR="00B343FE" w:rsidRPr="00255081" w:rsidRDefault="00B343FE" w:rsidP="00B343FE">
            <w:pPr>
              <w:spacing w:after="0" w:line="240" w:lineRule="auto"/>
              <w:jc w:val="right"/>
              <w:rPr>
                <w:rFonts w:ascii="Montserrat" w:hAnsi="Montserrat" w:cs="Calibri"/>
                <w:b/>
                <w:color w:val="000000"/>
                <w:sz w:val="15"/>
                <w:szCs w:val="15"/>
              </w:rPr>
            </w:pPr>
            <w:r w:rsidRPr="000F0321">
              <w:rPr>
                <w:rFonts w:ascii="Montserrat" w:hAnsi="Montserrat" w:cs="Arial"/>
                <w:b/>
                <w:bCs/>
                <w:color w:val="000000"/>
                <w:sz w:val="15"/>
                <w:szCs w:val="15"/>
              </w:rPr>
              <w:t>251,557,680,724</w:t>
            </w:r>
          </w:p>
        </w:tc>
        <w:tc>
          <w:tcPr>
            <w:tcW w:w="2098" w:type="dxa"/>
            <w:tcBorders>
              <w:top w:val="nil"/>
            </w:tcBorders>
            <w:shd w:val="clear" w:color="auto" w:fill="F2F2F2" w:themeFill="background1" w:themeFillShade="F2"/>
            <w:vAlign w:val="center"/>
            <w:hideMark/>
          </w:tcPr>
          <w:p w14:paraId="3B82DDD8" w14:textId="77777777" w:rsidR="00B343FE" w:rsidRPr="00255081" w:rsidRDefault="00B343FE" w:rsidP="00B343FE">
            <w:pPr>
              <w:spacing w:after="0" w:line="240" w:lineRule="auto"/>
              <w:jc w:val="right"/>
              <w:rPr>
                <w:rFonts w:ascii="Montserrat" w:hAnsi="Montserrat" w:cs="Calibri"/>
                <w:b/>
                <w:color w:val="000000"/>
                <w:sz w:val="15"/>
                <w:szCs w:val="15"/>
              </w:rPr>
            </w:pPr>
            <w:r w:rsidRPr="00255081">
              <w:rPr>
                <w:rFonts w:ascii="Montserrat" w:hAnsi="Montserrat" w:cs="Calibri"/>
                <w:b/>
                <w:color w:val="000000"/>
                <w:sz w:val="15"/>
                <w:szCs w:val="15"/>
              </w:rPr>
              <w:t>213,212,967,831</w:t>
            </w:r>
          </w:p>
        </w:tc>
      </w:tr>
      <w:tr w:rsidR="00B343FE" w:rsidRPr="006F0DF1" w14:paraId="0395B42E" w14:textId="77777777" w:rsidTr="00556DB3">
        <w:trPr>
          <w:trHeight w:val="215"/>
          <w:jc w:val="center"/>
        </w:trPr>
        <w:tc>
          <w:tcPr>
            <w:tcW w:w="3939" w:type="dxa"/>
            <w:tcBorders>
              <w:bottom w:val="single" w:sz="12" w:space="0" w:color="808080" w:themeColor="background1" w:themeShade="80"/>
            </w:tcBorders>
            <w:shd w:val="clear" w:color="auto" w:fill="F2F2F2" w:themeFill="background1" w:themeFillShade="F2"/>
            <w:vAlign w:val="center"/>
            <w:hideMark/>
          </w:tcPr>
          <w:p w14:paraId="67464D55" w14:textId="77777777" w:rsidR="00B343FE" w:rsidRPr="00255081" w:rsidRDefault="00B343FE" w:rsidP="00B343FE">
            <w:pPr>
              <w:spacing w:after="0" w:line="240" w:lineRule="auto"/>
              <w:ind w:left="170"/>
              <w:jc w:val="right"/>
              <w:rPr>
                <w:rFonts w:ascii="Montserrat" w:eastAsia="Times New Roman" w:hAnsi="Montserrat" w:cs="Calibri"/>
                <w:b/>
                <w:bCs/>
                <w:color w:val="000000"/>
                <w:sz w:val="15"/>
                <w:szCs w:val="15"/>
                <w:lang w:val="es-MX" w:eastAsia="es-MX"/>
              </w:rPr>
            </w:pPr>
            <w:r w:rsidRPr="00255081">
              <w:rPr>
                <w:rFonts w:ascii="Montserrat" w:eastAsia="Times New Roman" w:hAnsi="Montserrat" w:cs="Calibri"/>
                <w:b/>
                <w:bCs/>
                <w:color w:val="000000"/>
                <w:sz w:val="15"/>
                <w:szCs w:val="15"/>
                <w:lang w:val="es-MX" w:eastAsia="es-MX"/>
              </w:rPr>
              <w:t>Total Bienes Inmuebles, Infraestructura y Construcciones en Proceso</w:t>
            </w:r>
          </w:p>
        </w:tc>
        <w:tc>
          <w:tcPr>
            <w:tcW w:w="2098" w:type="dxa"/>
            <w:tcBorders>
              <w:bottom w:val="single" w:sz="12" w:space="0" w:color="808080" w:themeColor="background1" w:themeShade="80"/>
            </w:tcBorders>
            <w:shd w:val="clear" w:color="000000" w:fill="F2F2F2"/>
            <w:vAlign w:val="center"/>
          </w:tcPr>
          <w:p w14:paraId="0F1196B1" w14:textId="73070826" w:rsidR="00B343FE" w:rsidRPr="00255081" w:rsidRDefault="00B343FE" w:rsidP="00B343FE">
            <w:pPr>
              <w:spacing w:after="0" w:line="240" w:lineRule="auto"/>
              <w:jc w:val="right"/>
              <w:rPr>
                <w:rFonts w:ascii="Montserrat" w:eastAsia="Times New Roman" w:hAnsi="Montserrat" w:cs="Calibri"/>
                <w:b/>
                <w:bCs/>
                <w:sz w:val="15"/>
                <w:szCs w:val="15"/>
                <w:lang w:val="es-MX" w:eastAsia="es-MX"/>
              </w:rPr>
            </w:pPr>
            <w:r w:rsidRPr="000F0321">
              <w:rPr>
                <w:rFonts w:ascii="Montserrat" w:hAnsi="Montserrat" w:cs="Arial"/>
                <w:b/>
                <w:bCs/>
                <w:color w:val="000000"/>
                <w:sz w:val="15"/>
                <w:szCs w:val="15"/>
              </w:rPr>
              <w:t>1,358,827,977,697</w:t>
            </w:r>
          </w:p>
        </w:tc>
        <w:tc>
          <w:tcPr>
            <w:tcW w:w="2098" w:type="dxa"/>
            <w:tcBorders>
              <w:bottom w:val="single" w:sz="12" w:space="0" w:color="808080" w:themeColor="background1" w:themeShade="80"/>
            </w:tcBorders>
            <w:shd w:val="clear" w:color="auto" w:fill="F2F2F2" w:themeFill="background1" w:themeFillShade="F2"/>
            <w:vAlign w:val="center"/>
            <w:hideMark/>
          </w:tcPr>
          <w:p w14:paraId="30CEAB7D" w14:textId="77777777" w:rsidR="00B343FE" w:rsidRPr="00255081" w:rsidRDefault="00B343FE" w:rsidP="00B343FE">
            <w:pPr>
              <w:spacing w:after="0" w:line="240" w:lineRule="auto"/>
              <w:jc w:val="right"/>
              <w:rPr>
                <w:rFonts w:ascii="Montserrat" w:eastAsia="Times New Roman" w:hAnsi="Montserrat" w:cs="Calibri"/>
                <w:b/>
                <w:bCs/>
                <w:sz w:val="15"/>
                <w:szCs w:val="15"/>
                <w:lang w:val="es-MX" w:eastAsia="es-MX"/>
              </w:rPr>
            </w:pPr>
            <w:r w:rsidRPr="00255081">
              <w:rPr>
                <w:rFonts w:ascii="Montserrat" w:eastAsia="Times New Roman" w:hAnsi="Montserrat" w:cs="Calibri"/>
                <w:b/>
                <w:bCs/>
                <w:sz w:val="15"/>
                <w:szCs w:val="15"/>
                <w:lang w:val="es-MX" w:eastAsia="es-MX"/>
              </w:rPr>
              <w:t>1,442,629,582,640</w:t>
            </w:r>
          </w:p>
        </w:tc>
      </w:tr>
    </w:tbl>
    <w:p w14:paraId="212DED0E" w14:textId="77777777" w:rsidR="00A22920" w:rsidRPr="008A4916" w:rsidRDefault="00A22920" w:rsidP="008A4916">
      <w:pPr>
        <w:spacing w:after="0" w:line="240" w:lineRule="auto"/>
        <w:jc w:val="both"/>
        <w:rPr>
          <w:rFonts w:ascii="Montserrat" w:hAnsi="Montserrat" w:cs="Arial"/>
          <w:spacing w:val="-1"/>
          <w:sz w:val="18"/>
          <w:szCs w:val="18"/>
        </w:rPr>
      </w:pPr>
    </w:p>
    <w:p w14:paraId="68412633" w14:textId="5C167928" w:rsidR="00C078B6" w:rsidRPr="000F0321" w:rsidRDefault="00A22920" w:rsidP="008A4916">
      <w:pPr>
        <w:spacing w:before="120" w:after="120" w:line="250" w:lineRule="exact"/>
        <w:jc w:val="both"/>
        <w:rPr>
          <w:rFonts w:ascii="Montserrat" w:hAnsi="Montserrat"/>
          <w:sz w:val="18"/>
          <w:szCs w:val="18"/>
        </w:rPr>
      </w:pPr>
      <w:r w:rsidRPr="000F0321">
        <w:rPr>
          <w:rFonts w:ascii="Montserrat" w:hAnsi="Montserrat"/>
          <w:sz w:val="18"/>
          <w:szCs w:val="18"/>
        </w:rPr>
        <w:t xml:space="preserve">El </w:t>
      </w:r>
      <w:r w:rsidR="00ED6A5A" w:rsidRPr="000F0321">
        <w:rPr>
          <w:rFonts w:ascii="Montserrat" w:hAnsi="Montserrat"/>
          <w:sz w:val="18"/>
          <w:szCs w:val="18"/>
        </w:rPr>
        <w:t xml:space="preserve">decremento </w:t>
      </w:r>
      <w:r w:rsidRPr="000F0321">
        <w:rPr>
          <w:rFonts w:ascii="Montserrat" w:hAnsi="Montserrat"/>
          <w:sz w:val="18"/>
          <w:szCs w:val="18"/>
        </w:rPr>
        <w:t xml:space="preserve">en el valor de los bienes inmuebles por </w:t>
      </w:r>
      <w:r w:rsidR="00C078B6" w:rsidRPr="001F7914">
        <w:rPr>
          <w:rFonts w:ascii="Montserrat" w:hAnsi="Montserrat"/>
          <w:sz w:val="18"/>
          <w:szCs w:val="18"/>
        </w:rPr>
        <w:t xml:space="preserve">126,184,790,120 pesos </w:t>
      </w:r>
      <w:r w:rsidR="00C078B6" w:rsidRPr="000F0321">
        <w:rPr>
          <w:rFonts w:ascii="Montserrat" w:hAnsi="Montserrat"/>
          <w:sz w:val="18"/>
          <w:szCs w:val="18"/>
        </w:rPr>
        <w:t xml:space="preserve">se refleja significativamente en la cuenta de </w:t>
      </w:r>
      <w:r w:rsidR="00F067C3" w:rsidRPr="000F0321">
        <w:rPr>
          <w:rFonts w:ascii="Montserrat" w:hAnsi="Montserrat"/>
          <w:sz w:val="18"/>
          <w:szCs w:val="18"/>
        </w:rPr>
        <w:t>Edificios No Habitacionales</w:t>
      </w:r>
      <w:r w:rsidR="00C078B6" w:rsidRPr="000F0321">
        <w:rPr>
          <w:rFonts w:ascii="Montserrat" w:hAnsi="Montserrat"/>
          <w:sz w:val="18"/>
          <w:szCs w:val="18"/>
        </w:rPr>
        <w:t xml:space="preserve">, y en su mayoría </w:t>
      </w:r>
      <w:r w:rsidRPr="000F0321">
        <w:rPr>
          <w:rFonts w:ascii="Montserrat" w:hAnsi="Montserrat"/>
          <w:sz w:val="18"/>
          <w:szCs w:val="18"/>
        </w:rPr>
        <w:t xml:space="preserve">corresponde a la </w:t>
      </w:r>
      <w:r w:rsidR="00804872" w:rsidRPr="000F0321">
        <w:rPr>
          <w:rFonts w:ascii="Montserrat" w:hAnsi="Montserrat"/>
          <w:sz w:val="18"/>
          <w:szCs w:val="18"/>
        </w:rPr>
        <w:t>Secretaría de Educación Pública</w:t>
      </w:r>
      <w:r w:rsidR="007F6248">
        <w:rPr>
          <w:rFonts w:ascii="Montserrat" w:hAnsi="Montserrat"/>
          <w:sz w:val="18"/>
          <w:szCs w:val="18"/>
        </w:rPr>
        <w:t xml:space="preserve"> (SEP)</w:t>
      </w:r>
      <w:r w:rsidRPr="000F0321">
        <w:rPr>
          <w:rFonts w:ascii="Montserrat" w:hAnsi="Montserrat"/>
          <w:sz w:val="18"/>
          <w:szCs w:val="18"/>
        </w:rPr>
        <w:t>,</w:t>
      </w:r>
      <w:r w:rsidR="007F6248">
        <w:rPr>
          <w:rFonts w:ascii="Montserrat" w:hAnsi="Montserrat"/>
          <w:sz w:val="18"/>
          <w:szCs w:val="18"/>
        </w:rPr>
        <w:t xml:space="preserve"> principalmente</w:t>
      </w:r>
      <w:r w:rsidRPr="000F0321">
        <w:rPr>
          <w:rFonts w:ascii="Montserrat" w:hAnsi="Montserrat"/>
          <w:sz w:val="18"/>
          <w:szCs w:val="18"/>
        </w:rPr>
        <w:t xml:space="preserve"> por la revaluación registrada </w:t>
      </w:r>
      <w:r w:rsidR="007F6248">
        <w:rPr>
          <w:rFonts w:ascii="Montserrat" w:hAnsi="Montserrat"/>
          <w:sz w:val="18"/>
          <w:szCs w:val="18"/>
        </w:rPr>
        <w:t>por el</w:t>
      </w:r>
      <w:r w:rsidRPr="000F0321">
        <w:rPr>
          <w:rFonts w:ascii="Montserrat" w:hAnsi="Montserrat"/>
          <w:sz w:val="18"/>
          <w:szCs w:val="18"/>
        </w:rPr>
        <w:t xml:space="preserve"> Instituto Politécnico Nacional</w:t>
      </w:r>
      <w:r w:rsidR="0000636D">
        <w:rPr>
          <w:rFonts w:ascii="Montserrat" w:hAnsi="Montserrat"/>
          <w:sz w:val="18"/>
          <w:szCs w:val="18"/>
        </w:rPr>
        <w:t xml:space="preserve"> (IPN)</w:t>
      </w:r>
      <w:r w:rsidRPr="000F0321">
        <w:rPr>
          <w:rFonts w:ascii="Montserrat" w:hAnsi="Montserrat"/>
          <w:sz w:val="18"/>
          <w:szCs w:val="18"/>
        </w:rPr>
        <w:t xml:space="preserve">, </w:t>
      </w:r>
      <w:r w:rsidR="00C078B6" w:rsidRPr="00393F62">
        <w:rPr>
          <w:rFonts w:ascii="Montserrat" w:hAnsi="Montserrat"/>
          <w:sz w:val="18"/>
          <w:szCs w:val="18"/>
        </w:rPr>
        <w:t>derivado del reporte que emit</w:t>
      </w:r>
      <w:r w:rsidR="004B170A">
        <w:rPr>
          <w:rFonts w:ascii="Montserrat" w:hAnsi="Montserrat"/>
          <w:sz w:val="18"/>
          <w:szCs w:val="18"/>
        </w:rPr>
        <w:t>ió</w:t>
      </w:r>
      <w:r w:rsidR="00C078B6" w:rsidRPr="00393F62">
        <w:rPr>
          <w:rFonts w:ascii="Montserrat" w:hAnsi="Montserrat"/>
          <w:sz w:val="18"/>
          <w:szCs w:val="18"/>
        </w:rPr>
        <w:t xml:space="preserve"> su Dirección General de Recursos Materiales y Servicios al 31 de diciembre de 2019.</w:t>
      </w:r>
    </w:p>
    <w:p w14:paraId="6A5F70A5" w14:textId="27FFD33C" w:rsidR="00A22920" w:rsidRDefault="00A22920" w:rsidP="00A22920">
      <w:pPr>
        <w:spacing w:after="120" w:line="250" w:lineRule="exact"/>
        <w:jc w:val="both"/>
        <w:rPr>
          <w:rFonts w:ascii="Montserrat" w:hAnsi="Montserrat"/>
          <w:sz w:val="18"/>
          <w:szCs w:val="18"/>
        </w:rPr>
      </w:pPr>
      <w:r w:rsidRPr="000F0321">
        <w:rPr>
          <w:rFonts w:ascii="Montserrat" w:hAnsi="Montserrat"/>
          <w:sz w:val="18"/>
          <w:szCs w:val="18"/>
        </w:rPr>
        <w:lastRenderedPageBreak/>
        <w:t>Por lo que se refiere</w:t>
      </w:r>
      <w:r w:rsidR="00C078B6" w:rsidRPr="000F0321">
        <w:rPr>
          <w:rFonts w:ascii="Montserrat" w:hAnsi="Montserrat"/>
          <w:sz w:val="18"/>
          <w:szCs w:val="18"/>
        </w:rPr>
        <w:t xml:space="preserve">, </w:t>
      </w:r>
      <w:r w:rsidR="001F7914" w:rsidRPr="000F0321">
        <w:rPr>
          <w:rFonts w:ascii="Montserrat" w:hAnsi="Montserrat"/>
          <w:sz w:val="18"/>
          <w:szCs w:val="18"/>
        </w:rPr>
        <w:t>a</w:t>
      </w:r>
      <w:r w:rsidRPr="000F0321">
        <w:rPr>
          <w:rFonts w:ascii="Montserrat" w:hAnsi="Montserrat"/>
          <w:sz w:val="18"/>
          <w:szCs w:val="18"/>
        </w:rPr>
        <w:t xml:space="preserve"> Otros Bienes Inmuebles, </w:t>
      </w:r>
      <w:r w:rsidR="001F7914" w:rsidRPr="00393F62">
        <w:rPr>
          <w:rFonts w:ascii="Montserrat" w:hAnsi="Montserrat"/>
          <w:sz w:val="18"/>
          <w:szCs w:val="18"/>
        </w:rPr>
        <w:t xml:space="preserve">se observa un incremento en la subcuenta de </w:t>
      </w:r>
      <w:r w:rsidR="007F6248">
        <w:rPr>
          <w:rFonts w:ascii="Montserrat" w:hAnsi="Montserrat"/>
          <w:sz w:val="18"/>
          <w:szCs w:val="18"/>
        </w:rPr>
        <w:t>B</w:t>
      </w:r>
      <w:r w:rsidR="001F7914" w:rsidRPr="00393F62">
        <w:rPr>
          <w:rFonts w:ascii="Montserrat" w:hAnsi="Montserrat"/>
          <w:sz w:val="18"/>
          <w:szCs w:val="18"/>
        </w:rPr>
        <w:t xml:space="preserve">ienes </w:t>
      </w:r>
      <w:r w:rsidR="007F6248">
        <w:rPr>
          <w:rFonts w:ascii="Montserrat" w:hAnsi="Montserrat"/>
          <w:sz w:val="18"/>
          <w:szCs w:val="18"/>
        </w:rPr>
        <w:t>M</w:t>
      </w:r>
      <w:r w:rsidR="00393F62" w:rsidRPr="000F0321">
        <w:rPr>
          <w:rFonts w:ascii="Montserrat" w:hAnsi="Montserrat"/>
          <w:sz w:val="18"/>
          <w:szCs w:val="18"/>
        </w:rPr>
        <w:t xml:space="preserve">uebles </w:t>
      </w:r>
      <w:r w:rsidR="001F7914" w:rsidRPr="00393F62">
        <w:rPr>
          <w:rFonts w:ascii="Montserrat" w:hAnsi="Montserrat"/>
          <w:sz w:val="18"/>
          <w:szCs w:val="18"/>
        </w:rPr>
        <w:t xml:space="preserve">para </w:t>
      </w:r>
      <w:r w:rsidR="0000636D" w:rsidRPr="00393F62">
        <w:rPr>
          <w:rFonts w:ascii="Montserrat" w:hAnsi="Montserrat"/>
          <w:sz w:val="18"/>
          <w:szCs w:val="18"/>
        </w:rPr>
        <w:t xml:space="preserve">Obra </w:t>
      </w:r>
      <w:r w:rsidR="001F7914" w:rsidRPr="00393F62">
        <w:rPr>
          <w:rFonts w:ascii="Montserrat" w:hAnsi="Montserrat"/>
          <w:sz w:val="18"/>
          <w:szCs w:val="18"/>
        </w:rPr>
        <w:t xml:space="preserve">en </w:t>
      </w:r>
      <w:r w:rsidR="0000636D" w:rsidRPr="00393F62">
        <w:rPr>
          <w:rFonts w:ascii="Montserrat" w:hAnsi="Montserrat"/>
          <w:sz w:val="18"/>
          <w:szCs w:val="18"/>
        </w:rPr>
        <w:t xml:space="preserve">Proceso </w:t>
      </w:r>
      <w:r w:rsidR="001F7914" w:rsidRPr="00393F62">
        <w:rPr>
          <w:rFonts w:ascii="Montserrat" w:hAnsi="Montserrat"/>
          <w:sz w:val="18"/>
          <w:szCs w:val="18"/>
        </w:rPr>
        <w:t xml:space="preserve">por parte de la </w:t>
      </w:r>
      <w:r w:rsidR="007F6248">
        <w:rPr>
          <w:rFonts w:ascii="Montserrat" w:hAnsi="Montserrat"/>
          <w:sz w:val="18"/>
          <w:szCs w:val="18"/>
        </w:rPr>
        <w:t>SEDENA</w:t>
      </w:r>
      <w:r w:rsidR="001F7914" w:rsidRPr="00393F62">
        <w:rPr>
          <w:rFonts w:ascii="Montserrat" w:hAnsi="Montserrat"/>
          <w:sz w:val="18"/>
          <w:szCs w:val="18"/>
        </w:rPr>
        <w:t xml:space="preserve"> y la </w:t>
      </w:r>
      <w:r w:rsidR="007F6248">
        <w:rPr>
          <w:rFonts w:ascii="Montserrat" w:hAnsi="Montserrat"/>
          <w:sz w:val="18"/>
          <w:szCs w:val="18"/>
        </w:rPr>
        <w:t>SEMAR</w:t>
      </w:r>
      <w:r w:rsidR="001F7914" w:rsidRPr="00393F62">
        <w:rPr>
          <w:rFonts w:ascii="Montserrat" w:hAnsi="Montserrat"/>
          <w:sz w:val="18"/>
          <w:szCs w:val="18"/>
        </w:rPr>
        <w:t>.</w:t>
      </w:r>
      <w:r w:rsidR="00CD5740">
        <w:rPr>
          <w:rFonts w:ascii="Montserrat" w:hAnsi="Montserrat"/>
          <w:sz w:val="18"/>
          <w:szCs w:val="18"/>
        </w:rPr>
        <w:t xml:space="preserve"> </w:t>
      </w:r>
    </w:p>
    <w:p w14:paraId="6A715FA7" w14:textId="3BB46F8A" w:rsidR="009C3C24" w:rsidRPr="00172E13" w:rsidRDefault="009C3C24" w:rsidP="000F0321">
      <w:pPr>
        <w:pStyle w:val="Prrafodelista"/>
        <w:numPr>
          <w:ilvl w:val="0"/>
          <w:numId w:val="14"/>
        </w:numPr>
        <w:spacing w:after="120" w:line="250" w:lineRule="exact"/>
        <w:ind w:left="714" w:hanging="357"/>
        <w:jc w:val="both"/>
        <w:rPr>
          <w:rFonts w:ascii="Montserrat" w:hAnsi="Montserrat" w:cs="Arial"/>
          <w:spacing w:val="-1"/>
          <w:sz w:val="18"/>
          <w:szCs w:val="18"/>
        </w:rPr>
      </w:pPr>
      <w:r w:rsidRPr="00172E13">
        <w:rPr>
          <w:rFonts w:ascii="Montserrat" w:hAnsi="Montserrat" w:cs="Arial"/>
          <w:spacing w:val="-1"/>
          <w:sz w:val="18"/>
          <w:szCs w:val="18"/>
        </w:rPr>
        <w:t xml:space="preserve">La conciliación de bienes inmuebles </w:t>
      </w:r>
      <w:r w:rsidR="000360C8">
        <w:rPr>
          <w:rFonts w:ascii="Montserrat" w:hAnsi="Montserrat" w:cs="Arial"/>
          <w:spacing w:val="-1"/>
          <w:sz w:val="18"/>
          <w:szCs w:val="18"/>
        </w:rPr>
        <w:t xml:space="preserve">considera las cuentas de Terrenos, Viviendas y Edificios no Habitacionales, </w:t>
      </w:r>
      <w:r w:rsidRPr="00172E13">
        <w:rPr>
          <w:rFonts w:ascii="Montserrat" w:hAnsi="Montserrat" w:cs="Arial"/>
          <w:spacing w:val="-1"/>
          <w:sz w:val="18"/>
          <w:szCs w:val="18"/>
        </w:rPr>
        <w:t>al cierre de 201</w:t>
      </w:r>
      <w:r w:rsidR="00172E13" w:rsidRPr="000F0321">
        <w:rPr>
          <w:rFonts w:ascii="Montserrat" w:hAnsi="Montserrat" w:cs="Arial"/>
          <w:spacing w:val="-1"/>
          <w:sz w:val="18"/>
          <w:szCs w:val="18"/>
        </w:rPr>
        <w:t>9</w:t>
      </w:r>
      <w:r w:rsidRPr="00172E13">
        <w:rPr>
          <w:rFonts w:ascii="Montserrat" w:hAnsi="Montserrat" w:cs="Arial"/>
          <w:spacing w:val="-1"/>
          <w:sz w:val="18"/>
          <w:szCs w:val="18"/>
        </w:rPr>
        <w:t xml:space="preserve"> </w:t>
      </w:r>
      <w:r w:rsidR="008A4916" w:rsidRPr="00172E13">
        <w:rPr>
          <w:rFonts w:ascii="Montserrat" w:hAnsi="Montserrat" w:cs="Arial"/>
          <w:spacing w:val="-1"/>
          <w:sz w:val="18"/>
          <w:szCs w:val="18"/>
        </w:rPr>
        <w:t>alcanzó el 99.8</w:t>
      </w:r>
      <w:r w:rsidR="00172E13" w:rsidRPr="000F0321">
        <w:rPr>
          <w:rFonts w:ascii="Montserrat" w:hAnsi="Montserrat" w:cs="Arial"/>
          <w:spacing w:val="-1"/>
          <w:sz w:val="18"/>
          <w:szCs w:val="18"/>
        </w:rPr>
        <w:t>5</w:t>
      </w:r>
      <w:r w:rsidR="008A4916" w:rsidRPr="00172E13">
        <w:rPr>
          <w:rFonts w:ascii="Montserrat" w:hAnsi="Montserrat" w:cs="Arial"/>
          <w:spacing w:val="-1"/>
          <w:sz w:val="18"/>
          <w:szCs w:val="18"/>
        </w:rPr>
        <w:t>%</w:t>
      </w:r>
      <w:r w:rsidR="008A4FE2" w:rsidRPr="000F0321">
        <w:rPr>
          <w:rFonts w:ascii="Montserrat" w:hAnsi="Montserrat" w:cs="Arial"/>
          <w:spacing w:val="-1"/>
          <w:sz w:val="18"/>
          <w:szCs w:val="18"/>
        </w:rPr>
        <w:t xml:space="preserve"> </w:t>
      </w:r>
    </w:p>
    <w:p w14:paraId="1A6F7139" w14:textId="77777777" w:rsidR="008A4916" w:rsidRPr="006F0DF1" w:rsidRDefault="008A4916" w:rsidP="008A4916">
      <w:pPr>
        <w:spacing w:after="0" w:line="240" w:lineRule="auto"/>
        <w:jc w:val="both"/>
        <w:rPr>
          <w:rFonts w:ascii="Montserrat" w:hAnsi="Montserrat" w:cs="Arial"/>
          <w:spacing w:val="-1"/>
          <w:sz w:val="18"/>
          <w:szCs w:val="18"/>
        </w:rPr>
      </w:pPr>
    </w:p>
    <w:tbl>
      <w:tblPr>
        <w:tblW w:w="7757" w:type="dxa"/>
        <w:jc w:val="center"/>
        <w:tblCellMar>
          <w:left w:w="70" w:type="dxa"/>
          <w:right w:w="70" w:type="dxa"/>
        </w:tblCellMar>
        <w:tblLook w:val="04A0" w:firstRow="1" w:lastRow="0" w:firstColumn="1" w:lastColumn="0" w:noHBand="0" w:noVBand="1"/>
      </w:tblPr>
      <w:tblGrid>
        <w:gridCol w:w="2743"/>
        <w:gridCol w:w="3226"/>
        <w:gridCol w:w="1788"/>
      </w:tblGrid>
      <w:tr w:rsidR="009C3C24" w:rsidRPr="00172E13" w14:paraId="701459EF" w14:textId="77777777" w:rsidTr="000F0321">
        <w:trPr>
          <w:trHeight w:val="215"/>
          <w:jc w:val="center"/>
        </w:trPr>
        <w:tc>
          <w:tcPr>
            <w:tcW w:w="7757" w:type="dxa"/>
            <w:gridSpan w:val="3"/>
            <w:tcBorders>
              <w:bottom w:val="single" w:sz="12" w:space="0" w:color="808080" w:themeColor="background1" w:themeShade="80"/>
            </w:tcBorders>
            <w:shd w:val="clear" w:color="auto" w:fill="auto"/>
            <w:vAlign w:val="center"/>
          </w:tcPr>
          <w:p w14:paraId="40574C3B" w14:textId="77777777" w:rsidR="009C3C24" w:rsidRPr="00172E13" w:rsidRDefault="009C3C24" w:rsidP="00E52592">
            <w:pPr>
              <w:spacing w:after="60"/>
              <w:jc w:val="center"/>
              <w:rPr>
                <w:rFonts w:ascii="Montserrat" w:hAnsi="Montserrat" w:cs="Arial"/>
                <w:spacing w:val="-1"/>
                <w:sz w:val="18"/>
                <w:szCs w:val="18"/>
              </w:rPr>
            </w:pPr>
            <w:r w:rsidRPr="00172E13">
              <w:rPr>
                <w:rFonts w:ascii="Montserrat" w:eastAsia="Times New Roman" w:hAnsi="Montserrat" w:cs="Calibri"/>
                <w:bCs/>
                <w:sz w:val="16"/>
                <w:szCs w:val="16"/>
                <w:lang w:val="es-MX" w:eastAsia="es-MX"/>
              </w:rPr>
              <w:t>(Pesos)</w:t>
            </w:r>
          </w:p>
        </w:tc>
      </w:tr>
      <w:tr w:rsidR="00C4519E" w:rsidRPr="00172E13" w14:paraId="2487CE6F" w14:textId="77777777" w:rsidTr="000F0321">
        <w:trPr>
          <w:trHeight w:val="57"/>
          <w:jc w:val="center"/>
        </w:trPr>
        <w:tc>
          <w:tcPr>
            <w:tcW w:w="7757" w:type="dxa"/>
            <w:gridSpan w:val="3"/>
            <w:tcBorders>
              <w:top w:val="single" w:sz="12" w:space="0" w:color="808080" w:themeColor="background1" w:themeShade="80"/>
            </w:tcBorders>
            <w:shd w:val="clear" w:color="auto" w:fill="auto"/>
            <w:vAlign w:val="center"/>
          </w:tcPr>
          <w:p w14:paraId="57CB123F" w14:textId="77777777" w:rsidR="00C4519E" w:rsidRPr="00172E13" w:rsidRDefault="00C4519E" w:rsidP="002F797B">
            <w:pPr>
              <w:spacing w:after="0" w:line="240" w:lineRule="auto"/>
              <w:jc w:val="center"/>
              <w:rPr>
                <w:rFonts w:ascii="Montserrat" w:eastAsia="Times New Roman" w:hAnsi="Montserrat" w:cs="Calibri"/>
                <w:b/>
                <w:bCs/>
                <w:color w:val="FFFFFF"/>
                <w:sz w:val="4"/>
                <w:szCs w:val="4"/>
                <w:lang w:val="es-MX" w:eastAsia="es-MX"/>
              </w:rPr>
            </w:pPr>
          </w:p>
        </w:tc>
      </w:tr>
      <w:tr w:rsidR="009C3C24" w:rsidRPr="006F0DF1" w14:paraId="5149258E" w14:textId="77777777" w:rsidTr="00172E13">
        <w:trPr>
          <w:trHeight w:val="317"/>
          <w:jc w:val="center"/>
        </w:trPr>
        <w:tc>
          <w:tcPr>
            <w:tcW w:w="2743" w:type="dxa"/>
            <w:tcBorders>
              <w:left w:val="single" w:sz="8" w:space="0" w:color="FFFFFF" w:themeColor="background1"/>
              <w:bottom w:val="double" w:sz="12" w:space="0" w:color="808080" w:themeColor="background1" w:themeShade="80"/>
              <w:right w:val="single" w:sz="8" w:space="0" w:color="FFFFFF" w:themeColor="background1"/>
            </w:tcBorders>
            <w:shd w:val="clear" w:color="auto" w:fill="D4C19C"/>
            <w:vAlign w:val="center"/>
            <w:hideMark/>
          </w:tcPr>
          <w:p w14:paraId="0907401C" w14:textId="77777777" w:rsidR="009C3C24" w:rsidRPr="006F0DF1" w:rsidRDefault="009C3C24" w:rsidP="002F797B">
            <w:pPr>
              <w:spacing w:after="0" w:line="240" w:lineRule="auto"/>
              <w:jc w:val="center"/>
              <w:rPr>
                <w:rFonts w:ascii="Montserrat" w:eastAsia="Times New Roman" w:hAnsi="Montserrat" w:cs="Calibri"/>
                <w:b/>
                <w:bCs/>
                <w:color w:val="FFFFFF"/>
                <w:sz w:val="16"/>
                <w:szCs w:val="16"/>
                <w:lang w:val="es-MX" w:eastAsia="es-MX"/>
              </w:rPr>
            </w:pPr>
            <w:r w:rsidRPr="006F0DF1">
              <w:rPr>
                <w:rFonts w:ascii="Montserrat" w:eastAsia="Times New Roman" w:hAnsi="Montserrat" w:cs="Calibri"/>
                <w:b/>
                <w:bCs/>
                <w:color w:val="FFFFFF"/>
                <w:sz w:val="16"/>
                <w:szCs w:val="16"/>
                <w:lang w:val="es-MX" w:eastAsia="es-MX"/>
              </w:rPr>
              <w:t>Registro Contable</w:t>
            </w:r>
          </w:p>
        </w:tc>
        <w:tc>
          <w:tcPr>
            <w:tcW w:w="3226" w:type="dxa"/>
            <w:tcBorders>
              <w:left w:val="single" w:sz="8" w:space="0" w:color="FFFFFF" w:themeColor="background1"/>
              <w:bottom w:val="double" w:sz="12" w:space="0" w:color="808080" w:themeColor="background1" w:themeShade="80"/>
              <w:right w:val="single" w:sz="8" w:space="0" w:color="FFFFFF" w:themeColor="background1"/>
            </w:tcBorders>
            <w:shd w:val="clear" w:color="auto" w:fill="D4C19C"/>
            <w:vAlign w:val="center"/>
            <w:hideMark/>
          </w:tcPr>
          <w:p w14:paraId="76332618" w14:textId="77777777" w:rsidR="009C3C24" w:rsidRPr="006F0DF1" w:rsidRDefault="009C3C24" w:rsidP="002F797B">
            <w:pPr>
              <w:spacing w:after="0" w:line="240" w:lineRule="auto"/>
              <w:jc w:val="center"/>
              <w:rPr>
                <w:rFonts w:ascii="Montserrat" w:eastAsia="Times New Roman" w:hAnsi="Montserrat" w:cs="Calibri"/>
                <w:b/>
                <w:bCs/>
                <w:color w:val="FFFFFF"/>
                <w:sz w:val="16"/>
                <w:szCs w:val="16"/>
                <w:lang w:val="es-MX" w:eastAsia="es-MX"/>
              </w:rPr>
            </w:pPr>
            <w:r w:rsidRPr="006F0DF1">
              <w:rPr>
                <w:rFonts w:ascii="Montserrat" w:eastAsia="Times New Roman" w:hAnsi="Montserrat" w:cs="Calibri"/>
                <w:b/>
                <w:bCs/>
                <w:color w:val="FFFFFF"/>
                <w:sz w:val="16"/>
                <w:szCs w:val="16"/>
                <w:lang w:val="es-MX" w:eastAsia="es-MX"/>
              </w:rPr>
              <w:t>Valor Relación de Bienes Inmuebles</w:t>
            </w:r>
          </w:p>
        </w:tc>
        <w:tc>
          <w:tcPr>
            <w:tcW w:w="1788" w:type="dxa"/>
            <w:tcBorders>
              <w:left w:val="single" w:sz="8" w:space="0" w:color="FFFFFF" w:themeColor="background1"/>
              <w:bottom w:val="double" w:sz="12" w:space="0" w:color="808080" w:themeColor="background1" w:themeShade="80"/>
              <w:right w:val="single" w:sz="8" w:space="0" w:color="FFFFFF" w:themeColor="background1"/>
            </w:tcBorders>
            <w:shd w:val="clear" w:color="auto" w:fill="D4C19C"/>
            <w:vAlign w:val="center"/>
            <w:hideMark/>
          </w:tcPr>
          <w:p w14:paraId="23496234" w14:textId="77777777" w:rsidR="009C3C24" w:rsidRPr="006F0DF1" w:rsidRDefault="009C3C24" w:rsidP="002F797B">
            <w:pPr>
              <w:spacing w:after="0" w:line="240" w:lineRule="auto"/>
              <w:jc w:val="center"/>
              <w:rPr>
                <w:rFonts w:ascii="Montserrat" w:eastAsia="Times New Roman" w:hAnsi="Montserrat" w:cs="Calibri"/>
                <w:b/>
                <w:bCs/>
                <w:color w:val="FFFFFF"/>
                <w:sz w:val="16"/>
                <w:szCs w:val="16"/>
                <w:lang w:val="es-MX" w:eastAsia="es-MX"/>
              </w:rPr>
            </w:pPr>
            <w:r w:rsidRPr="006F0DF1">
              <w:rPr>
                <w:rFonts w:ascii="Montserrat" w:eastAsia="Times New Roman" w:hAnsi="Montserrat" w:cs="Calibri"/>
                <w:b/>
                <w:bCs/>
                <w:color w:val="FFFFFF"/>
                <w:sz w:val="16"/>
                <w:szCs w:val="16"/>
                <w:lang w:val="es-MX" w:eastAsia="es-MX"/>
              </w:rPr>
              <w:t>Conciliación</w:t>
            </w:r>
          </w:p>
        </w:tc>
      </w:tr>
      <w:tr w:rsidR="00172E13" w:rsidRPr="00DA0214" w14:paraId="7F25F653" w14:textId="77777777" w:rsidTr="00172E13">
        <w:trPr>
          <w:trHeight w:val="315"/>
          <w:jc w:val="center"/>
        </w:trPr>
        <w:tc>
          <w:tcPr>
            <w:tcW w:w="2743" w:type="dxa"/>
            <w:tcBorders>
              <w:top w:val="double" w:sz="12" w:space="0" w:color="808080" w:themeColor="background1" w:themeShade="80"/>
              <w:bottom w:val="single" w:sz="12" w:space="0" w:color="808080" w:themeColor="background1" w:themeShade="80"/>
            </w:tcBorders>
            <w:shd w:val="clear" w:color="auto" w:fill="F2F2F2" w:themeFill="background1" w:themeFillShade="F2"/>
            <w:vAlign w:val="center"/>
            <w:hideMark/>
          </w:tcPr>
          <w:p w14:paraId="7E32890E" w14:textId="5ECF5212" w:rsidR="00172E13" w:rsidRPr="00255081" w:rsidRDefault="00172E13" w:rsidP="00172E13">
            <w:pPr>
              <w:spacing w:after="0" w:line="240" w:lineRule="exact"/>
              <w:ind w:right="319"/>
              <w:jc w:val="center"/>
              <w:rPr>
                <w:rFonts w:ascii="Montserrat" w:hAnsi="Montserrat"/>
                <w:color w:val="000000"/>
                <w:sz w:val="15"/>
                <w:szCs w:val="15"/>
                <w:highlight w:val="yellow"/>
              </w:rPr>
            </w:pPr>
            <w:r w:rsidRPr="000F0321">
              <w:rPr>
                <w:rFonts w:ascii="Montserrat" w:hAnsi="Montserrat"/>
                <w:color w:val="000000"/>
                <w:sz w:val="15"/>
                <w:szCs w:val="15"/>
              </w:rPr>
              <w:t>512,145,157,957</w:t>
            </w:r>
          </w:p>
        </w:tc>
        <w:tc>
          <w:tcPr>
            <w:tcW w:w="3226" w:type="dxa"/>
            <w:tcBorders>
              <w:top w:val="double" w:sz="12" w:space="0" w:color="808080" w:themeColor="background1" w:themeShade="80"/>
              <w:bottom w:val="single" w:sz="12" w:space="0" w:color="808080" w:themeColor="background1" w:themeShade="80"/>
            </w:tcBorders>
            <w:shd w:val="clear" w:color="auto" w:fill="F2F2F2" w:themeFill="background1" w:themeFillShade="F2"/>
            <w:vAlign w:val="center"/>
            <w:hideMark/>
          </w:tcPr>
          <w:p w14:paraId="73C0E16F" w14:textId="528C788B" w:rsidR="00172E13" w:rsidRPr="000F0321" w:rsidRDefault="00172E13" w:rsidP="00172E13">
            <w:pPr>
              <w:spacing w:after="0" w:line="240" w:lineRule="exact"/>
              <w:ind w:right="319"/>
              <w:jc w:val="center"/>
              <w:rPr>
                <w:rFonts w:ascii="Montserrat" w:hAnsi="Montserrat"/>
                <w:color w:val="000000"/>
                <w:sz w:val="15"/>
                <w:szCs w:val="15"/>
              </w:rPr>
            </w:pPr>
            <w:r w:rsidRPr="000F0321">
              <w:rPr>
                <w:rFonts w:ascii="Montserrat" w:hAnsi="Montserrat"/>
                <w:color w:val="000000"/>
                <w:sz w:val="15"/>
                <w:szCs w:val="15"/>
              </w:rPr>
              <w:t>512,913,149,365</w:t>
            </w:r>
          </w:p>
        </w:tc>
        <w:tc>
          <w:tcPr>
            <w:tcW w:w="1788" w:type="dxa"/>
            <w:tcBorders>
              <w:top w:val="double" w:sz="12" w:space="0" w:color="808080" w:themeColor="background1" w:themeShade="80"/>
              <w:bottom w:val="single" w:sz="12" w:space="0" w:color="808080" w:themeColor="background1" w:themeShade="80"/>
            </w:tcBorders>
            <w:shd w:val="clear" w:color="auto" w:fill="F2F2F2" w:themeFill="background1" w:themeFillShade="F2"/>
            <w:vAlign w:val="center"/>
            <w:hideMark/>
          </w:tcPr>
          <w:p w14:paraId="49954933" w14:textId="71F95DEF" w:rsidR="00172E13" w:rsidRPr="000F0321" w:rsidRDefault="00172E13" w:rsidP="00172E13">
            <w:pPr>
              <w:spacing w:after="0" w:line="240" w:lineRule="exact"/>
              <w:ind w:right="319"/>
              <w:jc w:val="center"/>
              <w:rPr>
                <w:rFonts w:ascii="Montserrat" w:hAnsi="Montserrat"/>
                <w:color w:val="000000"/>
                <w:sz w:val="15"/>
                <w:szCs w:val="15"/>
              </w:rPr>
            </w:pPr>
            <w:r w:rsidRPr="000F0321">
              <w:rPr>
                <w:rFonts w:ascii="Montserrat" w:hAnsi="Montserrat"/>
                <w:color w:val="000000"/>
                <w:sz w:val="15"/>
                <w:szCs w:val="15"/>
              </w:rPr>
              <w:t>99.85</w:t>
            </w:r>
          </w:p>
        </w:tc>
      </w:tr>
    </w:tbl>
    <w:p w14:paraId="6E67D552" w14:textId="77777777" w:rsidR="00495BFD" w:rsidRPr="008A4916" w:rsidRDefault="00495BFD" w:rsidP="008A4916">
      <w:pPr>
        <w:spacing w:after="0" w:line="240" w:lineRule="auto"/>
        <w:jc w:val="both"/>
        <w:rPr>
          <w:rFonts w:ascii="Montserrat" w:hAnsi="Montserrat" w:cs="Arial"/>
          <w:spacing w:val="-1"/>
          <w:sz w:val="18"/>
          <w:szCs w:val="18"/>
        </w:rPr>
      </w:pPr>
    </w:p>
    <w:p w14:paraId="3D6B194F" w14:textId="1F793E22" w:rsidR="00172E13" w:rsidRDefault="00172E13" w:rsidP="000F0321">
      <w:pPr>
        <w:spacing w:before="240" w:after="120" w:line="250" w:lineRule="exact"/>
        <w:jc w:val="both"/>
        <w:rPr>
          <w:rFonts w:ascii="Montserrat" w:hAnsi="Montserrat"/>
          <w:sz w:val="18"/>
          <w:szCs w:val="18"/>
        </w:rPr>
      </w:pPr>
      <w:r w:rsidRPr="000F0321">
        <w:rPr>
          <w:rFonts w:ascii="Montserrat" w:hAnsi="Montserrat"/>
          <w:sz w:val="18"/>
          <w:szCs w:val="18"/>
        </w:rPr>
        <w:t xml:space="preserve">La diferencia resultante entre el registro contable y la relación de bienes inmuebles del Poder Ejecutivo, corresponde a la </w:t>
      </w:r>
      <w:r w:rsidR="0000636D">
        <w:rPr>
          <w:rFonts w:ascii="Montserrat" w:hAnsi="Montserrat"/>
          <w:sz w:val="18"/>
          <w:szCs w:val="18"/>
        </w:rPr>
        <w:t>SADER</w:t>
      </w:r>
      <w:r w:rsidRPr="000F0321">
        <w:rPr>
          <w:rFonts w:ascii="Montserrat" w:hAnsi="Montserrat"/>
          <w:sz w:val="18"/>
          <w:szCs w:val="18"/>
        </w:rPr>
        <w:t xml:space="preserve"> por un movimiento pendiente de reconocer por la baja de un inmueble que no es federal, así como por la </w:t>
      </w:r>
      <w:r w:rsidR="0000636D">
        <w:rPr>
          <w:rFonts w:ascii="Montserrat" w:hAnsi="Montserrat"/>
          <w:sz w:val="18"/>
          <w:szCs w:val="18"/>
        </w:rPr>
        <w:t>SEMARNAT</w:t>
      </w:r>
      <w:r w:rsidRPr="000F0321">
        <w:rPr>
          <w:rFonts w:ascii="Montserrat" w:hAnsi="Montserrat"/>
          <w:sz w:val="18"/>
          <w:szCs w:val="18"/>
        </w:rPr>
        <w:t xml:space="preserve"> por bienes inmuebles transferidos por el Sector Medio Ambiente, que están registrados en el inventario de bienes inmuebles y que no fueron registrados en la </w:t>
      </w:r>
      <w:r w:rsidR="0000636D" w:rsidRPr="000F0321">
        <w:rPr>
          <w:rFonts w:ascii="Montserrat" w:hAnsi="Montserrat"/>
          <w:sz w:val="18"/>
          <w:szCs w:val="18"/>
        </w:rPr>
        <w:t>contabilidad</w:t>
      </w:r>
      <w:r w:rsidRPr="000F0321">
        <w:rPr>
          <w:rFonts w:ascii="Montserrat" w:hAnsi="Montserrat"/>
          <w:sz w:val="18"/>
          <w:szCs w:val="18"/>
        </w:rPr>
        <w:t>, debido a que no se cuenta con la documentación completa de formalización de la transferencia.</w:t>
      </w:r>
    </w:p>
    <w:p w14:paraId="55D2BA98" w14:textId="77777777" w:rsidR="00172E13" w:rsidRPr="000F0321" w:rsidRDefault="00172E13" w:rsidP="000F0321">
      <w:pPr>
        <w:spacing w:before="240" w:after="120" w:line="250" w:lineRule="exact"/>
        <w:jc w:val="both"/>
        <w:rPr>
          <w:rFonts w:ascii="Montserrat" w:hAnsi="Montserrat"/>
          <w:sz w:val="18"/>
          <w:szCs w:val="18"/>
        </w:rPr>
      </w:pPr>
    </w:p>
    <w:p w14:paraId="1E9E98A6" w14:textId="77777777" w:rsidR="009C3C24" w:rsidRPr="004E44CE" w:rsidRDefault="009C3C24" w:rsidP="005A5AC5">
      <w:pPr>
        <w:pStyle w:val="VIETAFLECHA"/>
        <w:numPr>
          <w:ilvl w:val="0"/>
          <w:numId w:val="13"/>
        </w:numPr>
        <w:ind w:left="357" w:hanging="357"/>
        <w:rPr>
          <w:rFonts w:cs="Arial"/>
          <w:spacing w:val="-1"/>
        </w:rPr>
      </w:pPr>
      <w:r w:rsidRPr="004E44CE">
        <w:rPr>
          <w:rFonts w:cs="Arial"/>
          <w:spacing w:val="-1"/>
        </w:rPr>
        <w:t>Bienes Muebles</w:t>
      </w:r>
    </w:p>
    <w:p w14:paraId="4552E51B" w14:textId="77777777" w:rsidR="009C3C24" w:rsidRDefault="009C3C24" w:rsidP="00063579">
      <w:pPr>
        <w:spacing w:after="120" w:line="250" w:lineRule="exact"/>
        <w:jc w:val="both"/>
        <w:rPr>
          <w:rFonts w:ascii="Montserrat" w:hAnsi="Montserrat"/>
          <w:sz w:val="18"/>
          <w:szCs w:val="18"/>
        </w:rPr>
      </w:pPr>
      <w:r w:rsidRPr="00063579">
        <w:rPr>
          <w:rFonts w:ascii="Montserrat" w:hAnsi="Montserrat"/>
          <w:sz w:val="18"/>
          <w:szCs w:val="18"/>
        </w:rPr>
        <w:t>A continuación, se presenta la in</w:t>
      </w:r>
      <w:r w:rsidR="001622D5" w:rsidRPr="00063579">
        <w:rPr>
          <w:rFonts w:ascii="Montserrat" w:hAnsi="Montserrat"/>
          <w:sz w:val="18"/>
          <w:szCs w:val="18"/>
        </w:rPr>
        <w:t>tegración de los bienes muebles:</w:t>
      </w:r>
    </w:p>
    <w:p w14:paraId="182C1D9E" w14:textId="77777777" w:rsidR="003270CC" w:rsidRPr="008A4916" w:rsidRDefault="003270CC" w:rsidP="008A4916">
      <w:pPr>
        <w:spacing w:after="0" w:line="240" w:lineRule="auto"/>
        <w:jc w:val="both"/>
        <w:rPr>
          <w:rFonts w:ascii="Montserrat" w:hAnsi="Montserrat" w:cs="Arial"/>
          <w:spacing w:val="-1"/>
          <w:sz w:val="18"/>
          <w:szCs w:val="18"/>
        </w:rPr>
      </w:pPr>
    </w:p>
    <w:p w14:paraId="6F7903F2" w14:textId="77777777" w:rsidR="009C3C24" w:rsidRPr="00936371" w:rsidRDefault="00E52592" w:rsidP="00E52592">
      <w:pPr>
        <w:spacing w:after="60"/>
        <w:jc w:val="center"/>
        <w:rPr>
          <w:rFonts w:ascii="Montserrat" w:hAnsi="Montserrat" w:cs="Arial"/>
          <w:spacing w:val="-1"/>
          <w:sz w:val="18"/>
          <w:szCs w:val="18"/>
        </w:rPr>
      </w:pPr>
      <w:r w:rsidRPr="00936371">
        <w:rPr>
          <w:rFonts w:ascii="Montserrat" w:eastAsia="Times New Roman" w:hAnsi="Montserrat" w:cs="Calibri"/>
          <w:bCs/>
          <w:sz w:val="16"/>
          <w:szCs w:val="16"/>
          <w:lang w:val="es-MX" w:eastAsia="es-MX"/>
        </w:rPr>
        <w:t>(</w:t>
      </w:r>
      <w:r w:rsidR="009C3C24" w:rsidRPr="00936371">
        <w:rPr>
          <w:rFonts w:ascii="Montserrat" w:eastAsia="Times New Roman" w:hAnsi="Montserrat" w:cs="Calibri"/>
          <w:bCs/>
          <w:sz w:val="16"/>
          <w:szCs w:val="16"/>
          <w:lang w:val="es-MX" w:eastAsia="es-MX"/>
        </w:rPr>
        <w:t>Pesos)</w:t>
      </w:r>
    </w:p>
    <w:tbl>
      <w:tblPr>
        <w:tblW w:w="8259" w:type="dxa"/>
        <w:jc w:val="center"/>
        <w:tblCellMar>
          <w:left w:w="70" w:type="dxa"/>
          <w:right w:w="70" w:type="dxa"/>
        </w:tblCellMar>
        <w:tblLook w:val="04A0" w:firstRow="1" w:lastRow="0" w:firstColumn="1" w:lastColumn="0" w:noHBand="0" w:noVBand="1"/>
      </w:tblPr>
      <w:tblGrid>
        <w:gridCol w:w="4063"/>
        <w:gridCol w:w="2098"/>
        <w:gridCol w:w="2098"/>
      </w:tblGrid>
      <w:tr w:rsidR="00373F9E" w:rsidRPr="00663FAD" w14:paraId="66467FD9" w14:textId="77777777" w:rsidTr="00CC40D5">
        <w:trPr>
          <w:trHeight w:val="57"/>
          <w:jc w:val="center"/>
        </w:trPr>
        <w:tc>
          <w:tcPr>
            <w:tcW w:w="8259" w:type="dxa"/>
            <w:gridSpan w:val="3"/>
            <w:tcBorders>
              <w:top w:val="single" w:sz="12" w:space="0" w:color="808080" w:themeColor="background1" w:themeShade="80"/>
            </w:tcBorders>
            <w:shd w:val="clear" w:color="auto" w:fill="auto"/>
            <w:vAlign w:val="center"/>
          </w:tcPr>
          <w:p w14:paraId="10995B0B" w14:textId="77777777" w:rsidR="00373F9E" w:rsidRPr="00663FAD" w:rsidRDefault="00373F9E" w:rsidP="002F797B">
            <w:pPr>
              <w:spacing w:after="0" w:line="240" w:lineRule="auto"/>
              <w:jc w:val="center"/>
              <w:rPr>
                <w:rFonts w:ascii="Montserrat" w:eastAsia="Times New Roman" w:hAnsi="Montserrat" w:cs="Calibri"/>
                <w:b/>
                <w:bCs/>
                <w:color w:val="FFFFFF"/>
                <w:sz w:val="4"/>
                <w:szCs w:val="4"/>
                <w:lang w:val="es-MX" w:eastAsia="es-MX"/>
              </w:rPr>
            </w:pPr>
          </w:p>
        </w:tc>
      </w:tr>
      <w:tr w:rsidR="009C3C24" w:rsidRPr="006F0DF1" w14:paraId="2B7EC39C" w14:textId="77777777" w:rsidTr="008A4916">
        <w:trPr>
          <w:trHeight w:val="317"/>
          <w:jc w:val="center"/>
        </w:trPr>
        <w:tc>
          <w:tcPr>
            <w:tcW w:w="4063" w:type="dxa"/>
            <w:tcBorders>
              <w:left w:val="single" w:sz="8" w:space="0" w:color="FFFFFF" w:themeColor="background1"/>
              <w:bottom w:val="double" w:sz="12" w:space="0" w:color="808080" w:themeColor="background1" w:themeShade="80"/>
              <w:right w:val="single" w:sz="8" w:space="0" w:color="FFFFFF" w:themeColor="background1"/>
            </w:tcBorders>
            <w:shd w:val="clear" w:color="auto" w:fill="D4C19C"/>
            <w:vAlign w:val="center"/>
            <w:hideMark/>
          </w:tcPr>
          <w:p w14:paraId="39A39348" w14:textId="77777777" w:rsidR="009C3C24" w:rsidRPr="006F0DF1" w:rsidRDefault="009C3C24" w:rsidP="002F797B">
            <w:pPr>
              <w:spacing w:after="0" w:line="240" w:lineRule="auto"/>
              <w:jc w:val="center"/>
              <w:rPr>
                <w:rFonts w:ascii="Montserrat" w:eastAsia="Times New Roman" w:hAnsi="Montserrat" w:cs="Calibri"/>
                <w:b/>
                <w:bCs/>
                <w:color w:val="FFFFFF"/>
                <w:sz w:val="16"/>
                <w:szCs w:val="16"/>
                <w:lang w:val="es-MX" w:eastAsia="es-MX"/>
              </w:rPr>
            </w:pPr>
            <w:r w:rsidRPr="006F0DF1">
              <w:rPr>
                <w:rFonts w:ascii="Montserrat" w:eastAsia="Times New Roman" w:hAnsi="Montserrat" w:cs="Calibri"/>
                <w:b/>
                <w:bCs/>
                <w:color w:val="FFFFFF"/>
                <w:sz w:val="16"/>
                <w:szCs w:val="16"/>
                <w:lang w:val="es-MX" w:eastAsia="es-MX"/>
              </w:rPr>
              <w:t>Concepto</w:t>
            </w:r>
          </w:p>
        </w:tc>
        <w:tc>
          <w:tcPr>
            <w:tcW w:w="2098" w:type="dxa"/>
            <w:tcBorders>
              <w:left w:val="single" w:sz="8" w:space="0" w:color="FFFFFF" w:themeColor="background1"/>
              <w:bottom w:val="double" w:sz="12" w:space="0" w:color="808080" w:themeColor="background1" w:themeShade="80"/>
              <w:right w:val="single" w:sz="8" w:space="0" w:color="FFFFFF" w:themeColor="background1"/>
            </w:tcBorders>
            <w:shd w:val="clear" w:color="auto" w:fill="D4C19C"/>
            <w:vAlign w:val="center"/>
            <w:hideMark/>
          </w:tcPr>
          <w:p w14:paraId="5355F6C4" w14:textId="77777777" w:rsidR="009C3C24" w:rsidRPr="006F0DF1" w:rsidRDefault="009C3C24" w:rsidP="002F797B">
            <w:pPr>
              <w:spacing w:after="0" w:line="240" w:lineRule="auto"/>
              <w:jc w:val="center"/>
              <w:rPr>
                <w:rFonts w:ascii="Montserrat" w:eastAsia="Times New Roman" w:hAnsi="Montserrat" w:cs="Calibri"/>
                <w:b/>
                <w:bCs/>
                <w:color w:val="FFFFFF"/>
                <w:sz w:val="16"/>
                <w:szCs w:val="16"/>
                <w:lang w:val="es-MX" w:eastAsia="es-MX"/>
              </w:rPr>
            </w:pPr>
            <w:r>
              <w:rPr>
                <w:rFonts w:ascii="Montserrat" w:eastAsia="Times New Roman" w:hAnsi="Montserrat" w:cs="Calibri"/>
                <w:b/>
                <w:bCs/>
                <w:color w:val="FFFFFF"/>
                <w:sz w:val="16"/>
                <w:szCs w:val="16"/>
                <w:lang w:val="es-MX" w:eastAsia="es-MX"/>
              </w:rPr>
              <w:t>201</w:t>
            </w:r>
            <w:r w:rsidR="00BC4F01">
              <w:rPr>
                <w:rFonts w:ascii="Montserrat" w:eastAsia="Times New Roman" w:hAnsi="Montserrat" w:cs="Calibri"/>
                <w:b/>
                <w:bCs/>
                <w:color w:val="FFFFFF"/>
                <w:sz w:val="16"/>
                <w:szCs w:val="16"/>
                <w:lang w:val="es-MX" w:eastAsia="es-MX"/>
              </w:rPr>
              <w:t>9</w:t>
            </w:r>
          </w:p>
        </w:tc>
        <w:tc>
          <w:tcPr>
            <w:tcW w:w="2098" w:type="dxa"/>
            <w:tcBorders>
              <w:left w:val="single" w:sz="8" w:space="0" w:color="FFFFFF" w:themeColor="background1"/>
              <w:bottom w:val="double" w:sz="12" w:space="0" w:color="808080" w:themeColor="background1" w:themeShade="80"/>
              <w:right w:val="single" w:sz="8" w:space="0" w:color="FFFFFF" w:themeColor="background1"/>
            </w:tcBorders>
            <w:shd w:val="clear" w:color="auto" w:fill="D4C19C"/>
            <w:vAlign w:val="center"/>
            <w:hideMark/>
          </w:tcPr>
          <w:p w14:paraId="23E88D3B" w14:textId="77777777" w:rsidR="009C3C24" w:rsidRPr="006F0DF1" w:rsidRDefault="009C3C24" w:rsidP="002F797B">
            <w:pPr>
              <w:spacing w:after="0" w:line="240" w:lineRule="auto"/>
              <w:jc w:val="center"/>
              <w:rPr>
                <w:rFonts w:ascii="Montserrat" w:eastAsia="Times New Roman" w:hAnsi="Montserrat" w:cs="Calibri"/>
                <w:b/>
                <w:bCs/>
                <w:color w:val="FFFFFF"/>
                <w:sz w:val="16"/>
                <w:szCs w:val="16"/>
                <w:lang w:val="es-MX" w:eastAsia="es-MX"/>
              </w:rPr>
            </w:pPr>
            <w:r>
              <w:rPr>
                <w:rFonts w:ascii="Montserrat" w:eastAsia="Times New Roman" w:hAnsi="Montserrat" w:cs="Calibri"/>
                <w:b/>
                <w:bCs/>
                <w:color w:val="FFFFFF"/>
                <w:sz w:val="16"/>
                <w:szCs w:val="16"/>
                <w:lang w:val="es-MX" w:eastAsia="es-MX"/>
              </w:rPr>
              <w:t>201</w:t>
            </w:r>
            <w:r w:rsidR="00BC4F01">
              <w:rPr>
                <w:rFonts w:ascii="Montserrat" w:eastAsia="Times New Roman" w:hAnsi="Montserrat" w:cs="Calibri"/>
                <w:b/>
                <w:bCs/>
                <w:color w:val="FFFFFF"/>
                <w:sz w:val="16"/>
                <w:szCs w:val="16"/>
                <w:lang w:val="es-MX" w:eastAsia="es-MX"/>
              </w:rPr>
              <w:t>8</w:t>
            </w:r>
          </w:p>
        </w:tc>
      </w:tr>
      <w:tr w:rsidR="00B343FE" w:rsidRPr="006F0DF1" w14:paraId="52C1A172" w14:textId="77777777" w:rsidTr="00556DB3">
        <w:trPr>
          <w:trHeight w:val="215"/>
          <w:jc w:val="center"/>
        </w:trPr>
        <w:tc>
          <w:tcPr>
            <w:tcW w:w="4063" w:type="dxa"/>
            <w:tcBorders>
              <w:top w:val="double" w:sz="12" w:space="0" w:color="808080" w:themeColor="background1" w:themeShade="80"/>
            </w:tcBorders>
            <w:shd w:val="clear" w:color="auto" w:fill="F2F2F2" w:themeFill="background1" w:themeFillShade="F2"/>
            <w:vAlign w:val="center"/>
            <w:hideMark/>
          </w:tcPr>
          <w:p w14:paraId="392313D6" w14:textId="77777777" w:rsidR="00B343FE" w:rsidRPr="00255081" w:rsidRDefault="00B343FE" w:rsidP="00B343FE">
            <w:pPr>
              <w:spacing w:before="20" w:after="20" w:line="240" w:lineRule="auto"/>
              <w:ind w:left="170"/>
              <w:rPr>
                <w:rFonts w:ascii="Montserrat" w:eastAsia="Times New Roman" w:hAnsi="Montserrat" w:cs="Calibri"/>
                <w:color w:val="000000"/>
                <w:sz w:val="15"/>
                <w:szCs w:val="15"/>
                <w:lang w:val="es-MX" w:eastAsia="es-MX"/>
              </w:rPr>
            </w:pPr>
            <w:r w:rsidRPr="00255081">
              <w:rPr>
                <w:rFonts w:ascii="Montserrat" w:eastAsia="Times New Roman" w:hAnsi="Montserrat" w:cs="Calibri"/>
                <w:color w:val="000000"/>
                <w:sz w:val="15"/>
                <w:szCs w:val="15"/>
                <w:lang w:val="es-MX" w:eastAsia="es-MX"/>
              </w:rPr>
              <w:t>Mobiliario y Equipo de Administración</w:t>
            </w:r>
          </w:p>
        </w:tc>
        <w:tc>
          <w:tcPr>
            <w:tcW w:w="2098" w:type="dxa"/>
            <w:tcBorders>
              <w:top w:val="double" w:sz="12" w:space="0" w:color="808080" w:themeColor="background1" w:themeShade="80"/>
            </w:tcBorders>
            <w:shd w:val="clear" w:color="000000" w:fill="F2F2F2"/>
            <w:vAlign w:val="center"/>
          </w:tcPr>
          <w:p w14:paraId="11BCBC41" w14:textId="43EFABFD" w:rsidR="00B343FE" w:rsidRPr="00255081" w:rsidRDefault="00B343FE" w:rsidP="00B343FE">
            <w:pPr>
              <w:spacing w:after="0" w:line="240" w:lineRule="auto"/>
              <w:jc w:val="right"/>
              <w:rPr>
                <w:rFonts w:ascii="Montserrat" w:hAnsi="Montserrat" w:cs="Calibri"/>
                <w:sz w:val="15"/>
                <w:szCs w:val="15"/>
                <w:lang w:val="es-MX" w:eastAsia="es-MX"/>
              </w:rPr>
            </w:pPr>
            <w:r w:rsidRPr="000F0321">
              <w:rPr>
                <w:rFonts w:ascii="Montserrat" w:hAnsi="Montserrat" w:cs="Arial"/>
                <w:color w:val="000000"/>
                <w:sz w:val="15"/>
                <w:szCs w:val="15"/>
              </w:rPr>
              <w:t>33,092,133,224</w:t>
            </w:r>
          </w:p>
        </w:tc>
        <w:tc>
          <w:tcPr>
            <w:tcW w:w="2098" w:type="dxa"/>
            <w:tcBorders>
              <w:top w:val="double" w:sz="12" w:space="0" w:color="808080" w:themeColor="background1" w:themeShade="80"/>
            </w:tcBorders>
            <w:shd w:val="clear" w:color="auto" w:fill="F2F2F2" w:themeFill="background1" w:themeFillShade="F2"/>
            <w:vAlign w:val="center"/>
            <w:hideMark/>
          </w:tcPr>
          <w:p w14:paraId="108ED658" w14:textId="77777777" w:rsidR="00B343FE" w:rsidRPr="00255081" w:rsidRDefault="00B343FE" w:rsidP="00B343FE">
            <w:pPr>
              <w:spacing w:after="0" w:line="240" w:lineRule="auto"/>
              <w:jc w:val="right"/>
              <w:rPr>
                <w:rFonts w:ascii="Montserrat" w:hAnsi="Montserrat" w:cs="Calibri"/>
                <w:sz w:val="15"/>
                <w:szCs w:val="15"/>
                <w:lang w:val="es-MX" w:eastAsia="es-MX"/>
              </w:rPr>
            </w:pPr>
            <w:r w:rsidRPr="00255081">
              <w:rPr>
                <w:rFonts w:ascii="Montserrat" w:hAnsi="Montserrat" w:cs="Calibri"/>
                <w:sz w:val="15"/>
                <w:szCs w:val="15"/>
              </w:rPr>
              <w:t>32,693,132,193</w:t>
            </w:r>
          </w:p>
        </w:tc>
      </w:tr>
      <w:tr w:rsidR="00B343FE" w:rsidRPr="006F0DF1" w14:paraId="2F9DFAC5" w14:textId="77777777" w:rsidTr="00556DB3">
        <w:trPr>
          <w:trHeight w:val="215"/>
          <w:jc w:val="center"/>
        </w:trPr>
        <w:tc>
          <w:tcPr>
            <w:tcW w:w="4063" w:type="dxa"/>
            <w:shd w:val="clear" w:color="auto" w:fill="F2F2F2" w:themeFill="background1" w:themeFillShade="F2"/>
            <w:vAlign w:val="center"/>
            <w:hideMark/>
          </w:tcPr>
          <w:p w14:paraId="695B6415" w14:textId="77777777" w:rsidR="00B343FE" w:rsidRPr="00255081" w:rsidRDefault="00B343FE" w:rsidP="00B343FE">
            <w:pPr>
              <w:spacing w:before="20" w:after="20" w:line="240" w:lineRule="auto"/>
              <w:ind w:left="170"/>
              <w:rPr>
                <w:rFonts w:ascii="Montserrat" w:eastAsia="Times New Roman" w:hAnsi="Montserrat" w:cs="Calibri"/>
                <w:color w:val="000000"/>
                <w:sz w:val="15"/>
                <w:szCs w:val="15"/>
                <w:lang w:val="es-MX" w:eastAsia="es-MX"/>
              </w:rPr>
            </w:pPr>
            <w:r w:rsidRPr="00255081">
              <w:rPr>
                <w:rFonts w:ascii="Montserrat" w:eastAsia="Times New Roman" w:hAnsi="Montserrat" w:cs="Calibri"/>
                <w:color w:val="000000"/>
                <w:sz w:val="15"/>
                <w:szCs w:val="15"/>
                <w:lang w:val="es-MX" w:eastAsia="es-MX"/>
              </w:rPr>
              <w:t>Mobiliario y Equipo Educacional y Recreativo</w:t>
            </w:r>
          </w:p>
        </w:tc>
        <w:tc>
          <w:tcPr>
            <w:tcW w:w="2098" w:type="dxa"/>
            <w:shd w:val="clear" w:color="000000" w:fill="F2F2F2"/>
            <w:vAlign w:val="center"/>
          </w:tcPr>
          <w:p w14:paraId="721B7961" w14:textId="7DE67512" w:rsidR="00B343FE" w:rsidRPr="00255081" w:rsidRDefault="00B343FE" w:rsidP="00B343FE">
            <w:pPr>
              <w:spacing w:after="0" w:line="240" w:lineRule="auto"/>
              <w:jc w:val="right"/>
              <w:rPr>
                <w:rFonts w:ascii="Montserrat" w:hAnsi="Montserrat" w:cs="Calibri"/>
                <w:sz w:val="15"/>
                <w:szCs w:val="15"/>
              </w:rPr>
            </w:pPr>
            <w:r w:rsidRPr="000F0321">
              <w:rPr>
                <w:rFonts w:ascii="Montserrat" w:hAnsi="Montserrat" w:cs="Arial"/>
                <w:color w:val="000000"/>
                <w:sz w:val="15"/>
                <w:szCs w:val="15"/>
              </w:rPr>
              <w:t>2,985,470,582</w:t>
            </w:r>
          </w:p>
        </w:tc>
        <w:tc>
          <w:tcPr>
            <w:tcW w:w="2098" w:type="dxa"/>
            <w:shd w:val="clear" w:color="auto" w:fill="F2F2F2" w:themeFill="background1" w:themeFillShade="F2"/>
            <w:vAlign w:val="center"/>
            <w:hideMark/>
          </w:tcPr>
          <w:p w14:paraId="230C72D4" w14:textId="77777777" w:rsidR="00B343FE" w:rsidRPr="00255081" w:rsidRDefault="00B343FE" w:rsidP="00B343FE">
            <w:pPr>
              <w:spacing w:after="0" w:line="240" w:lineRule="auto"/>
              <w:jc w:val="right"/>
              <w:rPr>
                <w:rFonts w:ascii="Montserrat" w:hAnsi="Montserrat" w:cs="Calibri"/>
                <w:sz w:val="15"/>
                <w:szCs w:val="15"/>
              </w:rPr>
            </w:pPr>
            <w:r w:rsidRPr="00255081">
              <w:rPr>
                <w:rFonts w:ascii="Montserrat" w:hAnsi="Montserrat" w:cs="Calibri"/>
                <w:sz w:val="15"/>
                <w:szCs w:val="15"/>
              </w:rPr>
              <w:t>2,661,375,162</w:t>
            </w:r>
          </w:p>
        </w:tc>
      </w:tr>
      <w:tr w:rsidR="00B343FE" w:rsidRPr="006F0DF1" w14:paraId="48AB7D1F" w14:textId="77777777" w:rsidTr="00556DB3">
        <w:trPr>
          <w:trHeight w:val="215"/>
          <w:jc w:val="center"/>
        </w:trPr>
        <w:tc>
          <w:tcPr>
            <w:tcW w:w="4063" w:type="dxa"/>
            <w:tcBorders>
              <w:top w:val="nil"/>
            </w:tcBorders>
            <w:shd w:val="clear" w:color="auto" w:fill="F2F2F2" w:themeFill="background1" w:themeFillShade="F2"/>
            <w:vAlign w:val="center"/>
            <w:hideMark/>
          </w:tcPr>
          <w:p w14:paraId="5AAA238B" w14:textId="77777777" w:rsidR="00B343FE" w:rsidRPr="00255081" w:rsidRDefault="00B343FE" w:rsidP="00B343FE">
            <w:pPr>
              <w:spacing w:before="20" w:after="20" w:line="240" w:lineRule="auto"/>
              <w:ind w:left="170"/>
              <w:rPr>
                <w:rFonts w:ascii="Montserrat" w:eastAsia="Times New Roman" w:hAnsi="Montserrat" w:cs="Calibri"/>
                <w:color w:val="000000"/>
                <w:sz w:val="15"/>
                <w:szCs w:val="15"/>
                <w:lang w:val="es-MX" w:eastAsia="es-MX"/>
              </w:rPr>
            </w:pPr>
            <w:r w:rsidRPr="00255081">
              <w:rPr>
                <w:rFonts w:ascii="Montserrat" w:eastAsia="Times New Roman" w:hAnsi="Montserrat" w:cs="Calibri"/>
                <w:color w:val="000000"/>
                <w:sz w:val="15"/>
                <w:szCs w:val="15"/>
                <w:lang w:val="es-MX" w:eastAsia="es-MX"/>
              </w:rPr>
              <w:t>Equipo e Instrumental Médico y de Laboratorio</w:t>
            </w:r>
          </w:p>
        </w:tc>
        <w:tc>
          <w:tcPr>
            <w:tcW w:w="2098" w:type="dxa"/>
            <w:tcBorders>
              <w:top w:val="nil"/>
            </w:tcBorders>
            <w:shd w:val="clear" w:color="000000" w:fill="F2F2F2"/>
            <w:vAlign w:val="center"/>
          </w:tcPr>
          <w:p w14:paraId="4C226C61" w14:textId="0AD49B23" w:rsidR="00B343FE" w:rsidRPr="00255081" w:rsidRDefault="00B343FE" w:rsidP="00B343FE">
            <w:pPr>
              <w:spacing w:after="0" w:line="240" w:lineRule="auto"/>
              <w:jc w:val="right"/>
              <w:rPr>
                <w:rFonts w:ascii="Montserrat" w:hAnsi="Montserrat" w:cs="Calibri"/>
                <w:sz w:val="15"/>
                <w:szCs w:val="15"/>
              </w:rPr>
            </w:pPr>
            <w:r w:rsidRPr="000F0321">
              <w:rPr>
                <w:rFonts w:ascii="Montserrat" w:hAnsi="Montserrat" w:cs="Arial"/>
                <w:color w:val="000000"/>
                <w:sz w:val="15"/>
                <w:szCs w:val="15"/>
              </w:rPr>
              <w:t>10,812,761,017</w:t>
            </w:r>
          </w:p>
        </w:tc>
        <w:tc>
          <w:tcPr>
            <w:tcW w:w="2098" w:type="dxa"/>
            <w:tcBorders>
              <w:top w:val="nil"/>
            </w:tcBorders>
            <w:shd w:val="clear" w:color="auto" w:fill="F2F2F2" w:themeFill="background1" w:themeFillShade="F2"/>
            <w:vAlign w:val="center"/>
            <w:hideMark/>
          </w:tcPr>
          <w:p w14:paraId="5FA499C1" w14:textId="77777777" w:rsidR="00B343FE" w:rsidRPr="00255081" w:rsidRDefault="00B343FE" w:rsidP="00B343FE">
            <w:pPr>
              <w:spacing w:after="0" w:line="240" w:lineRule="auto"/>
              <w:jc w:val="right"/>
              <w:rPr>
                <w:rFonts w:ascii="Montserrat" w:hAnsi="Montserrat" w:cs="Calibri"/>
                <w:sz w:val="15"/>
                <w:szCs w:val="15"/>
              </w:rPr>
            </w:pPr>
            <w:r w:rsidRPr="00255081">
              <w:rPr>
                <w:rFonts w:ascii="Montserrat" w:hAnsi="Montserrat" w:cs="Calibri"/>
                <w:sz w:val="15"/>
                <w:szCs w:val="15"/>
              </w:rPr>
              <w:t>10,327,009,251</w:t>
            </w:r>
          </w:p>
        </w:tc>
      </w:tr>
      <w:tr w:rsidR="00B343FE" w:rsidRPr="006F0DF1" w14:paraId="6CD43C1B" w14:textId="77777777" w:rsidTr="00556DB3">
        <w:trPr>
          <w:trHeight w:val="215"/>
          <w:jc w:val="center"/>
        </w:trPr>
        <w:tc>
          <w:tcPr>
            <w:tcW w:w="4063" w:type="dxa"/>
            <w:tcBorders>
              <w:top w:val="nil"/>
            </w:tcBorders>
            <w:shd w:val="clear" w:color="auto" w:fill="F2F2F2" w:themeFill="background1" w:themeFillShade="F2"/>
            <w:vAlign w:val="center"/>
            <w:hideMark/>
          </w:tcPr>
          <w:p w14:paraId="75EBD956" w14:textId="77777777" w:rsidR="00B343FE" w:rsidRPr="00255081" w:rsidRDefault="00B343FE" w:rsidP="00B343FE">
            <w:pPr>
              <w:spacing w:before="20" w:after="20" w:line="240" w:lineRule="auto"/>
              <w:ind w:left="170"/>
              <w:rPr>
                <w:rFonts w:ascii="Montserrat" w:eastAsia="Times New Roman" w:hAnsi="Montserrat" w:cs="Calibri"/>
                <w:color w:val="000000"/>
                <w:sz w:val="15"/>
                <w:szCs w:val="15"/>
                <w:lang w:val="es-MX" w:eastAsia="es-MX"/>
              </w:rPr>
            </w:pPr>
            <w:r w:rsidRPr="00255081">
              <w:rPr>
                <w:rFonts w:ascii="Montserrat" w:eastAsia="Times New Roman" w:hAnsi="Montserrat" w:cs="Calibri"/>
                <w:color w:val="000000"/>
                <w:sz w:val="15"/>
                <w:szCs w:val="15"/>
                <w:lang w:val="es-MX" w:eastAsia="es-MX"/>
              </w:rPr>
              <w:t>Vehículos y Equipo de Transporte</w:t>
            </w:r>
          </w:p>
        </w:tc>
        <w:tc>
          <w:tcPr>
            <w:tcW w:w="2098" w:type="dxa"/>
            <w:tcBorders>
              <w:top w:val="nil"/>
            </w:tcBorders>
            <w:shd w:val="clear" w:color="000000" w:fill="F2F2F2"/>
            <w:vAlign w:val="center"/>
          </w:tcPr>
          <w:p w14:paraId="73FDB897" w14:textId="106ECD6A" w:rsidR="00B343FE" w:rsidRPr="00255081" w:rsidRDefault="00B343FE" w:rsidP="00B343FE">
            <w:pPr>
              <w:spacing w:after="0" w:line="240" w:lineRule="auto"/>
              <w:jc w:val="right"/>
              <w:rPr>
                <w:rFonts w:ascii="Montserrat" w:hAnsi="Montserrat" w:cs="Calibri"/>
                <w:sz w:val="15"/>
                <w:szCs w:val="15"/>
              </w:rPr>
            </w:pPr>
            <w:r w:rsidRPr="000F0321">
              <w:rPr>
                <w:rFonts w:ascii="Montserrat" w:hAnsi="Montserrat" w:cs="Arial"/>
                <w:color w:val="000000"/>
                <w:sz w:val="15"/>
                <w:szCs w:val="15"/>
              </w:rPr>
              <w:t>75,450,115,520</w:t>
            </w:r>
          </w:p>
        </w:tc>
        <w:tc>
          <w:tcPr>
            <w:tcW w:w="2098" w:type="dxa"/>
            <w:tcBorders>
              <w:top w:val="nil"/>
            </w:tcBorders>
            <w:shd w:val="clear" w:color="auto" w:fill="F2F2F2" w:themeFill="background1" w:themeFillShade="F2"/>
            <w:vAlign w:val="center"/>
            <w:hideMark/>
          </w:tcPr>
          <w:p w14:paraId="679F7EE6" w14:textId="77777777" w:rsidR="00B343FE" w:rsidRPr="00255081" w:rsidRDefault="00B343FE" w:rsidP="00B343FE">
            <w:pPr>
              <w:spacing w:after="0" w:line="240" w:lineRule="auto"/>
              <w:jc w:val="right"/>
              <w:rPr>
                <w:rFonts w:ascii="Montserrat" w:hAnsi="Montserrat" w:cs="Calibri"/>
                <w:sz w:val="15"/>
                <w:szCs w:val="15"/>
              </w:rPr>
            </w:pPr>
            <w:r w:rsidRPr="00255081">
              <w:rPr>
                <w:rFonts w:ascii="Montserrat" w:hAnsi="Montserrat" w:cs="Calibri"/>
                <w:sz w:val="15"/>
                <w:szCs w:val="15"/>
              </w:rPr>
              <w:t>73,826,302,819</w:t>
            </w:r>
          </w:p>
        </w:tc>
      </w:tr>
      <w:tr w:rsidR="00B343FE" w:rsidRPr="006F0DF1" w14:paraId="15E145F7" w14:textId="77777777" w:rsidTr="00556DB3">
        <w:trPr>
          <w:trHeight w:val="215"/>
          <w:jc w:val="center"/>
        </w:trPr>
        <w:tc>
          <w:tcPr>
            <w:tcW w:w="4063" w:type="dxa"/>
            <w:tcBorders>
              <w:top w:val="nil"/>
            </w:tcBorders>
            <w:shd w:val="clear" w:color="auto" w:fill="F2F2F2" w:themeFill="background1" w:themeFillShade="F2"/>
            <w:vAlign w:val="center"/>
            <w:hideMark/>
          </w:tcPr>
          <w:p w14:paraId="2512CFFF" w14:textId="77777777" w:rsidR="00B343FE" w:rsidRPr="00255081" w:rsidRDefault="00B343FE" w:rsidP="00B343FE">
            <w:pPr>
              <w:spacing w:before="20" w:after="20" w:line="240" w:lineRule="auto"/>
              <w:ind w:left="170"/>
              <w:rPr>
                <w:rFonts w:ascii="Montserrat" w:eastAsia="Times New Roman" w:hAnsi="Montserrat" w:cs="Calibri"/>
                <w:color w:val="000000"/>
                <w:sz w:val="15"/>
                <w:szCs w:val="15"/>
                <w:lang w:val="es-MX" w:eastAsia="es-MX"/>
              </w:rPr>
            </w:pPr>
            <w:r w:rsidRPr="00255081">
              <w:rPr>
                <w:rFonts w:ascii="Montserrat" w:eastAsia="Times New Roman" w:hAnsi="Montserrat" w:cs="Calibri"/>
                <w:color w:val="000000"/>
                <w:sz w:val="15"/>
                <w:szCs w:val="15"/>
                <w:lang w:val="es-MX" w:eastAsia="es-MX"/>
              </w:rPr>
              <w:t>Equipo de Defensa y Seguridad</w:t>
            </w:r>
          </w:p>
        </w:tc>
        <w:tc>
          <w:tcPr>
            <w:tcW w:w="2098" w:type="dxa"/>
            <w:tcBorders>
              <w:top w:val="nil"/>
            </w:tcBorders>
            <w:shd w:val="clear" w:color="000000" w:fill="F2F2F2"/>
            <w:vAlign w:val="center"/>
          </w:tcPr>
          <w:p w14:paraId="5DC22A99" w14:textId="2B37B400" w:rsidR="00B343FE" w:rsidRPr="00255081" w:rsidRDefault="00B343FE" w:rsidP="00B343FE">
            <w:pPr>
              <w:spacing w:after="0" w:line="240" w:lineRule="auto"/>
              <w:jc w:val="right"/>
              <w:rPr>
                <w:rFonts w:ascii="Montserrat" w:hAnsi="Montserrat" w:cs="Calibri"/>
                <w:sz w:val="15"/>
                <w:szCs w:val="15"/>
              </w:rPr>
            </w:pPr>
            <w:r w:rsidRPr="000F0321">
              <w:rPr>
                <w:rFonts w:ascii="Montserrat" w:hAnsi="Montserrat" w:cs="Arial"/>
                <w:color w:val="000000"/>
                <w:sz w:val="15"/>
                <w:szCs w:val="15"/>
              </w:rPr>
              <w:t>36,362,708,072</w:t>
            </w:r>
          </w:p>
        </w:tc>
        <w:tc>
          <w:tcPr>
            <w:tcW w:w="2098" w:type="dxa"/>
            <w:tcBorders>
              <w:top w:val="nil"/>
            </w:tcBorders>
            <w:shd w:val="clear" w:color="auto" w:fill="F2F2F2" w:themeFill="background1" w:themeFillShade="F2"/>
            <w:vAlign w:val="center"/>
            <w:hideMark/>
          </w:tcPr>
          <w:p w14:paraId="7CE91BED" w14:textId="77777777" w:rsidR="00B343FE" w:rsidRPr="00255081" w:rsidRDefault="00B343FE" w:rsidP="00B343FE">
            <w:pPr>
              <w:spacing w:after="0" w:line="240" w:lineRule="auto"/>
              <w:jc w:val="right"/>
              <w:rPr>
                <w:rFonts w:ascii="Montserrat" w:hAnsi="Montserrat" w:cs="Calibri"/>
                <w:sz w:val="15"/>
                <w:szCs w:val="15"/>
              </w:rPr>
            </w:pPr>
            <w:r w:rsidRPr="00255081">
              <w:rPr>
                <w:rFonts w:ascii="Montserrat" w:hAnsi="Montserrat" w:cs="Calibri"/>
                <w:sz w:val="15"/>
                <w:szCs w:val="15"/>
              </w:rPr>
              <w:t>35,755,215,336</w:t>
            </w:r>
          </w:p>
        </w:tc>
      </w:tr>
      <w:tr w:rsidR="00B343FE" w:rsidRPr="006F0DF1" w14:paraId="5563DC15" w14:textId="77777777" w:rsidTr="00556DB3">
        <w:trPr>
          <w:trHeight w:val="215"/>
          <w:jc w:val="center"/>
        </w:trPr>
        <w:tc>
          <w:tcPr>
            <w:tcW w:w="4063" w:type="dxa"/>
            <w:tcBorders>
              <w:top w:val="nil"/>
            </w:tcBorders>
            <w:shd w:val="clear" w:color="auto" w:fill="F2F2F2" w:themeFill="background1" w:themeFillShade="F2"/>
            <w:vAlign w:val="center"/>
            <w:hideMark/>
          </w:tcPr>
          <w:p w14:paraId="7E45D9BC" w14:textId="77777777" w:rsidR="00B343FE" w:rsidRPr="00255081" w:rsidRDefault="00B343FE" w:rsidP="00B343FE">
            <w:pPr>
              <w:spacing w:before="20" w:after="20" w:line="240" w:lineRule="auto"/>
              <w:ind w:left="170"/>
              <w:rPr>
                <w:rFonts w:ascii="Montserrat" w:eastAsia="Times New Roman" w:hAnsi="Montserrat" w:cs="Calibri"/>
                <w:color w:val="000000"/>
                <w:sz w:val="15"/>
                <w:szCs w:val="15"/>
                <w:lang w:val="es-MX" w:eastAsia="es-MX"/>
              </w:rPr>
            </w:pPr>
            <w:r w:rsidRPr="00255081">
              <w:rPr>
                <w:rFonts w:ascii="Montserrat" w:eastAsia="Times New Roman" w:hAnsi="Montserrat" w:cs="Calibri"/>
                <w:color w:val="000000"/>
                <w:sz w:val="15"/>
                <w:szCs w:val="15"/>
                <w:lang w:val="es-MX" w:eastAsia="es-MX"/>
              </w:rPr>
              <w:t>Maquinaria, Otros Equipos y Herramientas</w:t>
            </w:r>
          </w:p>
        </w:tc>
        <w:tc>
          <w:tcPr>
            <w:tcW w:w="2098" w:type="dxa"/>
            <w:tcBorders>
              <w:top w:val="nil"/>
            </w:tcBorders>
            <w:shd w:val="clear" w:color="000000" w:fill="F2F2F2"/>
            <w:vAlign w:val="center"/>
          </w:tcPr>
          <w:p w14:paraId="58BF0CAA" w14:textId="169E6CF7" w:rsidR="00B343FE" w:rsidRPr="00255081" w:rsidRDefault="00B343FE" w:rsidP="00B343FE">
            <w:pPr>
              <w:spacing w:after="0" w:line="240" w:lineRule="auto"/>
              <w:jc w:val="right"/>
              <w:rPr>
                <w:rFonts w:ascii="Montserrat" w:hAnsi="Montserrat" w:cs="Calibri"/>
                <w:sz w:val="15"/>
                <w:szCs w:val="15"/>
              </w:rPr>
            </w:pPr>
            <w:r w:rsidRPr="000F0321">
              <w:rPr>
                <w:rFonts w:ascii="Montserrat" w:hAnsi="Montserrat" w:cs="Arial"/>
                <w:color w:val="000000"/>
                <w:sz w:val="15"/>
                <w:szCs w:val="15"/>
              </w:rPr>
              <w:t>70,439,460,092</w:t>
            </w:r>
          </w:p>
        </w:tc>
        <w:tc>
          <w:tcPr>
            <w:tcW w:w="2098" w:type="dxa"/>
            <w:tcBorders>
              <w:top w:val="nil"/>
            </w:tcBorders>
            <w:shd w:val="clear" w:color="auto" w:fill="F2F2F2" w:themeFill="background1" w:themeFillShade="F2"/>
            <w:vAlign w:val="center"/>
            <w:hideMark/>
          </w:tcPr>
          <w:p w14:paraId="3455A9E7" w14:textId="77777777" w:rsidR="00B343FE" w:rsidRPr="00255081" w:rsidRDefault="00B343FE" w:rsidP="00B343FE">
            <w:pPr>
              <w:spacing w:after="0" w:line="240" w:lineRule="auto"/>
              <w:jc w:val="right"/>
              <w:rPr>
                <w:rFonts w:ascii="Montserrat" w:hAnsi="Montserrat" w:cs="Calibri"/>
                <w:sz w:val="15"/>
                <w:szCs w:val="15"/>
              </w:rPr>
            </w:pPr>
            <w:r w:rsidRPr="00255081">
              <w:rPr>
                <w:rFonts w:ascii="Montserrat" w:hAnsi="Montserrat" w:cs="Calibri"/>
                <w:sz w:val="15"/>
                <w:szCs w:val="15"/>
              </w:rPr>
              <w:t>69,193,309,797</w:t>
            </w:r>
          </w:p>
        </w:tc>
      </w:tr>
      <w:tr w:rsidR="00B343FE" w:rsidRPr="006F0DF1" w14:paraId="724604C2" w14:textId="77777777" w:rsidTr="00556DB3">
        <w:trPr>
          <w:trHeight w:val="215"/>
          <w:jc w:val="center"/>
        </w:trPr>
        <w:tc>
          <w:tcPr>
            <w:tcW w:w="4063" w:type="dxa"/>
            <w:tcBorders>
              <w:top w:val="nil"/>
            </w:tcBorders>
            <w:shd w:val="clear" w:color="auto" w:fill="F2F2F2" w:themeFill="background1" w:themeFillShade="F2"/>
            <w:vAlign w:val="center"/>
            <w:hideMark/>
          </w:tcPr>
          <w:p w14:paraId="72FEF14F" w14:textId="77777777" w:rsidR="00B343FE" w:rsidRPr="00255081" w:rsidRDefault="00B343FE" w:rsidP="00B343FE">
            <w:pPr>
              <w:spacing w:before="20" w:after="20" w:line="240" w:lineRule="auto"/>
              <w:ind w:left="170"/>
              <w:rPr>
                <w:rFonts w:ascii="Montserrat" w:eastAsia="Times New Roman" w:hAnsi="Montserrat" w:cs="Calibri"/>
                <w:color w:val="000000"/>
                <w:sz w:val="15"/>
                <w:szCs w:val="15"/>
                <w:lang w:val="es-MX" w:eastAsia="es-MX"/>
              </w:rPr>
            </w:pPr>
            <w:r w:rsidRPr="00255081">
              <w:rPr>
                <w:rFonts w:ascii="Montserrat" w:eastAsia="Times New Roman" w:hAnsi="Montserrat" w:cs="Calibri"/>
                <w:color w:val="000000"/>
                <w:sz w:val="15"/>
                <w:szCs w:val="15"/>
                <w:lang w:val="es-MX" w:eastAsia="es-MX"/>
              </w:rPr>
              <w:t>Colecciones, Obras de Arte y Objetos Valiosos</w:t>
            </w:r>
          </w:p>
        </w:tc>
        <w:tc>
          <w:tcPr>
            <w:tcW w:w="2098" w:type="dxa"/>
            <w:tcBorders>
              <w:top w:val="nil"/>
            </w:tcBorders>
            <w:shd w:val="clear" w:color="000000" w:fill="F2F2F2"/>
            <w:vAlign w:val="center"/>
          </w:tcPr>
          <w:p w14:paraId="397C622E" w14:textId="021241DC" w:rsidR="00B343FE" w:rsidRPr="00255081" w:rsidRDefault="00B343FE" w:rsidP="00B343FE">
            <w:pPr>
              <w:spacing w:after="0" w:line="240" w:lineRule="auto"/>
              <w:jc w:val="right"/>
              <w:rPr>
                <w:rFonts w:ascii="Montserrat" w:hAnsi="Montserrat" w:cs="Calibri"/>
                <w:sz w:val="15"/>
                <w:szCs w:val="15"/>
              </w:rPr>
            </w:pPr>
            <w:r w:rsidRPr="000F0321">
              <w:rPr>
                <w:rFonts w:ascii="Montserrat" w:hAnsi="Montserrat" w:cs="Arial"/>
                <w:color w:val="000000"/>
                <w:sz w:val="15"/>
                <w:szCs w:val="15"/>
              </w:rPr>
              <w:t>2,123,538,520</w:t>
            </w:r>
          </w:p>
        </w:tc>
        <w:tc>
          <w:tcPr>
            <w:tcW w:w="2098" w:type="dxa"/>
            <w:tcBorders>
              <w:top w:val="nil"/>
            </w:tcBorders>
            <w:shd w:val="clear" w:color="auto" w:fill="F2F2F2" w:themeFill="background1" w:themeFillShade="F2"/>
            <w:vAlign w:val="center"/>
            <w:hideMark/>
          </w:tcPr>
          <w:p w14:paraId="73CF4990" w14:textId="77777777" w:rsidR="00B343FE" w:rsidRPr="00255081" w:rsidRDefault="00B343FE" w:rsidP="00B343FE">
            <w:pPr>
              <w:spacing w:after="0" w:line="240" w:lineRule="auto"/>
              <w:jc w:val="right"/>
              <w:rPr>
                <w:rFonts w:ascii="Montserrat" w:hAnsi="Montserrat" w:cs="Calibri"/>
                <w:sz w:val="15"/>
                <w:szCs w:val="15"/>
              </w:rPr>
            </w:pPr>
            <w:r w:rsidRPr="00255081">
              <w:rPr>
                <w:rFonts w:ascii="Montserrat" w:hAnsi="Montserrat" w:cs="Calibri"/>
                <w:sz w:val="15"/>
                <w:szCs w:val="15"/>
              </w:rPr>
              <w:t>1,942,920,790</w:t>
            </w:r>
          </w:p>
        </w:tc>
      </w:tr>
      <w:tr w:rsidR="00B343FE" w:rsidRPr="006F0DF1" w14:paraId="3B29578D" w14:textId="77777777" w:rsidTr="00556DB3">
        <w:trPr>
          <w:trHeight w:val="215"/>
          <w:jc w:val="center"/>
        </w:trPr>
        <w:tc>
          <w:tcPr>
            <w:tcW w:w="4063" w:type="dxa"/>
            <w:tcBorders>
              <w:top w:val="nil"/>
            </w:tcBorders>
            <w:shd w:val="clear" w:color="auto" w:fill="F2F2F2" w:themeFill="background1" w:themeFillShade="F2"/>
            <w:vAlign w:val="center"/>
            <w:hideMark/>
          </w:tcPr>
          <w:p w14:paraId="0331729A" w14:textId="77777777" w:rsidR="00B343FE" w:rsidRPr="00255081" w:rsidRDefault="00B343FE" w:rsidP="00B343FE">
            <w:pPr>
              <w:spacing w:before="20" w:after="20" w:line="240" w:lineRule="auto"/>
              <w:ind w:left="170"/>
              <w:rPr>
                <w:rFonts w:ascii="Montserrat" w:eastAsia="Times New Roman" w:hAnsi="Montserrat" w:cs="Calibri"/>
                <w:color w:val="000000"/>
                <w:sz w:val="15"/>
                <w:szCs w:val="15"/>
                <w:lang w:val="es-MX" w:eastAsia="es-MX"/>
              </w:rPr>
            </w:pPr>
            <w:r w:rsidRPr="00255081">
              <w:rPr>
                <w:rFonts w:ascii="Montserrat" w:eastAsia="Times New Roman" w:hAnsi="Montserrat" w:cs="Calibri"/>
                <w:color w:val="000000"/>
                <w:sz w:val="15"/>
                <w:szCs w:val="15"/>
                <w:lang w:val="es-MX" w:eastAsia="es-MX"/>
              </w:rPr>
              <w:t>Activos Biológicos</w:t>
            </w:r>
          </w:p>
        </w:tc>
        <w:tc>
          <w:tcPr>
            <w:tcW w:w="2098" w:type="dxa"/>
            <w:tcBorders>
              <w:top w:val="nil"/>
            </w:tcBorders>
            <w:shd w:val="clear" w:color="000000" w:fill="F2F2F2"/>
            <w:vAlign w:val="center"/>
          </w:tcPr>
          <w:p w14:paraId="1B06359F" w14:textId="1BDC39B6" w:rsidR="00B343FE" w:rsidRPr="00255081" w:rsidRDefault="00B343FE" w:rsidP="00B343FE">
            <w:pPr>
              <w:spacing w:after="0" w:line="240" w:lineRule="auto"/>
              <w:jc w:val="right"/>
              <w:rPr>
                <w:rFonts w:ascii="Montserrat" w:hAnsi="Montserrat" w:cs="Calibri"/>
                <w:sz w:val="15"/>
                <w:szCs w:val="15"/>
              </w:rPr>
            </w:pPr>
            <w:r w:rsidRPr="000F0321">
              <w:rPr>
                <w:rFonts w:ascii="Montserrat" w:hAnsi="Montserrat" w:cs="Arial"/>
                <w:color w:val="000000"/>
                <w:sz w:val="15"/>
                <w:szCs w:val="15"/>
              </w:rPr>
              <w:t>116,094,962</w:t>
            </w:r>
          </w:p>
        </w:tc>
        <w:tc>
          <w:tcPr>
            <w:tcW w:w="2098" w:type="dxa"/>
            <w:tcBorders>
              <w:top w:val="nil"/>
            </w:tcBorders>
            <w:shd w:val="clear" w:color="auto" w:fill="F2F2F2" w:themeFill="background1" w:themeFillShade="F2"/>
            <w:vAlign w:val="center"/>
            <w:hideMark/>
          </w:tcPr>
          <w:p w14:paraId="5843C6AA" w14:textId="77777777" w:rsidR="00B343FE" w:rsidRPr="00255081" w:rsidRDefault="00B343FE" w:rsidP="00B343FE">
            <w:pPr>
              <w:spacing w:after="0" w:line="240" w:lineRule="auto"/>
              <w:jc w:val="right"/>
              <w:rPr>
                <w:rFonts w:ascii="Montserrat" w:hAnsi="Montserrat" w:cs="Calibri"/>
                <w:sz w:val="15"/>
                <w:szCs w:val="15"/>
              </w:rPr>
            </w:pPr>
            <w:r w:rsidRPr="00255081">
              <w:rPr>
                <w:rFonts w:ascii="Montserrat" w:hAnsi="Montserrat" w:cs="Calibri"/>
                <w:sz w:val="15"/>
                <w:szCs w:val="15"/>
              </w:rPr>
              <w:t>126,153,851</w:t>
            </w:r>
          </w:p>
        </w:tc>
      </w:tr>
      <w:tr w:rsidR="00B343FE" w:rsidRPr="006F0DF1" w14:paraId="741DEAB9" w14:textId="77777777" w:rsidTr="00556DB3">
        <w:trPr>
          <w:trHeight w:val="215"/>
          <w:jc w:val="center"/>
        </w:trPr>
        <w:tc>
          <w:tcPr>
            <w:tcW w:w="4063" w:type="dxa"/>
            <w:tcBorders>
              <w:bottom w:val="single" w:sz="12" w:space="0" w:color="808080" w:themeColor="background1" w:themeShade="80"/>
            </w:tcBorders>
            <w:shd w:val="clear" w:color="auto" w:fill="F2F2F2" w:themeFill="background1" w:themeFillShade="F2"/>
            <w:vAlign w:val="center"/>
            <w:hideMark/>
          </w:tcPr>
          <w:p w14:paraId="3C10965D" w14:textId="77777777" w:rsidR="00B343FE" w:rsidRPr="00255081" w:rsidRDefault="00B343FE" w:rsidP="00B343FE">
            <w:pPr>
              <w:spacing w:before="20" w:after="20" w:line="240" w:lineRule="auto"/>
              <w:ind w:left="170"/>
              <w:jc w:val="right"/>
              <w:rPr>
                <w:rFonts w:ascii="Montserrat" w:eastAsia="Times New Roman" w:hAnsi="Montserrat" w:cs="Calibri"/>
                <w:b/>
                <w:color w:val="000000"/>
                <w:sz w:val="15"/>
                <w:szCs w:val="15"/>
                <w:lang w:val="es-MX" w:eastAsia="es-MX"/>
              </w:rPr>
            </w:pPr>
            <w:r w:rsidRPr="00255081">
              <w:rPr>
                <w:rFonts w:ascii="Montserrat" w:eastAsia="Times New Roman" w:hAnsi="Montserrat" w:cs="Calibri"/>
                <w:b/>
                <w:color w:val="000000"/>
                <w:sz w:val="15"/>
                <w:szCs w:val="15"/>
                <w:lang w:val="es-MX" w:eastAsia="es-MX"/>
              </w:rPr>
              <w:t>Total Bienes Muebles</w:t>
            </w:r>
          </w:p>
        </w:tc>
        <w:tc>
          <w:tcPr>
            <w:tcW w:w="2098" w:type="dxa"/>
            <w:tcBorders>
              <w:bottom w:val="single" w:sz="12" w:space="0" w:color="808080" w:themeColor="background1" w:themeShade="80"/>
            </w:tcBorders>
            <w:shd w:val="clear" w:color="000000" w:fill="F2F2F2"/>
            <w:vAlign w:val="center"/>
          </w:tcPr>
          <w:p w14:paraId="636534F7" w14:textId="7E6D6F27" w:rsidR="00B343FE" w:rsidRPr="00255081" w:rsidRDefault="00B343FE" w:rsidP="00B343FE">
            <w:pPr>
              <w:spacing w:after="0" w:line="240" w:lineRule="auto"/>
              <w:jc w:val="right"/>
              <w:rPr>
                <w:rFonts w:ascii="Montserrat" w:hAnsi="Montserrat" w:cs="Calibri"/>
                <w:b/>
                <w:bCs/>
                <w:color w:val="3366FF"/>
                <w:sz w:val="15"/>
                <w:szCs w:val="15"/>
              </w:rPr>
            </w:pPr>
            <w:r w:rsidRPr="000F0321">
              <w:rPr>
                <w:rFonts w:ascii="Montserrat" w:hAnsi="Montserrat" w:cs="Arial"/>
                <w:b/>
                <w:bCs/>
                <w:color w:val="000000"/>
                <w:sz w:val="15"/>
                <w:szCs w:val="15"/>
              </w:rPr>
              <w:t>231,382,281,989</w:t>
            </w:r>
          </w:p>
        </w:tc>
        <w:tc>
          <w:tcPr>
            <w:tcW w:w="2098" w:type="dxa"/>
            <w:tcBorders>
              <w:bottom w:val="single" w:sz="12" w:space="0" w:color="808080" w:themeColor="background1" w:themeShade="80"/>
            </w:tcBorders>
            <w:shd w:val="clear" w:color="auto" w:fill="F2F2F2" w:themeFill="background1" w:themeFillShade="F2"/>
            <w:vAlign w:val="center"/>
            <w:hideMark/>
          </w:tcPr>
          <w:p w14:paraId="3CADD700" w14:textId="77777777" w:rsidR="00B343FE" w:rsidRPr="00255081" w:rsidRDefault="00B343FE" w:rsidP="00B343FE">
            <w:pPr>
              <w:spacing w:after="0" w:line="240" w:lineRule="auto"/>
              <w:jc w:val="right"/>
              <w:rPr>
                <w:rFonts w:ascii="Montserrat" w:hAnsi="Montserrat" w:cs="Calibri"/>
                <w:b/>
                <w:bCs/>
                <w:color w:val="3366FF"/>
                <w:sz w:val="15"/>
                <w:szCs w:val="15"/>
              </w:rPr>
            </w:pPr>
            <w:r w:rsidRPr="00255081">
              <w:rPr>
                <w:rFonts w:ascii="Montserrat" w:hAnsi="Montserrat" w:cs="Calibri"/>
                <w:b/>
                <w:bCs/>
                <w:sz w:val="15"/>
                <w:szCs w:val="15"/>
              </w:rPr>
              <w:t>226,525,419,199</w:t>
            </w:r>
          </w:p>
        </w:tc>
      </w:tr>
    </w:tbl>
    <w:p w14:paraId="3AC29F3D" w14:textId="77777777" w:rsidR="00A22920" w:rsidRPr="008A4916" w:rsidRDefault="00A22920" w:rsidP="008A4916">
      <w:pPr>
        <w:spacing w:after="0" w:line="240" w:lineRule="auto"/>
        <w:jc w:val="both"/>
        <w:rPr>
          <w:rFonts w:ascii="Montserrat" w:hAnsi="Montserrat" w:cs="Arial"/>
          <w:spacing w:val="-1"/>
          <w:sz w:val="18"/>
          <w:szCs w:val="18"/>
        </w:rPr>
      </w:pPr>
    </w:p>
    <w:p w14:paraId="5763AD84" w14:textId="095158CD" w:rsidR="00A22920" w:rsidRDefault="00A22920" w:rsidP="00A22920">
      <w:pPr>
        <w:spacing w:after="120" w:line="250" w:lineRule="exact"/>
        <w:jc w:val="both"/>
        <w:rPr>
          <w:rFonts w:ascii="Montserrat" w:hAnsi="Montserrat"/>
          <w:sz w:val="18"/>
          <w:szCs w:val="18"/>
        </w:rPr>
      </w:pPr>
      <w:r w:rsidRPr="000F0321">
        <w:rPr>
          <w:rFonts w:ascii="Montserrat" w:hAnsi="Montserrat"/>
          <w:sz w:val="18"/>
          <w:szCs w:val="18"/>
        </w:rPr>
        <w:t xml:space="preserve">El incremento de Bienes Muebles por </w:t>
      </w:r>
      <w:r w:rsidR="00B22B52" w:rsidRPr="00B22B52">
        <w:rPr>
          <w:rFonts w:ascii="Montserrat" w:hAnsi="Montserrat"/>
          <w:sz w:val="18"/>
          <w:szCs w:val="18"/>
        </w:rPr>
        <w:t>4,856,862,790</w:t>
      </w:r>
      <w:r w:rsidR="00B22B52">
        <w:rPr>
          <w:rFonts w:ascii="Montserrat" w:hAnsi="Montserrat"/>
          <w:sz w:val="18"/>
          <w:szCs w:val="18"/>
        </w:rPr>
        <w:t xml:space="preserve"> pesos</w:t>
      </w:r>
      <w:r w:rsidRPr="000F0321">
        <w:rPr>
          <w:rFonts w:ascii="Montserrat" w:hAnsi="Montserrat"/>
          <w:sz w:val="18"/>
          <w:szCs w:val="18"/>
        </w:rPr>
        <w:t xml:space="preserve">, en su mayor parte corresponde a la adquisición de </w:t>
      </w:r>
      <w:r w:rsidR="00B22B52" w:rsidRPr="00B22B52">
        <w:rPr>
          <w:rFonts w:ascii="Montserrat" w:hAnsi="Montserrat"/>
          <w:sz w:val="18"/>
          <w:szCs w:val="18"/>
        </w:rPr>
        <w:t xml:space="preserve">equipo aeroespacial, maquinaria y equipo industrial, equipo de comunicación y telecomunicación, vehículos y </w:t>
      </w:r>
      <w:r w:rsidR="0000636D">
        <w:rPr>
          <w:rFonts w:ascii="Montserrat" w:hAnsi="Montserrat"/>
          <w:sz w:val="18"/>
          <w:szCs w:val="18"/>
        </w:rPr>
        <w:t>e</w:t>
      </w:r>
      <w:r w:rsidR="00B22B52" w:rsidRPr="00B22B52">
        <w:rPr>
          <w:rFonts w:ascii="Montserrat" w:hAnsi="Montserrat"/>
          <w:sz w:val="18"/>
          <w:szCs w:val="18"/>
        </w:rPr>
        <w:t>quipo terrestre, equipos de generación eléctrica, aparatos y accesorios eléctricos.</w:t>
      </w:r>
    </w:p>
    <w:p w14:paraId="6E7755C3" w14:textId="77777777" w:rsidR="005B52DD" w:rsidRPr="00A22920" w:rsidRDefault="005B52DD" w:rsidP="00A22920">
      <w:pPr>
        <w:spacing w:after="120" w:line="250" w:lineRule="exact"/>
        <w:jc w:val="both"/>
        <w:rPr>
          <w:rFonts w:ascii="Montserrat" w:hAnsi="Montserrat"/>
          <w:sz w:val="18"/>
          <w:szCs w:val="18"/>
        </w:rPr>
      </w:pPr>
    </w:p>
    <w:p w14:paraId="18208A4E" w14:textId="5E8C0217" w:rsidR="009C3C24" w:rsidRPr="00172E13" w:rsidRDefault="009C3C24" w:rsidP="005A5AC5">
      <w:pPr>
        <w:pStyle w:val="Prrafodelista"/>
        <w:numPr>
          <w:ilvl w:val="0"/>
          <w:numId w:val="14"/>
        </w:numPr>
        <w:spacing w:after="120" w:line="250" w:lineRule="exact"/>
        <w:ind w:left="714" w:hanging="357"/>
        <w:jc w:val="both"/>
        <w:rPr>
          <w:rFonts w:ascii="Montserrat" w:hAnsi="Montserrat" w:cs="Arial"/>
          <w:spacing w:val="-1"/>
          <w:sz w:val="18"/>
          <w:szCs w:val="18"/>
        </w:rPr>
      </w:pPr>
      <w:r w:rsidRPr="00172E13">
        <w:rPr>
          <w:rFonts w:ascii="Montserrat" w:hAnsi="Montserrat" w:cs="Arial"/>
          <w:spacing w:val="-1"/>
          <w:sz w:val="18"/>
          <w:szCs w:val="18"/>
        </w:rPr>
        <w:lastRenderedPageBreak/>
        <w:t>La conciliación de bienes muebles al cierre de 201</w:t>
      </w:r>
      <w:r w:rsidR="00B22B52" w:rsidRPr="000F0321">
        <w:rPr>
          <w:rFonts w:ascii="Montserrat" w:hAnsi="Montserrat" w:cs="Arial"/>
          <w:spacing w:val="-1"/>
          <w:sz w:val="18"/>
          <w:szCs w:val="18"/>
        </w:rPr>
        <w:t>9</w:t>
      </w:r>
      <w:r w:rsidRPr="00172E13">
        <w:rPr>
          <w:rFonts w:ascii="Montserrat" w:hAnsi="Montserrat" w:cs="Arial"/>
          <w:spacing w:val="-1"/>
          <w:sz w:val="18"/>
          <w:szCs w:val="18"/>
        </w:rPr>
        <w:t xml:space="preserve"> alcanzó</w:t>
      </w:r>
      <w:r w:rsidR="00011EA5" w:rsidRPr="00172E13">
        <w:rPr>
          <w:rFonts w:ascii="Montserrat" w:hAnsi="Montserrat" w:cs="Arial"/>
          <w:spacing w:val="-1"/>
          <w:sz w:val="18"/>
          <w:szCs w:val="18"/>
        </w:rPr>
        <w:t xml:space="preserve"> el 99.</w:t>
      </w:r>
      <w:r w:rsidR="00172E13" w:rsidRPr="000F0321">
        <w:rPr>
          <w:rFonts w:ascii="Montserrat" w:hAnsi="Montserrat" w:cs="Arial"/>
          <w:spacing w:val="-1"/>
          <w:sz w:val="18"/>
          <w:szCs w:val="18"/>
        </w:rPr>
        <w:t>8</w:t>
      </w:r>
      <w:r w:rsidR="00011EA5" w:rsidRPr="00172E13">
        <w:rPr>
          <w:rFonts w:ascii="Montserrat" w:hAnsi="Montserrat" w:cs="Arial"/>
          <w:spacing w:val="-1"/>
          <w:sz w:val="18"/>
          <w:szCs w:val="18"/>
        </w:rPr>
        <w:t>9%</w:t>
      </w:r>
      <w:r w:rsidRPr="00172E13">
        <w:rPr>
          <w:rFonts w:ascii="Montserrat" w:hAnsi="Montserrat" w:cs="Arial"/>
          <w:spacing w:val="-1"/>
          <w:sz w:val="18"/>
          <w:szCs w:val="18"/>
        </w:rPr>
        <w:t>:</w:t>
      </w:r>
    </w:p>
    <w:p w14:paraId="33668BE2" w14:textId="77777777" w:rsidR="009C3C24" w:rsidRPr="00936371" w:rsidRDefault="009C3C24" w:rsidP="00301FB1">
      <w:pPr>
        <w:spacing w:after="60" w:line="250" w:lineRule="exact"/>
        <w:ind w:left="709"/>
        <w:jc w:val="center"/>
        <w:rPr>
          <w:rFonts w:ascii="Montserrat" w:hAnsi="Montserrat" w:cs="Arial"/>
          <w:spacing w:val="-1"/>
          <w:sz w:val="18"/>
          <w:szCs w:val="18"/>
        </w:rPr>
      </w:pPr>
      <w:r w:rsidRPr="000F0321">
        <w:rPr>
          <w:rFonts w:ascii="Montserrat" w:eastAsia="Times New Roman" w:hAnsi="Montserrat" w:cs="Calibri"/>
          <w:bCs/>
          <w:sz w:val="16"/>
          <w:szCs w:val="16"/>
          <w:lang w:val="es-MX" w:eastAsia="es-MX"/>
        </w:rPr>
        <w:t>(Pesos)</w:t>
      </w:r>
    </w:p>
    <w:tbl>
      <w:tblPr>
        <w:tblW w:w="8323" w:type="dxa"/>
        <w:jc w:val="center"/>
        <w:tblCellMar>
          <w:left w:w="70" w:type="dxa"/>
          <w:right w:w="70" w:type="dxa"/>
        </w:tblCellMar>
        <w:tblLook w:val="04A0" w:firstRow="1" w:lastRow="0" w:firstColumn="1" w:lastColumn="0" w:noHBand="0" w:noVBand="1"/>
      </w:tblPr>
      <w:tblGrid>
        <w:gridCol w:w="2763"/>
        <w:gridCol w:w="3261"/>
        <w:gridCol w:w="2299"/>
      </w:tblGrid>
      <w:tr w:rsidR="00C4519E" w:rsidRPr="00A12179" w14:paraId="2C95AE55" w14:textId="77777777" w:rsidTr="00CC40D5">
        <w:trPr>
          <w:trHeight w:val="57"/>
          <w:jc w:val="center"/>
        </w:trPr>
        <w:tc>
          <w:tcPr>
            <w:tcW w:w="8323" w:type="dxa"/>
            <w:gridSpan w:val="3"/>
            <w:tcBorders>
              <w:top w:val="single" w:sz="12" w:space="0" w:color="808080" w:themeColor="background1" w:themeShade="80"/>
            </w:tcBorders>
            <w:shd w:val="clear" w:color="auto" w:fill="auto"/>
            <w:vAlign w:val="center"/>
          </w:tcPr>
          <w:p w14:paraId="001123C3" w14:textId="77777777" w:rsidR="00C4519E" w:rsidRPr="00A12179" w:rsidRDefault="00C4519E" w:rsidP="002F797B">
            <w:pPr>
              <w:spacing w:after="0" w:line="240" w:lineRule="auto"/>
              <w:jc w:val="center"/>
              <w:rPr>
                <w:rFonts w:ascii="Montserrat" w:eastAsia="Times New Roman" w:hAnsi="Montserrat" w:cs="Calibri"/>
                <w:b/>
                <w:bCs/>
                <w:color w:val="FFFFFF"/>
                <w:sz w:val="4"/>
                <w:szCs w:val="4"/>
                <w:lang w:val="es-MX" w:eastAsia="es-MX"/>
              </w:rPr>
            </w:pPr>
          </w:p>
        </w:tc>
      </w:tr>
      <w:tr w:rsidR="009C3C24" w:rsidRPr="006F0DF1" w14:paraId="1A3F2E2C" w14:textId="77777777" w:rsidTr="00263314">
        <w:trPr>
          <w:trHeight w:val="317"/>
          <w:jc w:val="center"/>
        </w:trPr>
        <w:tc>
          <w:tcPr>
            <w:tcW w:w="2763" w:type="dxa"/>
            <w:tcBorders>
              <w:left w:val="single" w:sz="8" w:space="0" w:color="FFFFFF" w:themeColor="background1"/>
              <w:bottom w:val="double" w:sz="12" w:space="0" w:color="808080" w:themeColor="background1" w:themeShade="80"/>
              <w:right w:val="single" w:sz="8" w:space="0" w:color="FFFFFF" w:themeColor="background1"/>
            </w:tcBorders>
            <w:shd w:val="clear" w:color="auto" w:fill="D4C19C"/>
            <w:vAlign w:val="center"/>
            <w:hideMark/>
          </w:tcPr>
          <w:p w14:paraId="054DB918" w14:textId="77777777" w:rsidR="009C3C24" w:rsidRPr="006F0DF1" w:rsidRDefault="009C3C24" w:rsidP="002F797B">
            <w:pPr>
              <w:spacing w:after="0" w:line="240" w:lineRule="auto"/>
              <w:jc w:val="center"/>
              <w:rPr>
                <w:rFonts w:ascii="Montserrat" w:eastAsia="Times New Roman" w:hAnsi="Montserrat" w:cs="Calibri"/>
                <w:b/>
                <w:bCs/>
                <w:color w:val="FFFFFF"/>
                <w:sz w:val="16"/>
                <w:szCs w:val="16"/>
                <w:lang w:val="es-MX" w:eastAsia="es-MX"/>
              </w:rPr>
            </w:pPr>
            <w:r w:rsidRPr="006F0DF1">
              <w:rPr>
                <w:rFonts w:ascii="Montserrat" w:eastAsia="Times New Roman" w:hAnsi="Montserrat" w:cs="Calibri"/>
                <w:b/>
                <w:bCs/>
                <w:color w:val="FFFFFF"/>
                <w:sz w:val="16"/>
                <w:szCs w:val="16"/>
                <w:lang w:val="es-MX" w:eastAsia="es-MX"/>
              </w:rPr>
              <w:t>Registro Contable</w:t>
            </w:r>
          </w:p>
        </w:tc>
        <w:tc>
          <w:tcPr>
            <w:tcW w:w="3261" w:type="dxa"/>
            <w:tcBorders>
              <w:left w:val="single" w:sz="8" w:space="0" w:color="FFFFFF" w:themeColor="background1"/>
              <w:bottom w:val="double" w:sz="12" w:space="0" w:color="808080" w:themeColor="background1" w:themeShade="80"/>
              <w:right w:val="single" w:sz="8" w:space="0" w:color="FFFFFF" w:themeColor="background1"/>
            </w:tcBorders>
            <w:shd w:val="clear" w:color="auto" w:fill="D4C19C"/>
            <w:vAlign w:val="center"/>
            <w:hideMark/>
          </w:tcPr>
          <w:p w14:paraId="11C2700A" w14:textId="3C391E79" w:rsidR="009C3C24" w:rsidRPr="006F0DF1" w:rsidRDefault="009C3C24" w:rsidP="002F797B">
            <w:pPr>
              <w:spacing w:after="0" w:line="240" w:lineRule="auto"/>
              <w:jc w:val="center"/>
              <w:rPr>
                <w:rFonts w:ascii="Montserrat" w:eastAsia="Times New Roman" w:hAnsi="Montserrat" w:cs="Calibri"/>
                <w:b/>
                <w:bCs/>
                <w:color w:val="FFFFFF"/>
                <w:sz w:val="16"/>
                <w:szCs w:val="16"/>
                <w:lang w:val="es-MX" w:eastAsia="es-MX"/>
              </w:rPr>
            </w:pPr>
            <w:r w:rsidRPr="006F0DF1">
              <w:rPr>
                <w:rFonts w:ascii="Montserrat" w:eastAsia="Times New Roman" w:hAnsi="Montserrat" w:cs="Calibri"/>
                <w:b/>
                <w:bCs/>
                <w:color w:val="FFFFFF"/>
                <w:sz w:val="16"/>
                <w:szCs w:val="16"/>
                <w:lang w:val="es-MX" w:eastAsia="es-MX"/>
              </w:rPr>
              <w:t xml:space="preserve">Valor Relación de Bienes </w:t>
            </w:r>
            <w:r w:rsidR="00433A2C">
              <w:rPr>
                <w:rFonts w:ascii="Montserrat" w:eastAsia="Times New Roman" w:hAnsi="Montserrat" w:cs="Calibri"/>
                <w:b/>
                <w:bCs/>
                <w:color w:val="FFFFFF"/>
                <w:sz w:val="16"/>
                <w:szCs w:val="16"/>
                <w:lang w:val="es-MX" w:eastAsia="es-MX"/>
              </w:rPr>
              <w:t>M</w:t>
            </w:r>
            <w:r w:rsidRPr="006F0DF1">
              <w:rPr>
                <w:rFonts w:ascii="Montserrat" w:eastAsia="Times New Roman" w:hAnsi="Montserrat" w:cs="Calibri"/>
                <w:b/>
                <w:bCs/>
                <w:color w:val="FFFFFF"/>
                <w:sz w:val="16"/>
                <w:szCs w:val="16"/>
                <w:lang w:val="es-MX" w:eastAsia="es-MX"/>
              </w:rPr>
              <w:t>uebles</w:t>
            </w:r>
          </w:p>
        </w:tc>
        <w:tc>
          <w:tcPr>
            <w:tcW w:w="2299" w:type="dxa"/>
            <w:tcBorders>
              <w:left w:val="single" w:sz="8" w:space="0" w:color="FFFFFF" w:themeColor="background1"/>
              <w:bottom w:val="double" w:sz="12" w:space="0" w:color="808080" w:themeColor="background1" w:themeShade="80"/>
              <w:right w:val="single" w:sz="8" w:space="0" w:color="FFFFFF" w:themeColor="background1"/>
            </w:tcBorders>
            <w:shd w:val="clear" w:color="auto" w:fill="D4C19C"/>
            <w:vAlign w:val="center"/>
            <w:hideMark/>
          </w:tcPr>
          <w:p w14:paraId="6B50EA73" w14:textId="77777777" w:rsidR="009C3C24" w:rsidRPr="006F0DF1" w:rsidRDefault="009C3C24" w:rsidP="002F797B">
            <w:pPr>
              <w:spacing w:after="0" w:line="240" w:lineRule="auto"/>
              <w:jc w:val="center"/>
              <w:rPr>
                <w:rFonts w:ascii="Montserrat" w:eastAsia="Times New Roman" w:hAnsi="Montserrat" w:cs="Calibri"/>
                <w:b/>
                <w:bCs/>
                <w:color w:val="FFFFFF"/>
                <w:sz w:val="16"/>
                <w:szCs w:val="16"/>
                <w:lang w:val="es-MX" w:eastAsia="es-MX"/>
              </w:rPr>
            </w:pPr>
            <w:r w:rsidRPr="006F0DF1">
              <w:rPr>
                <w:rFonts w:ascii="Montserrat" w:eastAsia="Times New Roman" w:hAnsi="Montserrat" w:cs="Calibri"/>
                <w:b/>
                <w:bCs/>
                <w:color w:val="FFFFFF"/>
                <w:sz w:val="16"/>
                <w:szCs w:val="16"/>
                <w:lang w:val="es-MX" w:eastAsia="es-MX"/>
              </w:rPr>
              <w:t>Conciliación</w:t>
            </w:r>
          </w:p>
        </w:tc>
      </w:tr>
      <w:tr w:rsidR="00172E13" w:rsidRPr="006F0DF1" w14:paraId="4E3462C2" w14:textId="77777777" w:rsidTr="00263314">
        <w:trPr>
          <w:trHeight w:val="317"/>
          <w:jc w:val="center"/>
        </w:trPr>
        <w:tc>
          <w:tcPr>
            <w:tcW w:w="2763" w:type="dxa"/>
            <w:tcBorders>
              <w:top w:val="double" w:sz="12" w:space="0" w:color="808080" w:themeColor="background1" w:themeShade="80"/>
              <w:bottom w:val="single" w:sz="12" w:space="0" w:color="808080" w:themeColor="background1" w:themeShade="80"/>
            </w:tcBorders>
            <w:shd w:val="clear" w:color="auto" w:fill="F2F2F2" w:themeFill="background1" w:themeFillShade="F2"/>
            <w:vAlign w:val="center"/>
            <w:hideMark/>
          </w:tcPr>
          <w:p w14:paraId="04DB1326" w14:textId="7652D3EE" w:rsidR="00172E13" w:rsidRPr="00255081" w:rsidRDefault="00172E13" w:rsidP="00172E13">
            <w:pPr>
              <w:spacing w:after="0" w:line="240" w:lineRule="exact"/>
              <w:ind w:right="319"/>
              <w:jc w:val="center"/>
              <w:rPr>
                <w:rFonts w:ascii="Montserrat" w:hAnsi="Montserrat"/>
                <w:color w:val="000000"/>
                <w:sz w:val="15"/>
                <w:szCs w:val="15"/>
              </w:rPr>
            </w:pPr>
            <w:r w:rsidRPr="000F0321">
              <w:rPr>
                <w:rFonts w:ascii="Montserrat" w:hAnsi="Montserrat"/>
                <w:color w:val="000000"/>
                <w:sz w:val="15"/>
                <w:szCs w:val="15"/>
              </w:rPr>
              <w:t>231,382,281,988</w:t>
            </w:r>
          </w:p>
        </w:tc>
        <w:tc>
          <w:tcPr>
            <w:tcW w:w="3261" w:type="dxa"/>
            <w:tcBorders>
              <w:top w:val="double" w:sz="12" w:space="0" w:color="808080" w:themeColor="background1" w:themeShade="80"/>
              <w:bottom w:val="single" w:sz="12" w:space="0" w:color="808080" w:themeColor="background1" w:themeShade="80"/>
            </w:tcBorders>
            <w:shd w:val="clear" w:color="auto" w:fill="F2F2F2" w:themeFill="background1" w:themeFillShade="F2"/>
            <w:vAlign w:val="center"/>
            <w:hideMark/>
          </w:tcPr>
          <w:p w14:paraId="637A3F04" w14:textId="629958B4" w:rsidR="00172E13" w:rsidRPr="00255081" w:rsidRDefault="00172E13" w:rsidP="00172E13">
            <w:pPr>
              <w:spacing w:after="0" w:line="240" w:lineRule="exact"/>
              <w:ind w:right="319"/>
              <w:jc w:val="center"/>
              <w:rPr>
                <w:rFonts w:ascii="Montserrat" w:hAnsi="Montserrat"/>
                <w:color w:val="000000"/>
                <w:sz w:val="15"/>
                <w:szCs w:val="15"/>
              </w:rPr>
            </w:pPr>
            <w:r w:rsidRPr="000F0321">
              <w:rPr>
                <w:rFonts w:ascii="Montserrat" w:hAnsi="Montserrat"/>
                <w:color w:val="000000"/>
                <w:sz w:val="15"/>
                <w:szCs w:val="15"/>
              </w:rPr>
              <w:t>231,615,385,271</w:t>
            </w:r>
          </w:p>
        </w:tc>
        <w:tc>
          <w:tcPr>
            <w:tcW w:w="2299" w:type="dxa"/>
            <w:tcBorders>
              <w:top w:val="double" w:sz="12" w:space="0" w:color="808080" w:themeColor="background1" w:themeShade="80"/>
              <w:bottom w:val="single" w:sz="12" w:space="0" w:color="808080" w:themeColor="background1" w:themeShade="80"/>
            </w:tcBorders>
            <w:shd w:val="clear" w:color="auto" w:fill="F2F2F2" w:themeFill="background1" w:themeFillShade="F2"/>
            <w:vAlign w:val="center"/>
            <w:hideMark/>
          </w:tcPr>
          <w:p w14:paraId="63D06EB8" w14:textId="2FECEC59" w:rsidR="00172E13" w:rsidRPr="00255081" w:rsidRDefault="00172E13" w:rsidP="00172E13">
            <w:pPr>
              <w:spacing w:after="0" w:line="240" w:lineRule="exact"/>
              <w:ind w:right="319"/>
              <w:jc w:val="center"/>
              <w:rPr>
                <w:rFonts w:ascii="Montserrat" w:hAnsi="Montserrat"/>
                <w:color w:val="000000"/>
                <w:sz w:val="15"/>
                <w:szCs w:val="15"/>
              </w:rPr>
            </w:pPr>
            <w:r w:rsidRPr="000F0321">
              <w:rPr>
                <w:rFonts w:ascii="Montserrat" w:hAnsi="Montserrat"/>
                <w:color w:val="000000"/>
                <w:sz w:val="15"/>
                <w:szCs w:val="15"/>
              </w:rPr>
              <w:t>99.89%</w:t>
            </w:r>
          </w:p>
        </w:tc>
      </w:tr>
    </w:tbl>
    <w:p w14:paraId="4ABD851E" w14:textId="77777777" w:rsidR="00263314" w:rsidRDefault="00263314" w:rsidP="00263314">
      <w:pPr>
        <w:spacing w:after="0" w:line="240" w:lineRule="auto"/>
        <w:jc w:val="both"/>
        <w:rPr>
          <w:rFonts w:ascii="Montserrat" w:hAnsi="Montserrat" w:cs="Arial"/>
          <w:spacing w:val="-1"/>
          <w:sz w:val="18"/>
          <w:szCs w:val="18"/>
        </w:rPr>
      </w:pPr>
    </w:p>
    <w:p w14:paraId="7A46B8BF" w14:textId="6532D948" w:rsidR="00220C11" w:rsidRPr="008E1789" w:rsidRDefault="00220C11" w:rsidP="00220C11">
      <w:pPr>
        <w:spacing w:after="120" w:line="250" w:lineRule="exact"/>
        <w:jc w:val="both"/>
        <w:rPr>
          <w:rFonts w:ascii="Montserrat" w:hAnsi="Montserrat"/>
          <w:sz w:val="18"/>
          <w:szCs w:val="18"/>
        </w:rPr>
      </w:pPr>
      <w:r w:rsidRPr="008E1789">
        <w:rPr>
          <w:rFonts w:ascii="Montserrat" w:hAnsi="Montserrat"/>
          <w:sz w:val="18"/>
          <w:szCs w:val="18"/>
        </w:rPr>
        <w:t xml:space="preserve">El diferencial entre el registro contable y la relación de bienes muebles se identifica en la Secretaría </w:t>
      </w:r>
      <w:r w:rsidR="004B170A">
        <w:rPr>
          <w:rFonts w:ascii="Montserrat" w:hAnsi="Montserrat"/>
          <w:sz w:val="18"/>
          <w:szCs w:val="18"/>
        </w:rPr>
        <w:t xml:space="preserve">de </w:t>
      </w:r>
      <w:r w:rsidRPr="008E1789">
        <w:rPr>
          <w:rFonts w:ascii="Montserrat" w:hAnsi="Montserrat"/>
          <w:sz w:val="18"/>
          <w:szCs w:val="18"/>
        </w:rPr>
        <w:t>Gobernación</w:t>
      </w:r>
      <w:r>
        <w:rPr>
          <w:rFonts w:ascii="Montserrat" w:hAnsi="Montserrat"/>
          <w:sz w:val="18"/>
          <w:szCs w:val="18"/>
        </w:rPr>
        <w:t xml:space="preserve"> (SEGOB)</w:t>
      </w:r>
      <w:r w:rsidRPr="008E1789">
        <w:rPr>
          <w:rFonts w:ascii="Montserrat" w:hAnsi="Montserrat"/>
          <w:sz w:val="18"/>
          <w:szCs w:val="18"/>
        </w:rPr>
        <w:t xml:space="preserve"> debido al proceso de conciliación que se lleva a cabo por </w:t>
      </w:r>
      <w:r w:rsidR="007F6248">
        <w:rPr>
          <w:rFonts w:ascii="Montserrat" w:hAnsi="Montserrat"/>
          <w:sz w:val="18"/>
          <w:szCs w:val="18"/>
        </w:rPr>
        <w:t>el traspaso de saldos al nuevo R</w:t>
      </w:r>
      <w:r w:rsidRPr="008E1789">
        <w:rPr>
          <w:rFonts w:ascii="Montserrat" w:hAnsi="Montserrat"/>
          <w:sz w:val="18"/>
          <w:szCs w:val="18"/>
        </w:rPr>
        <w:t>amo 36 Secretaría de Seguridad y Protección Ciudadana</w:t>
      </w:r>
      <w:r>
        <w:rPr>
          <w:rFonts w:ascii="Montserrat" w:hAnsi="Montserrat"/>
          <w:sz w:val="18"/>
          <w:szCs w:val="18"/>
        </w:rPr>
        <w:t xml:space="preserve"> (SSPC)</w:t>
      </w:r>
      <w:r w:rsidR="00303FB6">
        <w:rPr>
          <w:rFonts w:ascii="Montserrat" w:hAnsi="Montserrat"/>
          <w:sz w:val="18"/>
          <w:szCs w:val="18"/>
        </w:rPr>
        <w:t>,</w:t>
      </w:r>
      <w:r w:rsidRPr="008E1789">
        <w:rPr>
          <w:rFonts w:ascii="Montserrat" w:hAnsi="Montserrat"/>
          <w:sz w:val="18"/>
          <w:szCs w:val="18"/>
        </w:rPr>
        <w:t xml:space="preserve"> así como a la SADER por falta de documentación </w:t>
      </w:r>
      <w:r>
        <w:rPr>
          <w:rFonts w:ascii="Montserrat" w:hAnsi="Montserrat"/>
          <w:sz w:val="18"/>
          <w:szCs w:val="18"/>
        </w:rPr>
        <w:t>para realizar las</w:t>
      </w:r>
      <w:r w:rsidRPr="008E1789">
        <w:rPr>
          <w:rFonts w:ascii="Montserrat" w:hAnsi="Montserrat"/>
          <w:sz w:val="18"/>
          <w:szCs w:val="18"/>
        </w:rPr>
        <w:t xml:space="preserve"> bajas y altas de movimi</w:t>
      </w:r>
      <w:r>
        <w:rPr>
          <w:rFonts w:ascii="Montserrat" w:hAnsi="Montserrat"/>
          <w:sz w:val="18"/>
          <w:szCs w:val="18"/>
        </w:rPr>
        <w:t>entos.</w:t>
      </w:r>
    </w:p>
    <w:p w14:paraId="30A2DB06" w14:textId="77777777" w:rsidR="00220C11" w:rsidRPr="00263314" w:rsidRDefault="00220C11" w:rsidP="00263314">
      <w:pPr>
        <w:spacing w:after="0" w:line="240" w:lineRule="auto"/>
        <w:jc w:val="both"/>
        <w:rPr>
          <w:rFonts w:ascii="Montserrat" w:hAnsi="Montserrat" w:cs="Arial"/>
          <w:spacing w:val="-1"/>
          <w:sz w:val="18"/>
          <w:szCs w:val="18"/>
        </w:rPr>
      </w:pPr>
    </w:p>
    <w:p w14:paraId="63A8A52A" w14:textId="77777777" w:rsidR="009C3C24" w:rsidRPr="004E44CE" w:rsidRDefault="009C3C24" w:rsidP="003270CC">
      <w:pPr>
        <w:pStyle w:val="VIETAFLECHA"/>
        <w:numPr>
          <w:ilvl w:val="0"/>
          <w:numId w:val="13"/>
        </w:numPr>
        <w:spacing w:before="120"/>
        <w:ind w:left="357" w:hanging="357"/>
        <w:rPr>
          <w:rFonts w:cs="Arial"/>
          <w:spacing w:val="-1"/>
        </w:rPr>
      </w:pPr>
      <w:r w:rsidRPr="004E44CE">
        <w:rPr>
          <w:rFonts w:cs="Arial"/>
          <w:spacing w:val="-1"/>
        </w:rPr>
        <w:t>Activos Intangibles</w:t>
      </w:r>
    </w:p>
    <w:p w14:paraId="57D53138" w14:textId="77777777" w:rsidR="009C3C24" w:rsidRDefault="009C3C24" w:rsidP="00063579">
      <w:pPr>
        <w:spacing w:after="120" w:line="250" w:lineRule="exact"/>
        <w:jc w:val="both"/>
        <w:rPr>
          <w:rFonts w:ascii="Montserrat" w:hAnsi="Montserrat"/>
          <w:sz w:val="18"/>
          <w:szCs w:val="18"/>
        </w:rPr>
      </w:pPr>
      <w:r w:rsidRPr="00063579">
        <w:rPr>
          <w:rFonts w:ascii="Montserrat" w:hAnsi="Montserrat"/>
          <w:sz w:val="18"/>
          <w:szCs w:val="18"/>
        </w:rPr>
        <w:t>A continuación, se presenta la integra</w:t>
      </w:r>
      <w:r w:rsidR="001622D5" w:rsidRPr="00063579">
        <w:rPr>
          <w:rFonts w:ascii="Montserrat" w:hAnsi="Montserrat"/>
          <w:sz w:val="18"/>
          <w:szCs w:val="18"/>
        </w:rPr>
        <w:t>ción de los Activos Intangibles:</w:t>
      </w:r>
    </w:p>
    <w:p w14:paraId="28CE1FF1" w14:textId="77777777" w:rsidR="00201FF3" w:rsidRPr="00063579" w:rsidRDefault="00201FF3" w:rsidP="00263314">
      <w:pPr>
        <w:spacing w:after="0" w:line="240" w:lineRule="auto"/>
        <w:jc w:val="both"/>
        <w:rPr>
          <w:rFonts w:ascii="Montserrat" w:hAnsi="Montserrat"/>
          <w:sz w:val="18"/>
          <w:szCs w:val="18"/>
        </w:rPr>
      </w:pPr>
    </w:p>
    <w:p w14:paraId="06AC17ED" w14:textId="77777777" w:rsidR="009C3C24" w:rsidRPr="00936371" w:rsidRDefault="009C3C24" w:rsidP="00E52592">
      <w:pPr>
        <w:spacing w:after="60" w:line="250" w:lineRule="exact"/>
        <w:ind w:left="709"/>
        <w:jc w:val="center"/>
        <w:rPr>
          <w:rFonts w:ascii="Montserrat" w:hAnsi="Montserrat" w:cs="Arial"/>
          <w:spacing w:val="-1"/>
          <w:sz w:val="18"/>
          <w:szCs w:val="18"/>
        </w:rPr>
      </w:pPr>
      <w:r w:rsidRPr="00936371">
        <w:rPr>
          <w:rFonts w:ascii="Montserrat" w:eastAsia="Times New Roman" w:hAnsi="Montserrat" w:cs="Calibri"/>
          <w:bCs/>
          <w:sz w:val="16"/>
          <w:szCs w:val="16"/>
          <w:lang w:val="es-MX" w:eastAsia="es-MX"/>
        </w:rPr>
        <w:t>(Pesos)</w:t>
      </w:r>
    </w:p>
    <w:tbl>
      <w:tblPr>
        <w:tblW w:w="8259" w:type="dxa"/>
        <w:jc w:val="center"/>
        <w:tblCellMar>
          <w:left w:w="70" w:type="dxa"/>
          <w:right w:w="70" w:type="dxa"/>
        </w:tblCellMar>
        <w:tblLook w:val="04A0" w:firstRow="1" w:lastRow="0" w:firstColumn="1" w:lastColumn="0" w:noHBand="0" w:noVBand="1"/>
      </w:tblPr>
      <w:tblGrid>
        <w:gridCol w:w="4063"/>
        <w:gridCol w:w="2098"/>
        <w:gridCol w:w="2098"/>
      </w:tblGrid>
      <w:tr w:rsidR="00C4519E" w:rsidRPr="00A12179" w14:paraId="183FF3B0" w14:textId="77777777" w:rsidTr="00CC40D5">
        <w:trPr>
          <w:trHeight w:val="57"/>
          <w:jc w:val="center"/>
        </w:trPr>
        <w:tc>
          <w:tcPr>
            <w:tcW w:w="8259" w:type="dxa"/>
            <w:gridSpan w:val="3"/>
            <w:tcBorders>
              <w:top w:val="single" w:sz="12" w:space="0" w:color="808080" w:themeColor="background1" w:themeShade="80"/>
            </w:tcBorders>
            <w:shd w:val="clear" w:color="auto" w:fill="auto"/>
            <w:vAlign w:val="center"/>
          </w:tcPr>
          <w:p w14:paraId="131E9B7E" w14:textId="77777777" w:rsidR="00C4519E" w:rsidRPr="00A12179" w:rsidRDefault="00C4519E" w:rsidP="002F797B">
            <w:pPr>
              <w:spacing w:after="0" w:line="240" w:lineRule="auto"/>
              <w:jc w:val="center"/>
              <w:rPr>
                <w:rFonts w:ascii="Montserrat" w:eastAsia="Times New Roman" w:hAnsi="Montserrat" w:cs="Calibri"/>
                <w:b/>
                <w:bCs/>
                <w:color w:val="FFFFFF"/>
                <w:sz w:val="4"/>
                <w:szCs w:val="4"/>
                <w:lang w:val="es-MX" w:eastAsia="es-MX"/>
              </w:rPr>
            </w:pPr>
          </w:p>
        </w:tc>
      </w:tr>
      <w:tr w:rsidR="009C3C24" w:rsidRPr="006F0DF1" w14:paraId="1EC0B4F7" w14:textId="77777777" w:rsidTr="00263314">
        <w:trPr>
          <w:trHeight w:val="317"/>
          <w:jc w:val="center"/>
        </w:trPr>
        <w:tc>
          <w:tcPr>
            <w:tcW w:w="4063" w:type="dxa"/>
            <w:tcBorders>
              <w:left w:val="single" w:sz="8" w:space="0" w:color="FFFFFF" w:themeColor="background1"/>
              <w:bottom w:val="double" w:sz="12" w:space="0" w:color="808080" w:themeColor="background1" w:themeShade="80"/>
              <w:right w:val="single" w:sz="8" w:space="0" w:color="FFFFFF" w:themeColor="background1"/>
            </w:tcBorders>
            <w:shd w:val="clear" w:color="auto" w:fill="D4C19C"/>
            <w:vAlign w:val="center"/>
            <w:hideMark/>
          </w:tcPr>
          <w:p w14:paraId="68746247" w14:textId="77777777" w:rsidR="009C3C24" w:rsidRPr="006F0DF1" w:rsidRDefault="009C3C24" w:rsidP="002F797B">
            <w:pPr>
              <w:spacing w:after="0" w:line="240" w:lineRule="auto"/>
              <w:jc w:val="center"/>
              <w:rPr>
                <w:rFonts w:ascii="Montserrat" w:eastAsia="Times New Roman" w:hAnsi="Montserrat" w:cs="Calibri"/>
                <w:b/>
                <w:bCs/>
                <w:color w:val="FFFFFF"/>
                <w:sz w:val="16"/>
                <w:szCs w:val="16"/>
                <w:lang w:val="es-MX" w:eastAsia="es-MX"/>
              </w:rPr>
            </w:pPr>
            <w:r w:rsidRPr="006F0DF1">
              <w:rPr>
                <w:rFonts w:ascii="Montserrat" w:eastAsia="Times New Roman" w:hAnsi="Montserrat" w:cs="Calibri"/>
                <w:b/>
                <w:bCs/>
                <w:color w:val="FFFFFF"/>
                <w:sz w:val="16"/>
                <w:szCs w:val="16"/>
                <w:lang w:val="es-MX" w:eastAsia="es-MX"/>
              </w:rPr>
              <w:t>Concepto</w:t>
            </w:r>
          </w:p>
        </w:tc>
        <w:tc>
          <w:tcPr>
            <w:tcW w:w="2098" w:type="dxa"/>
            <w:tcBorders>
              <w:left w:val="single" w:sz="8" w:space="0" w:color="FFFFFF" w:themeColor="background1"/>
              <w:bottom w:val="double" w:sz="12" w:space="0" w:color="808080" w:themeColor="background1" w:themeShade="80"/>
              <w:right w:val="single" w:sz="8" w:space="0" w:color="FFFFFF" w:themeColor="background1"/>
            </w:tcBorders>
            <w:shd w:val="clear" w:color="auto" w:fill="D4C19C"/>
            <w:vAlign w:val="center"/>
            <w:hideMark/>
          </w:tcPr>
          <w:p w14:paraId="53EB3899" w14:textId="77777777" w:rsidR="009C3C24" w:rsidRPr="006F0DF1" w:rsidRDefault="009C3C24" w:rsidP="002F797B">
            <w:pPr>
              <w:spacing w:after="0" w:line="240" w:lineRule="auto"/>
              <w:jc w:val="center"/>
              <w:rPr>
                <w:rFonts w:ascii="Montserrat" w:eastAsia="Times New Roman" w:hAnsi="Montserrat" w:cs="Calibri"/>
                <w:b/>
                <w:bCs/>
                <w:color w:val="FFFFFF"/>
                <w:sz w:val="16"/>
                <w:szCs w:val="16"/>
                <w:lang w:val="es-MX" w:eastAsia="es-MX"/>
              </w:rPr>
            </w:pPr>
            <w:r>
              <w:rPr>
                <w:rFonts w:ascii="Montserrat" w:eastAsia="Times New Roman" w:hAnsi="Montserrat" w:cs="Calibri"/>
                <w:b/>
                <w:bCs/>
                <w:color w:val="FFFFFF"/>
                <w:sz w:val="16"/>
                <w:szCs w:val="16"/>
                <w:lang w:val="es-MX" w:eastAsia="es-MX"/>
              </w:rPr>
              <w:t>201</w:t>
            </w:r>
            <w:r w:rsidR="00BC4F01">
              <w:rPr>
                <w:rFonts w:ascii="Montserrat" w:eastAsia="Times New Roman" w:hAnsi="Montserrat" w:cs="Calibri"/>
                <w:b/>
                <w:bCs/>
                <w:color w:val="FFFFFF"/>
                <w:sz w:val="16"/>
                <w:szCs w:val="16"/>
                <w:lang w:val="es-MX" w:eastAsia="es-MX"/>
              </w:rPr>
              <w:t>9</w:t>
            </w:r>
          </w:p>
        </w:tc>
        <w:tc>
          <w:tcPr>
            <w:tcW w:w="2098" w:type="dxa"/>
            <w:tcBorders>
              <w:left w:val="single" w:sz="8" w:space="0" w:color="FFFFFF" w:themeColor="background1"/>
              <w:bottom w:val="double" w:sz="12" w:space="0" w:color="808080" w:themeColor="background1" w:themeShade="80"/>
              <w:right w:val="single" w:sz="8" w:space="0" w:color="FFFFFF" w:themeColor="background1"/>
            </w:tcBorders>
            <w:shd w:val="clear" w:color="auto" w:fill="D4C19C"/>
            <w:vAlign w:val="center"/>
            <w:hideMark/>
          </w:tcPr>
          <w:p w14:paraId="01E73AA0" w14:textId="77777777" w:rsidR="009C3C24" w:rsidRPr="006F0DF1" w:rsidRDefault="009C3C24" w:rsidP="002F797B">
            <w:pPr>
              <w:spacing w:after="0" w:line="240" w:lineRule="auto"/>
              <w:jc w:val="center"/>
              <w:rPr>
                <w:rFonts w:ascii="Montserrat" w:eastAsia="Times New Roman" w:hAnsi="Montserrat" w:cs="Calibri"/>
                <w:b/>
                <w:bCs/>
                <w:color w:val="FFFFFF"/>
                <w:sz w:val="16"/>
                <w:szCs w:val="16"/>
                <w:lang w:val="es-MX" w:eastAsia="es-MX"/>
              </w:rPr>
            </w:pPr>
            <w:r w:rsidRPr="006F0DF1">
              <w:rPr>
                <w:rFonts w:ascii="Montserrat" w:eastAsia="Times New Roman" w:hAnsi="Montserrat" w:cs="Calibri"/>
                <w:b/>
                <w:bCs/>
                <w:color w:val="FFFFFF"/>
                <w:sz w:val="16"/>
                <w:szCs w:val="16"/>
                <w:lang w:val="es-MX" w:eastAsia="es-MX"/>
              </w:rPr>
              <w:t>201</w:t>
            </w:r>
            <w:r w:rsidR="00BC4F01">
              <w:rPr>
                <w:rFonts w:ascii="Montserrat" w:eastAsia="Times New Roman" w:hAnsi="Montserrat" w:cs="Calibri"/>
                <w:b/>
                <w:bCs/>
                <w:color w:val="FFFFFF"/>
                <w:sz w:val="16"/>
                <w:szCs w:val="16"/>
                <w:lang w:val="es-MX" w:eastAsia="es-MX"/>
              </w:rPr>
              <w:t>8</w:t>
            </w:r>
          </w:p>
        </w:tc>
      </w:tr>
      <w:tr w:rsidR="00B343FE" w:rsidRPr="006F0DF1" w14:paraId="0A413777" w14:textId="77777777" w:rsidTr="00556DB3">
        <w:trPr>
          <w:trHeight w:val="215"/>
          <w:jc w:val="center"/>
        </w:trPr>
        <w:tc>
          <w:tcPr>
            <w:tcW w:w="4063" w:type="dxa"/>
            <w:tcBorders>
              <w:top w:val="double" w:sz="12" w:space="0" w:color="808080" w:themeColor="background1" w:themeShade="80"/>
            </w:tcBorders>
            <w:shd w:val="clear" w:color="auto" w:fill="F2F2F2" w:themeFill="background1" w:themeFillShade="F2"/>
            <w:vAlign w:val="center"/>
            <w:hideMark/>
          </w:tcPr>
          <w:p w14:paraId="61EB1AFB" w14:textId="77777777" w:rsidR="00B343FE" w:rsidRPr="00255081" w:rsidRDefault="00B343FE" w:rsidP="00B343FE">
            <w:pPr>
              <w:spacing w:after="0" w:line="240" w:lineRule="auto"/>
              <w:ind w:left="170"/>
              <w:rPr>
                <w:rFonts w:ascii="Montserrat" w:eastAsia="Times New Roman" w:hAnsi="Montserrat" w:cs="Calibri"/>
                <w:color w:val="000000"/>
                <w:sz w:val="15"/>
                <w:szCs w:val="15"/>
                <w:lang w:val="es-MX" w:eastAsia="es-MX"/>
              </w:rPr>
            </w:pPr>
            <w:r w:rsidRPr="00255081">
              <w:rPr>
                <w:rFonts w:ascii="Montserrat" w:eastAsia="Times New Roman" w:hAnsi="Montserrat" w:cs="Calibri"/>
                <w:color w:val="000000"/>
                <w:sz w:val="15"/>
                <w:szCs w:val="15"/>
                <w:lang w:val="es-MX" w:eastAsia="es-MX"/>
              </w:rPr>
              <w:t>Software</w:t>
            </w:r>
          </w:p>
        </w:tc>
        <w:tc>
          <w:tcPr>
            <w:tcW w:w="2098" w:type="dxa"/>
            <w:tcBorders>
              <w:top w:val="double" w:sz="12" w:space="0" w:color="808080" w:themeColor="background1" w:themeShade="80"/>
            </w:tcBorders>
            <w:shd w:val="clear" w:color="auto" w:fill="F2F2F2" w:themeFill="background1" w:themeFillShade="F2"/>
            <w:vAlign w:val="center"/>
          </w:tcPr>
          <w:p w14:paraId="13770952" w14:textId="258BC010" w:rsidR="00B343FE" w:rsidRPr="00255081" w:rsidRDefault="00B343FE" w:rsidP="00B343FE">
            <w:pPr>
              <w:spacing w:after="0" w:line="240" w:lineRule="auto"/>
              <w:jc w:val="right"/>
              <w:rPr>
                <w:rFonts w:ascii="Montserrat" w:eastAsia="Times New Roman" w:hAnsi="Montserrat" w:cs="Calibri"/>
                <w:color w:val="000000"/>
                <w:sz w:val="15"/>
                <w:szCs w:val="15"/>
                <w:lang w:val="es-MX" w:eastAsia="es-MX"/>
              </w:rPr>
            </w:pPr>
            <w:r w:rsidRPr="000F0321">
              <w:rPr>
                <w:rFonts w:ascii="Montserrat" w:hAnsi="Montserrat" w:cs="Arial"/>
                <w:color w:val="000000"/>
                <w:sz w:val="15"/>
                <w:szCs w:val="15"/>
              </w:rPr>
              <w:t>4,017,345,566</w:t>
            </w:r>
          </w:p>
        </w:tc>
        <w:tc>
          <w:tcPr>
            <w:tcW w:w="2098" w:type="dxa"/>
            <w:tcBorders>
              <w:top w:val="double" w:sz="12" w:space="0" w:color="808080" w:themeColor="background1" w:themeShade="80"/>
            </w:tcBorders>
            <w:shd w:val="clear" w:color="auto" w:fill="F2F2F2" w:themeFill="background1" w:themeFillShade="F2"/>
            <w:vAlign w:val="center"/>
            <w:hideMark/>
          </w:tcPr>
          <w:p w14:paraId="58AD451C" w14:textId="77777777" w:rsidR="00B343FE" w:rsidRPr="00255081" w:rsidRDefault="00B343FE" w:rsidP="00B343FE">
            <w:pPr>
              <w:spacing w:after="0" w:line="240" w:lineRule="auto"/>
              <w:jc w:val="right"/>
              <w:rPr>
                <w:rFonts w:ascii="Montserrat" w:eastAsia="Times New Roman" w:hAnsi="Montserrat" w:cs="Calibri"/>
                <w:color w:val="000000"/>
                <w:sz w:val="15"/>
                <w:szCs w:val="15"/>
                <w:lang w:val="es-MX" w:eastAsia="es-MX"/>
              </w:rPr>
            </w:pPr>
            <w:r w:rsidRPr="00255081">
              <w:rPr>
                <w:rFonts w:ascii="Montserrat" w:hAnsi="Montserrat" w:cs="Calibri"/>
                <w:sz w:val="15"/>
                <w:szCs w:val="15"/>
              </w:rPr>
              <w:t>3,997,247,791</w:t>
            </w:r>
          </w:p>
        </w:tc>
      </w:tr>
      <w:tr w:rsidR="00B343FE" w:rsidRPr="006F0DF1" w14:paraId="3FD24368" w14:textId="77777777" w:rsidTr="00556DB3">
        <w:trPr>
          <w:trHeight w:val="290"/>
          <w:jc w:val="center"/>
        </w:trPr>
        <w:tc>
          <w:tcPr>
            <w:tcW w:w="4063" w:type="dxa"/>
            <w:shd w:val="clear" w:color="auto" w:fill="F2F2F2" w:themeFill="background1" w:themeFillShade="F2"/>
            <w:vAlign w:val="center"/>
            <w:hideMark/>
          </w:tcPr>
          <w:p w14:paraId="02F9801D" w14:textId="77777777" w:rsidR="00B343FE" w:rsidRPr="00255081" w:rsidRDefault="00B343FE" w:rsidP="00B343FE">
            <w:pPr>
              <w:spacing w:after="0" w:line="240" w:lineRule="auto"/>
              <w:ind w:left="170"/>
              <w:rPr>
                <w:rFonts w:ascii="Montserrat" w:eastAsia="Times New Roman" w:hAnsi="Montserrat" w:cs="Calibri"/>
                <w:color w:val="000000"/>
                <w:sz w:val="15"/>
                <w:szCs w:val="15"/>
                <w:lang w:val="es-MX" w:eastAsia="es-MX"/>
              </w:rPr>
            </w:pPr>
            <w:r w:rsidRPr="00255081">
              <w:rPr>
                <w:rFonts w:ascii="Montserrat" w:eastAsia="Times New Roman" w:hAnsi="Montserrat" w:cs="Calibri"/>
                <w:color w:val="000000"/>
                <w:sz w:val="15"/>
                <w:szCs w:val="15"/>
                <w:lang w:val="es-MX" w:eastAsia="es-MX"/>
              </w:rPr>
              <w:t>Otros bienes intangibles</w:t>
            </w:r>
          </w:p>
        </w:tc>
        <w:tc>
          <w:tcPr>
            <w:tcW w:w="2098" w:type="dxa"/>
            <w:shd w:val="clear" w:color="auto" w:fill="F2F2F2" w:themeFill="background1" w:themeFillShade="F2"/>
            <w:vAlign w:val="center"/>
          </w:tcPr>
          <w:p w14:paraId="38B48EA2" w14:textId="750101F1" w:rsidR="00B343FE" w:rsidRPr="00255081" w:rsidRDefault="00B343FE" w:rsidP="00B343FE">
            <w:pPr>
              <w:spacing w:after="0" w:line="240" w:lineRule="auto"/>
              <w:jc w:val="right"/>
              <w:rPr>
                <w:rFonts w:ascii="Montserrat" w:eastAsia="Times New Roman" w:hAnsi="Montserrat" w:cs="Calibri"/>
                <w:color w:val="000000"/>
                <w:sz w:val="15"/>
                <w:szCs w:val="15"/>
                <w:lang w:val="es-MX" w:eastAsia="es-MX"/>
              </w:rPr>
            </w:pPr>
            <w:r w:rsidRPr="000F0321">
              <w:rPr>
                <w:rFonts w:ascii="Montserrat" w:hAnsi="Montserrat" w:cs="Arial"/>
                <w:color w:val="000000"/>
                <w:sz w:val="15"/>
                <w:szCs w:val="15"/>
              </w:rPr>
              <w:t>207,047,345</w:t>
            </w:r>
          </w:p>
        </w:tc>
        <w:tc>
          <w:tcPr>
            <w:tcW w:w="2098" w:type="dxa"/>
            <w:shd w:val="clear" w:color="auto" w:fill="F2F2F2" w:themeFill="background1" w:themeFillShade="F2"/>
            <w:vAlign w:val="center"/>
            <w:hideMark/>
          </w:tcPr>
          <w:p w14:paraId="01D0BC3E" w14:textId="77777777" w:rsidR="00B343FE" w:rsidRPr="00255081" w:rsidRDefault="00B343FE" w:rsidP="00B343FE">
            <w:pPr>
              <w:spacing w:after="0" w:line="240" w:lineRule="auto"/>
              <w:jc w:val="right"/>
              <w:rPr>
                <w:rFonts w:ascii="Montserrat" w:eastAsia="Times New Roman" w:hAnsi="Montserrat" w:cs="Calibri"/>
                <w:color w:val="000000"/>
                <w:sz w:val="15"/>
                <w:szCs w:val="15"/>
                <w:lang w:val="es-MX" w:eastAsia="es-MX"/>
              </w:rPr>
            </w:pPr>
            <w:r w:rsidRPr="00255081">
              <w:rPr>
                <w:rFonts w:ascii="Montserrat" w:hAnsi="Montserrat" w:cs="Calibri"/>
                <w:bCs/>
                <w:sz w:val="15"/>
                <w:szCs w:val="15"/>
              </w:rPr>
              <w:t>207,038,002</w:t>
            </w:r>
          </w:p>
        </w:tc>
      </w:tr>
      <w:tr w:rsidR="00B343FE" w:rsidRPr="006F0DF1" w14:paraId="0DEFB82A" w14:textId="77777777" w:rsidTr="00556DB3">
        <w:trPr>
          <w:trHeight w:val="215"/>
          <w:jc w:val="center"/>
        </w:trPr>
        <w:tc>
          <w:tcPr>
            <w:tcW w:w="4063" w:type="dxa"/>
            <w:tcBorders>
              <w:bottom w:val="single" w:sz="12" w:space="0" w:color="808080" w:themeColor="background1" w:themeShade="80"/>
            </w:tcBorders>
            <w:shd w:val="clear" w:color="auto" w:fill="F2F2F2" w:themeFill="background1" w:themeFillShade="F2"/>
            <w:vAlign w:val="center"/>
            <w:hideMark/>
          </w:tcPr>
          <w:p w14:paraId="0070BF0F" w14:textId="77777777" w:rsidR="00B343FE" w:rsidRPr="00255081" w:rsidRDefault="00B343FE" w:rsidP="00B343FE">
            <w:pPr>
              <w:spacing w:after="0" w:line="240" w:lineRule="auto"/>
              <w:ind w:left="170"/>
              <w:jc w:val="right"/>
              <w:rPr>
                <w:rFonts w:ascii="Montserrat" w:eastAsia="Times New Roman" w:hAnsi="Montserrat" w:cs="Calibri"/>
                <w:b/>
                <w:color w:val="000000"/>
                <w:sz w:val="15"/>
                <w:szCs w:val="15"/>
                <w:lang w:val="es-MX" w:eastAsia="es-MX"/>
              </w:rPr>
            </w:pPr>
            <w:r w:rsidRPr="00255081">
              <w:rPr>
                <w:rFonts w:ascii="Montserrat" w:eastAsia="Times New Roman" w:hAnsi="Montserrat" w:cs="Calibri"/>
                <w:b/>
                <w:color w:val="000000"/>
                <w:sz w:val="15"/>
                <w:szCs w:val="15"/>
                <w:lang w:val="es-MX" w:eastAsia="es-MX"/>
              </w:rPr>
              <w:t>Total Activos Intangibles</w:t>
            </w:r>
          </w:p>
        </w:tc>
        <w:tc>
          <w:tcPr>
            <w:tcW w:w="2098" w:type="dxa"/>
            <w:tcBorders>
              <w:bottom w:val="single" w:sz="12" w:space="0" w:color="808080" w:themeColor="background1" w:themeShade="80"/>
            </w:tcBorders>
            <w:shd w:val="clear" w:color="auto" w:fill="F2F2F2" w:themeFill="background1" w:themeFillShade="F2"/>
            <w:vAlign w:val="center"/>
          </w:tcPr>
          <w:p w14:paraId="005E5781" w14:textId="539784D0" w:rsidR="00B343FE" w:rsidRPr="00255081" w:rsidRDefault="00B343FE" w:rsidP="00B343FE">
            <w:pPr>
              <w:spacing w:after="0" w:line="240" w:lineRule="auto"/>
              <w:jc w:val="right"/>
              <w:rPr>
                <w:rFonts w:ascii="Montserrat" w:eastAsia="Times New Roman" w:hAnsi="Montserrat" w:cs="Calibri"/>
                <w:b/>
                <w:bCs/>
                <w:sz w:val="15"/>
                <w:szCs w:val="15"/>
                <w:lang w:val="es-MX" w:eastAsia="es-MX"/>
              </w:rPr>
            </w:pPr>
            <w:r w:rsidRPr="000F0321">
              <w:rPr>
                <w:rFonts w:ascii="Montserrat" w:hAnsi="Montserrat" w:cs="Arial"/>
                <w:b/>
                <w:bCs/>
                <w:color w:val="000000"/>
                <w:sz w:val="15"/>
                <w:szCs w:val="15"/>
              </w:rPr>
              <w:t>4,224,392,911</w:t>
            </w:r>
          </w:p>
        </w:tc>
        <w:tc>
          <w:tcPr>
            <w:tcW w:w="2098" w:type="dxa"/>
            <w:tcBorders>
              <w:bottom w:val="single" w:sz="12" w:space="0" w:color="808080" w:themeColor="background1" w:themeShade="80"/>
            </w:tcBorders>
            <w:shd w:val="clear" w:color="auto" w:fill="F2F2F2" w:themeFill="background1" w:themeFillShade="F2"/>
            <w:vAlign w:val="center"/>
            <w:hideMark/>
          </w:tcPr>
          <w:p w14:paraId="3E4F940E" w14:textId="77777777" w:rsidR="00B343FE" w:rsidRPr="00255081" w:rsidRDefault="00B343FE" w:rsidP="00B343FE">
            <w:pPr>
              <w:spacing w:after="0" w:line="240" w:lineRule="auto"/>
              <w:jc w:val="right"/>
              <w:rPr>
                <w:rFonts w:ascii="Montserrat" w:eastAsia="Times New Roman" w:hAnsi="Montserrat" w:cs="Calibri"/>
                <w:b/>
                <w:bCs/>
                <w:sz w:val="15"/>
                <w:szCs w:val="15"/>
                <w:lang w:val="es-MX" w:eastAsia="es-MX"/>
              </w:rPr>
            </w:pPr>
            <w:r w:rsidRPr="00255081">
              <w:rPr>
                <w:rFonts w:ascii="Montserrat" w:hAnsi="Montserrat" w:cs="Calibri"/>
                <w:b/>
                <w:bCs/>
                <w:sz w:val="15"/>
                <w:szCs w:val="15"/>
              </w:rPr>
              <w:t>4,204,285,793</w:t>
            </w:r>
          </w:p>
        </w:tc>
      </w:tr>
    </w:tbl>
    <w:p w14:paraId="4078CD85" w14:textId="77777777" w:rsidR="00263314" w:rsidRDefault="00263314" w:rsidP="00263314">
      <w:pPr>
        <w:spacing w:after="0" w:line="240" w:lineRule="auto"/>
        <w:jc w:val="both"/>
        <w:rPr>
          <w:rFonts w:ascii="Montserrat" w:hAnsi="Montserrat"/>
          <w:sz w:val="18"/>
          <w:szCs w:val="18"/>
        </w:rPr>
      </w:pPr>
    </w:p>
    <w:p w14:paraId="11AD11EF" w14:textId="77777777" w:rsidR="009C3C24" w:rsidRPr="004E44CE" w:rsidRDefault="009C3C24" w:rsidP="00263314">
      <w:pPr>
        <w:pStyle w:val="VIETAFLECHA"/>
        <w:numPr>
          <w:ilvl w:val="0"/>
          <w:numId w:val="13"/>
        </w:numPr>
        <w:ind w:left="357" w:hanging="357"/>
        <w:rPr>
          <w:rFonts w:cs="Arial"/>
          <w:spacing w:val="-1"/>
        </w:rPr>
      </w:pPr>
      <w:r w:rsidRPr="004E44CE">
        <w:rPr>
          <w:rFonts w:cs="Arial"/>
          <w:spacing w:val="-1"/>
        </w:rPr>
        <w:t>Activos Diferidos</w:t>
      </w:r>
    </w:p>
    <w:p w14:paraId="3795C47C" w14:textId="77777777" w:rsidR="009C3C24" w:rsidRPr="00063579" w:rsidRDefault="009C3C24" w:rsidP="00063579">
      <w:pPr>
        <w:spacing w:after="120" w:line="250" w:lineRule="exact"/>
        <w:jc w:val="both"/>
        <w:rPr>
          <w:rFonts w:ascii="Montserrat" w:hAnsi="Montserrat"/>
          <w:sz w:val="18"/>
          <w:szCs w:val="18"/>
        </w:rPr>
      </w:pPr>
      <w:r w:rsidRPr="00F30620">
        <w:rPr>
          <w:rFonts w:ascii="Montserrat" w:hAnsi="Montserrat"/>
          <w:sz w:val="18"/>
          <w:szCs w:val="18"/>
        </w:rPr>
        <w:t>Se presenta la integ</w:t>
      </w:r>
      <w:r w:rsidR="009240B2" w:rsidRPr="00F30620">
        <w:rPr>
          <w:rFonts w:ascii="Montserrat" w:hAnsi="Montserrat"/>
          <w:sz w:val="18"/>
          <w:szCs w:val="18"/>
        </w:rPr>
        <w:t>ración de los Activos Diferidos:</w:t>
      </w:r>
    </w:p>
    <w:p w14:paraId="079F878A" w14:textId="77777777" w:rsidR="009C3C24" w:rsidRPr="00936371" w:rsidRDefault="009C3C24" w:rsidP="00E52592">
      <w:pPr>
        <w:spacing w:after="60" w:line="250" w:lineRule="exact"/>
        <w:ind w:left="709"/>
        <w:jc w:val="center"/>
        <w:rPr>
          <w:rFonts w:ascii="Montserrat" w:hAnsi="Montserrat" w:cs="Arial"/>
          <w:spacing w:val="-1"/>
          <w:sz w:val="18"/>
          <w:szCs w:val="18"/>
        </w:rPr>
      </w:pPr>
      <w:r w:rsidRPr="00936371">
        <w:rPr>
          <w:rFonts w:ascii="Montserrat" w:eastAsia="Times New Roman" w:hAnsi="Montserrat" w:cs="Calibri"/>
          <w:bCs/>
          <w:sz w:val="16"/>
          <w:szCs w:val="16"/>
          <w:lang w:val="es-MX" w:eastAsia="es-MX"/>
        </w:rPr>
        <w:t>(Pesos)</w:t>
      </w:r>
    </w:p>
    <w:tbl>
      <w:tblPr>
        <w:tblW w:w="8135" w:type="dxa"/>
        <w:jc w:val="center"/>
        <w:tblCellMar>
          <w:left w:w="70" w:type="dxa"/>
          <w:right w:w="70" w:type="dxa"/>
        </w:tblCellMar>
        <w:tblLook w:val="04A0" w:firstRow="1" w:lastRow="0" w:firstColumn="1" w:lastColumn="0" w:noHBand="0" w:noVBand="1"/>
      </w:tblPr>
      <w:tblGrid>
        <w:gridCol w:w="3939"/>
        <w:gridCol w:w="2098"/>
        <w:gridCol w:w="2098"/>
      </w:tblGrid>
      <w:tr w:rsidR="00C4519E" w:rsidRPr="00DA0214" w14:paraId="69650E03" w14:textId="77777777" w:rsidTr="00CC40D5">
        <w:trPr>
          <w:trHeight w:val="57"/>
          <w:jc w:val="center"/>
        </w:trPr>
        <w:tc>
          <w:tcPr>
            <w:tcW w:w="8135" w:type="dxa"/>
            <w:gridSpan w:val="3"/>
            <w:tcBorders>
              <w:top w:val="single" w:sz="12" w:space="0" w:color="808080" w:themeColor="background1" w:themeShade="80"/>
            </w:tcBorders>
            <w:shd w:val="clear" w:color="auto" w:fill="auto"/>
            <w:vAlign w:val="center"/>
          </w:tcPr>
          <w:p w14:paraId="0E1F7F58" w14:textId="77777777" w:rsidR="00C4519E" w:rsidRPr="00DA0214" w:rsidRDefault="00C4519E" w:rsidP="002F797B">
            <w:pPr>
              <w:spacing w:after="0" w:line="240" w:lineRule="auto"/>
              <w:jc w:val="center"/>
              <w:rPr>
                <w:rFonts w:ascii="Montserrat" w:eastAsia="Times New Roman" w:hAnsi="Montserrat" w:cs="Calibri"/>
                <w:b/>
                <w:bCs/>
                <w:color w:val="FFFFFF"/>
                <w:sz w:val="4"/>
                <w:szCs w:val="4"/>
                <w:lang w:val="es-MX" w:eastAsia="es-MX"/>
              </w:rPr>
            </w:pPr>
          </w:p>
        </w:tc>
      </w:tr>
      <w:tr w:rsidR="009C3C24" w:rsidRPr="006F0DF1" w14:paraId="261B680A" w14:textId="77777777" w:rsidTr="00263314">
        <w:trPr>
          <w:trHeight w:val="317"/>
          <w:jc w:val="center"/>
        </w:trPr>
        <w:tc>
          <w:tcPr>
            <w:tcW w:w="3939" w:type="dxa"/>
            <w:tcBorders>
              <w:left w:val="single" w:sz="8" w:space="0" w:color="FFFFFF" w:themeColor="background1"/>
              <w:bottom w:val="double" w:sz="12" w:space="0" w:color="808080" w:themeColor="background1" w:themeShade="80"/>
              <w:right w:val="single" w:sz="8" w:space="0" w:color="FFFFFF" w:themeColor="background1"/>
            </w:tcBorders>
            <w:shd w:val="clear" w:color="auto" w:fill="D4C19C"/>
            <w:vAlign w:val="center"/>
            <w:hideMark/>
          </w:tcPr>
          <w:p w14:paraId="64D76806" w14:textId="77777777" w:rsidR="009C3C24" w:rsidRPr="006F0DF1" w:rsidRDefault="009C3C24" w:rsidP="002F797B">
            <w:pPr>
              <w:spacing w:after="0" w:line="240" w:lineRule="auto"/>
              <w:jc w:val="center"/>
              <w:rPr>
                <w:rFonts w:ascii="Montserrat" w:eastAsia="Times New Roman" w:hAnsi="Montserrat" w:cs="Calibri"/>
                <w:b/>
                <w:bCs/>
                <w:color w:val="FFFFFF"/>
                <w:sz w:val="16"/>
                <w:szCs w:val="16"/>
                <w:lang w:val="es-MX" w:eastAsia="es-MX"/>
              </w:rPr>
            </w:pPr>
            <w:r w:rsidRPr="006F0DF1">
              <w:rPr>
                <w:rFonts w:ascii="Montserrat" w:eastAsia="Times New Roman" w:hAnsi="Montserrat" w:cs="Calibri"/>
                <w:b/>
                <w:bCs/>
                <w:color w:val="FFFFFF"/>
                <w:sz w:val="16"/>
                <w:szCs w:val="16"/>
                <w:lang w:val="es-MX" w:eastAsia="es-MX"/>
              </w:rPr>
              <w:t>Concepto</w:t>
            </w:r>
          </w:p>
        </w:tc>
        <w:tc>
          <w:tcPr>
            <w:tcW w:w="2098" w:type="dxa"/>
            <w:tcBorders>
              <w:left w:val="single" w:sz="8" w:space="0" w:color="FFFFFF" w:themeColor="background1"/>
              <w:bottom w:val="double" w:sz="12" w:space="0" w:color="808080" w:themeColor="background1" w:themeShade="80"/>
              <w:right w:val="single" w:sz="8" w:space="0" w:color="FFFFFF" w:themeColor="background1"/>
            </w:tcBorders>
            <w:shd w:val="clear" w:color="auto" w:fill="D4C19C"/>
            <w:vAlign w:val="center"/>
            <w:hideMark/>
          </w:tcPr>
          <w:p w14:paraId="36BE8D57" w14:textId="77777777" w:rsidR="009C3C24" w:rsidRPr="006F0DF1" w:rsidRDefault="009C3C24" w:rsidP="002F797B">
            <w:pPr>
              <w:spacing w:after="0" w:line="240" w:lineRule="auto"/>
              <w:jc w:val="center"/>
              <w:rPr>
                <w:rFonts w:ascii="Montserrat" w:eastAsia="Times New Roman" w:hAnsi="Montserrat" w:cs="Calibri"/>
                <w:b/>
                <w:bCs/>
                <w:color w:val="FFFFFF"/>
                <w:sz w:val="16"/>
                <w:szCs w:val="16"/>
                <w:lang w:val="es-MX" w:eastAsia="es-MX"/>
              </w:rPr>
            </w:pPr>
            <w:r>
              <w:rPr>
                <w:rFonts w:ascii="Montserrat" w:eastAsia="Times New Roman" w:hAnsi="Montserrat" w:cs="Calibri"/>
                <w:b/>
                <w:bCs/>
                <w:color w:val="FFFFFF"/>
                <w:sz w:val="16"/>
                <w:szCs w:val="16"/>
                <w:lang w:val="es-MX" w:eastAsia="es-MX"/>
              </w:rPr>
              <w:t>201</w:t>
            </w:r>
            <w:r w:rsidR="00BC4F01">
              <w:rPr>
                <w:rFonts w:ascii="Montserrat" w:eastAsia="Times New Roman" w:hAnsi="Montserrat" w:cs="Calibri"/>
                <w:b/>
                <w:bCs/>
                <w:color w:val="FFFFFF"/>
                <w:sz w:val="16"/>
                <w:szCs w:val="16"/>
                <w:lang w:val="es-MX" w:eastAsia="es-MX"/>
              </w:rPr>
              <w:t>9</w:t>
            </w:r>
          </w:p>
        </w:tc>
        <w:tc>
          <w:tcPr>
            <w:tcW w:w="2098" w:type="dxa"/>
            <w:tcBorders>
              <w:left w:val="single" w:sz="8" w:space="0" w:color="FFFFFF" w:themeColor="background1"/>
              <w:bottom w:val="double" w:sz="12" w:space="0" w:color="808080" w:themeColor="background1" w:themeShade="80"/>
              <w:right w:val="single" w:sz="8" w:space="0" w:color="FFFFFF" w:themeColor="background1"/>
            </w:tcBorders>
            <w:shd w:val="clear" w:color="auto" w:fill="D4C19C"/>
            <w:vAlign w:val="center"/>
            <w:hideMark/>
          </w:tcPr>
          <w:p w14:paraId="4741104E" w14:textId="77777777" w:rsidR="009C3C24" w:rsidRPr="006F0DF1" w:rsidRDefault="009C3C24" w:rsidP="002F797B">
            <w:pPr>
              <w:spacing w:after="0" w:line="240" w:lineRule="auto"/>
              <w:jc w:val="center"/>
              <w:rPr>
                <w:rFonts w:ascii="Montserrat" w:eastAsia="Times New Roman" w:hAnsi="Montserrat" w:cs="Calibri"/>
                <w:b/>
                <w:bCs/>
                <w:color w:val="FFFFFF"/>
                <w:sz w:val="16"/>
                <w:szCs w:val="16"/>
                <w:lang w:val="es-MX" w:eastAsia="es-MX"/>
              </w:rPr>
            </w:pPr>
            <w:r>
              <w:rPr>
                <w:rFonts w:ascii="Montserrat" w:eastAsia="Times New Roman" w:hAnsi="Montserrat" w:cs="Calibri"/>
                <w:b/>
                <w:bCs/>
                <w:color w:val="FFFFFF"/>
                <w:sz w:val="16"/>
                <w:szCs w:val="16"/>
                <w:lang w:val="es-MX" w:eastAsia="es-MX"/>
              </w:rPr>
              <w:t>201</w:t>
            </w:r>
            <w:r w:rsidR="00BC4F01">
              <w:rPr>
                <w:rFonts w:ascii="Montserrat" w:eastAsia="Times New Roman" w:hAnsi="Montserrat" w:cs="Calibri"/>
                <w:b/>
                <w:bCs/>
                <w:color w:val="FFFFFF"/>
                <w:sz w:val="16"/>
                <w:szCs w:val="16"/>
                <w:lang w:val="es-MX" w:eastAsia="es-MX"/>
              </w:rPr>
              <w:t>8</w:t>
            </w:r>
          </w:p>
        </w:tc>
      </w:tr>
      <w:tr w:rsidR="005E3C4A" w:rsidRPr="006F0DF1" w14:paraId="1C4CABB4" w14:textId="77777777" w:rsidTr="00556DB3">
        <w:trPr>
          <w:trHeight w:val="215"/>
          <w:jc w:val="center"/>
        </w:trPr>
        <w:tc>
          <w:tcPr>
            <w:tcW w:w="3939" w:type="dxa"/>
            <w:tcBorders>
              <w:top w:val="double" w:sz="12" w:space="0" w:color="808080" w:themeColor="background1" w:themeShade="80"/>
            </w:tcBorders>
            <w:shd w:val="clear" w:color="auto" w:fill="F2F2F2" w:themeFill="background1" w:themeFillShade="F2"/>
            <w:vAlign w:val="center"/>
            <w:hideMark/>
          </w:tcPr>
          <w:p w14:paraId="04730A19" w14:textId="77777777" w:rsidR="005E3C4A" w:rsidRPr="00255081" w:rsidRDefault="005E3C4A" w:rsidP="005E3C4A">
            <w:pPr>
              <w:spacing w:after="0" w:line="240" w:lineRule="auto"/>
              <w:ind w:left="170"/>
              <w:jc w:val="both"/>
              <w:rPr>
                <w:rFonts w:ascii="Montserrat" w:eastAsia="Times New Roman" w:hAnsi="Montserrat" w:cs="Calibri"/>
                <w:color w:val="000000"/>
                <w:sz w:val="15"/>
                <w:szCs w:val="15"/>
                <w:lang w:val="es-MX" w:eastAsia="es-MX"/>
              </w:rPr>
            </w:pPr>
            <w:r w:rsidRPr="00255081">
              <w:rPr>
                <w:rFonts w:ascii="Montserrat" w:eastAsia="Times New Roman" w:hAnsi="Montserrat" w:cs="Calibri"/>
                <w:color w:val="000000"/>
                <w:sz w:val="15"/>
                <w:szCs w:val="15"/>
                <w:lang w:val="es-MX" w:eastAsia="es-MX"/>
              </w:rPr>
              <w:t>Derechos Sobre Bienes en Régimen de Arrendamiento Financiero</w:t>
            </w:r>
          </w:p>
        </w:tc>
        <w:tc>
          <w:tcPr>
            <w:tcW w:w="2098" w:type="dxa"/>
            <w:tcBorders>
              <w:top w:val="double" w:sz="12" w:space="0" w:color="808080" w:themeColor="background1" w:themeShade="80"/>
            </w:tcBorders>
            <w:shd w:val="clear" w:color="auto" w:fill="F2F2F2" w:themeFill="background1" w:themeFillShade="F2"/>
            <w:vAlign w:val="center"/>
          </w:tcPr>
          <w:p w14:paraId="4C5718FA" w14:textId="3C403D35" w:rsidR="005E3C4A" w:rsidRPr="00255081" w:rsidRDefault="005E3C4A" w:rsidP="005E3C4A">
            <w:pPr>
              <w:spacing w:after="0" w:line="240" w:lineRule="auto"/>
              <w:jc w:val="right"/>
              <w:rPr>
                <w:rFonts w:ascii="Montserrat" w:hAnsi="Montserrat"/>
                <w:color w:val="000000"/>
                <w:sz w:val="15"/>
                <w:szCs w:val="15"/>
                <w:lang w:val="es-MX" w:eastAsia="es-MX"/>
              </w:rPr>
            </w:pPr>
            <w:r w:rsidRPr="000F0321">
              <w:rPr>
                <w:rFonts w:ascii="Montserrat" w:hAnsi="Montserrat" w:cs="Arial"/>
                <w:color w:val="000000"/>
                <w:sz w:val="15"/>
                <w:szCs w:val="15"/>
              </w:rPr>
              <w:t>11,984,259,868</w:t>
            </w:r>
          </w:p>
        </w:tc>
        <w:tc>
          <w:tcPr>
            <w:tcW w:w="2098" w:type="dxa"/>
            <w:tcBorders>
              <w:top w:val="double" w:sz="12" w:space="0" w:color="808080" w:themeColor="background1" w:themeShade="80"/>
            </w:tcBorders>
            <w:shd w:val="clear" w:color="auto" w:fill="F2F2F2" w:themeFill="background1" w:themeFillShade="F2"/>
            <w:vAlign w:val="center"/>
            <w:hideMark/>
          </w:tcPr>
          <w:p w14:paraId="44661BFE" w14:textId="77777777" w:rsidR="005E3C4A" w:rsidRPr="00255081" w:rsidRDefault="005E3C4A" w:rsidP="005E3C4A">
            <w:pPr>
              <w:spacing w:after="0" w:line="240" w:lineRule="auto"/>
              <w:jc w:val="right"/>
              <w:rPr>
                <w:rFonts w:ascii="Montserrat" w:hAnsi="Montserrat"/>
                <w:color w:val="000000"/>
                <w:sz w:val="15"/>
                <w:szCs w:val="15"/>
                <w:lang w:val="es-MX" w:eastAsia="es-MX"/>
              </w:rPr>
            </w:pPr>
            <w:r w:rsidRPr="00255081">
              <w:rPr>
                <w:rFonts w:ascii="Montserrat" w:hAnsi="Montserrat"/>
                <w:color w:val="000000"/>
                <w:sz w:val="15"/>
                <w:szCs w:val="15"/>
                <w:lang w:val="es-MX" w:eastAsia="es-MX"/>
              </w:rPr>
              <w:t>9,222,831,972</w:t>
            </w:r>
          </w:p>
        </w:tc>
      </w:tr>
      <w:tr w:rsidR="005E3C4A" w:rsidRPr="006F0DF1" w14:paraId="611B8352" w14:textId="77777777" w:rsidTr="00556DB3">
        <w:trPr>
          <w:trHeight w:val="215"/>
          <w:jc w:val="center"/>
        </w:trPr>
        <w:tc>
          <w:tcPr>
            <w:tcW w:w="3939" w:type="dxa"/>
            <w:shd w:val="clear" w:color="auto" w:fill="F2F2F2" w:themeFill="background1" w:themeFillShade="F2"/>
            <w:vAlign w:val="center"/>
            <w:hideMark/>
          </w:tcPr>
          <w:p w14:paraId="4463D65B" w14:textId="77777777" w:rsidR="005E3C4A" w:rsidRPr="00255081" w:rsidRDefault="005E3C4A" w:rsidP="005E3C4A">
            <w:pPr>
              <w:spacing w:after="0" w:line="240" w:lineRule="auto"/>
              <w:ind w:left="170"/>
              <w:rPr>
                <w:rFonts w:ascii="Montserrat" w:eastAsia="Times New Roman" w:hAnsi="Montserrat" w:cs="Calibri"/>
                <w:color w:val="000000"/>
                <w:sz w:val="15"/>
                <w:szCs w:val="15"/>
                <w:lang w:val="es-MX" w:eastAsia="es-MX"/>
              </w:rPr>
            </w:pPr>
            <w:r w:rsidRPr="00255081">
              <w:rPr>
                <w:rFonts w:ascii="Montserrat" w:eastAsia="Times New Roman" w:hAnsi="Montserrat" w:cs="Calibri"/>
                <w:color w:val="000000"/>
                <w:sz w:val="15"/>
                <w:szCs w:val="15"/>
                <w:lang w:val="es-MX" w:eastAsia="es-MX"/>
              </w:rPr>
              <w:t>Otros Activos Diferidos</w:t>
            </w:r>
          </w:p>
        </w:tc>
        <w:tc>
          <w:tcPr>
            <w:tcW w:w="2098" w:type="dxa"/>
            <w:shd w:val="clear" w:color="auto" w:fill="F2F2F2" w:themeFill="background1" w:themeFillShade="F2"/>
            <w:vAlign w:val="center"/>
          </w:tcPr>
          <w:p w14:paraId="45234337" w14:textId="7663A6BE" w:rsidR="005E3C4A" w:rsidRPr="00255081" w:rsidRDefault="00F30620" w:rsidP="005E3C4A">
            <w:pPr>
              <w:spacing w:after="0" w:line="240" w:lineRule="auto"/>
              <w:jc w:val="right"/>
              <w:rPr>
                <w:rFonts w:ascii="Montserrat" w:hAnsi="Montserrat"/>
                <w:color w:val="000000"/>
                <w:sz w:val="15"/>
                <w:szCs w:val="15"/>
                <w:lang w:eastAsia="es-MX"/>
              </w:rPr>
            </w:pPr>
            <w:r w:rsidRPr="000F0321">
              <w:rPr>
                <w:rFonts w:ascii="Montserrat" w:hAnsi="Montserrat" w:cs="Arial"/>
                <w:color w:val="000000"/>
                <w:sz w:val="15"/>
                <w:szCs w:val="15"/>
              </w:rPr>
              <w:t>10,387,557,486</w:t>
            </w:r>
          </w:p>
        </w:tc>
        <w:tc>
          <w:tcPr>
            <w:tcW w:w="2098" w:type="dxa"/>
            <w:shd w:val="clear" w:color="auto" w:fill="F2F2F2" w:themeFill="background1" w:themeFillShade="F2"/>
            <w:vAlign w:val="center"/>
            <w:hideMark/>
          </w:tcPr>
          <w:p w14:paraId="74D66CDE" w14:textId="77777777" w:rsidR="005E3C4A" w:rsidRPr="00255081" w:rsidRDefault="005E3C4A" w:rsidP="005E3C4A">
            <w:pPr>
              <w:spacing w:after="0" w:line="240" w:lineRule="auto"/>
              <w:jc w:val="right"/>
              <w:rPr>
                <w:rFonts w:ascii="Montserrat" w:hAnsi="Montserrat"/>
                <w:color w:val="000000"/>
                <w:sz w:val="15"/>
                <w:szCs w:val="15"/>
                <w:lang w:eastAsia="es-MX"/>
              </w:rPr>
            </w:pPr>
            <w:r w:rsidRPr="00255081">
              <w:rPr>
                <w:rFonts w:ascii="Montserrat" w:hAnsi="Montserrat"/>
                <w:color w:val="000000"/>
                <w:sz w:val="15"/>
                <w:szCs w:val="15"/>
                <w:lang w:eastAsia="es-MX"/>
              </w:rPr>
              <w:t>14,083,474,923</w:t>
            </w:r>
          </w:p>
        </w:tc>
      </w:tr>
      <w:tr w:rsidR="005E3C4A" w:rsidRPr="006F0DF1" w14:paraId="4BA1B9AB" w14:textId="77777777" w:rsidTr="00556DB3">
        <w:trPr>
          <w:trHeight w:val="215"/>
          <w:jc w:val="center"/>
        </w:trPr>
        <w:tc>
          <w:tcPr>
            <w:tcW w:w="3939" w:type="dxa"/>
            <w:tcBorders>
              <w:bottom w:val="single" w:sz="12" w:space="0" w:color="808080" w:themeColor="background1" w:themeShade="80"/>
            </w:tcBorders>
            <w:shd w:val="clear" w:color="auto" w:fill="F2F2F2" w:themeFill="background1" w:themeFillShade="F2"/>
            <w:vAlign w:val="center"/>
            <w:hideMark/>
          </w:tcPr>
          <w:p w14:paraId="7789D899" w14:textId="77777777" w:rsidR="005E3C4A" w:rsidRPr="00255081" w:rsidRDefault="005E3C4A" w:rsidP="005E3C4A">
            <w:pPr>
              <w:spacing w:after="0" w:line="240" w:lineRule="auto"/>
              <w:ind w:left="170"/>
              <w:jc w:val="right"/>
              <w:rPr>
                <w:rFonts w:ascii="Montserrat" w:eastAsia="Times New Roman" w:hAnsi="Montserrat" w:cs="Calibri"/>
                <w:b/>
                <w:color w:val="000000"/>
                <w:sz w:val="15"/>
                <w:szCs w:val="15"/>
                <w:lang w:val="es-MX" w:eastAsia="es-MX"/>
              </w:rPr>
            </w:pPr>
            <w:r w:rsidRPr="00255081">
              <w:rPr>
                <w:rFonts w:ascii="Montserrat" w:eastAsia="Times New Roman" w:hAnsi="Montserrat" w:cs="Calibri"/>
                <w:b/>
                <w:color w:val="000000"/>
                <w:sz w:val="15"/>
                <w:szCs w:val="15"/>
                <w:lang w:val="es-MX" w:eastAsia="es-MX"/>
              </w:rPr>
              <w:t>Total Activos Diferidos</w:t>
            </w:r>
          </w:p>
        </w:tc>
        <w:tc>
          <w:tcPr>
            <w:tcW w:w="2098" w:type="dxa"/>
            <w:tcBorders>
              <w:bottom w:val="single" w:sz="12" w:space="0" w:color="808080" w:themeColor="background1" w:themeShade="80"/>
            </w:tcBorders>
            <w:shd w:val="clear" w:color="auto" w:fill="F2F2F2" w:themeFill="background1" w:themeFillShade="F2"/>
            <w:vAlign w:val="center"/>
          </w:tcPr>
          <w:p w14:paraId="7E47506D" w14:textId="4E2B39FC" w:rsidR="005E3C4A" w:rsidRPr="000F0321" w:rsidRDefault="00F30620" w:rsidP="005E3C4A">
            <w:pPr>
              <w:spacing w:after="0" w:line="240" w:lineRule="auto"/>
              <w:jc w:val="right"/>
              <w:rPr>
                <w:rFonts w:ascii="Montserrat" w:eastAsia="Times New Roman" w:hAnsi="Montserrat" w:cs="Calibri"/>
                <w:b/>
                <w:sz w:val="15"/>
                <w:szCs w:val="15"/>
                <w:highlight w:val="magenta"/>
                <w:lang w:val="es-MX" w:eastAsia="es-MX"/>
              </w:rPr>
            </w:pPr>
            <w:r w:rsidRPr="000F0321">
              <w:rPr>
                <w:rFonts w:ascii="Montserrat" w:hAnsi="Montserrat" w:cs="Arial"/>
                <w:b/>
                <w:bCs/>
                <w:color w:val="000000"/>
                <w:sz w:val="15"/>
                <w:szCs w:val="15"/>
              </w:rPr>
              <w:t>22,371,817,354</w:t>
            </w:r>
          </w:p>
        </w:tc>
        <w:tc>
          <w:tcPr>
            <w:tcW w:w="2098" w:type="dxa"/>
            <w:tcBorders>
              <w:bottom w:val="single" w:sz="12" w:space="0" w:color="808080" w:themeColor="background1" w:themeShade="80"/>
            </w:tcBorders>
            <w:shd w:val="clear" w:color="auto" w:fill="F2F2F2" w:themeFill="background1" w:themeFillShade="F2"/>
            <w:vAlign w:val="center"/>
            <w:hideMark/>
          </w:tcPr>
          <w:p w14:paraId="10E566B4" w14:textId="77777777" w:rsidR="005E3C4A" w:rsidRPr="00255081" w:rsidRDefault="005E3C4A" w:rsidP="005E3C4A">
            <w:pPr>
              <w:spacing w:after="0" w:line="240" w:lineRule="auto"/>
              <w:jc w:val="right"/>
              <w:rPr>
                <w:rFonts w:ascii="Montserrat" w:eastAsia="Times New Roman" w:hAnsi="Montserrat" w:cs="Calibri"/>
                <w:b/>
                <w:sz w:val="15"/>
                <w:szCs w:val="15"/>
                <w:lang w:val="es-MX" w:eastAsia="es-MX"/>
              </w:rPr>
            </w:pPr>
            <w:r w:rsidRPr="00255081">
              <w:rPr>
                <w:rFonts w:ascii="Montserrat" w:eastAsia="Times New Roman" w:hAnsi="Montserrat" w:cs="Calibri"/>
                <w:b/>
                <w:sz w:val="15"/>
                <w:szCs w:val="15"/>
                <w:lang w:val="es-MX" w:eastAsia="es-MX"/>
              </w:rPr>
              <w:t>23,306,306,895</w:t>
            </w:r>
          </w:p>
        </w:tc>
      </w:tr>
    </w:tbl>
    <w:p w14:paraId="165CAA64" w14:textId="77777777" w:rsidR="006C1E29" w:rsidRDefault="006C1E29" w:rsidP="00263314">
      <w:pPr>
        <w:spacing w:after="0" w:line="240" w:lineRule="auto"/>
        <w:jc w:val="both"/>
        <w:rPr>
          <w:rFonts w:ascii="Montserrat" w:hAnsi="Montserrat"/>
          <w:sz w:val="18"/>
          <w:szCs w:val="18"/>
        </w:rPr>
      </w:pPr>
    </w:p>
    <w:p w14:paraId="7C018CED" w14:textId="70D7C828" w:rsidR="009C3C24" w:rsidRDefault="008A4FE2" w:rsidP="00063579">
      <w:pPr>
        <w:spacing w:after="120" w:line="250" w:lineRule="exact"/>
        <w:jc w:val="both"/>
        <w:rPr>
          <w:rFonts w:ascii="Montserrat" w:hAnsi="Montserrat"/>
          <w:sz w:val="18"/>
          <w:szCs w:val="18"/>
        </w:rPr>
      </w:pPr>
      <w:r>
        <w:rPr>
          <w:rFonts w:ascii="Montserrat" w:hAnsi="Montserrat"/>
          <w:sz w:val="18"/>
          <w:szCs w:val="18"/>
        </w:rPr>
        <w:t xml:space="preserve">A pesar de que los </w:t>
      </w:r>
      <w:r w:rsidRPr="008A4FE2">
        <w:rPr>
          <w:rFonts w:ascii="Montserrat" w:hAnsi="Montserrat"/>
          <w:sz w:val="18"/>
          <w:szCs w:val="18"/>
        </w:rPr>
        <w:t>bienes en régimen de arrendamiento financiero</w:t>
      </w:r>
      <w:r>
        <w:rPr>
          <w:rFonts w:ascii="Montserrat" w:hAnsi="Montserrat"/>
          <w:sz w:val="18"/>
          <w:szCs w:val="18"/>
        </w:rPr>
        <w:t xml:space="preserve"> muestran un incremento, el rubro presenta una disminución generada por los </w:t>
      </w:r>
      <w:r w:rsidRPr="008A4FE2">
        <w:rPr>
          <w:rFonts w:ascii="Montserrat" w:hAnsi="Montserrat"/>
          <w:sz w:val="18"/>
          <w:szCs w:val="18"/>
        </w:rPr>
        <w:t>intereses por arrendamiento financiero pendientes de aplicar</w:t>
      </w:r>
      <w:r w:rsidR="0000636D">
        <w:rPr>
          <w:rFonts w:ascii="Montserrat" w:hAnsi="Montserrat"/>
          <w:sz w:val="18"/>
          <w:szCs w:val="18"/>
        </w:rPr>
        <w:t>,</w:t>
      </w:r>
      <w:r>
        <w:rPr>
          <w:rFonts w:ascii="Montserrat" w:hAnsi="Montserrat"/>
          <w:sz w:val="18"/>
          <w:szCs w:val="18"/>
        </w:rPr>
        <w:t xml:space="preserve"> y por los </w:t>
      </w:r>
      <w:r w:rsidRPr="008A4FE2">
        <w:rPr>
          <w:rFonts w:ascii="Montserrat" w:hAnsi="Montserrat"/>
          <w:sz w:val="18"/>
          <w:szCs w:val="18"/>
        </w:rPr>
        <w:t>bienes y saldos en tránsito por transferencias entre dependencias</w:t>
      </w:r>
      <w:r>
        <w:rPr>
          <w:rFonts w:ascii="Montserrat" w:hAnsi="Montserrat"/>
          <w:sz w:val="18"/>
          <w:szCs w:val="18"/>
        </w:rPr>
        <w:t>.</w:t>
      </w:r>
    </w:p>
    <w:p w14:paraId="7322117F" w14:textId="77777777" w:rsidR="005B52DD" w:rsidRDefault="005B52DD" w:rsidP="00063579">
      <w:pPr>
        <w:spacing w:after="120" w:line="250" w:lineRule="exact"/>
        <w:jc w:val="both"/>
        <w:rPr>
          <w:rFonts w:ascii="Montserrat" w:hAnsi="Montserrat"/>
          <w:sz w:val="18"/>
          <w:szCs w:val="18"/>
        </w:rPr>
      </w:pPr>
    </w:p>
    <w:p w14:paraId="7D06387C" w14:textId="77777777" w:rsidR="005B52DD" w:rsidRDefault="005B52DD" w:rsidP="00063579">
      <w:pPr>
        <w:spacing w:after="120" w:line="250" w:lineRule="exact"/>
        <w:jc w:val="both"/>
        <w:rPr>
          <w:rFonts w:ascii="Montserrat" w:hAnsi="Montserrat"/>
          <w:sz w:val="18"/>
          <w:szCs w:val="18"/>
        </w:rPr>
      </w:pPr>
    </w:p>
    <w:p w14:paraId="62884EB1" w14:textId="77777777" w:rsidR="009C3C24" w:rsidRPr="004E44CE" w:rsidRDefault="009C3C24" w:rsidP="003270CC">
      <w:pPr>
        <w:pStyle w:val="VIETAFLECHA"/>
        <w:numPr>
          <w:ilvl w:val="0"/>
          <w:numId w:val="13"/>
        </w:numPr>
        <w:spacing w:before="120"/>
        <w:ind w:left="357" w:hanging="357"/>
        <w:rPr>
          <w:rFonts w:cs="Arial"/>
          <w:spacing w:val="-1"/>
        </w:rPr>
      </w:pPr>
      <w:r w:rsidRPr="004E44CE">
        <w:rPr>
          <w:rFonts w:cs="Arial"/>
          <w:spacing w:val="-1"/>
        </w:rPr>
        <w:lastRenderedPageBreak/>
        <w:t>Estimaciones y Deterioros</w:t>
      </w:r>
    </w:p>
    <w:p w14:paraId="223FBA0A" w14:textId="77777777" w:rsidR="009C3C24" w:rsidRPr="00DD0D81" w:rsidRDefault="009C3C24" w:rsidP="005A5AC5">
      <w:pPr>
        <w:pStyle w:val="Prrafodelista"/>
        <w:numPr>
          <w:ilvl w:val="0"/>
          <w:numId w:val="14"/>
        </w:numPr>
        <w:spacing w:after="120" w:line="250" w:lineRule="exact"/>
        <w:ind w:left="714" w:hanging="357"/>
        <w:jc w:val="both"/>
        <w:rPr>
          <w:rFonts w:ascii="Montserrat" w:hAnsi="Montserrat" w:cs="Arial"/>
          <w:spacing w:val="-1"/>
          <w:sz w:val="18"/>
          <w:szCs w:val="18"/>
        </w:rPr>
      </w:pPr>
      <w:r w:rsidRPr="00DD0D81">
        <w:rPr>
          <w:rFonts w:ascii="Montserrat" w:hAnsi="Montserrat" w:cs="Arial"/>
          <w:spacing w:val="-1"/>
          <w:sz w:val="18"/>
          <w:szCs w:val="18"/>
        </w:rPr>
        <w:t>Estimaciones</w:t>
      </w:r>
    </w:p>
    <w:p w14:paraId="01D0CE07" w14:textId="27840381" w:rsidR="009C3C24" w:rsidRPr="00063579" w:rsidRDefault="00B8035B" w:rsidP="00063579">
      <w:pPr>
        <w:spacing w:after="120" w:line="250" w:lineRule="exact"/>
        <w:jc w:val="both"/>
        <w:rPr>
          <w:rFonts w:ascii="Montserrat" w:hAnsi="Montserrat"/>
          <w:sz w:val="18"/>
          <w:szCs w:val="18"/>
        </w:rPr>
      </w:pPr>
      <w:r>
        <w:rPr>
          <w:rFonts w:ascii="Montserrat" w:hAnsi="Montserrat"/>
          <w:sz w:val="18"/>
          <w:szCs w:val="18"/>
        </w:rPr>
        <w:t>De acuerdo con</w:t>
      </w:r>
      <w:r w:rsidR="008A4FE2">
        <w:rPr>
          <w:rFonts w:ascii="Montserrat" w:hAnsi="Montserrat"/>
          <w:sz w:val="18"/>
          <w:szCs w:val="18"/>
        </w:rPr>
        <w:t xml:space="preserve"> </w:t>
      </w:r>
      <w:r w:rsidR="009C3C24" w:rsidRPr="00063579">
        <w:rPr>
          <w:rFonts w:ascii="Montserrat" w:hAnsi="Montserrat"/>
          <w:sz w:val="18"/>
          <w:szCs w:val="18"/>
        </w:rPr>
        <w:t>las Reglas Específicas del Registro y Valoración del Patrimonio emitidas por el CONAC</w:t>
      </w:r>
      <w:r w:rsidR="00554E83">
        <w:rPr>
          <w:rFonts w:ascii="Montserrat" w:hAnsi="Montserrat"/>
          <w:sz w:val="18"/>
          <w:szCs w:val="18"/>
        </w:rPr>
        <w:t>,</w:t>
      </w:r>
      <w:r w:rsidR="009C3C24" w:rsidRPr="00063579">
        <w:rPr>
          <w:rFonts w:ascii="Montserrat" w:hAnsi="Montserrat"/>
          <w:sz w:val="18"/>
          <w:szCs w:val="18"/>
        </w:rPr>
        <w:t xml:space="preserve"> en específico al numeral “5. Estimación para cuentas incobrables” </w:t>
      </w:r>
      <w:r w:rsidR="008A4FE2">
        <w:rPr>
          <w:rFonts w:ascii="Montserrat" w:hAnsi="Montserrat"/>
          <w:sz w:val="18"/>
          <w:szCs w:val="18"/>
        </w:rPr>
        <w:t xml:space="preserve">en el que </w:t>
      </w:r>
      <w:r w:rsidR="009C3C24" w:rsidRPr="00063579">
        <w:rPr>
          <w:rFonts w:ascii="Montserrat" w:hAnsi="Montserrat"/>
          <w:sz w:val="18"/>
          <w:szCs w:val="18"/>
        </w:rPr>
        <w:t>se establece que “Es la afectación que un ente público hace a sus resultados, con base en experiencias o estudios y que permiten mostrar, razonablemente el grado de cobrabilidad de las cuentas o documentos, a través de su registro en una cuenta de mayor de naturaleza acreedora.”, el Poder Ejecutivo Federal no realiza estimaciones</w:t>
      </w:r>
      <w:r>
        <w:rPr>
          <w:rFonts w:ascii="Montserrat" w:hAnsi="Montserrat"/>
          <w:sz w:val="18"/>
          <w:szCs w:val="18"/>
        </w:rPr>
        <w:t xml:space="preserve"> </w:t>
      </w:r>
      <w:r w:rsidRPr="00063579">
        <w:rPr>
          <w:rFonts w:ascii="Montserrat" w:hAnsi="Montserrat"/>
          <w:sz w:val="18"/>
          <w:szCs w:val="18"/>
        </w:rPr>
        <w:t>en ese sentido</w:t>
      </w:r>
      <w:r>
        <w:rPr>
          <w:rFonts w:ascii="Montserrat" w:hAnsi="Montserrat"/>
          <w:sz w:val="18"/>
          <w:szCs w:val="18"/>
        </w:rPr>
        <w:t>.</w:t>
      </w:r>
    </w:p>
    <w:p w14:paraId="427CA574" w14:textId="77777777" w:rsidR="009C3C24" w:rsidRPr="00063579" w:rsidRDefault="009C3C24" w:rsidP="00263314">
      <w:pPr>
        <w:spacing w:after="0" w:line="240" w:lineRule="auto"/>
        <w:jc w:val="both"/>
        <w:rPr>
          <w:rFonts w:ascii="Montserrat" w:hAnsi="Montserrat"/>
          <w:sz w:val="18"/>
          <w:szCs w:val="18"/>
        </w:rPr>
      </w:pPr>
    </w:p>
    <w:p w14:paraId="42E434D9" w14:textId="77777777" w:rsidR="009C3C24" w:rsidRPr="00DD0D81" w:rsidRDefault="009C3C24" w:rsidP="005A5AC5">
      <w:pPr>
        <w:pStyle w:val="Prrafodelista"/>
        <w:numPr>
          <w:ilvl w:val="0"/>
          <w:numId w:val="14"/>
        </w:numPr>
        <w:spacing w:after="120" w:line="250" w:lineRule="exact"/>
        <w:ind w:left="714" w:hanging="357"/>
        <w:jc w:val="both"/>
        <w:rPr>
          <w:rFonts w:ascii="Montserrat" w:hAnsi="Montserrat" w:cs="Arial"/>
          <w:spacing w:val="-1"/>
          <w:sz w:val="18"/>
          <w:szCs w:val="18"/>
        </w:rPr>
      </w:pPr>
      <w:r w:rsidRPr="00DD0D81">
        <w:rPr>
          <w:rFonts w:ascii="Montserrat" w:hAnsi="Montserrat" w:cs="Arial"/>
          <w:spacing w:val="-1"/>
          <w:sz w:val="18"/>
          <w:szCs w:val="18"/>
        </w:rPr>
        <w:t>Deterioros</w:t>
      </w:r>
    </w:p>
    <w:p w14:paraId="47CC5447" w14:textId="77777777" w:rsidR="009C3C24" w:rsidRDefault="009C3C24" w:rsidP="00063579">
      <w:pPr>
        <w:spacing w:after="120" w:line="250" w:lineRule="exact"/>
        <w:jc w:val="both"/>
        <w:rPr>
          <w:rFonts w:ascii="Montserrat" w:hAnsi="Montserrat"/>
          <w:sz w:val="18"/>
          <w:szCs w:val="18"/>
        </w:rPr>
      </w:pPr>
      <w:r w:rsidRPr="00063579">
        <w:rPr>
          <w:rFonts w:ascii="Montserrat" w:hAnsi="Montserrat"/>
          <w:sz w:val="18"/>
          <w:szCs w:val="18"/>
        </w:rPr>
        <w:t>Con fundamento en las Reglas Específicas del Registro y Valoración del Patrimonio emitidas por el CONAC, para el Poder Ejecutivo Federal se considera que sus bienes tiene</w:t>
      </w:r>
      <w:r w:rsidR="009431DF">
        <w:rPr>
          <w:rFonts w:ascii="Montserrat" w:hAnsi="Montserrat"/>
          <w:sz w:val="18"/>
          <w:szCs w:val="18"/>
        </w:rPr>
        <w:t>n</w:t>
      </w:r>
      <w:r w:rsidRPr="00063579">
        <w:rPr>
          <w:rFonts w:ascii="Montserrat" w:hAnsi="Montserrat"/>
          <w:sz w:val="18"/>
          <w:szCs w:val="18"/>
        </w:rPr>
        <w:t xml:space="preserve"> una vida útil indefinida, por lo cual no se deprecian, deterioran o amortizan.</w:t>
      </w:r>
    </w:p>
    <w:p w14:paraId="04CA13C5" w14:textId="77777777" w:rsidR="00263314" w:rsidRPr="00063579" w:rsidRDefault="00263314" w:rsidP="00263314">
      <w:pPr>
        <w:spacing w:after="0" w:line="240" w:lineRule="auto"/>
        <w:jc w:val="both"/>
        <w:rPr>
          <w:rFonts w:ascii="Montserrat" w:hAnsi="Montserrat"/>
          <w:sz w:val="18"/>
          <w:szCs w:val="18"/>
        </w:rPr>
      </w:pPr>
    </w:p>
    <w:p w14:paraId="5765163A" w14:textId="77777777" w:rsidR="009C3C24" w:rsidRPr="004E44CE" w:rsidRDefault="009C3C24" w:rsidP="005A5AC5">
      <w:pPr>
        <w:pStyle w:val="VIETAFLECHA"/>
        <w:numPr>
          <w:ilvl w:val="0"/>
          <w:numId w:val="13"/>
        </w:numPr>
        <w:ind w:left="357" w:hanging="357"/>
        <w:rPr>
          <w:rFonts w:cs="Arial"/>
          <w:spacing w:val="-1"/>
        </w:rPr>
      </w:pPr>
      <w:r w:rsidRPr="004E44CE">
        <w:rPr>
          <w:rFonts w:cs="Arial"/>
          <w:spacing w:val="-1"/>
        </w:rPr>
        <w:t>Otros Activos No Circulantes</w:t>
      </w:r>
    </w:p>
    <w:p w14:paraId="5C12889C" w14:textId="0E3E6103" w:rsidR="001F39D2" w:rsidRDefault="009C3C24" w:rsidP="00263314">
      <w:pPr>
        <w:spacing w:after="0" w:line="240" w:lineRule="auto"/>
        <w:jc w:val="both"/>
        <w:rPr>
          <w:rFonts w:ascii="Montserrat" w:hAnsi="Montserrat"/>
          <w:sz w:val="18"/>
          <w:szCs w:val="18"/>
        </w:rPr>
      </w:pPr>
      <w:r w:rsidRPr="000F0321">
        <w:rPr>
          <w:rFonts w:ascii="Montserrat" w:hAnsi="Montserrat"/>
          <w:sz w:val="18"/>
          <w:szCs w:val="18"/>
        </w:rPr>
        <w:t xml:space="preserve">Representan los bienes en la modalidad de arrendamiento financiero destacando un </w:t>
      </w:r>
      <w:r w:rsidR="00B8035B" w:rsidRPr="000F0321">
        <w:rPr>
          <w:rFonts w:ascii="Montserrat" w:hAnsi="Montserrat"/>
          <w:sz w:val="18"/>
          <w:szCs w:val="18"/>
        </w:rPr>
        <w:t xml:space="preserve">decremento </w:t>
      </w:r>
      <w:r w:rsidRPr="000F0321">
        <w:rPr>
          <w:rFonts w:ascii="Montserrat" w:hAnsi="Montserrat"/>
          <w:sz w:val="18"/>
          <w:szCs w:val="18"/>
        </w:rPr>
        <w:t xml:space="preserve">en </w:t>
      </w:r>
      <w:r w:rsidR="006104FF" w:rsidRPr="000F0321">
        <w:rPr>
          <w:rFonts w:ascii="Montserrat" w:hAnsi="Montserrat"/>
          <w:sz w:val="18"/>
          <w:szCs w:val="18"/>
        </w:rPr>
        <w:t>la</w:t>
      </w:r>
      <w:r w:rsidR="00303FB6">
        <w:rPr>
          <w:rFonts w:ascii="Montserrat" w:hAnsi="Montserrat"/>
          <w:sz w:val="18"/>
          <w:szCs w:val="18"/>
        </w:rPr>
        <w:t xml:space="preserve"> SEDENA y la SEMAR</w:t>
      </w:r>
      <w:r w:rsidR="009617D1" w:rsidRPr="000F0321">
        <w:rPr>
          <w:rFonts w:ascii="Montserrat" w:hAnsi="Montserrat"/>
          <w:sz w:val="18"/>
          <w:szCs w:val="18"/>
        </w:rPr>
        <w:t>.</w:t>
      </w:r>
    </w:p>
    <w:p w14:paraId="4E0FA4D5" w14:textId="77777777" w:rsidR="00201FF3" w:rsidRPr="00063579" w:rsidRDefault="00201FF3" w:rsidP="00063579">
      <w:pPr>
        <w:spacing w:after="120" w:line="250" w:lineRule="exact"/>
        <w:jc w:val="both"/>
        <w:rPr>
          <w:rFonts w:ascii="Montserrat" w:hAnsi="Montserrat"/>
          <w:sz w:val="18"/>
          <w:szCs w:val="18"/>
        </w:rPr>
      </w:pPr>
    </w:p>
    <w:p w14:paraId="49336941" w14:textId="77777777" w:rsidR="009C3C24" w:rsidRPr="00936371" w:rsidRDefault="009C3C24" w:rsidP="00E52592">
      <w:pPr>
        <w:spacing w:after="60" w:line="250" w:lineRule="exact"/>
        <w:ind w:left="709"/>
        <w:jc w:val="center"/>
        <w:rPr>
          <w:rFonts w:ascii="Montserrat" w:hAnsi="Montserrat" w:cs="Arial"/>
          <w:spacing w:val="-1"/>
          <w:sz w:val="18"/>
          <w:szCs w:val="18"/>
        </w:rPr>
      </w:pPr>
      <w:r w:rsidRPr="00936371">
        <w:rPr>
          <w:rFonts w:ascii="Montserrat" w:eastAsia="Times New Roman" w:hAnsi="Montserrat" w:cs="Calibri"/>
          <w:bCs/>
          <w:sz w:val="16"/>
          <w:szCs w:val="16"/>
          <w:lang w:val="es-MX" w:eastAsia="es-MX"/>
        </w:rPr>
        <w:t>(Pesos)</w:t>
      </w:r>
    </w:p>
    <w:tbl>
      <w:tblPr>
        <w:tblW w:w="8259" w:type="dxa"/>
        <w:jc w:val="center"/>
        <w:tblCellMar>
          <w:left w:w="70" w:type="dxa"/>
          <w:right w:w="70" w:type="dxa"/>
        </w:tblCellMar>
        <w:tblLook w:val="04A0" w:firstRow="1" w:lastRow="0" w:firstColumn="1" w:lastColumn="0" w:noHBand="0" w:noVBand="1"/>
      </w:tblPr>
      <w:tblGrid>
        <w:gridCol w:w="4063"/>
        <w:gridCol w:w="2098"/>
        <w:gridCol w:w="2098"/>
      </w:tblGrid>
      <w:tr w:rsidR="00C4519E" w:rsidRPr="00DA0214" w14:paraId="0FA87673" w14:textId="77777777" w:rsidTr="00CC40D5">
        <w:trPr>
          <w:trHeight w:val="57"/>
          <w:jc w:val="center"/>
        </w:trPr>
        <w:tc>
          <w:tcPr>
            <w:tcW w:w="8259" w:type="dxa"/>
            <w:gridSpan w:val="3"/>
            <w:tcBorders>
              <w:top w:val="single" w:sz="12" w:space="0" w:color="808080" w:themeColor="background1" w:themeShade="80"/>
            </w:tcBorders>
            <w:shd w:val="clear" w:color="auto" w:fill="auto"/>
            <w:noWrap/>
            <w:vAlign w:val="center"/>
          </w:tcPr>
          <w:p w14:paraId="5459AF57" w14:textId="77777777" w:rsidR="00C4519E" w:rsidRPr="00DA0214" w:rsidRDefault="00C4519E" w:rsidP="002F797B">
            <w:pPr>
              <w:spacing w:after="0" w:line="240" w:lineRule="auto"/>
              <w:jc w:val="center"/>
              <w:rPr>
                <w:rFonts w:ascii="Montserrat" w:eastAsia="Times New Roman" w:hAnsi="Montserrat" w:cs="Calibri"/>
                <w:b/>
                <w:bCs/>
                <w:color w:val="FFFFFF"/>
                <w:sz w:val="4"/>
                <w:szCs w:val="4"/>
                <w:lang w:val="es-MX" w:eastAsia="es-MX"/>
              </w:rPr>
            </w:pPr>
          </w:p>
        </w:tc>
      </w:tr>
      <w:tr w:rsidR="009C3C24" w:rsidRPr="006F0DF1" w14:paraId="67C4DFC4" w14:textId="77777777" w:rsidTr="00263314">
        <w:trPr>
          <w:trHeight w:val="317"/>
          <w:jc w:val="center"/>
        </w:trPr>
        <w:tc>
          <w:tcPr>
            <w:tcW w:w="4063" w:type="dxa"/>
            <w:tcBorders>
              <w:left w:val="single" w:sz="8" w:space="0" w:color="FFFFFF" w:themeColor="background1"/>
              <w:bottom w:val="double" w:sz="12" w:space="0" w:color="808080" w:themeColor="background1" w:themeShade="80"/>
              <w:right w:val="single" w:sz="8" w:space="0" w:color="FFFFFF" w:themeColor="background1"/>
            </w:tcBorders>
            <w:shd w:val="clear" w:color="auto" w:fill="D4C19C"/>
            <w:noWrap/>
            <w:vAlign w:val="center"/>
            <w:hideMark/>
          </w:tcPr>
          <w:p w14:paraId="4CD4C516" w14:textId="77777777" w:rsidR="009C3C24" w:rsidRPr="006F0DF1" w:rsidRDefault="009C3C24" w:rsidP="002F797B">
            <w:pPr>
              <w:spacing w:after="0" w:line="240" w:lineRule="auto"/>
              <w:jc w:val="center"/>
              <w:rPr>
                <w:rFonts w:ascii="Montserrat" w:eastAsia="Times New Roman" w:hAnsi="Montserrat" w:cs="Calibri"/>
                <w:b/>
                <w:bCs/>
                <w:color w:val="FFFFFF"/>
                <w:sz w:val="16"/>
                <w:szCs w:val="16"/>
                <w:lang w:val="es-MX" w:eastAsia="es-MX"/>
              </w:rPr>
            </w:pPr>
            <w:r w:rsidRPr="006F0DF1">
              <w:rPr>
                <w:rFonts w:ascii="Montserrat" w:eastAsia="Times New Roman" w:hAnsi="Montserrat" w:cs="Calibri"/>
                <w:b/>
                <w:bCs/>
                <w:color w:val="FFFFFF"/>
                <w:sz w:val="16"/>
                <w:szCs w:val="16"/>
                <w:lang w:val="es-MX" w:eastAsia="es-MX"/>
              </w:rPr>
              <w:t>Concepto</w:t>
            </w:r>
          </w:p>
        </w:tc>
        <w:tc>
          <w:tcPr>
            <w:tcW w:w="2098" w:type="dxa"/>
            <w:tcBorders>
              <w:left w:val="single" w:sz="8" w:space="0" w:color="FFFFFF" w:themeColor="background1"/>
              <w:bottom w:val="double" w:sz="12" w:space="0" w:color="808080" w:themeColor="background1" w:themeShade="80"/>
              <w:right w:val="single" w:sz="8" w:space="0" w:color="FFFFFF" w:themeColor="background1"/>
            </w:tcBorders>
            <w:shd w:val="clear" w:color="auto" w:fill="D4C19C"/>
            <w:vAlign w:val="center"/>
            <w:hideMark/>
          </w:tcPr>
          <w:p w14:paraId="1999B662" w14:textId="77777777" w:rsidR="009C3C24" w:rsidRPr="006F0DF1" w:rsidRDefault="009C3C24" w:rsidP="002F797B">
            <w:pPr>
              <w:spacing w:after="0" w:line="240" w:lineRule="auto"/>
              <w:jc w:val="center"/>
              <w:rPr>
                <w:rFonts w:ascii="Montserrat" w:eastAsia="Times New Roman" w:hAnsi="Montserrat" w:cs="Calibri"/>
                <w:b/>
                <w:bCs/>
                <w:color w:val="FFFFFF"/>
                <w:sz w:val="16"/>
                <w:szCs w:val="16"/>
                <w:lang w:val="es-MX" w:eastAsia="es-MX"/>
              </w:rPr>
            </w:pPr>
            <w:r>
              <w:rPr>
                <w:rFonts w:ascii="Montserrat" w:eastAsia="Times New Roman" w:hAnsi="Montserrat" w:cs="Calibri"/>
                <w:b/>
                <w:bCs/>
                <w:color w:val="FFFFFF"/>
                <w:sz w:val="16"/>
                <w:szCs w:val="16"/>
                <w:lang w:val="es-MX" w:eastAsia="es-MX"/>
              </w:rPr>
              <w:t>201</w:t>
            </w:r>
            <w:r w:rsidR="00BC4F01">
              <w:rPr>
                <w:rFonts w:ascii="Montserrat" w:eastAsia="Times New Roman" w:hAnsi="Montserrat" w:cs="Calibri"/>
                <w:b/>
                <w:bCs/>
                <w:color w:val="FFFFFF"/>
                <w:sz w:val="16"/>
                <w:szCs w:val="16"/>
                <w:lang w:val="es-MX" w:eastAsia="es-MX"/>
              </w:rPr>
              <w:t>9</w:t>
            </w:r>
          </w:p>
        </w:tc>
        <w:tc>
          <w:tcPr>
            <w:tcW w:w="2098" w:type="dxa"/>
            <w:tcBorders>
              <w:left w:val="single" w:sz="8" w:space="0" w:color="FFFFFF" w:themeColor="background1"/>
              <w:bottom w:val="double" w:sz="12" w:space="0" w:color="808080" w:themeColor="background1" w:themeShade="80"/>
              <w:right w:val="single" w:sz="8" w:space="0" w:color="FFFFFF" w:themeColor="background1"/>
            </w:tcBorders>
            <w:shd w:val="clear" w:color="auto" w:fill="D4C19C"/>
            <w:noWrap/>
            <w:vAlign w:val="center"/>
            <w:hideMark/>
          </w:tcPr>
          <w:p w14:paraId="38F69BD4" w14:textId="77777777" w:rsidR="009C3C24" w:rsidRPr="006F0DF1" w:rsidRDefault="009C3C24" w:rsidP="002F797B">
            <w:pPr>
              <w:spacing w:after="0" w:line="240" w:lineRule="auto"/>
              <w:jc w:val="center"/>
              <w:rPr>
                <w:rFonts w:ascii="Montserrat" w:eastAsia="Times New Roman" w:hAnsi="Montserrat" w:cs="Calibri"/>
                <w:b/>
                <w:bCs/>
                <w:color w:val="FFFFFF"/>
                <w:sz w:val="16"/>
                <w:szCs w:val="16"/>
                <w:lang w:val="es-MX" w:eastAsia="es-MX"/>
              </w:rPr>
            </w:pPr>
            <w:r>
              <w:rPr>
                <w:rFonts w:ascii="Montserrat" w:eastAsia="Times New Roman" w:hAnsi="Montserrat" w:cs="Calibri"/>
                <w:b/>
                <w:bCs/>
                <w:color w:val="FFFFFF"/>
                <w:sz w:val="16"/>
                <w:szCs w:val="16"/>
                <w:lang w:val="es-MX" w:eastAsia="es-MX"/>
              </w:rPr>
              <w:t>201</w:t>
            </w:r>
            <w:r w:rsidR="00BC4F01">
              <w:rPr>
                <w:rFonts w:ascii="Montserrat" w:eastAsia="Times New Roman" w:hAnsi="Montserrat" w:cs="Calibri"/>
                <w:b/>
                <w:bCs/>
                <w:color w:val="FFFFFF"/>
                <w:sz w:val="16"/>
                <w:szCs w:val="16"/>
                <w:lang w:val="es-MX" w:eastAsia="es-MX"/>
              </w:rPr>
              <w:t>8</w:t>
            </w:r>
          </w:p>
        </w:tc>
      </w:tr>
      <w:tr w:rsidR="005E3C4A" w:rsidRPr="006F0DF1" w14:paraId="668F721E" w14:textId="77777777" w:rsidTr="00556DB3">
        <w:trPr>
          <w:trHeight w:val="215"/>
          <w:jc w:val="center"/>
        </w:trPr>
        <w:tc>
          <w:tcPr>
            <w:tcW w:w="4063" w:type="dxa"/>
            <w:tcBorders>
              <w:top w:val="double" w:sz="12" w:space="0" w:color="808080" w:themeColor="background1" w:themeShade="80"/>
            </w:tcBorders>
            <w:shd w:val="clear" w:color="auto" w:fill="F2F2F2" w:themeFill="background1" w:themeFillShade="F2"/>
            <w:noWrap/>
            <w:vAlign w:val="center"/>
            <w:hideMark/>
          </w:tcPr>
          <w:p w14:paraId="06C9548C" w14:textId="77777777" w:rsidR="005E3C4A" w:rsidRPr="00255081" w:rsidRDefault="005E3C4A" w:rsidP="005E3C4A">
            <w:pPr>
              <w:spacing w:after="0" w:line="240" w:lineRule="auto"/>
              <w:ind w:left="170"/>
              <w:rPr>
                <w:rFonts w:ascii="Montserrat" w:eastAsia="Times New Roman" w:hAnsi="Montserrat" w:cs="Calibri"/>
                <w:color w:val="000000"/>
                <w:sz w:val="15"/>
                <w:szCs w:val="15"/>
                <w:lang w:val="es-MX" w:eastAsia="es-MX"/>
              </w:rPr>
            </w:pPr>
            <w:r w:rsidRPr="00255081">
              <w:rPr>
                <w:rFonts w:ascii="Montserrat" w:eastAsia="Times New Roman" w:hAnsi="Montserrat" w:cs="Calibri"/>
                <w:color w:val="000000"/>
                <w:sz w:val="15"/>
                <w:szCs w:val="15"/>
                <w:lang w:val="es-MX" w:eastAsia="es-MX"/>
              </w:rPr>
              <w:t>Bienes en Arrendamiento Financiero Especial</w:t>
            </w:r>
          </w:p>
        </w:tc>
        <w:tc>
          <w:tcPr>
            <w:tcW w:w="2098" w:type="dxa"/>
            <w:tcBorders>
              <w:top w:val="double" w:sz="12" w:space="0" w:color="808080" w:themeColor="background1" w:themeShade="80"/>
            </w:tcBorders>
            <w:shd w:val="clear" w:color="000000" w:fill="F2F2F2"/>
            <w:noWrap/>
            <w:vAlign w:val="center"/>
          </w:tcPr>
          <w:p w14:paraId="74BD3960" w14:textId="4EA58D73" w:rsidR="005E3C4A" w:rsidRPr="00255081" w:rsidRDefault="005E3C4A" w:rsidP="005E3C4A">
            <w:pPr>
              <w:spacing w:after="0" w:line="240" w:lineRule="auto"/>
              <w:jc w:val="right"/>
              <w:rPr>
                <w:rFonts w:ascii="Montserrat" w:hAnsi="Montserrat" w:cs="Calibri"/>
                <w:color w:val="000000"/>
                <w:sz w:val="15"/>
                <w:szCs w:val="15"/>
                <w:lang w:val="es-MX" w:eastAsia="es-MX"/>
              </w:rPr>
            </w:pPr>
            <w:r w:rsidRPr="000F0321">
              <w:rPr>
                <w:rFonts w:ascii="Montserrat" w:hAnsi="Montserrat" w:cs="Arial"/>
                <w:color w:val="000000"/>
                <w:sz w:val="15"/>
                <w:szCs w:val="15"/>
              </w:rPr>
              <w:t>34,701,965,365</w:t>
            </w:r>
          </w:p>
        </w:tc>
        <w:tc>
          <w:tcPr>
            <w:tcW w:w="2098" w:type="dxa"/>
            <w:tcBorders>
              <w:top w:val="double" w:sz="12" w:space="0" w:color="808080" w:themeColor="background1" w:themeShade="80"/>
            </w:tcBorders>
            <w:shd w:val="clear" w:color="auto" w:fill="F2F2F2" w:themeFill="background1" w:themeFillShade="F2"/>
            <w:noWrap/>
            <w:vAlign w:val="center"/>
            <w:hideMark/>
          </w:tcPr>
          <w:p w14:paraId="1A4F12C3" w14:textId="77777777" w:rsidR="005E3C4A" w:rsidRPr="00255081" w:rsidRDefault="005E3C4A" w:rsidP="005E3C4A">
            <w:pPr>
              <w:spacing w:after="0" w:line="240" w:lineRule="auto"/>
              <w:jc w:val="right"/>
              <w:rPr>
                <w:rFonts w:ascii="Montserrat" w:hAnsi="Montserrat" w:cs="Calibri"/>
                <w:color w:val="000000"/>
                <w:sz w:val="15"/>
                <w:szCs w:val="15"/>
                <w:lang w:val="es-MX" w:eastAsia="es-MX"/>
              </w:rPr>
            </w:pPr>
            <w:r w:rsidRPr="00255081">
              <w:rPr>
                <w:rFonts w:ascii="Montserrat" w:hAnsi="Montserrat" w:cs="Calibri"/>
                <w:color w:val="000000"/>
                <w:sz w:val="15"/>
                <w:szCs w:val="15"/>
              </w:rPr>
              <w:t>37,454,313,694</w:t>
            </w:r>
          </w:p>
        </w:tc>
      </w:tr>
      <w:tr w:rsidR="005E3C4A" w:rsidRPr="006F0DF1" w14:paraId="2B7F612B" w14:textId="77777777" w:rsidTr="00556DB3">
        <w:trPr>
          <w:trHeight w:val="215"/>
          <w:jc w:val="center"/>
        </w:trPr>
        <w:tc>
          <w:tcPr>
            <w:tcW w:w="4063" w:type="dxa"/>
            <w:tcBorders>
              <w:top w:val="nil"/>
            </w:tcBorders>
            <w:shd w:val="clear" w:color="auto" w:fill="F2F2F2" w:themeFill="background1" w:themeFillShade="F2"/>
            <w:noWrap/>
            <w:vAlign w:val="center"/>
            <w:hideMark/>
          </w:tcPr>
          <w:p w14:paraId="2819DA57" w14:textId="77777777" w:rsidR="005E3C4A" w:rsidRPr="00255081" w:rsidRDefault="005E3C4A" w:rsidP="005E3C4A">
            <w:pPr>
              <w:spacing w:after="0" w:line="240" w:lineRule="auto"/>
              <w:ind w:left="170"/>
              <w:rPr>
                <w:rFonts w:ascii="Montserrat" w:eastAsia="Times New Roman" w:hAnsi="Montserrat" w:cs="Calibri"/>
                <w:color w:val="000000"/>
                <w:sz w:val="15"/>
                <w:szCs w:val="15"/>
                <w:lang w:val="es-MX" w:eastAsia="es-MX"/>
              </w:rPr>
            </w:pPr>
            <w:r w:rsidRPr="00255081">
              <w:rPr>
                <w:rFonts w:ascii="Montserrat" w:eastAsia="Times New Roman" w:hAnsi="Montserrat" w:cs="Calibri"/>
                <w:color w:val="000000"/>
                <w:sz w:val="15"/>
                <w:szCs w:val="15"/>
                <w:lang w:val="es-MX" w:eastAsia="es-MX"/>
              </w:rPr>
              <w:t>Bienes en Comodato</w:t>
            </w:r>
          </w:p>
        </w:tc>
        <w:tc>
          <w:tcPr>
            <w:tcW w:w="2098" w:type="dxa"/>
            <w:tcBorders>
              <w:top w:val="nil"/>
            </w:tcBorders>
            <w:shd w:val="clear" w:color="000000" w:fill="F2F2F2"/>
            <w:noWrap/>
            <w:vAlign w:val="center"/>
          </w:tcPr>
          <w:p w14:paraId="02DA1599" w14:textId="39172E0F" w:rsidR="005E3C4A" w:rsidRPr="00255081" w:rsidRDefault="005E3C4A" w:rsidP="005E3C4A">
            <w:pPr>
              <w:spacing w:after="0" w:line="240" w:lineRule="auto"/>
              <w:jc w:val="right"/>
              <w:rPr>
                <w:rFonts w:ascii="Montserrat" w:eastAsia="Times New Roman" w:hAnsi="Montserrat" w:cs="Calibri"/>
                <w:color w:val="000000"/>
                <w:sz w:val="15"/>
                <w:szCs w:val="15"/>
                <w:lang w:val="es-MX" w:eastAsia="es-MX"/>
              </w:rPr>
            </w:pPr>
            <w:r w:rsidRPr="000F0321">
              <w:rPr>
                <w:rFonts w:ascii="Montserrat" w:hAnsi="Montserrat" w:cs="Arial"/>
                <w:color w:val="000000"/>
                <w:sz w:val="15"/>
                <w:szCs w:val="15"/>
              </w:rPr>
              <w:t>205,458,897</w:t>
            </w:r>
          </w:p>
        </w:tc>
        <w:tc>
          <w:tcPr>
            <w:tcW w:w="2098" w:type="dxa"/>
            <w:tcBorders>
              <w:top w:val="nil"/>
            </w:tcBorders>
            <w:shd w:val="clear" w:color="auto" w:fill="F2F2F2" w:themeFill="background1" w:themeFillShade="F2"/>
            <w:noWrap/>
            <w:vAlign w:val="center"/>
            <w:hideMark/>
          </w:tcPr>
          <w:p w14:paraId="037B47D5" w14:textId="77777777" w:rsidR="005E3C4A" w:rsidRPr="00255081" w:rsidRDefault="005E3C4A" w:rsidP="005E3C4A">
            <w:pPr>
              <w:spacing w:after="0" w:line="240" w:lineRule="auto"/>
              <w:jc w:val="right"/>
              <w:rPr>
                <w:rFonts w:ascii="Montserrat" w:eastAsia="Times New Roman" w:hAnsi="Montserrat" w:cs="Calibri"/>
                <w:color w:val="000000"/>
                <w:sz w:val="15"/>
                <w:szCs w:val="15"/>
                <w:lang w:val="es-MX" w:eastAsia="es-MX"/>
              </w:rPr>
            </w:pPr>
            <w:r w:rsidRPr="00255081">
              <w:rPr>
                <w:rFonts w:ascii="Montserrat" w:eastAsia="Times New Roman" w:hAnsi="Montserrat" w:cs="Calibri"/>
                <w:color w:val="000000"/>
                <w:sz w:val="15"/>
                <w:szCs w:val="15"/>
                <w:lang w:val="es-MX" w:eastAsia="es-MX"/>
              </w:rPr>
              <w:t>197,452,041</w:t>
            </w:r>
          </w:p>
        </w:tc>
      </w:tr>
      <w:tr w:rsidR="005E3C4A" w:rsidRPr="006F0DF1" w14:paraId="48D42215" w14:textId="77777777" w:rsidTr="00556DB3">
        <w:trPr>
          <w:trHeight w:val="215"/>
          <w:jc w:val="center"/>
        </w:trPr>
        <w:tc>
          <w:tcPr>
            <w:tcW w:w="4063" w:type="dxa"/>
            <w:tcBorders>
              <w:bottom w:val="single" w:sz="12" w:space="0" w:color="808080" w:themeColor="background1" w:themeShade="80"/>
            </w:tcBorders>
            <w:shd w:val="clear" w:color="auto" w:fill="F2F2F2" w:themeFill="background1" w:themeFillShade="F2"/>
            <w:noWrap/>
            <w:vAlign w:val="center"/>
            <w:hideMark/>
          </w:tcPr>
          <w:p w14:paraId="50BF6E3A" w14:textId="77777777" w:rsidR="005E3C4A" w:rsidRPr="00255081" w:rsidRDefault="005E3C4A" w:rsidP="005E3C4A">
            <w:pPr>
              <w:spacing w:after="0" w:line="240" w:lineRule="auto"/>
              <w:ind w:left="170"/>
              <w:jc w:val="right"/>
              <w:rPr>
                <w:rFonts w:ascii="Montserrat" w:eastAsia="Times New Roman" w:hAnsi="Montserrat" w:cs="Calibri"/>
                <w:b/>
                <w:bCs/>
                <w:color w:val="000000"/>
                <w:sz w:val="15"/>
                <w:szCs w:val="15"/>
                <w:lang w:val="es-MX" w:eastAsia="es-MX"/>
              </w:rPr>
            </w:pPr>
            <w:r w:rsidRPr="00255081">
              <w:rPr>
                <w:rFonts w:ascii="Montserrat" w:eastAsia="Times New Roman" w:hAnsi="Montserrat" w:cs="Calibri"/>
                <w:b/>
                <w:bCs/>
                <w:color w:val="000000"/>
                <w:sz w:val="15"/>
                <w:szCs w:val="15"/>
                <w:lang w:val="es-MX" w:eastAsia="es-MX"/>
              </w:rPr>
              <w:t>Total Otros Activos No Circulantes</w:t>
            </w:r>
          </w:p>
        </w:tc>
        <w:tc>
          <w:tcPr>
            <w:tcW w:w="2098" w:type="dxa"/>
            <w:tcBorders>
              <w:bottom w:val="single" w:sz="12" w:space="0" w:color="808080" w:themeColor="background1" w:themeShade="80"/>
            </w:tcBorders>
            <w:shd w:val="clear" w:color="000000" w:fill="F2F2F2"/>
            <w:noWrap/>
            <w:vAlign w:val="center"/>
          </w:tcPr>
          <w:p w14:paraId="5AF479D4" w14:textId="4788508E" w:rsidR="005E3C4A" w:rsidRPr="00255081" w:rsidRDefault="005E3C4A" w:rsidP="005E3C4A">
            <w:pPr>
              <w:spacing w:after="0" w:line="240" w:lineRule="auto"/>
              <w:jc w:val="right"/>
              <w:rPr>
                <w:rFonts w:ascii="Montserrat" w:eastAsia="Times New Roman" w:hAnsi="Montserrat" w:cs="Calibri"/>
                <w:b/>
                <w:bCs/>
                <w:sz w:val="15"/>
                <w:szCs w:val="15"/>
                <w:lang w:val="es-MX" w:eastAsia="es-MX"/>
              </w:rPr>
            </w:pPr>
            <w:r w:rsidRPr="000F0321">
              <w:rPr>
                <w:rFonts w:ascii="Montserrat" w:hAnsi="Montserrat" w:cs="Arial"/>
                <w:b/>
                <w:bCs/>
                <w:color w:val="000000"/>
                <w:sz w:val="15"/>
                <w:szCs w:val="15"/>
              </w:rPr>
              <w:t>34,907,424,262</w:t>
            </w:r>
          </w:p>
        </w:tc>
        <w:tc>
          <w:tcPr>
            <w:tcW w:w="2098" w:type="dxa"/>
            <w:tcBorders>
              <w:bottom w:val="single" w:sz="12" w:space="0" w:color="808080" w:themeColor="background1" w:themeShade="80"/>
            </w:tcBorders>
            <w:shd w:val="clear" w:color="auto" w:fill="F2F2F2" w:themeFill="background1" w:themeFillShade="F2"/>
            <w:noWrap/>
            <w:vAlign w:val="center"/>
            <w:hideMark/>
          </w:tcPr>
          <w:p w14:paraId="6FF29893" w14:textId="77777777" w:rsidR="005E3C4A" w:rsidRPr="00255081" w:rsidRDefault="005E3C4A" w:rsidP="005E3C4A">
            <w:pPr>
              <w:spacing w:after="0" w:line="240" w:lineRule="auto"/>
              <w:jc w:val="right"/>
              <w:rPr>
                <w:rFonts w:ascii="Montserrat" w:eastAsia="Times New Roman" w:hAnsi="Montserrat" w:cs="Calibri"/>
                <w:b/>
                <w:bCs/>
                <w:sz w:val="15"/>
                <w:szCs w:val="15"/>
                <w:lang w:val="es-MX" w:eastAsia="es-MX"/>
              </w:rPr>
            </w:pPr>
            <w:r w:rsidRPr="00255081">
              <w:rPr>
                <w:rFonts w:ascii="Montserrat" w:eastAsia="Times New Roman" w:hAnsi="Montserrat" w:cs="Calibri"/>
                <w:b/>
                <w:bCs/>
                <w:sz w:val="15"/>
                <w:szCs w:val="15"/>
                <w:lang w:val="es-MX" w:eastAsia="es-MX"/>
              </w:rPr>
              <w:t>37,651,765,735</w:t>
            </w:r>
          </w:p>
        </w:tc>
      </w:tr>
    </w:tbl>
    <w:p w14:paraId="24CC7E72" w14:textId="77777777" w:rsidR="00F86C1F" w:rsidRDefault="00F86C1F" w:rsidP="00263314">
      <w:pPr>
        <w:spacing w:after="0" w:line="240" w:lineRule="auto"/>
        <w:jc w:val="both"/>
        <w:rPr>
          <w:rFonts w:ascii="Montserrat" w:hAnsi="Montserrat"/>
          <w:sz w:val="18"/>
          <w:szCs w:val="18"/>
        </w:rPr>
      </w:pPr>
    </w:p>
    <w:p w14:paraId="1F978BA1" w14:textId="77777777" w:rsidR="009C3C24" w:rsidRPr="001F53E4" w:rsidRDefault="009C3C24" w:rsidP="00263314">
      <w:pPr>
        <w:spacing w:after="120" w:line="250" w:lineRule="exact"/>
        <w:jc w:val="both"/>
        <w:rPr>
          <w:rFonts w:ascii="Montserrat" w:hAnsi="Montserrat"/>
          <w:b/>
          <w:sz w:val="18"/>
          <w:szCs w:val="18"/>
          <w:lang w:val="es-MX" w:eastAsia="es-MX"/>
        </w:rPr>
      </w:pPr>
      <w:r w:rsidRPr="001F53E4">
        <w:rPr>
          <w:rFonts w:ascii="Montserrat" w:hAnsi="Montserrat"/>
          <w:b/>
          <w:sz w:val="18"/>
          <w:szCs w:val="18"/>
          <w:lang w:val="es-MX" w:eastAsia="es-MX"/>
        </w:rPr>
        <w:t>Pasivo</w:t>
      </w:r>
    </w:p>
    <w:p w14:paraId="13D47223" w14:textId="580B1E33" w:rsidR="009C3C24" w:rsidRDefault="009C3C24" w:rsidP="00263314">
      <w:pPr>
        <w:spacing w:after="120" w:line="250" w:lineRule="exact"/>
        <w:jc w:val="both"/>
        <w:rPr>
          <w:rFonts w:ascii="Montserrat" w:hAnsi="Montserrat"/>
          <w:sz w:val="18"/>
          <w:szCs w:val="18"/>
        </w:rPr>
      </w:pPr>
      <w:r w:rsidRPr="00063579">
        <w:rPr>
          <w:rFonts w:ascii="Montserrat" w:hAnsi="Montserrat"/>
          <w:sz w:val="18"/>
          <w:szCs w:val="18"/>
        </w:rPr>
        <w:t>Este género se compone de dos grupos, Pasivo Circulante y Pasivo No Circulante, en éstos inciden pasivos derivados de operaciones por servicios personales, cuentas por pagar por operaciones presupuestarias devengadas y contabilizadas a la fecha de emisión de la información contable</w:t>
      </w:r>
      <w:r w:rsidR="00B8035B">
        <w:rPr>
          <w:rFonts w:ascii="Montserrat" w:hAnsi="Montserrat"/>
          <w:sz w:val="18"/>
          <w:szCs w:val="18"/>
        </w:rPr>
        <w:t>,</w:t>
      </w:r>
      <w:r w:rsidR="0000636D">
        <w:rPr>
          <w:rFonts w:ascii="Montserrat" w:hAnsi="Montserrat"/>
          <w:sz w:val="18"/>
          <w:szCs w:val="18"/>
        </w:rPr>
        <w:t xml:space="preserve"> certificados especiales de T</w:t>
      </w:r>
      <w:r w:rsidRPr="00063579">
        <w:rPr>
          <w:rFonts w:ascii="Montserrat" w:hAnsi="Montserrat"/>
          <w:sz w:val="18"/>
          <w:szCs w:val="18"/>
        </w:rPr>
        <w:t>esorería, acreedores diversos, pasivos por títulos y valores col</w:t>
      </w:r>
      <w:r w:rsidR="0000636D">
        <w:rPr>
          <w:rFonts w:ascii="Montserrat" w:hAnsi="Montserrat"/>
          <w:sz w:val="18"/>
          <w:szCs w:val="18"/>
        </w:rPr>
        <w:t>ocados a corto y largo plazo</w:t>
      </w:r>
      <w:r w:rsidRPr="00063579">
        <w:rPr>
          <w:rFonts w:ascii="Montserrat" w:hAnsi="Montserrat"/>
          <w:sz w:val="18"/>
          <w:szCs w:val="18"/>
        </w:rPr>
        <w:t>:</w:t>
      </w:r>
    </w:p>
    <w:p w14:paraId="582B699A" w14:textId="77777777" w:rsidR="009C3C24" w:rsidRPr="00936371" w:rsidRDefault="009C3C24" w:rsidP="00E52592">
      <w:pPr>
        <w:spacing w:after="60" w:line="250" w:lineRule="exact"/>
        <w:ind w:left="709"/>
        <w:jc w:val="center"/>
        <w:rPr>
          <w:rFonts w:ascii="Montserrat" w:hAnsi="Montserrat" w:cs="Arial"/>
          <w:spacing w:val="-1"/>
          <w:sz w:val="18"/>
          <w:szCs w:val="18"/>
        </w:rPr>
      </w:pPr>
      <w:r w:rsidRPr="00936371">
        <w:rPr>
          <w:rFonts w:ascii="Montserrat" w:eastAsia="Times New Roman" w:hAnsi="Montserrat" w:cs="Calibri"/>
          <w:bCs/>
          <w:sz w:val="16"/>
          <w:szCs w:val="16"/>
          <w:lang w:val="es-MX" w:eastAsia="es-MX"/>
        </w:rPr>
        <w:t>(Pesos)</w:t>
      </w:r>
    </w:p>
    <w:tbl>
      <w:tblPr>
        <w:tblW w:w="8259" w:type="dxa"/>
        <w:jc w:val="center"/>
        <w:tblCellMar>
          <w:left w:w="70" w:type="dxa"/>
          <w:right w:w="70" w:type="dxa"/>
        </w:tblCellMar>
        <w:tblLook w:val="04A0" w:firstRow="1" w:lastRow="0" w:firstColumn="1" w:lastColumn="0" w:noHBand="0" w:noVBand="1"/>
      </w:tblPr>
      <w:tblGrid>
        <w:gridCol w:w="4063"/>
        <w:gridCol w:w="2098"/>
        <w:gridCol w:w="2098"/>
      </w:tblGrid>
      <w:tr w:rsidR="00C21CF6" w:rsidRPr="00DA0214" w14:paraId="66E8E0D3" w14:textId="77777777" w:rsidTr="00CC40D5">
        <w:trPr>
          <w:trHeight w:val="57"/>
          <w:jc w:val="center"/>
        </w:trPr>
        <w:tc>
          <w:tcPr>
            <w:tcW w:w="4063" w:type="dxa"/>
            <w:tcBorders>
              <w:top w:val="single" w:sz="12" w:space="0" w:color="808080" w:themeColor="background1" w:themeShade="80"/>
            </w:tcBorders>
            <w:shd w:val="clear" w:color="auto" w:fill="auto"/>
            <w:noWrap/>
            <w:vAlign w:val="center"/>
          </w:tcPr>
          <w:p w14:paraId="147F1E54" w14:textId="77777777" w:rsidR="00C21CF6" w:rsidRPr="00DA0214" w:rsidRDefault="00C21CF6" w:rsidP="002F797B">
            <w:pPr>
              <w:spacing w:after="0" w:line="240" w:lineRule="auto"/>
              <w:jc w:val="center"/>
              <w:rPr>
                <w:rFonts w:ascii="Montserrat" w:eastAsia="Times New Roman" w:hAnsi="Montserrat" w:cs="Calibri"/>
                <w:b/>
                <w:bCs/>
                <w:color w:val="FFFFFF"/>
                <w:sz w:val="4"/>
                <w:szCs w:val="4"/>
                <w:lang w:val="es-MX" w:eastAsia="es-MX"/>
              </w:rPr>
            </w:pPr>
          </w:p>
        </w:tc>
        <w:tc>
          <w:tcPr>
            <w:tcW w:w="2098" w:type="dxa"/>
            <w:tcBorders>
              <w:top w:val="single" w:sz="12" w:space="0" w:color="808080" w:themeColor="background1" w:themeShade="80"/>
            </w:tcBorders>
            <w:shd w:val="clear" w:color="auto" w:fill="auto"/>
            <w:vAlign w:val="center"/>
          </w:tcPr>
          <w:p w14:paraId="6BBB26C6" w14:textId="77777777" w:rsidR="00C21CF6" w:rsidRPr="00DA0214" w:rsidRDefault="00C21CF6" w:rsidP="002F797B">
            <w:pPr>
              <w:spacing w:after="0" w:line="240" w:lineRule="auto"/>
              <w:jc w:val="center"/>
              <w:rPr>
                <w:rFonts w:ascii="Montserrat" w:eastAsia="Times New Roman" w:hAnsi="Montserrat" w:cs="Calibri"/>
                <w:b/>
                <w:bCs/>
                <w:color w:val="FFFFFF"/>
                <w:sz w:val="4"/>
                <w:szCs w:val="4"/>
                <w:lang w:val="es-MX" w:eastAsia="es-MX"/>
              </w:rPr>
            </w:pPr>
          </w:p>
        </w:tc>
        <w:tc>
          <w:tcPr>
            <w:tcW w:w="2098" w:type="dxa"/>
            <w:tcBorders>
              <w:top w:val="single" w:sz="12" w:space="0" w:color="808080" w:themeColor="background1" w:themeShade="80"/>
            </w:tcBorders>
            <w:shd w:val="clear" w:color="auto" w:fill="auto"/>
            <w:noWrap/>
            <w:vAlign w:val="center"/>
          </w:tcPr>
          <w:p w14:paraId="05CB64DB" w14:textId="77777777" w:rsidR="00C21CF6" w:rsidRPr="00DA0214" w:rsidRDefault="00C21CF6" w:rsidP="002F797B">
            <w:pPr>
              <w:spacing w:after="0" w:line="240" w:lineRule="auto"/>
              <w:jc w:val="center"/>
              <w:rPr>
                <w:rFonts w:ascii="Montserrat" w:eastAsia="Times New Roman" w:hAnsi="Montserrat" w:cs="Calibri"/>
                <w:b/>
                <w:bCs/>
                <w:color w:val="FFFFFF"/>
                <w:sz w:val="4"/>
                <w:szCs w:val="4"/>
                <w:lang w:val="es-MX" w:eastAsia="es-MX"/>
              </w:rPr>
            </w:pPr>
          </w:p>
        </w:tc>
      </w:tr>
      <w:tr w:rsidR="009C3C24" w:rsidRPr="006F0DF1" w14:paraId="02B79C6D" w14:textId="77777777" w:rsidTr="00263314">
        <w:trPr>
          <w:trHeight w:val="317"/>
          <w:jc w:val="center"/>
        </w:trPr>
        <w:tc>
          <w:tcPr>
            <w:tcW w:w="4063" w:type="dxa"/>
            <w:tcBorders>
              <w:left w:val="single" w:sz="8" w:space="0" w:color="FFFFFF" w:themeColor="background1"/>
              <w:bottom w:val="double" w:sz="12" w:space="0" w:color="808080" w:themeColor="background1" w:themeShade="80"/>
              <w:right w:val="single" w:sz="8" w:space="0" w:color="FFFFFF" w:themeColor="background1"/>
            </w:tcBorders>
            <w:shd w:val="clear" w:color="auto" w:fill="D4C19C"/>
            <w:noWrap/>
            <w:vAlign w:val="center"/>
            <w:hideMark/>
          </w:tcPr>
          <w:p w14:paraId="0F05F27F" w14:textId="77777777" w:rsidR="009C3C24" w:rsidRPr="006F0DF1" w:rsidRDefault="009C3C24" w:rsidP="002F797B">
            <w:pPr>
              <w:spacing w:after="0" w:line="240" w:lineRule="auto"/>
              <w:jc w:val="center"/>
              <w:rPr>
                <w:rFonts w:ascii="Montserrat" w:eastAsia="Times New Roman" w:hAnsi="Montserrat" w:cs="Calibri"/>
                <w:b/>
                <w:bCs/>
                <w:color w:val="FFFFFF"/>
                <w:sz w:val="16"/>
                <w:szCs w:val="16"/>
                <w:lang w:val="es-MX" w:eastAsia="es-MX"/>
              </w:rPr>
            </w:pPr>
            <w:r w:rsidRPr="006F0DF1">
              <w:rPr>
                <w:rFonts w:ascii="Montserrat" w:eastAsia="Times New Roman" w:hAnsi="Montserrat" w:cs="Calibri"/>
                <w:b/>
                <w:bCs/>
                <w:color w:val="FFFFFF"/>
                <w:sz w:val="16"/>
                <w:szCs w:val="16"/>
                <w:lang w:val="es-MX" w:eastAsia="es-MX"/>
              </w:rPr>
              <w:t>Concepto</w:t>
            </w:r>
          </w:p>
        </w:tc>
        <w:tc>
          <w:tcPr>
            <w:tcW w:w="2098" w:type="dxa"/>
            <w:tcBorders>
              <w:left w:val="single" w:sz="8" w:space="0" w:color="FFFFFF" w:themeColor="background1"/>
              <w:bottom w:val="double" w:sz="12" w:space="0" w:color="808080" w:themeColor="background1" w:themeShade="80"/>
              <w:right w:val="single" w:sz="8" w:space="0" w:color="FFFFFF" w:themeColor="background1"/>
            </w:tcBorders>
            <w:shd w:val="clear" w:color="auto" w:fill="D4C19C"/>
            <w:vAlign w:val="center"/>
            <w:hideMark/>
          </w:tcPr>
          <w:p w14:paraId="72349E91" w14:textId="77777777" w:rsidR="009C3C24" w:rsidRPr="006F0DF1" w:rsidRDefault="009C3C24" w:rsidP="002F797B">
            <w:pPr>
              <w:spacing w:after="0" w:line="240" w:lineRule="auto"/>
              <w:jc w:val="center"/>
              <w:rPr>
                <w:rFonts w:ascii="Montserrat" w:eastAsia="Times New Roman" w:hAnsi="Montserrat" w:cs="Calibri"/>
                <w:b/>
                <w:bCs/>
                <w:color w:val="FFFFFF"/>
                <w:sz w:val="16"/>
                <w:szCs w:val="16"/>
                <w:lang w:val="es-MX" w:eastAsia="es-MX"/>
              </w:rPr>
            </w:pPr>
            <w:r>
              <w:rPr>
                <w:rFonts w:ascii="Montserrat" w:eastAsia="Times New Roman" w:hAnsi="Montserrat" w:cs="Calibri"/>
                <w:b/>
                <w:bCs/>
                <w:color w:val="FFFFFF"/>
                <w:sz w:val="16"/>
                <w:szCs w:val="16"/>
                <w:lang w:val="es-MX" w:eastAsia="es-MX"/>
              </w:rPr>
              <w:t>201</w:t>
            </w:r>
            <w:r w:rsidR="00AF70EA">
              <w:rPr>
                <w:rFonts w:ascii="Montserrat" w:eastAsia="Times New Roman" w:hAnsi="Montserrat" w:cs="Calibri"/>
                <w:b/>
                <w:bCs/>
                <w:color w:val="FFFFFF"/>
                <w:sz w:val="16"/>
                <w:szCs w:val="16"/>
                <w:lang w:val="es-MX" w:eastAsia="es-MX"/>
              </w:rPr>
              <w:t>9</w:t>
            </w:r>
          </w:p>
        </w:tc>
        <w:tc>
          <w:tcPr>
            <w:tcW w:w="2098" w:type="dxa"/>
            <w:tcBorders>
              <w:left w:val="single" w:sz="8" w:space="0" w:color="FFFFFF" w:themeColor="background1"/>
              <w:bottom w:val="double" w:sz="12" w:space="0" w:color="808080" w:themeColor="background1" w:themeShade="80"/>
              <w:right w:val="single" w:sz="8" w:space="0" w:color="FFFFFF" w:themeColor="background1"/>
            </w:tcBorders>
            <w:shd w:val="clear" w:color="auto" w:fill="D4C19C"/>
            <w:noWrap/>
            <w:vAlign w:val="center"/>
            <w:hideMark/>
          </w:tcPr>
          <w:p w14:paraId="67B415DD" w14:textId="77777777" w:rsidR="009C3C24" w:rsidRPr="006F0DF1" w:rsidRDefault="009C3C24" w:rsidP="002F797B">
            <w:pPr>
              <w:spacing w:after="0" w:line="240" w:lineRule="auto"/>
              <w:jc w:val="center"/>
              <w:rPr>
                <w:rFonts w:ascii="Montserrat" w:eastAsia="Times New Roman" w:hAnsi="Montserrat" w:cs="Calibri"/>
                <w:b/>
                <w:bCs/>
                <w:color w:val="FFFFFF"/>
                <w:sz w:val="16"/>
                <w:szCs w:val="16"/>
                <w:lang w:val="es-MX" w:eastAsia="es-MX"/>
              </w:rPr>
            </w:pPr>
            <w:r>
              <w:rPr>
                <w:rFonts w:ascii="Montserrat" w:eastAsia="Times New Roman" w:hAnsi="Montserrat" w:cs="Calibri"/>
                <w:b/>
                <w:bCs/>
                <w:color w:val="FFFFFF"/>
                <w:sz w:val="16"/>
                <w:szCs w:val="16"/>
                <w:lang w:val="es-MX" w:eastAsia="es-MX"/>
              </w:rPr>
              <w:t>201</w:t>
            </w:r>
            <w:r w:rsidR="00AF70EA">
              <w:rPr>
                <w:rFonts w:ascii="Montserrat" w:eastAsia="Times New Roman" w:hAnsi="Montserrat" w:cs="Calibri"/>
                <w:b/>
                <w:bCs/>
                <w:color w:val="FFFFFF"/>
                <w:sz w:val="16"/>
                <w:szCs w:val="16"/>
                <w:lang w:val="es-MX" w:eastAsia="es-MX"/>
              </w:rPr>
              <w:t>8</w:t>
            </w:r>
          </w:p>
        </w:tc>
      </w:tr>
      <w:tr w:rsidR="005E3C4A" w:rsidRPr="006F0DF1" w14:paraId="11EBAE5C" w14:textId="77777777" w:rsidTr="000F0321">
        <w:trPr>
          <w:trHeight w:val="215"/>
          <w:jc w:val="center"/>
        </w:trPr>
        <w:tc>
          <w:tcPr>
            <w:tcW w:w="4063" w:type="dxa"/>
            <w:tcBorders>
              <w:top w:val="double" w:sz="12" w:space="0" w:color="808080" w:themeColor="background1" w:themeShade="80"/>
            </w:tcBorders>
            <w:shd w:val="clear" w:color="auto" w:fill="F2F2F2" w:themeFill="background1" w:themeFillShade="F2"/>
            <w:noWrap/>
            <w:vAlign w:val="center"/>
            <w:hideMark/>
          </w:tcPr>
          <w:p w14:paraId="58F8AC9B" w14:textId="77777777" w:rsidR="005E3C4A" w:rsidRPr="00255081" w:rsidRDefault="005E3C4A" w:rsidP="005E3C4A">
            <w:pPr>
              <w:spacing w:after="0" w:line="240" w:lineRule="auto"/>
              <w:ind w:left="170"/>
              <w:rPr>
                <w:rFonts w:ascii="Montserrat" w:eastAsia="Times New Roman" w:hAnsi="Montserrat" w:cs="Calibri"/>
                <w:color w:val="000000"/>
                <w:sz w:val="15"/>
                <w:szCs w:val="15"/>
                <w:lang w:val="es-MX" w:eastAsia="es-MX"/>
              </w:rPr>
            </w:pPr>
            <w:r w:rsidRPr="00255081">
              <w:rPr>
                <w:rFonts w:ascii="Montserrat" w:eastAsia="Times New Roman" w:hAnsi="Montserrat" w:cs="Calibri"/>
                <w:color w:val="000000"/>
                <w:sz w:val="15"/>
                <w:szCs w:val="15"/>
                <w:lang w:val="es-MX" w:eastAsia="es-MX"/>
              </w:rPr>
              <w:t>Pasivo Circulante</w:t>
            </w:r>
          </w:p>
        </w:tc>
        <w:tc>
          <w:tcPr>
            <w:tcW w:w="2098" w:type="dxa"/>
            <w:tcBorders>
              <w:top w:val="double" w:sz="12" w:space="0" w:color="808080" w:themeColor="background1" w:themeShade="80"/>
            </w:tcBorders>
            <w:shd w:val="clear" w:color="auto" w:fill="F2F2F2" w:themeFill="background1" w:themeFillShade="F2"/>
            <w:noWrap/>
            <w:vAlign w:val="center"/>
          </w:tcPr>
          <w:p w14:paraId="57029A30" w14:textId="7849B8EA" w:rsidR="005E3C4A" w:rsidRPr="00255081" w:rsidRDefault="005E3C4A" w:rsidP="005E3C4A">
            <w:pPr>
              <w:spacing w:after="0" w:line="240" w:lineRule="auto"/>
              <w:jc w:val="right"/>
              <w:rPr>
                <w:rFonts w:ascii="Montserrat" w:eastAsia="Times New Roman" w:hAnsi="Montserrat" w:cs="Calibri"/>
                <w:color w:val="000000"/>
                <w:sz w:val="15"/>
                <w:szCs w:val="15"/>
                <w:lang w:val="es-MX" w:eastAsia="es-MX"/>
              </w:rPr>
            </w:pPr>
            <w:r w:rsidRPr="000F0321">
              <w:rPr>
                <w:rFonts w:ascii="Montserrat" w:hAnsi="Montserrat" w:cs="Arial"/>
                <w:color w:val="000000"/>
                <w:sz w:val="15"/>
                <w:szCs w:val="15"/>
              </w:rPr>
              <w:t>1,796,785,104,075</w:t>
            </w:r>
          </w:p>
        </w:tc>
        <w:tc>
          <w:tcPr>
            <w:tcW w:w="2098" w:type="dxa"/>
            <w:tcBorders>
              <w:top w:val="double" w:sz="12" w:space="0" w:color="808080" w:themeColor="background1" w:themeShade="80"/>
            </w:tcBorders>
            <w:shd w:val="clear" w:color="auto" w:fill="F2F2F2" w:themeFill="background1" w:themeFillShade="F2"/>
            <w:noWrap/>
            <w:hideMark/>
          </w:tcPr>
          <w:p w14:paraId="19E21927" w14:textId="77777777" w:rsidR="005E3C4A" w:rsidRPr="00255081" w:rsidRDefault="005E3C4A" w:rsidP="005E3C4A">
            <w:pPr>
              <w:spacing w:after="0" w:line="240" w:lineRule="auto"/>
              <w:jc w:val="right"/>
              <w:rPr>
                <w:rFonts w:ascii="Montserrat" w:eastAsia="Times New Roman" w:hAnsi="Montserrat" w:cs="Calibri"/>
                <w:color w:val="000000"/>
                <w:sz w:val="15"/>
                <w:szCs w:val="15"/>
                <w:lang w:val="es-MX" w:eastAsia="es-MX"/>
              </w:rPr>
            </w:pPr>
            <w:r w:rsidRPr="00255081">
              <w:rPr>
                <w:rFonts w:ascii="Montserrat" w:eastAsia="Times New Roman" w:hAnsi="Montserrat" w:cs="Calibri"/>
                <w:color w:val="000000"/>
                <w:sz w:val="15"/>
                <w:szCs w:val="15"/>
                <w:lang w:val="es-MX" w:eastAsia="es-MX"/>
              </w:rPr>
              <w:t>1,295,053,432,763</w:t>
            </w:r>
          </w:p>
        </w:tc>
      </w:tr>
      <w:tr w:rsidR="005E3C4A" w:rsidRPr="006F0DF1" w14:paraId="2B6ECCEF" w14:textId="77777777" w:rsidTr="000F0321">
        <w:trPr>
          <w:trHeight w:val="215"/>
          <w:jc w:val="center"/>
        </w:trPr>
        <w:tc>
          <w:tcPr>
            <w:tcW w:w="4063" w:type="dxa"/>
            <w:tcBorders>
              <w:top w:val="nil"/>
            </w:tcBorders>
            <w:shd w:val="clear" w:color="auto" w:fill="F2F2F2" w:themeFill="background1" w:themeFillShade="F2"/>
            <w:noWrap/>
            <w:vAlign w:val="center"/>
            <w:hideMark/>
          </w:tcPr>
          <w:p w14:paraId="198CB3F3" w14:textId="77777777" w:rsidR="005E3C4A" w:rsidRPr="00255081" w:rsidRDefault="005E3C4A" w:rsidP="005E3C4A">
            <w:pPr>
              <w:spacing w:after="0" w:line="240" w:lineRule="auto"/>
              <w:ind w:left="170"/>
              <w:rPr>
                <w:rFonts w:ascii="Montserrat" w:eastAsia="Times New Roman" w:hAnsi="Montserrat" w:cs="Calibri"/>
                <w:color w:val="000000"/>
                <w:sz w:val="15"/>
                <w:szCs w:val="15"/>
                <w:lang w:val="es-MX" w:eastAsia="es-MX"/>
              </w:rPr>
            </w:pPr>
            <w:r w:rsidRPr="00255081">
              <w:rPr>
                <w:rFonts w:ascii="Montserrat" w:eastAsia="Times New Roman" w:hAnsi="Montserrat" w:cs="Calibri"/>
                <w:color w:val="000000"/>
                <w:sz w:val="15"/>
                <w:szCs w:val="15"/>
                <w:lang w:val="es-MX" w:eastAsia="es-MX"/>
              </w:rPr>
              <w:t>Pasivo No Circulante</w:t>
            </w:r>
          </w:p>
        </w:tc>
        <w:tc>
          <w:tcPr>
            <w:tcW w:w="2098" w:type="dxa"/>
            <w:tcBorders>
              <w:top w:val="nil"/>
            </w:tcBorders>
            <w:shd w:val="clear" w:color="auto" w:fill="F2F2F2" w:themeFill="background1" w:themeFillShade="F2"/>
            <w:noWrap/>
            <w:vAlign w:val="center"/>
          </w:tcPr>
          <w:p w14:paraId="45E0316A" w14:textId="7C52512D" w:rsidR="005E3C4A" w:rsidRPr="00255081" w:rsidRDefault="005E3C4A" w:rsidP="005E3C4A">
            <w:pPr>
              <w:spacing w:after="0" w:line="240" w:lineRule="auto"/>
              <w:jc w:val="right"/>
              <w:rPr>
                <w:rFonts w:ascii="Montserrat" w:eastAsia="Times New Roman" w:hAnsi="Montserrat" w:cs="Calibri"/>
                <w:color w:val="000000"/>
                <w:sz w:val="15"/>
                <w:szCs w:val="15"/>
                <w:lang w:val="es-MX" w:eastAsia="es-MX"/>
              </w:rPr>
            </w:pPr>
            <w:r w:rsidRPr="000F0321">
              <w:rPr>
                <w:rFonts w:ascii="Montserrat" w:hAnsi="Montserrat" w:cs="Arial"/>
                <w:color w:val="000000"/>
                <w:sz w:val="15"/>
                <w:szCs w:val="15"/>
              </w:rPr>
              <w:t>15,186,305,820,652</w:t>
            </w:r>
          </w:p>
        </w:tc>
        <w:tc>
          <w:tcPr>
            <w:tcW w:w="2098" w:type="dxa"/>
            <w:tcBorders>
              <w:top w:val="nil"/>
            </w:tcBorders>
            <w:shd w:val="clear" w:color="auto" w:fill="F2F2F2" w:themeFill="background1" w:themeFillShade="F2"/>
            <w:noWrap/>
            <w:hideMark/>
          </w:tcPr>
          <w:p w14:paraId="44D49BEE" w14:textId="77777777" w:rsidR="005E3C4A" w:rsidRPr="00255081" w:rsidRDefault="005E3C4A" w:rsidP="005E3C4A">
            <w:pPr>
              <w:spacing w:after="0" w:line="240" w:lineRule="auto"/>
              <w:jc w:val="right"/>
              <w:rPr>
                <w:rFonts w:ascii="Montserrat" w:eastAsia="Times New Roman" w:hAnsi="Montserrat" w:cs="Calibri"/>
                <w:color w:val="000000"/>
                <w:sz w:val="15"/>
                <w:szCs w:val="15"/>
                <w:lang w:val="es-MX" w:eastAsia="es-MX"/>
              </w:rPr>
            </w:pPr>
            <w:r w:rsidRPr="00255081">
              <w:rPr>
                <w:rFonts w:ascii="Montserrat" w:eastAsia="Times New Roman" w:hAnsi="Montserrat" w:cs="Calibri"/>
                <w:color w:val="000000"/>
                <w:sz w:val="15"/>
                <w:szCs w:val="15"/>
                <w:lang w:val="es-MX" w:eastAsia="es-MX"/>
              </w:rPr>
              <w:t>14,299,065,170,722</w:t>
            </w:r>
          </w:p>
        </w:tc>
      </w:tr>
      <w:tr w:rsidR="005E3C4A" w:rsidRPr="001F39D2" w14:paraId="418B4932" w14:textId="77777777" w:rsidTr="000F0321">
        <w:trPr>
          <w:trHeight w:val="215"/>
          <w:jc w:val="center"/>
        </w:trPr>
        <w:tc>
          <w:tcPr>
            <w:tcW w:w="4063" w:type="dxa"/>
            <w:tcBorders>
              <w:bottom w:val="single" w:sz="12" w:space="0" w:color="808080" w:themeColor="background1" w:themeShade="80"/>
            </w:tcBorders>
            <w:shd w:val="clear" w:color="auto" w:fill="F2F2F2" w:themeFill="background1" w:themeFillShade="F2"/>
            <w:noWrap/>
            <w:vAlign w:val="center"/>
            <w:hideMark/>
          </w:tcPr>
          <w:p w14:paraId="54B8ADA3" w14:textId="77777777" w:rsidR="005E3C4A" w:rsidRPr="00255081" w:rsidRDefault="005E3C4A" w:rsidP="005E3C4A">
            <w:pPr>
              <w:spacing w:after="0" w:line="240" w:lineRule="auto"/>
              <w:ind w:left="170"/>
              <w:jc w:val="right"/>
              <w:rPr>
                <w:rFonts w:ascii="Montserrat" w:eastAsia="Times New Roman" w:hAnsi="Montserrat" w:cs="Calibri"/>
                <w:b/>
                <w:bCs/>
                <w:color w:val="000000"/>
                <w:sz w:val="15"/>
                <w:szCs w:val="15"/>
                <w:lang w:val="es-MX" w:eastAsia="es-MX"/>
              </w:rPr>
            </w:pPr>
            <w:r w:rsidRPr="00255081">
              <w:rPr>
                <w:rFonts w:ascii="Montserrat" w:eastAsia="Times New Roman" w:hAnsi="Montserrat" w:cs="Calibri"/>
                <w:b/>
                <w:bCs/>
                <w:color w:val="000000"/>
                <w:sz w:val="15"/>
                <w:szCs w:val="15"/>
                <w:lang w:val="es-MX" w:eastAsia="es-MX"/>
              </w:rPr>
              <w:t>Total Pasivo Circulante y No Circulante</w:t>
            </w:r>
          </w:p>
        </w:tc>
        <w:tc>
          <w:tcPr>
            <w:tcW w:w="2098" w:type="dxa"/>
            <w:tcBorders>
              <w:bottom w:val="single" w:sz="12" w:space="0" w:color="808080" w:themeColor="background1" w:themeShade="80"/>
            </w:tcBorders>
            <w:shd w:val="clear" w:color="auto" w:fill="F2F2F2" w:themeFill="background1" w:themeFillShade="F2"/>
            <w:noWrap/>
            <w:vAlign w:val="center"/>
          </w:tcPr>
          <w:p w14:paraId="4BEA24A0" w14:textId="324BA9A4" w:rsidR="005E3C4A" w:rsidRPr="000F0321" w:rsidRDefault="005E3C4A" w:rsidP="005E3C4A">
            <w:pPr>
              <w:spacing w:after="0" w:line="240" w:lineRule="auto"/>
              <w:jc w:val="right"/>
              <w:rPr>
                <w:sz w:val="15"/>
                <w:szCs w:val="15"/>
              </w:rPr>
            </w:pPr>
            <w:r w:rsidRPr="000F0321">
              <w:rPr>
                <w:rFonts w:ascii="Montserrat" w:hAnsi="Montserrat" w:cs="Arial"/>
                <w:b/>
                <w:bCs/>
                <w:color w:val="000000"/>
                <w:sz w:val="15"/>
                <w:szCs w:val="15"/>
              </w:rPr>
              <w:t>16,983,090,924,727</w:t>
            </w:r>
          </w:p>
        </w:tc>
        <w:tc>
          <w:tcPr>
            <w:tcW w:w="2098" w:type="dxa"/>
            <w:tcBorders>
              <w:bottom w:val="single" w:sz="12" w:space="0" w:color="808080" w:themeColor="background1" w:themeShade="80"/>
            </w:tcBorders>
            <w:shd w:val="clear" w:color="auto" w:fill="F2F2F2" w:themeFill="background1" w:themeFillShade="F2"/>
            <w:noWrap/>
            <w:hideMark/>
          </w:tcPr>
          <w:p w14:paraId="708BE2DE" w14:textId="77777777" w:rsidR="005E3C4A" w:rsidRPr="000F0321" w:rsidRDefault="005E3C4A" w:rsidP="005E3C4A">
            <w:pPr>
              <w:spacing w:after="0" w:line="240" w:lineRule="auto"/>
              <w:jc w:val="right"/>
              <w:rPr>
                <w:sz w:val="15"/>
                <w:szCs w:val="15"/>
              </w:rPr>
            </w:pPr>
            <w:r w:rsidRPr="00255081">
              <w:rPr>
                <w:rFonts w:ascii="Montserrat" w:eastAsia="Times New Roman" w:hAnsi="Montserrat" w:cs="Calibri"/>
                <w:b/>
                <w:bCs/>
                <w:color w:val="000000"/>
                <w:sz w:val="15"/>
                <w:szCs w:val="15"/>
                <w:lang w:val="es-MX" w:eastAsia="es-MX"/>
              </w:rPr>
              <w:t>15,594,118,603,485</w:t>
            </w:r>
          </w:p>
        </w:tc>
      </w:tr>
    </w:tbl>
    <w:p w14:paraId="1783E865" w14:textId="77777777" w:rsidR="00263314" w:rsidRDefault="00263314" w:rsidP="00263314">
      <w:pPr>
        <w:spacing w:after="0" w:line="240" w:lineRule="auto"/>
        <w:jc w:val="both"/>
        <w:rPr>
          <w:rFonts w:ascii="Montserrat" w:hAnsi="Montserrat"/>
          <w:sz w:val="18"/>
          <w:szCs w:val="18"/>
        </w:rPr>
      </w:pPr>
    </w:p>
    <w:p w14:paraId="72B1D6EB" w14:textId="77777777" w:rsidR="005B52DD" w:rsidRDefault="005B52DD" w:rsidP="00263314">
      <w:pPr>
        <w:spacing w:after="0" w:line="240" w:lineRule="auto"/>
        <w:jc w:val="both"/>
        <w:rPr>
          <w:rFonts w:ascii="Montserrat" w:hAnsi="Montserrat"/>
          <w:sz w:val="18"/>
          <w:szCs w:val="18"/>
        </w:rPr>
      </w:pPr>
    </w:p>
    <w:p w14:paraId="2B8EE88A" w14:textId="77777777" w:rsidR="005B52DD" w:rsidRDefault="005B52DD" w:rsidP="00263314">
      <w:pPr>
        <w:spacing w:after="0" w:line="240" w:lineRule="auto"/>
        <w:jc w:val="both"/>
        <w:rPr>
          <w:rFonts w:ascii="Montserrat" w:hAnsi="Montserrat"/>
          <w:sz w:val="18"/>
          <w:szCs w:val="18"/>
        </w:rPr>
      </w:pPr>
    </w:p>
    <w:p w14:paraId="44420497" w14:textId="77777777" w:rsidR="00F86C1F" w:rsidRPr="00263314" w:rsidRDefault="00F86C1F" w:rsidP="00263314">
      <w:pPr>
        <w:spacing w:after="0" w:line="240" w:lineRule="auto"/>
        <w:jc w:val="both"/>
        <w:rPr>
          <w:rFonts w:ascii="Montserrat" w:hAnsi="Montserrat"/>
          <w:sz w:val="18"/>
          <w:szCs w:val="18"/>
        </w:rPr>
      </w:pPr>
    </w:p>
    <w:p w14:paraId="3A772D61" w14:textId="77777777" w:rsidR="009C3C24" w:rsidRPr="00476315" w:rsidRDefault="009C3C24" w:rsidP="005A5AC5">
      <w:pPr>
        <w:pStyle w:val="VIETAFLECHA"/>
        <w:numPr>
          <w:ilvl w:val="0"/>
          <w:numId w:val="13"/>
        </w:numPr>
        <w:ind w:left="357" w:hanging="357"/>
        <w:rPr>
          <w:rFonts w:cs="Arial"/>
          <w:spacing w:val="-1"/>
        </w:rPr>
      </w:pPr>
      <w:r w:rsidRPr="00476315">
        <w:rPr>
          <w:rFonts w:cs="Arial"/>
          <w:spacing w:val="-1"/>
        </w:rPr>
        <w:lastRenderedPageBreak/>
        <w:t>Pasivo Circulante</w:t>
      </w:r>
    </w:p>
    <w:p w14:paraId="0914AF0B" w14:textId="5D1F9183" w:rsidR="009C3C24" w:rsidRPr="00476315" w:rsidRDefault="0000636D" w:rsidP="00063579">
      <w:pPr>
        <w:spacing w:after="120" w:line="250" w:lineRule="exact"/>
        <w:jc w:val="both"/>
        <w:rPr>
          <w:rFonts w:ascii="Montserrat" w:hAnsi="Montserrat"/>
          <w:sz w:val="18"/>
          <w:szCs w:val="18"/>
        </w:rPr>
      </w:pPr>
      <w:r>
        <w:rPr>
          <w:rFonts w:ascii="Montserrat" w:hAnsi="Montserrat"/>
          <w:sz w:val="18"/>
          <w:szCs w:val="18"/>
        </w:rPr>
        <w:t>Destacan entre lo</w:t>
      </w:r>
      <w:r w:rsidR="009C3C24" w:rsidRPr="00476315">
        <w:rPr>
          <w:rFonts w:ascii="Montserrat" w:hAnsi="Montserrat"/>
          <w:sz w:val="18"/>
          <w:szCs w:val="18"/>
        </w:rPr>
        <w:t xml:space="preserve">s principales </w:t>
      </w:r>
      <w:r>
        <w:rPr>
          <w:rFonts w:ascii="Montserrat" w:hAnsi="Montserrat"/>
          <w:sz w:val="18"/>
          <w:szCs w:val="18"/>
        </w:rPr>
        <w:t>rubros</w:t>
      </w:r>
      <w:r w:rsidR="009C3C24" w:rsidRPr="00476315">
        <w:rPr>
          <w:rFonts w:ascii="Montserrat" w:hAnsi="Montserrat"/>
          <w:sz w:val="18"/>
          <w:szCs w:val="18"/>
        </w:rPr>
        <w:t xml:space="preserve"> del pasivo circula</w:t>
      </w:r>
      <w:r>
        <w:rPr>
          <w:rFonts w:ascii="Montserrat" w:hAnsi="Montserrat"/>
          <w:sz w:val="18"/>
          <w:szCs w:val="18"/>
        </w:rPr>
        <w:t>nte lo</w:t>
      </w:r>
      <w:r w:rsidR="009C3C24" w:rsidRPr="00476315">
        <w:rPr>
          <w:rFonts w:ascii="Montserrat" w:hAnsi="Montserrat"/>
          <w:sz w:val="18"/>
          <w:szCs w:val="18"/>
        </w:rPr>
        <w:t>s siguientes:</w:t>
      </w:r>
    </w:p>
    <w:p w14:paraId="798BF370" w14:textId="77777777" w:rsidR="009C3C24" w:rsidRPr="00476315" w:rsidRDefault="009C3C24" w:rsidP="00E52592">
      <w:pPr>
        <w:spacing w:after="60" w:line="250" w:lineRule="exact"/>
        <w:ind w:left="709"/>
        <w:jc w:val="center"/>
        <w:rPr>
          <w:rFonts w:ascii="Montserrat" w:hAnsi="Montserrat" w:cs="Arial"/>
          <w:spacing w:val="-1"/>
          <w:sz w:val="18"/>
          <w:szCs w:val="18"/>
        </w:rPr>
      </w:pPr>
      <w:r w:rsidRPr="00476315">
        <w:rPr>
          <w:rFonts w:ascii="Montserrat" w:eastAsia="Times New Roman" w:hAnsi="Montserrat" w:cs="Calibri"/>
          <w:bCs/>
          <w:sz w:val="16"/>
          <w:szCs w:val="16"/>
          <w:lang w:val="es-MX" w:eastAsia="es-MX"/>
        </w:rPr>
        <w:t>(Pesos)</w:t>
      </w:r>
    </w:p>
    <w:tbl>
      <w:tblPr>
        <w:tblW w:w="8222" w:type="dxa"/>
        <w:jc w:val="center"/>
        <w:tblCellMar>
          <w:left w:w="70" w:type="dxa"/>
          <w:right w:w="70" w:type="dxa"/>
        </w:tblCellMar>
        <w:tblLook w:val="04A0" w:firstRow="1" w:lastRow="0" w:firstColumn="1" w:lastColumn="0" w:noHBand="0" w:noVBand="1"/>
      </w:tblPr>
      <w:tblGrid>
        <w:gridCol w:w="4147"/>
        <w:gridCol w:w="2098"/>
        <w:gridCol w:w="1977"/>
      </w:tblGrid>
      <w:tr w:rsidR="00C4519E" w:rsidRPr="00476315" w14:paraId="6D2204C8" w14:textId="77777777" w:rsidTr="000F0321">
        <w:trPr>
          <w:trHeight w:val="57"/>
          <w:jc w:val="center"/>
        </w:trPr>
        <w:tc>
          <w:tcPr>
            <w:tcW w:w="8222" w:type="dxa"/>
            <w:gridSpan w:val="3"/>
            <w:tcBorders>
              <w:top w:val="single" w:sz="12" w:space="0" w:color="808080" w:themeColor="background1" w:themeShade="80"/>
            </w:tcBorders>
            <w:shd w:val="clear" w:color="auto" w:fill="auto"/>
            <w:noWrap/>
            <w:vAlign w:val="center"/>
          </w:tcPr>
          <w:p w14:paraId="0907039B" w14:textId="77777777" w:rsidR="00C4519E" w:rsidRPr="00476315" w:rsidRDefault="00C4519E" w:rsidP="002F797B">
            <w:pPr>
              <w:spacing w:after="0" w:line="240" w:lineRule="auto"/>
              <w:jc w:val="center"/>
              <w:rPr>
                <w:rFonts w:ascii="Montserrat" w:eastAsia="Times New Roman" w:hAnsi="Montserrat" w:cs="Calibri"/>
                <w:b/>
                <w:bCs/>
                <w:color w:val="FFFFFF"/>
                <w:sz w:val="4"/>
                <w:szCs w:val="4"/>
                <w:lang w:val="es-MX" w:eastAsia="es-MX"/>
              </w:rPr>
            </w:pPr>
          </w:p>
        </w:tc>
      </w:tr>
      <w:tr w:rsidR="009C3C24" w:rsidRPr="00476315" w14:paraId="1B33E994" w14:textId="77777777" w:rsidTr="000F0321">
        <w:trPr>
          <w:trHeight w:val="317"/>
          <w:jc w:val="center"/>
        </w:trPr>
        <w:tc>
          <w:tcPr>
            <w:tcW w:w="4147" w:type="dxa"/>
            <w:tcBorders>
              <w:left w:val="single" w:sz="8" w:space="0" w:color="FFFFFF" w:themeColor="background1"/>
              <w:bottom w:val="double" w:sz="12" w:space="0" w:color="808080" w:themeColor="background1" w:themeShade="80"/>
              <w:right w:val="single" w:sz="8" w:space="0" w:color="FFFFFF" w:themeColor="background1"/>
            </w:tcBorders>
            <w:shd w:val="clear" w:color="auto" w:fill="D4C19C"/>
            <w:noWrap/>
            <w:vAlign w:val="center"/>
            <w:hideMark/>
          </w:tcPr>
          <w:p w14:paraId="4D1E64B1" w14:textId="77777777" w:rsidR="009C3C24" w:rsidRPr="00476315" w:rsidRDefault="009C3C24" w:rsidP="002F797B">
            <w:pPr>
              <w:spacing w:after="0" w:line="240" w:lineRule="auto"/>
              <w:jc w:val="center"/>
              <w:rPr>
                <w:rFonts w:ascii="Montserrat" w:eastAsia="Times New Roman" w:hAnsi="Montserrat" w:cs="Calibri"/>
                <w:b/>
                <w:bCs/>
                <w:color w:val="FFFFFF"/>
                <w:sz w:val="16"/>
                <w:szCs w:val="16"/>
                <w:lang w:val="es-MX" w:eastAsia="es-MX"/>
              </w:rPr>
            </w:pPr>
            <w:r w:rsidRPr="00476315">
              <w:rPr>
                <w:rFonts w:ascii="Montserrat" w:eastAsia="Times New Roman" w:hAnsi="Montserrat" w:cs="Calibri"/>
                <w:b/>
                <w:bCs/>
                <w:color w:val="FFFFFF"/>
                <w:sz w:val="16"/>
                <w:szCs w:val="16"/>
                <w:lang w:val="es-MX" w:eastAsia="es-MX"/>
              </w:rPr>
              <w:t>Concepto</w:t>
            </w:r>
          </w:p>
        </w:tc>
        <w:tc>
          <w:tcPr>
            <w:tcW w:w="2098" w:type="dxa"/>
            <w:tcBorders>
              <w:left w:val="single" w:sz="8" w:space="0" w:color="FFFFFF" w:themeColor="background1"/>
              <w:bottom w:val="double" w:sz="12" w:space="0" w:color="808080" w:themeColor="background1" w:themeShade="80"/>
              <w:right w:val="single" w:sz="8" w:space="0" w:color="FFFFFF" w:themeColor="background1"/>
            </w:tcBorders>
            <w:shd w:val="clear" w:color="auto" w:fill="D4C19C"/>
            <w:vAlign w:val="center"/>
            <w:hideMark/>
          </w:tcPr>
          <w:p w14:paraId="2209B3D8" w14:textId="77777777" w:rsidR="009C3C24" w:rsidRPr="00476315" w:rsidRDefault="009C3C24" w:rsidP="002F797B">
            <w:pPr>
              <w:spacing w:after="0" w:line="240" w:lineRule="auto"/>
              <w:jc w:val="center"/>
              <w:rPr>
                <w:rFonts w:ascii="Montserrat" w:eastAsia="Times New Roman" w:hAnsi="Montserrat" w:cs="Calibri"/>
                <w:b/>
                <w:bCs/>
                <w:color w:val="FFFFFF"/>
                <w:sz w:val="16"/>
                <w:szCs w:val="16"/>
                <w:lang w:val="es-MX" w:eastAsia="es-MX"/>
              </w:rPr>
            </w:pPr>
            <w:r w:rsidRPr="00476315">
              <w:rPr>
                <w:rFonts w:ascii="Montserrat" w:eastAsia="Times New Roman" w:hAnsi="Montserrat" w:cs="Calibri"/>
                <w:b/>
                <w:bCs/>
                <w:color w:val="FFFFFF"/>
                <w:sz w:val="16"/>
                <w:szCs w:val="16"/>
                <w:lang w:val="es-MX" w:eastAsia="es-MX"/>
              </w:rPr>
              <w:t>201</w:t>
            </w:r>
            <w:r w:rsidR="00AF70EA" w:rsidRPr="00476315">
              <w:rPr>
                <w:rFonts w:ascii="Montserrat" w:eastAsia="Times New Roman" w:hAnsi="Montserrat" w:cs="Calibri"/>
                <w:b/>
                <w:bCs/>
                <w:color w:val="FFFFFF"/>
                <w:sz w:val="16"/>
                <w:szCs w:val="16"/>
                <w:lang w:val="es-MX" w:eastAsia="es-MX"/>
              </w:rPr>
              <w:t>9</w:t>
            </w:r>
          </w:p>
        </w:tc>
        <w:tc>
          <w:tcPr>
            <w:tcW w:w="1977" w:type="dxa"/>
            <w:tcBorders>
              <w:left w:val="single" w:sz="8" w:space="0" w:color="FFFFFF" w:themeColor="background1"/>
              <w:bottom w:val="double" w:sz="12" w:space="0" w:color="808080" w:themeColor="background1" w:themeShade="80"/>
              <w:right w:val="single" w:sz="8" w:space="0" w:color="FFFFFF" w:themeColor="background1"/>
            </w:tcBorders>
            <w:shd w:val="clear" w:color="auto" w:fill="D4C19C"/>
            <w:noWrap/>
            <w:vAlign w:val="center"/>
            <w:hideMark/>
          </w:tcPr>
          <w:p w14:paraId="69451B44" w14:textId="77777777" w:rsidR="009C3C24" w:rsidRPr="00476315" w:rsidRDefault="009C3C24" w:rsidP="002F797B">
            <w:pPr>
              <w:spacing w:after="0" w:line="240" w:lineRule="auto"/>
              <w:jc w:val="center"/>
              <w:rPr>
                <w:rFonts w:ascii="Montserrat" w:eastAsia="Times New Roman" w:hAnsi="Montserrat" w:cs="Calibri"/>
                <w:b/>
                <w:bCs/>
                <w:color w:val="FFFFFF"/>
                <w:sz w:val="16"/>
                <w:szCs w:val="16"/>
                <w:lang w:val="es-MX" w:eastAsia="es-MX"/>
              </w:rPr>
            </w:pPr>
            <w:r w:rsidRPr="00476315">
              <w:rPr>
                <w:rFonts w:ascii="Montserrat" w:eastAsia="Times New Roman" w:hAnsi="Montserrat" w:cs="Calibri"/>
                <w:b/>
                <w:bCs/>
                <w:color w:val="FFFFFF"/>
                <w:sz w:val="16"/>
                <w:szCs w:val="16"/>
                <w:lang w:val="es-MX" w:eastAsia="es-MX"/>
              </w:rPr>
              <w:t>201</w:t>
            </w:r>
            <w:r w:rsidR="00AF70EA" w:rsidRPr="00476315">
              <w:rPr>
                <w:rFonts w:ascii="Montserrat" w:eastAsia="Times New Roman" w:hAnsi="Montserrat" w:cs="Calibri"/>
                <w:b/>
                <w:bCs/>
                <w:color w:val="FFFFFF"/>
                <w:sz w:val="16"/>
                <w:szCs w:val="16"/>
                <w:lang w:val="es-MX" w:eastAsia="es-MX"/>
              </w:rPr>
              <w:t>8</w:t>
            </w:r>
          </w:p>
        </w:tc>
      </w:tr>
      <w:tr w:rsidR="005E3C4A" w:rsidRPr="00476315" w14:paraId="3B83DF25" w14:textId="77777777" w:rsidTr="000F0321">
        <w:trPr>
          <w:trHeight w:val="215"/>
          <w:jc w:val="center"/>
        </w:trPr>
        <w:tc>
          <w:tcPr>
            <w:tcW w:w="4147" w:type="dxa"/>
            <w:tcBorders>
              <w:top w:val="double" w:sz="12" w:space="0" w:color="808080" w:themeColor="background1" w:themeShade="80"/>
            </w:tcBorders>
            <w:shd w:val="clear" w:color="auto" w:fill="F2F2F2" w:themeFill="background1" w:themeFillShade="F2"/>
            <w:noWrap/>
            <w:vAlign w:val="center"/>
            <w:hideMark/>
          </w:tcPr>
          <w:p w14:paraId="31949F7E" w14:textId="77777777" w:rsidR="005E3C4A" w:rsidRPr="00255081" w:rsidRDefault="005E3C4A" w:rsidP="005E3C4A">
            <w:pPr>
              <w:spacing w:after="0" w:line="240" w:lineRule="auto"/>
              <w:ind w:left="170"/>
              <w:jc w:val="both"/>
              <w:rPr>
                <w:rFonts w:ascii="Montserrat" w:eastAsia="Times New Roman" w:hAnsi="Montserrat" w:cs="Calibri"/>
                <w:color w:val="000000"/>
                <w:sz w:val="15"/>
                <w:szCs w:val="15"/>
                <w:lang w:val="es-MX" w:eastAsia="es-MX"/>
              </w:rPr>
            </w:pPr>
            <w:r w:rsidRPr="00255081">
              <w:rPr>
                <w:rFonts w:ascii="Montserrat" w:eastAsia="Times New Roman" w:hAnsi="Montserrat" w:cs="Calibri"/>
                <w:color w:val="000000"/>
                <w:sz w:val="15"/>
                <w:szCs w:val="15"/>
                <w:lang w:val="es-MX" w:eastAsia="es-MX"/>
              </w:rPr>
              <w:t>Cuentas por Pagar a Corto Plazo</w:t>
            </w:r>
          </w:p>
        </w:tc>
        <w:tc>
          <w:tcPr>
            <w:tcW w:w="2098" w:type="dxa"/>
            <w:tcBorders>
              <w:top w:val="double" w:sz="12" w:space="0" w:color="808080" w:themeColor="background1" w:themeShade="80"/>
            </w:tcBorders>
            <w:shd w:val="clear" w:color="000000" w:fill="F2F2F2"/>
            <w:vAlign w:val="center"/>
          </w:tcPr>
          <w:p w14:paraId="2DB77E9D" w14:textId="694B2025" w:rsidR="005E3C4A" w:rsidRPr="00255081" w:rsidRDefault="005E3C4A" w:rsidP="005E3C4A">
            <w:pPr>
              <w:spacing w:after="0" w:line="240" w:lineRule="auto"/>
              <w:jc w:val="right"/>
              <w:rPr>
                <w:rFonts w:ascii="Montserrat" w:hAnsi="Montserrat" w:cs="Calibri"/>
                <w:color w:val="000000"/>
                <w:sz w:val="15"/>
                <w:szCs w:val="15"/>
                <w:lang w:val="es-MX" w:eastAsia="es-MX"/>
              </w:rPr>
            </w:pPr>
            <w:r w:rsidRPr="000F0321">
              <w:rPr>
                <w:rFonts w:ascii="Montserrat" w:hAnsi="Montserrat" w:cs="Arial"/>
                <w:color w:val="000000"/>
                <w:sz w:val="15"/>
                <w:szCs w:val="15"/>
              </w:rPr>
              <w:t>38,936,685,585</w:t>
            </w:r>
          </w:p>
        </w:tc>
        <w:tc>
          <w:tcPr>
            <w:tcW w:w="1977" w:type="dxa"/>
            <w:tcBorders>
              <w:top w:val="double" w:sz="12" w:space="0" w:color="808080" w:themeColor="background1" w:themeShade="80"/>
            </w:tcBorders>
            <w:shd w:val="clear" w:color="auto" w:fill="F2F2F2" w:themeFill="background1" w:themeFillShade="F2"/>
            <w:noWrap/>
            <w:vAlign w:val="center"/>
            <w:hideMark/>
          </w:tcPr>
          <w:p w14:paraId="73811EB4" w14:textId="77777777" w:rsidR="005E3C4A" w:rsidRPr="00255081" w:rsidRDefault="005E3C4A" w:rsidP="005E3C4A">
            <w:pPr>
              <w:spacing w:after="0" w:line="240" w:lineRule="auto"/>
              <w:jc w:val="right"/>
              <w:rPr>
                <w:rFonts w:ascii="Montserrat" w:hAnsi="Montserrat" w:cs="Calibri"/>
                <w:color w:val="000000"/>
                <w:sz w:val="15"/>
                <w:szCs w:val="15"/>
                <w:lang w:val="es-MX" w:eastAsia="es-MX"/>
              </w:rPr>
            </w:pPr>
            <w:r w:rsidRPr="00255081">
              <w:rPr>
                <w:rFonts w:ascii="Montserrat" w:hAnsi="Montserrat" w:cs="Calibri"/>
                <w:color w:val="000000"/>
                <w:sz w:val="15"/>
                <w:szCs w:val="15"/>
              </w:rPr>
              <w:t>44,733,412,753</w:t>
            </w:r>
          </w:p>
        </w:tc>
      </w:tr>
      <w:tr w:rsidR="005E3C4A" w:rsidRPr="00476315" w14:paraId="207B45C8" w14:textId="77777777" w:rsidTr="000F0321">
        <w:trPr>
          <w:trHeight w:val="215"/>
          <w:jc w:val="center"/>
        </w:trPr>
        <w:tc>
          <w:tcPr>
            <w:tcW w:w="4147" w:type="dxa"/>
            <w:tcBorders>
              <w:top w:val="nil"/>
            </w:tcBorders>
            <w:shd w:val="clear" w:color="auto" w:fill="F2F2F2" w:themeFill="background1" w:themeFillShade="F2"/>
            <w:noWrap/>
            <w:vAlign w:val="center"/>
            <w:hideMark/>
          </w:tcPr>
          <w:p w14:paraId="4D145CBE" w14:textId="77777777" w:rsidR="005E3C4A" w:rsidRPr="00255081" w:rsidRDefault="005E3C4A" w:rsidP="005E3C4A">
            <w:pPr>
              <w:spacing w:after="0" w:line="240" w:lineRule="auto"/>
              <w:ind w:left="170"/>
              <w:jc w:val="both"/>
              <w:rPr>
                <w:rFonts w:ascii="Montserrat" w:eastAsia="Times New Roman" w:hAnsi="Montserrat" w:cs="Calibri"/>
                <w:color w:val="000000"/>
                <w:sz w:val="15"/>
                <w:szCs w:val="15"/>
                <w:lang w:val="es-MX" w:eastAsia="es-MX"/>
              </w:rPr>
            </w:pPr>
            <w:r w:rsidRPr="00255081">
              <w:rPr>
                <w:rFonts w:ascii="Montserrat" w:eastAsia="Times New Roman" w:hAnsi="Montserrat" w:cs="Calibri"/>
                <w:color w:val="000000"/>
                <w:sz w:val="15"/>
                <w:szCs w:val="15"/>
                <w:lang w:val="es-MX" w:eastAsia="es-MX"/>
              </w:rPr>
              <w:t>Documentos por Pagar a Corto Plazo</w:t>
            </w:r>
          </w:p>
        </w:tc>
        <w:tc>
          <w:tcPr>
            <w:tcW w:w="2098" w:type="dxa"/>
            <w:tcBorders>
              <w:top w:val="nil"/>
            </w:tcBorders>
            <w:shd w:val="clear" w:color="000000" w:fill="F2F2F2"/>
            <w:vAlign w:val="center"/>
          </w:tcPr>
          <w:p w14:paraId="2136B7BF" w14:textId="6E5968C8" w:rsidR="005E3C4A" w:rsidRPr="00255081" w:rsidRDefault="005E3C4A" w:rsidP="005E3C4A">
            <w:pPr>
              <w:spacing w:after="0" w:line="240" w:lineRule="auto"/>
              <w:jc w:val="right"/>
              <w:rPr>
                <w:rFonts w:ascii="Montserrat" w:eastAsia="Times New Roman" w:hAnsi="Montserrat" w:cs="Calibri"/>
                <w:color w:val="000000"/>
                <w:sz w:val="15"/>
                <w:szCs w:val="15"/>
                <w:lang w:val="es-MX" w:eastAsia="es-MX"/>
              </w:rPr>
            </w:pPr>
            <w:r w:rsidRPr="000F0321">
              <w:rPr>
                <w:rFonts w:ascii="Montserrat" w:hAnsi="Montserrat" w:cs="Arial"/>
                <w:color w:val="000000"/>
                <w:sz w:val="15"/>
                <w:szCs w:val="15"/>
              </w:rPr>
              <w:t>12,659,712,43</w:t>
            </w:r>
            <w:r w:rsidR="00B247A2">
              <w:rPr>
                <w:rFonts w:ascii="Montserrat" w:hAnsi="Montserrat" w:cs="Arial"/>
                <w:color w:val="000000"/>
                <w:sz w:val="15"/>
                <w:szCs w:val="15"/>
              </w:rPr>
              <w:t>4</w:t>
            </w:r>
          </w:p>
        </w:tc>
        <w:tc>
          <w:tcPr>
            <w:tcW w:w="1977" w:type="dxa"/>
            <w:tcBorders>
              <w:top w:val="nil"/>
            </w:tcBorders>
            <w:shd w:val="clear" w:color="auto" w:fill="F2F2F2" w:themeFill="background1" w:themeFillShade="F2"/>
            <w:noWrap/>
            <w:vAlign w:val="center"/>
            <w:hideMark/>
          </w:tcPr>
          <w:p w14:paraId="4B33E23E" w14:textId="77777777" w:rsidR="005E3C4A" w:rsidRPr="00255081" w:rsidRDefault="005E3C4A" w:rsidP="005E3C4A">
            <w:pPr>
              <w:spacing w:after="0" w:line="240" w:lineRule="auto"/>
              <w:jc w:val="right"/>
              <w:rPr>
                <w:rFonts w:ascii="Montserrat" w:eastAsia="Times New Roman" w:hAnsi="Montserrat" w:cs="Calibri"/>
                <w:color w:val="000000"/>
                <w:sz w:val="15"/>
                <w:szCs w:val="15"/>
                <w:lang w:val="es-MX" w:eastAsia="es-MX"/>
              </w:rPr>
            </w:pPr>
            <w:r w:rsidRPr="00255081">
              <w:rPr>
                <w:rFonts w:ascii="Montserrat" w:eastAsia="Times New Roman" w:hAnsi="Montserrat" w:cs="Calibri"/>
                <w:color w:val="000000"/>
                <w:sz w:val="15"/>
                <w:szCs w:val="15"/>
                <w:lang w:val="es-MX" w:eastAsia="es-MX"/>
              </w:rPr>
              <w:t>62,901,468,453</w:t>
            </w:r>
          </w:p>
        </w:tc>
      </w:tr>
      <w:tr w:rsidR="00FC200E" w:rsidRPr="00476315" w14:paraId="7CF6E9E7" w14:textId="77777777" w:rsidTr="000F0321">
        <w:trPr>
          <w:trHeight w:val="215"/>
          <w:jc w:val="center"/>
        </w:trPr>
        <w:tc>
          <w:tcPr>
            <w:tcW w:w="4147" w:type="dxa"/>
            <w:tcBorders>
              <w:top w:val="nil"/>
            </w:tcBorders>
            <w:shd w:val="clear" w:color="auto" w:fill="F2F2F2" w:themeFill="background1" w:themeFillShade="F2"/>
            <w:noWrap/>
            <w:vAlign w:val="center"/>
          </w:tcPr>
          <w:p w14:paraId="4A31C2D4" w14:textId="7B83F4D5" w:rsidR="00FC200E" w:rsidRPr="00255081" w:rsidRDefault="00FC200E" w:rsidP="005E3C4A">
            <w:pPr>
              <w:spacing w:after="0" w:line="240" w:lineRule="auto"/>
              <w:ind w:left="170"/>
              <w:jc w:val="both"/>
              <w:rPr>
                <w:rFonts w:ascii="Montserrat" w:eastAsia="Times New Roman" w:hAnsi="Montserrat" w:cs="Calibri"/>
                <w:color w:val="000000"/>
                <w:sz w:val="15"/>
                <w:szCs w:val="15"/>
                <w:lang w:val="es-MX" w:eastAsia="es-MX"/>
              </w:rPr>
            </w:pPr>
            <w:r w:rsidRPr="00255081">
              <w:rPr>
                <w:rFonts w:ascii="Montserrat" w:eastAsia="Times New Roman" w:hAnsi="Montserrat" w:cs="Calibri"/>
                <w:color w:val="000000"/>
                <w:sz w:val="15"/>
                <w:szCs w:val="15"/>
                <w:lang w:val="es-MX" w:eastAsia="es-MX"/>
              </w:rPr>
              <w:t>Porción a Corto Plazo de la Deuda Pública a Largo Plazo</w:t>
            </w:r>
          </w:p>
        </w:tc>
        <w:tc>
          <w:tcPr>
            <w:tcW w:w="2098" w:type="dxa"/>
            <w:tcBorders>
              <w:top w:val="nil"/>
            </w:tcBorders>
            <w:shd w:val="clear" w:color="000000" w:fill="F2F2F2"/>
            <w:vAlign w:val="center"/>
          </w:tcPr>
          <w:p w14:paraId="720C0C90" w14:textId="3E8F408D" w:rsidR="00FC200E" w:rsidRPr="000F0321" w:rsidRDefault="00FC200E" w:rsidP="005E3C4A">
            <w:pPr>
              <w:spacing w:after="0" w:line="240" w:lineRule="auto"/>
              <w:jc w:val="right"/>
              <w:rPr>
                <w:rFonts w:ascii="Montserrat" w:hAnsi="Montserrat" w:cs="Arial"/>
                <w:color w:val="000000"/>
                <w:sz w:val="15"/>
                <w:szCs w:val="15"/>
              </w:rPr>
            </w:pPr>
            <w:r w:rsidRPr="000F0321">
              <w:rPr>
                <w:rFonts w:ascii="Montserrat" w:hAnsi="Montserrat" w:cs="Arial"/>
                <w:color w:val="000000"/>
                <w:sz w:val="15"/>
                <w:szCs w:val="15"/>
              </w:rPr>
              <w:t>504,666,347,409</w:t>
            </w:r>
          </w:p>
        </w:tc>
        <w:tc>
          <w:tcPr>
            <w:tcW w:w="1977" w:type="dxa"/>
            <w:tcBorders>
              <w:top w:val="nil"/>
            </w:tcBorders>
            <w:shd w:val="clear" w:color="auto" w:fill="F2F2F2" w:themeFill="background1" w:themeFillShade="F2"/>
            <w:noWrap/>
            <w:vAlign w:val="center"/>
          </w:tcPr>
          <w:p w14:paraId="534AF070" w14:textId="18AC493A" w:rsidR="00FC200E" w:rsidRPr="00255081" w:rsidRDefault="00FC200E" w:rsidP="005E3C4A">
            <w:pPr>
              <w:spacing w:after="0" w:line="240" w:lineRule="auto"/>
              <w:jc w:val="right"/>
              <w:rPr>
                <w:rFonts w:ascii="Montserrat" w:eastAsia="Times New Roman" w:hAnsi="Montserrat" w:cs="Calibri"/>
                <w:color w:val="000000"/>
                <w:sz w:val="15"/>
                <w:szCs w:val="15"/>
                <w:lang w:val="es-MX" w:eastAsia="es-MX"/>
              </w:rPr>
            </w:pPr>
            <w:r w:rsidRPr="00255081">
              <w:rPr>
                <w:rFonts w:ascii="Montserrat" w:eastAsia="Times New Roman" w:hAnsi="Montserrat" w:cs="Calibri"/>
                <w:color w:val="000000"/>
                <w:sz w:val="15"/>
                <w:szCs w:val="15"/>
                <w:lang w:val="es-MX" w:eastAsia="es-MX"/>
              </w:rPr>
              <w:t>0</w:t>
            </w:r>
          </w:p>
        </w:tc>
      </w:tr>
      <w:tr w:rsidR="005E3C4A" w:rsidRPr="006F0DF1" w14:paraId="7D5CED27" w14:textId="77777777" w:rsidTr="000F0321">
        <w:trPr>
          <w:trHeight w:val="215"/>
          <w:jc w:val="center"/>
        </w:trPr>
        <w:tc>
          <w:tcPr>
            <w:tcW w:w="4147" w:type="dxa"/>
            <w:tcBorders>
              <w:top w:val="nil"/>
            </w:tcBorders>
            <w:shd w:val="clear" w:color="auto" w:fill="F2F2F2" w:themeFill="background1" w:themeFillShade="F2"/>
            <w:noWrap/>
            <w:vAlign w:val="center"/>
            <w:hideMark/>
          </w:tcPr>
          <w:p w14:paraId="3430DAA8" w14:textId="77777777" w:rsidR="005E3C4A" w:rsidRPr="00255081" w:rsidRDefault="005E3C4A" w:rsidP="005E3C4A">
            <w:pPr>
              <w:spacing w:after="0" w:line="240" w:lineRule="auto"/>
              <w:ind w:left="170"/>
              <w:jc w:val="both"/>
              <w:rPr>
                <w:rFonts w:ascii="Montserrat" w:eastAsia="Times New Roman" w:hAnsi="Montserrat" w:cs="Calibri"/>
                <w:color w:val="000000"/>
                <w:sz w:val="15"/>
                <w:szCs w:val="15"/>
                <w:lang w:val="es-MX" w:eastAsia="es-MX"/>
              </w:rPr>
            </w:pPr>
            <w:r w:rsidRPr="00255081">
              <w:rPr>
                <w:rFonts w:ascii="Montserrat" w:eastAsia="Times New Roman" w:hAnsi="Montserrat" w:cs="Calibri"/>
                <w:color w:val="000000"/>
                <w:sz w:val="15"/>
                <w:szCs w:val="15"/>
                <w:lang w:val="es-MX" w:eastAsia="es-MX"/>
              </w:rPr>
              <w:t>Títulos y Valores a Corto Plazo</w:t>
            </w:r>
          </w:p>
        </w:tc>
        <w:tc>
          <w:tcPr>
            <w:tcW w:w="2098" w:type="dxa"/>
            <w:tcBorders>
              <w:top w:val="nil"/>
            </w:tcBorders>
            <w:shd w:val="clear" w:color="000000" w:fill="F2F2F2"/>
            <w:vAlign w:val="center"/>
          </w:tcPr>
          <w:p w14:paraId="51412011" w14:textId="1E9E8C0F" w:rsidR="005E3C4A" w:rsidRPr="00255081" w:rsidRDefault="005E3C4A" w:rsidP="005E3C4A">
            <w:pPr>
              <w:spacing w:after="0" w:line="240" w:lineRule="auto"/>
              <w:jc w:val="right"/>
              <w:rPr>
                <w:rFonts w:ascii="Montserrat" w:eastAsia="Times New Roman" w:hAnsi="Montserrat" w:cs="Calibri"/>
                <w:color w:val="000000"/>
                <w:sz w:val="15"/>
                <w:szCs w:val="15"/>
                <w:lang w:val="es-MX" w:eastAsia="es-MX"/>
              </w:rPr>
            </w:pPr>
            <w:r w:rsidRPr="000F0321">
              <w:rPr>
                <w:rFonts w:ascii="Montserrat" w:hAnsi="Montserrat" w:cs="Arial"/>
                <w:color w:val="000000"/>
                <w:sz w:val="15"/>
                <w:szCs w:val="15"/>
              </w:rPr>
              <w:t>802,558,303,004</w:t>
            </w:r>
          </w:p>
        </w:tc>
        <w:tc>
          <w:tcPr>
            <w:tcW w:w="1977" w:type="dxa"/>
            <w:tcBorders>
              <w:top w:val="nil"/>
            </w:tcBorders>
            <w:shd w:val="clear" w:color="auto" w:fill="F2F2F2" w:themeFill="background1" w:themeFillShade="F2"/>
            <w:noWrap/>
            <w:vAlign w:val="center"/>
            <w:hideMark/>
          </w:tcPr>
          <w:p w14:paraId="4A781F7D" w14:textId="77777777" w:rsidR="005E3C4A" w:rsidRPr="00255081" w:rsidRDefault="005E3C4A" w:rsidP="005E3C4A">
            <w:pPr>
              <w:spacing w:after="0" w:line="240" w:lineRule="auto"/>
              <w:jc w:val="right"/>
              <w:rPr>
                <w:rFonts w:ascii="Montserrat" w:eastAsia="Times New Roman" w:hAnsi="Montserrat" w:cs="Calibri"/>
                <w:color w:val="000000"/>
                <w:sz w:val="15"/>
                <w:szCs w:val="15"/>
                <w:lang w:val="es-MX" w:eastAsia="es-MX"/>
              </w:rPr>
            </w:pPr>
            <w:r w:rsidRPr="00255081">
              <w:rPr>
                <w:rFonts w:ascii="Montserrat" w:hAnsi="Montserrat" w:cs="Calibri"/>
                <w:sz w:val="15"/>
                <w:szCs w:val="15"/>
              </w:rPr>
              <w:t>734,487,222,835</w:t>
            </w:r>
          </w:p>
        </w:tc>
      </w:tr>
      <w:tr w:rsidR="005E3C4A" w:rsidRPr="006F0DF1" w14:paraId="23B69CA9" w14:textId="77777777" w:rsidTr="000F0321">
        <w:trPr>
          <w:trHeight w:val="215"/>
          <w:jc w:val="center"/>
        </w:trPr>
        <w:tc>
          <w:tcPr>
            <w:tcW w:w="4147" w:type="dxa"/>
            <w:tcBorders>
              <w:top w:val="nil"/>
            </w:tcBorders>
            <w:shd w:val="clear" w:color="auto" w:fill="F2F2F2" w:themeFill="background1" w:themeFillShade="F2"/>
            <w:noWrap/>
            <w:vAlign w:val="center"/>
            <w:hideMark/>
          </w:tcPr>
          <w:p w14:paraId="7102DCD6" w14:textId="77777777" w:rsidR="005E3C4A" w:rsidRPr="00255081" w:rsidRDefault="005E3C4A" w:rsidP="005E3C4A">
            <w:pPr>
              <w:spacing w:after="0" w:line="240" w:lineRule="auto"/>
              <w:ind w:left="170"/>
              <w:jc w:val="both"/>
              <w:rPr>
                <w:rFonts w:ascii="Montserrat" w:eastAsia="Times New Roman" w:hAnsi="Montserrat" w:cs="Calibri"/>
                <w:color w:val="000000"/>
                <w:sz w:val="15"/>
                <w:szCs w:val="15"/>
                <w:lang w:val="es-MX" w:eastAsia="es-MX"/>
              </w:rPr>
            </w:pPr>
            <w:r w:rsidRPr="00255081">
              <w:rPr>
                <w:rFonts w:ascii="Montserrat" w:eastAsia="Times New Roman" w:hAnsi="Montserrat" w:cs="Calibri"/>
                <w:color w:val="000000"/>
                <w:sz w:val="15"/>
                <w:szCs w:val="15"/>
                <w:lang w:val="es-MX" w:eastAsia="es-MX"/>
              </w:rPr>
              <w:t>Pasivos Diferidos a Corto Plazo</w:t>
            </w:r>
          </w:p>
        </w:tc>
        <w:tc>
          <w:tcPr>
            <w:tcW w:w="2098" w:type="dxa"/>
            <w:tcBorders>
              <w:top w:val="nil"/>
            </w:tcBorders>
            <w:shd w:val="clear" w:color="000000" w:fill="F2F2F2"/>
            <w:vAlign w:val="center"/>
          </w:tcPr>
          <w:p w14:paraId="15DEFEB2" w14:textId="5A3BFF20" w:rsidR="005E3C4A" w:rsidRPr="00255081" w:rsidRDefault="005E3C4A" w:rsidP="005E3C4A">
            <w:pPr>
              <w:spacing w:after="0" w:line="240" w:lineRule="auto"/>
              <w:jc w:val="right"/>
              <w:rPr>
                <w:rFonts w:ascii="Montserrat" w:eastAsia="Times New Roman" w:hAnsi="Montserrat" w:cs="Calibri"/>
                <w:color w:val="000000"/>
                <w:sz w:val="15"/>
                <w:szCs w:val="15"/>
                <w:lang w:val="es-MX" w:eastAsia="es-MX"/>
              </w:rPr>
            </w:pPr>
            <w:r w:rsidRPr="000F0321">
              <w:rPr>
                <w:rFonts w:ascii="Montserrat" w:hAnsi="Montserrat" w:cs="Arial"/>
                <w:color w:val="000000"/>
                <w:sz w:val="15"/>
                <w:szCs w:val="15"/>
              </w:rPr>
              <w:t>13,961,828,106</w:t>
            </w:r>
          </w:p>
        </w:tc>
        <w:tc>
          <w:tcPr>
            <w:tcW w:w="1977" w:type="dxa"/>
            <w:tcBorders>
              <w:top w:val="nil"/>
            </w:tcBorders>
            <w:shd w:val="clear" w:color="auto" w:fill="F2F2F2" w:themeFill="background1" w:themeFillShade="F2"/>
            <w:noWrap/>
            <w:vAlign w:val="center"/>
            <w:hideMark/>
          </w:tcPr>
          <w:p w14:paraId="26DDBD5F" w14:textId="77777777" w:rsidR="005E3C4A" w:rsidRPr="00255081" w:rsidRDefault="005E3C4A" w:rsidP="005E3C4A">
            <w:pPr>
              <w:spacing w:after="0" w:line="240" w:lineRule="auto"/>
              <w:jc w:val="right"/>
              <w:rPr>
                <w:rFonts w:ascii="Montserrat" w:eastAsia="Times New Roman" w:hAnsi="Montserrat" w:cs="Calibri"/>
                <w:color w:val="000000"/>
                <w:sz w:val="15"/>
                <w:szCs w:val="15"/>
                <w:lang w:val="es-MX" w:eastAsia="es-MX"/>
              </w:rPr>
            </w:pPr>
            <w:r w:rsidRPr="00255081">
              <w:rPr>
                <w:rFonts w:ascii="Montserrat" w:eastAsia="Times New Roman" w:hAnsi="Montserrat" w:cs="Calibri"/>
                <w:color w:val="000000"/>
                <w:sz w:val="15"/>
                <w:szCs w:val="15"/>
                <w:lang w:val="es-MX" w:eastAsia="es-MX"/>
              </w:rPr>
              <w:t>4,303,354,275</w:t>
            </w:r>
          </w:p>
        </w:tc>
      </w:tr>
      <w:tr w:rsidR="005E3C4A" w:rsidRPr="006F0DF1" w14:paraId="5ADE3954" w14:textId="77777777" w:rsidTr="000F0321">
        <w:trPr>
          <w:trHeight w:val="215"/>
          <w:jc w:val="center"/>
        </w:trPr>
        <w:tc>
          <w:tcPr>
            <w:tcW w:w="4147" w:type="dxa"/>
            <w:tcBorders>
              <w:top w:val="nil"/>
            </w:tcBorders>
            <w:shd w:val="clear" w:color="auto" w:fill="F2F2F2" w:themeFill="background1" w:themeFillShade="F2"/>
            <w:noWrap/>
            <w:vAlign w:val="center"/>
            <w:hideMark/>
          </w:tcPr>
          <w:p w14:paraId="2FA4CD3F" w14:textId="77777777" w:rsidR="005E3C4A" w:rsidRPr="00255081" w:rsidRDefault="005E3C4A" w:rsidP="005E3C4A">
            <w:pPr>
              <w:spacing w:after="0" w:line="240" w:lineRule="auto"/>
              <w:ind w:left="170"/>
              <w:jc w:val="both"/>
              <w:rPr>
                <w:rFonts w:ascii="Montserrat" w:eastAsia="Times New Roman" w:hAnsi="Montserrat" w:cs="Calibri"/>
                <w:color w:val="000000"/>
                <w:sz w:val="15"/>
                <w:szCs w:val="15"/>
                <w:lang w:val="es-MX" w:eastAsia="es-MX"/>
              </w:rPr>
            </w:pPr>
            <w:r w:rsidRPr="00255081">
              <w:rPr>
                <w:rFonts w:ascii="Montserrat" w:eastAsia="Times New Roman" w:hAnsi="Montserrat" w:cs="Calibri"/>
                <w:color w:val="000000"/>
                <w:sz w:val="15"/>
                <w:szCs w:val="15"/>
                <w:lang w:val="es-MX" w:eastAsia="es-MX"/>
              </w:rPr>
              <w:t>Fondos y Bienes de Terceros en Garantía y/o Administración a Corto Plazo</w:t>
            </w:r>
          </w:p>
        </w:tc>
        <w:tc>
          <w:tcPr>
            <w:tcW w:w="2098" w:type="dxa"/>
            <w:tcBorders>
              <w:top w:val="nil"/>
            </w:tcBorders>
            <w:shd w:val="clear" w:color="000000" w:fill="F2F2F2"/>
            <w:vAlign w:val="center"/>
          </w:tcPr>
          <w:p w14:paraId="6062B929" w14:textId="0654FE22" w:rsidR="005E3C4A" w:rsidRPr="00255081" w:rsidRDefault="005E3C4A" w:rsidP="005E3C4A">
            <w:pPr>
              <w:spacing w:after="0" w:line="240" w:lineRule="auto"/>
              <w:jc w:val="right"/>
              <w:rPr>
                <w:rFonts w:ascii="Montserrat" w:eastAsia="Times New Roman" w:hAnsi="Montserrat" w:cs="Calibri"/>
                <w:color w:val="000000"/>
                <w:sz w:val="15"/>
                <w:szCs w:val="15"/>
                <w:lang w:val="es-MX" w:eastAsia="es-MX"/>
              </w:rPr>
            </w:pPr>
            <w:r w:rsidRPr="000F0321">
              <w:rPr>
                <w:rFonts w:ascii="Montserrat" w:hAnsi="Montserrat" w:cs="Arial"/>
                <w:color w:val="000000"/>
                <w:sz w:val="15"/>
                <w:szCs w:val="15"/>
              </w:rPr>
              <w:t>307,254,928,764</w:t>
            </w:r>
          </w:p>
        </w:tc>
        <w:tc>
          <w:tcPr>
            <w:tcW w:w="1977" w:type="dxa"/>
            <w:tcBorders>
              <w:top w:val="nil"/>
            </w:tcBorders>
            <w:shd w:val="clear" w:color="auto" w:fill="F2F2F2" w:themeFill="background1" w:themeFillShade="F2"/>
            <w:noWrap/>
            <w:vAlign w:val="center"/>
            <w:hideMark/>
          </w:tcPr>
          <w:p w14:paraId="46663A7A" w14:textId="77777777" w:rsidR="005E3C4A" w:rsidRPr="00255081" w:rsidRDefault="005E3C4A" w:rsidP="005E3C4A">
            <w:pPr>
              <w:spacing w:after="0" w:line="240" w:lineRule="auto"/>
              <w:jc w:val="right"/>
              <w:rPr>
                <w:rFonts w:ascii="Montserrat" w:eastAsia="Times New Roman" w:hAnsi="Montserrat" w:cs="Calibri"/>
                <w:color w:val="000000"/>
                <w:sz w:val="15"/>
                <w:szCs w:val="15"/>
                <w:lang w:val="es-MX" w:eastAsia="es-MX"/>
              </w:rPr>
            </w:pPr>
            <w:r w:rsidRPr="00255081">
              <w:rPr>
                <w:rFonts w:ascii="Montserrat" w:hAnsi="Montserrat" w:cs="Calibri"/>
                <w:sz w:val="15"/>
                <w:szCs w:val="15"/>
              </w:rPr>
              <w:t>443,882,768,089</w:t>
            </w:r>
          </w:p>
        </w:tc>
      </w:tr>
      <w:tr w:rsidR="005E3C4A" w:rsidRPr="006F0DF1" w14:paraId="71B36FA1" w14:textId="77777777" w:rsidTr="000F0321">
        <w:trPr>
          <w:trHeight w:val="149"/>
          <w:jc w:val="center"/>
        </w:trPr>
        <w:tc>
          <w:tcPr>
            <w:tcW w:w="4147" w:type="dxa"/>
            <w:tcBorders>
              <w:top w:val="nil"/>
            </w:tcBorders>
            <w:shd w:val="clear" w:color="auto" w:fill="F2F2F2" w:themeFill="background1" w:themeFillShade="F2"/>
            <w:noWrap/>
            <w:vAlign w:val="center"/>
            <w:hideMark/>
          </w:tcPr>
          <w:p w14:paraId="1A4A31A5" w14:textId="77777777" w:rsidR="005E3C4A" w:rsidRPr="00255081" w:rsidRDefault="005E3C4A" w:rsidP="005E3C4A">
            <w:pPr>
              <w:spacing w:after="0" w:line="240" w:lineRule="auto"/>
              <w:ind w:left="170"/>
              <w:jc w:val="both"/>
              <w:rPr>
                <w:rFonts w:ascii="Montserrat" w:eastAsia="Times New Roman" w:hAnsi="Montserrat" w:cs="Calibri"/>
                <w:color w:val="000000"/>
                <w:sz w:val="15"/>
                <w:szCs w:val="15"/>
                <w:lang w:val="es-MX" w:eastAsia="es-MX"/>
              </w:rPr>
            </w:pPr>
            <w:r w:rsidRPr="00255081">
              <w:rPr>
                <w:rFonts w:ascii="Montserrat" w:eastAsia="Times New Roman" w:hAnsi="Montserrat" w:cs="Calibri"/>
                <w:color w:val="000000"/>
                <w:sz w:val="15"/>
                <w:szCs w:val="15"/>
                <w:lang w:val="es-MX" w:eastAsia="es-MX"/>
              </w:rPr>
              <w:t>Otros Pasivos a Corto Plazo</w:t>
            </w:r>
          </w:p>
        </w:tc>
        <w:tc>
          <w:tcPr>
            <w:tcW w:w="2098" w:type="dxa"/>
            <w:tcBorders>
              <w:top w:val="nil"/>
            </w:tcBorders>
            <w:shd w:val="clear" w:color="auto" w:fill="F2F2F2" w:themeFill="background1" w:themeFillShade="F2"/>
            <w:vAlign w:val="center"/>
          </w:tcPr>
          <w:p w14:paraId="2B5F5086" w14:textId="7D19413A" w:rsidR="005E3C4A" w:rsidRPr="00255081" w:rsidRDefault="005E3C4A" w:rsidP="005E3C4A">
            <w:pPr>
              <w:spacing w:after="0" w:line="240" w:lineRule="auto"/>
              <w:jc w:val="right"/>
              <w:rPr>
                <w:rFonts w:ascii="Montserrat" w:hAnsi="Montserrat" w:cs="Calibri"/>
                <w:sz w:val="15"/>
                <w:szCs w:val="15"/>
              </w:rPr>
            </w:pPr>
            <w:r w:rsidRPr="000F0321">
              <w:rPr>
                <w:rFonts w:ascii="Montserrat" w:hAnsi="Montserrat" w:cs="Arial"/>
                <w:color w:val="000000"/>
                <w:sz w:val="15"/>
                <w:szCs w:val="15"/>
              </w:rPr>
              <w:t>116,747,298,773</w:t>
            </w:r>
          </w:p>
        </w:tc>
        <w:tc>
          <w:tcPr>
            <w:tcW w:w="1977" w:type="dxa"/>
            <w:tcBorders>
              <w:top w:val="nil"/>
            </w:tcBorders>
            <w:shd w:val="clear" w:color="auto" w:fill="F2F2F2" w:themeFill="background1" w:themeFillShade="F2"/>
            <w:noWrap/>
            <w:vAlign w:val="center"/>
            <w:hideMark/>
          </w:tcPr>
          <w:p w14:paraId="02A0E665" w14:textId="77777777" w:rsidR="005E3C4A" w:rsidRPr="00255081" w:rsidRDefault="005E3C4A" w:rsidP="005E3C4A">
            <w:pPr>
              <w:spacing w:after="0" w:line="240" w:lineRule="auto"/>
              <w:jc w:val="right"/>
              <w:rPr>
                <w:rFonts w:ascii="Montserrat" w:hAnsi="Montserrat" w:cs="Calibri"/>
                <w:sz w:val="15"/>
                <w:szCs w:val="15"/>
              </w:rPr>
            </w:pPr>
            <w:r w:rsidRPr="00255081">
              <w:rPr>
                <w:rFonts w:ascii="Montserrat" w:hAnsi="Montserrat" w:cs="Calibri"/>
                <w:sz w:val="15"/>
                <w:szCs w:val="15"/>
              </w:rPr>
              <w:t>4,745,206,358</w:t>
            </w:r>
          </w:p>
        </w:tc>
      </w:tr>
      <w:tr w:rsidR="005E3C4A" w:rsidRPr="006F0DF1" w14:paraId="788816B1" w14:textId="77777777" w:rsidTr="000F0321">
        <w:trPr>
          <w:trHeight w:val="215"/>
          <w:jc w:val="center"/>
        </w:trPr>
        <w:tc>
          <w:tcPr>
            <w:tcW w:w="4147" w:type="dxa"/>
            <w:tcBorders>
              <w:bottom w:val="single" w:sz="12" w:space="0" w:color="808080" w:themeColor="background1" w:themeShade="80"/>
            </w:tcBorders>
            <w:shd w:val="clear" w:color="auto" w:fill="F2F2F2" w:themeFill="background1" w:themeFillShade="F2"/>
            <w:noWrap/>
            <w:vAlign w:val="center"/>
            <w:hideMark/>
          </w:tcPr>
          <w:p w14:paraId="0BCE6383" w14:textId="77777777" w:rsidR="005E3C4A" w:rsidRPr="00255081" w:rsidRDefault="005E3C4A" w:rsidP="005E3C4A">
            <w:pPr>
              <w:spacing w:after="0" w:line="240" w:lineRule="auto"/>
              <w:ind w:left="170"/>
              <w:jc w:val="right"/>
              <w:rPr>
                <w:rFonts w:ascii="Montserrat" w:eastAsia="Times New Roman" w:hAnsi="Montserrat" w:cs="Calibri"/>
                <w:b/>
                <w:bCs/>
                <w:color w:val="000000"/>
                <w:sz w:val="15"/>
                <w:szCs w:val="15"/>
                <w:lang w:val="es-MX" w:eastAsia="es-MX"/>
              </w:rPr>
            </w:pPr>
            <w:r w:rsidRPr="00255081">
              <w:rPr>
                <w:rFonts w:ascii="Montserrat" w:eastAsia="Times New Roman" w:hAnsi="Montserrat" w:cs="Calibri"/>
                <w:b/>
                <w:bCs/>
                <w:color w:val="000000"/>
                <w:sz w:val="15"/>
                <w:szCs w:val="15"/>
                <w:lang w:val="es-MX" w:eastAsia="es-MX"/>
              </w:rPr>
              <w:t>Total Pasivo Circulante</w:t>
            </w:r>
          </w:p>
        </w:tc>
        <w:tc>
          <w:tcPr>
            <w:tcW w:w="2098" w:type="dxa"/>
            <w:tcBorders>
              <w:bottom w:val="single" w:sz="12" w:space="0" w:color="808080" w:themeColor="background1" w:themeShade="80"/>
            </w:tcBorders>
            <w:shd w:val="clear" w:color="000000" w:fill="F2F2F2"/>
            <w:vAlign w:val="center"/>
          </w:tcPr>
          <w:p w14:paraId="07CC51EA" w14:textId="202D0F0E" w:rsidR="005E3C4A" w:rsidRPr="00255081" w:rsidRDefault="005E3C4A" w:rsidP="005E3C4A">
            <w:pPr>
              <w:spacing w:after="0" w:line="240" w:lineRule="auto"/>
              <w:jc w:val="right"/>
              <w:rPr>
                <w:rFonts w:ascii="Montserrat" w:eastAsia="Times New Roman" w:hAnsi="Montserrat" w:cs="Calibri"/>
                <w:b/>
                <w:bCs/>
                <w:color w:val="000000"/>
                <w:sz w:val="15"/>
                <w:szCs w:val="15"/>
                <w:lang w:val="es-MX" w:eastAsia="es-MX"/>
              </w:rPr>
            </w:pPr>
            <w:r w:rsidRPr="000F0321">
              <w:rPr>
                <w:rFonts w:ascii="Montserrat" w:hAnsi="Montserrat" w:cs="Arial"/>
                <w:b/>
                <w:bCs/>
                <w:color w:val="000000"/>
                <w:sz w:val="15"/>
                <w:szCs w:val="15"/>
              </w:rPr>
              <w:t>1,796,785,104,075</w:t>
            </w:r>
          </w:p>
        </w:tc>
        <w:tc>
          <w:tcPr>
            <w:tcW w:w="1977" w:type="dxa"/>
            <w:tcBorders>
              <w:bottom w:val="single" w:sz="12" w:space="0" w:color="808080" w:themeColor="background1" w:themeShade="80"/>
            </w:tcBorders>
            <w:shd w:val="clear" w:color="auto" w:fill="F2F2F2" w:themeFill="background1" w:themeFillShade="F2"/>
            <w:vAlign w:val="center"/>
            <w:hideMark/>
          </w:tcPr>
          <w:p w14:paraId="446F2FC3" w14:textId="77777777" w:rsidR="005E3C4A" w:rsidRPr="00255081" w:rsidRDefault="005E3C4A" w:rsidP="005E3C4A">
            <w:pPr>
              <w:spacing w:after="0" w:line="240" w:lineRule="auto"/>
              <w:jc w:val="right"/>
              <w:rPr>
                <w:rFonts w:ascii="Montserrat" w:eastAsia="Times New Roman" w:hAnsi="Montserrat" w:cs="Calibri"/>
                <w:b/>
                <w:bCs/>
                <w:color w:val="000000"/>
                <w:sz w:val="15"/>
                <w:szCs w:val="15"/>
                <w:lang w:val="es-MX" w:eastAsia="es-MX"/>
              </w:rPr>
            </w:pPr>
            <w:r w:rsidRPr="00255081">
              <w:rPr>
                <w:rFonts w:ascii="Montserrat" w:eastAsia="Times New Roman" w:hAnsi="Montserrat" w:cs="Calibri"/>
                <w:b/>
                <w:bCs/>
                <w:color w:val="000000"/>
                <w:sz w:val="15"/>
                <w:szCs w:val="15"/>
                <w:lang w:val="es-MX" w:eastAsia="es-MX"/>
              </w:rPr>
              <w:t>1,295,053,432,763</w:t>
            </w:r>
          </w:p>
        </w:tc>
      </w:tr>
    </w:tbl>
    <w:p w14:paraId="17DB6FC0" w14:textId="77777777" w:rsidR="00301FB1" w:rsidRPr="00263314" w:rsidRDefault="00301FB1" w:rsidP="00263314">
      <w:pPr>
        <w:spacing w:after="0" w:line="240" w:lineRule="auto"/>
        <w:jc w:val="both"/>
        <w:rPr>
          <w:rFonts w:ascii="Montserrat" w:hAnsi="Montserrat"/>
          <w:sz w:val="18"/>
          <w:szCs w:val="18"/>
        </w:rPr>
      </w:pPr>
    </w:p>
    <w:p w14:paraId="585ADE82" w14:textId="77777777" w:rsidR="009C3C24" w:rsidRPr="00DD0D81" w:rsidRDefault="009C3C24" w:rsidP="005A5AC5">
      <w:pPr>
        <w:pStyle w:val="Prrafodelista"/>
        <w:numPr>
          <w:ilvl w:val="0"/>
          <w:numId w:val="14"/>
        </w:numPr>
        <w:spacing w:after="120" w:line="250" w:lineRule="exact"/>
        <w:ind w:left="714" w:hanging="357"/>
        <w:jc w:val="both"/>
        <w:rPr>
          <w:rFonts w:ascii="Montserrat" w:hAnsi="Montserrat" w:cs="Arial"/>
          <w:spacing w:val="-1"/>
          <w:sz w:val="18"/>
          <w:szCs w:val="18"/>
        </w:rPr>
      </w:pPr>
      <w:r w:rsidRPr="00DD0D81">
        <w:rPr>
          <w:rFonts w:ascii="Montserrat" w:hAnsi="Montserrat" w:cs="Arial"/>
          <w:spacing w:val="-1"/>
          <w:sz w:val="18"/>
          <w:szCs w:val="18"/>
        </w:rPr>
        <w:t>Cuentas por Pagar a Corto Plazo</w:t>
      </w:r>
    </w:p>
    <w:p w14:paraId="3116FF30" w14:textId="57C8DB50" w:rsidR="009C3C24" w:rsidRDefault="009C3C24" w:rsidP="00063579">
      <w:pPr>
        <w:spacing w:after="120" w:line="250" w:lineRule="exact"/>
        <w:jc w:val="both"/>
        <w:rPr>
          <w:rFonts w:ascii="Montserrat" w:hAnsi="Montserrat"/>
          <w:sz w:val="18"/>
          <w:szCs w:val="18"/>
        </w:rPr>
      </w:pPr>
      <w:r w:rsidRPr="00063579">
        <w:rPr>
          <w:rFonts w:ascii="Montserrat" w:hAnsi="Montserrat"/>
          <w:sz w:val="18"/>
          <w:szCs w:val="18"/>
        </w:rPr>
        <w:t xml:space="preserve">Son los adeudos del ente público, por </w:t>
      </w:r>
      <w:r w:rsidR="0000636D">
        <w:rPr>
          <w:rFonts w:ascii="Montserrat" w:hAnsi="Montserrat"/>
          <w:sz w:val="18"/>
          <w:szCs w:val="18"/>
        </w:rPr>
        <w:t>operaciones necesaria</w:t>
      </w:r>
      <w:r w:rsidRPr="00063579">
        <w:rPr>
          <w:rFonts w:ascii="Montserrat" w:hAnsi="Montserrat"/>
          <w:sz w:val="18"/>
          <w:szCs w:val="18"/>
        </w:rPr>
        <w:t>s para su funcionamiento, como son sueldos, proveedores y contratistas, participaciones y aportaciones a las Entidades Federativas y los Municipios, entre otros</w:t>
      </w:r>
      <w:r w:rsidRPr="00D839CF">
        <w:rPr>
          <w:rFonts w:ascii="Montserrat" w:hAnsi="Montserrat"/>
          <w:sz w:val="18"/>
          <w:szCs w:val="18"/>
        </w:rPr>
        <w:t>.</w:t>
      </w:r>
      <w:r w:rsidR="00FC200E" w:rsidRPr="00D839CF">
        <w:rPr>
          <w:rFonts w:ascii="Montserrat" w:hAnsi="Montserrat"/>
          <w:sz w:val="18"/>
          <w:szCs w:val="18"/>
        </w:rPr>
        <w:t xml:space="preserve"> El decremento con respecto a 2018 se debe a </w:t>
      </w:r>
      <w:r w:rsidR="0000636D">
        <w:rPr>
          <w:rFonts w:ascii="Montserrat" w:hAnsi="Montserrat"/>
          <w:sz w:val="18"/>
          <w:szCs w:val="18"/>
        </w:rPr>
        <w:t>la</w:t>
      </w:r>
      <w:r w:rsidR="00FC200E" w:rsidRPr="00D839CF">
        <w:rPr>
          <w:rFonts w:ascii="Montserrat" w:hAnsi="Montserrat"/>
          <w:sz w:val="18"/>
          <w:szCs w:val="18"/>
        </w:rPr>
        <w:t xml:space="preserve"> disminución en las </w:t>
      </w:r>
      <w:r w:rsidR="00CD5740" w:rsidRPr="000F0321">
        <w:rPr>
          <w:rFonts w:ascii="Montserrat" w:hAnsi="Montserrat"/>
          <w:sz w:val="18"/>
          <w:szCs w:val="18"/>
        </w:rPr>
        <w:t>subcuentas de Contratistas por Obras P</w:t>
      </w:r>
      <w:r w:rsidR="00D839CF" w:rsidRPr="000F0321">
        <w:rPr>
          <w:rFonts w:ascii="Montserrat" w:hAnsi="Montserrat"/>
          <w:sz w:val="18"/>
          <w:szCs w:val="18"/>
        </w:rPr>
        <w:t>úbl</w:t>
      </w:r>
      <w:r w:rsidR="00CD5740" w:rsidRPr="000F0321">
        <w:rPr>
          <w:rFonts w:ascii="Montserrat" w:hAnsi="Montserrat"/>
          <w:sz w:val="18"/>
          <w:szCs w:val="18"/>
        </w:rPr>
        <w:t>icas por Pagar</w:t>
      </w:r>
      <w:r w:rsidR="0000636D">
        <w:rPr>
          <w:rFonts w:ascii="Montserrat" w:hAnsi="Montserrat"/>
          <w:sz w:val="18"/>
          <w:szCs w:val="18"/>
        </w:rPr>
        <w:t xml:space="preserve"> a Corto Plazo</w:t>
      </w:r>
      <w:r w:rsidR="00CD5740" w:rsidRPr="000F0321">
        <w:rPr>
          <w:rFonts w:ascii="Montserrat" w:hAnsi="Montserrat"/>
          <w:sz w:val="18"/>
          <w:szCs w:val="18"/>
        </w:rPr>
        <w:t xml:space="preserve"> y </w:t>
      </w:r>
      <w:r w:rsidR="00FC200E" w:rsidRPr="00D839CF">
        <w:rPr>
          <w:rFonts w:ascii="Montserrat" w:hAnsi="Montserrat"/>
          <w:sz w:val="18"/>
          <w:szCs w:val="18"/>
        </w:rPr>
        <w:t>Ministraciones de Fondos por Pagar a CP</w:t>
      </w:r>
      <w:r w:rsidR="004C2119" w:rsidRPr="00D839CF">
        <w:rPr>
          <w:rFonts w:ascii="Montserrat" w:hAnsi="Montserrat"/>
          <w:sz w:val="18"/>
          <w:szCs w:val="18"/>
        </w:rPr>
        <w:t>.</w:t>
      </w:r>
    </w:p>
    <w:p w14:paraId="5A48A5BC" w14:textId="77777777" w:rsidR="00263314" w:rsidRPr="00063579" w:rsidRDefault="00263314" w:rsidP="00263314">
      <w:pPr>
        <w:spacing w:after="0" w:line="240" w:lineRule="auto"/>
        <w:jc w:val="both"/>
        <w:rPr>
          <w:rFonts w:ascii="Montserrat" w:hAnsi="Montserrat"/>
          <w:sz w:val="18"/>
          <w:szCs w:val="18"/>
        </w:rPr>
      </w:pPr>
    </w:p>
    <w:p w14:paraId="300AFA36" w14:textId="77777777" w:rsidR="009C3C24" w:rsidRPr="00DD0D81" w:rsidRDefault="009C3C24" w:rsidP="005A5AC5">
      <w:pPr>
        <w:pStyle w:val="Prrafodelista"/>
        <w:numPr>
          <w:ilvl w:val="0"/>
          <w:numId w:val="14"/>
        </w:numPr>
        <w:spacing w:after="120" w:line="250" w:lineRule="exact"/>
        <w:ind w:left="714" w:hanging="357"/>
        <w:jc w:val="both"/>
        <w:rPr>
          <w:rFonts w:ascii="Montserrat" w:hAnsi="Montserrat" w:cs="Arial"/>
          <w:spacing w:val="-1"/>
          <w:sz w:val="18"/>
          <w:szCs w:val="18"/>
        </w:rPr>
      </w:pPr>
      <w:r w:rsidRPr="00DD0D81">
        <w:rPr>
          <w:rFonts w:ascii="Montserrat" w:hAnsi="Montserrat" w:cs="Arial"/>
          <w:spacing w:val="-1"/>
          <w:sz w:val="18"/>
          <w:szCs w:val="18"/>
        </w:rPr>
        <w:t>Documentos por Pagar a Corto Plazo</w:t>
      </w:r>
    </w:p>
    <w:p w14:paraId="302DA616" w14:textId="77777777" w:rsidR="009C3C24" w:rsidRDefault="009C3C24" w:rsidP="00063579">
      <w:pPr>
        <w:spacing w:after="120" w:line="250" w:lineRule="exact"/>
        <w:jc w:val="both"/>
        <w:rPr>
          <w:rFonts w:ascii="Montserrat" w:hAnsi="Montserrat"/>
          <w:sz w:val="18"/>
          <w:szCs w:val="18"/>
        </w:rPr>
      </w:pPr>
      <w:r w:rsidRPr="00063579">
        <w:rPr>
          <w:rFonts w:ascii="Montserrat" w:hAnsi="Montserrat"/>
          <w:sz w:val="18"/>
          <w:szCs w:val="18"/>
        </w:rPr>
        <w:t>Representa los adeudos documentados que deberá pagar el ente público, en un plazo menor o igual a doce meses, tales como los certificados especiales de Tesorería, que son títulos nominativos que se deben liquidar a los beneficiarios en efectivo o aplicar al pago de impuestos, derechos, productos o aprovechamientos y sus accesorios.</w:t>
      </w:r>
    </w:p>
    <w:p w14:paraId="16900011" w14:textId="450EE80A" w:rsidR="00F86F92" w:rsidRPr="00DD0D81" w:rsidRDefault="00F86F92" w:rsidP="00F86F92">
      <w:pPr>
        <w:pStyle w:val="Prrafodelista"/>
        <w:numPr>
          <w:ilvl w:val="0"/>
          <w:numId w:val="14"/>
        </w:numPr>
        <w:spacing w:after="120" w:line="250" w:lineRule="exact"/>
        <w:ind w:left="714" w:hanging="357"/>
        <w:jc w:val="both"/>
        <w:rPr>
          <w:rFonts w:ascii="Montserrat" w:hAnsi="Montserrat" w:cs="Arial"/>
          <w:spacing w:val="-1"/>
          <w:sz w:val="18"/>
          <w:szCs w:val="18"/>
        </w:rPr>
      </w:pPr>
      <w:r w:rsidRPr="000F0321">
        <w:rPr>
          <w:rFonts w:ascii="Montserrat" w:hAnsi="Montserrat" w:cs="Arial"/>
          <w:spacing w:val="-1"/>
          <w:sz w:val="18"/>
          <w:szCs w:val="18"/>
        </w:rPr>
        <w:t>Porción a Corto Plazo de la Deuda Pública a Largo Plazo</w:t>
      </w:r>
    </w:p>
    <w:p w14:paraId="634C5B70" w14:textId="77777777" w:rsidR="00417746" w:rsidRDefault="00F86F92" w:rsidP="00F86F92">
      <w:pPr>
        <w:spacing w:after="0" w:line="240" w:lineRule="auto"/>
        <w:jc w:val="both"/>
        <w:rPr>
          <w:rFonts w:ascii="Montserrat" w:hAnsi="Montserrat"/>
          <w:sz w:val="18"/>
          <w:szCs w:val="18"/>
        </w:rPr>
      </w:pPr>
      <w:r>
        <w:rPr>
          <w:rFonts w:ascii="Montserrat" w:hAnsi="Montserrat"/>
          <w:sz w:val="18"/>
          <w:szCs w:val="18"/>
        </w:rPr>
        <w:t xml:space="preserve">Se trata del importe correspondiente a la deuda pública que se estima pagar en el corto plazo, que para el Poder Ejecutivo Federal es un año fiscal. Con corte al 31 de diciembre se calcula aquello que no se pagó </w:t>
      </w:r>
      <w:r w:rsidR="00417746">
        <w:rPr>
          <w:rFonts w:ascii="Montserrat" w:hAnsi="Montserrat"/>
          <w:sz w:val="18"/>
          <w:szCs w:val="18"/>
        </w:rPr>
        <w:t xml:space="preserve">en el ejercicio </w:t>
      </w:r>
      <w:r>
        <w:rPr>
          <w:rFonts w:ascii="Montserrat" w:hAnsi="Montserrat"/>
          <w:sz w:val="18"/>
          <w:szCs w:val="18"/>
        </w:rPr>
        <w:t>y se reclasifica del corto al largo plazo</w:t>
      </w:r>
      <w:r w:rsidR="00417746">
        <w:rPr>
          <w:rFonts w:ascii="Montserrat" w:hAnsi="Montserrat"/>
          <w:sz w:val="18"/>
          <w:szCs w:val="18"/>
        </w:rPr>
        <w:t xml:space="preserve"> con el objetivo de que el año siguiente se realice nuevamente la estimación de lo que se pagará en el corto plazo. </w:t>
      </w:r>
    </w:p>
    <w:p w14:paraId="182721CB" w14:textId="77777777" w:rsidR="00417746" w:rsidRDefault="00417746" w:rsidP="00F86F92">
      <w:pPr>
        <w:spacing w:after="0" w:line="240" w:lineRule="auto"/>
        <w:jc w:val="both"/>
        <w:rPr>
          <w:rFonts w:ascii="Montserrat" w:hAnsi="Montserrat"/>
          <w:sz w:val="18"/>
          <w:szCs w:val="18"/>
        </w:rPr>
      </w:pPr>
    </w:p>
    <w:p w14:paraId="624963DF" w14:textId="1A332341" w:rsidR="00263314" w:rsidRDefault="00417746" w:rsidP="00F86F92">
      <w:pPr>
        <w:spacing w:after="0" w:line="240" w:lineRule="auto"/>
        <w:jc w:val="both"/>
        <w:rPr>
          <w:rFonts w:ascii="Montserrat" w:hAnsi="Montserrat"/>
          <w:sz w:val="18"/>
          <w:szCs w:val="18"/>
        </w:rPr>
      </w:pPr>
      <w:r>
        <w:rPr>
          <w:rFonts w:ascii="Montserrat" w:hAnsi="Montserrat"/>
          <w:sz w:val="18"/>
          <w:szCs w:val="18"/>
        </w:rPr>
        <w:t xml:space="preserve">Para finales de 2019 se tenía un pasivo por </w:t>
      </w:r>
      <w:r w:rsidRPr="00417746">
        <w:rPr>
          <w:rFonts w:ascii="Montserrat" w:hAnsi="Montserrat"/>
          <w:sz w:val="18"/>
          <w:szCs w:val="18"/>
        </w:rPr>
        <w:t>504,666,347,409</w:t>
      </w:r>
      <w:r>
        <w:rPr>
          <w:rFonts w:ascii="Montserrat" w:hAnsi="Montserrat"/>
          <w:sz w:val="18"/>
          <w:szCs w:val="18"/>
        </w:rPr>
        <w:t xml:space="preserve"> </w:t>
      </w:r>
      <w:r w:rsidR="00303FB6">
        <w:rPr>
          <w:rFonts w:ascii="Montserrat" w:hAnsi="Montserrat"/>
          <w:sz w:val="18"/>
          <w:szCs w:val="18"/>
        </w:rPr>
        <w:t xml:space="preserve">pesos </w:t>
      </w:r>
      <w:r>
        <w:rPr>
          <w:rFonts w:ascii="Montserrat" w:hAnsi="Montserrat"/>
          <w:sz w:val="18"/>
          <w:szCs w:val="18"/>
        </w:rPr>
        <w:t xml:space="preserve">que al </w:t>
      </w:r>
      <w:r w:rsidR="00D0136A">
        <w:rPr>
          <w:rFonts w:ascii="Montserrat" w:hAnsi="Montserrat"/>
          <w:sz w:val="18"/>
          <w:szCs w:val="18"/>
        </w:rPr>
        <w:t xml:space="preserve">31 de diciembre no </w:t>
      </w:r>
      <w:r>
        <w:rPr>
          <w:rFonts w:ascii="Montserrat" w:hAnsi="Montserrat"/>
          <w:sz w:val="18"/>
          <w:szCs w:val="18"/>
        </w:rPr>
        <w:t>se traspasó al largo plazo</w:t>
      </w:r>
      <w:r w:rsidR="00D0136A">
        <w:rPr>
          <w:rFonts w:ascii="Montserrat" w:hAnsi="Montserrat"/>
          <w:sz w:val="18"/>
          <w:szCs w:val="18"/>
        </w:rPr>
        <w:t>, sino hasta la ejecución del</w:t>
      </w:r>
      <w:r w:rsidR="00D0136A" w:rsidRPr="00D0136A">
        <w:rPr>
          <w:rFonts w:ascii="Montserrat" w:hAnsi="Montserrat"/>
          <w:sz w:val="18"/>
          <w:szCs w:val="18"/>
        </w:rPr>
        <w:t xml:space="preserve"> </w:t>
      </w:r>
      <w:r w:rsidR="00D0136A">
        <w:rPr>
          <w:rFonts w:ascii="Montserrat" w:hAnsi="Montserrat"/>
          <w:sz w:val="18"/>
          <w:szCs w:val="18"/>
        </w:rPr>
        <w:t>cierre del ejercicio</w:t>
      </w:r>
      <w:r w:rsidR="00D06797">
        <w:rPr>
          <w:rFonts w:ascii="Montserrat" w:hAnsi="Montserrat"/>
          <w:sz w:val="18"/>
          <w:szCs w:val="18"/>
        </w:rPr>
        <w:t>, e</w:t>
      </w:r>
      <w:r>
        <w:rPr>
          <w:rFonts w:ascii="Montserrat" w:hAnsi="Montserrat"/>
          <w:sz w:val="18"/>
          <w:szCs w:val="18"/>
        </w:rPr>
        <w:t xml:space="preserve">n comparación con 2018 en donde </w:t>
      </w:r>
      <w:r w:rsidR="00303FB6">
        <w:rPr>
          <w:rFonts w:ascii="Montserrat" w:hAnsi="Montserrat"/>
          <w:sz w:val="18"/>
          <w:szCs w:val="18"/>
        </w:rPr>
        <w:t xml:space="preserve">dicho traspaso se realizó </w:t>
      </w:r>
      <w:r>
        <w:rPr>
          <w:rFonts w:ascii="Montserrat" w:hAnsi="Montserrat"/>
          <w:sz w:val="18"/>
          <w:szCs w:val="18"/>
        </w:rPr>
        <w:t>como parte de los movimientos d</w:t>
      </w:r>
      <w:r w:rsidR="00303FB6">
        <w:rPr>
          <w:rFonts w:ascii="Montserrat" w:hAnsi="Montserrat"/>
          <w:sz w:val="18"/>
          <w:szCs w:val="18"/>
        </w:rPr>
        <w:t>el ejercicio al 31 de diciembre</w:t>
      </w:r>
      <w:r>
        <w:rPr>
          <w:rFonts w:ascii="Montserrat" w:hAnsi="Montserrat"/>
          <w:sz w:val="18"/>
          <w:szCs w:val="18"/>
        </w:rPr>
        <w:t>.</w:t>
      </w:r>
    </w:p>
    <w:p w14:paraId="34893F99" w14:textId="77777777" w:rsidR="00263314" w:rsidRDefault="00263314" w:rsidP="00263314">
      <w:pPr>
        <w:spacing w:after="0" w:line="240" w:lineRule="auto"/>
        <w:jc w:val="both"/>
        <w:rPr>
          <w:rFonts w:ascii="Montserrat" w:hAnsi="Montserrat"/>
          <w:sz w:val="18"/>
          <w:szCs w:val="18"/>
        </w:rPr>
      </w:pPr>
    </w:p>
    <w:p w14:paraId="1059A567" w14:textId="77777777" w:rsidR="009C3C24" w:rsidRPr="00DD0D81" w:rsidRDefault="009C3C24" w:rsidP="005A5AC5">
      <w:pPr>
        <w:pStyle w:val="Prrafodelista"/>
        <w:numPr>
          <w:ilvl w:val="0"/>
          <w:numId w:val="14"/>
        </w:numPr>
        <w:spacing w:after="120" w:line="250" w:lineRule="exact"/>
        <w:ind w:left="714" w:hanging="357"/>
        <w:jc w:val="both"/>
        <w:rPr>
          <w:rFonts w:ascii="Montserrat" w:hAnsi="Montserrat" w:cs="Arial"/>
          <w:spacing w:val="-1"/>
          <w:sz w:val="18"/>
          <w:szCs w:val="18"/>
        </w:rPr>
      </w:pPr>
      <w:r w:rsidRPr="00DD0D81">
        <w:rPr>
          <w:rFonts w:ascii="Montserrat" w:hAnsi="Montserrat" w:cs="Arial"/>
          <w:spacing w:val="-1"/>
          <w:sz w:val="18"/>
          <w:szCs w:val="18"/>
        </w:rPr>
        <w:t>Títulos y Valores a Corto Plazo</w:t>
      </w:r>
    </w:p>
    <w:p w14:paraId="5A2B2B92" w14:textId="4F928213" w:rsidR="009C3C24" w:rsidRPr="00063579" w:rsidRDefault="009C3C24" w:rsidP="00063579">
      <w:pPr>
        <w:spacing w:after="120" w:line="250" w:lineRule="exact"/>
        <w:jc w:val="both"/>
        <w:rPr>
          <w:rFonts w:ascii="Montserrat" w:hAnsi="Montserrat"/>
          <w:sz w:val="18"/>
          <w:szCs w:val="18"/>
        </w:rPr>
      </w:pPr>
      <w:r w:rsidRPr="00063579">
        <w:rPr>
          <w:rFonts w:ascii="Montserrat" w:hAnsi="Montserrat"/>
          <w:sz w:val="18"/>
          <w:szCs w:val="18"/>
        </w:rPr>
        <w:t xml:space="preserve">Son los adeudos contraídos por la colocación de bonos y otros títulos y valores de deuda interna y externa con vencimiento en un plazo menor o igual a doce meses, como son los CETES, BONDES, UDIBONOS o préstamos del exterior. </w:t>
      </w:r>
    </w:p>
    <w:p w14:paraId="453360FF" w14:textId="77777777" w:rsidR="009C3C24" w:rsidRDefault="009C3C24" w:rsidP="00263314">
      <w:pPr>
        <w:spacing w:after="0" w:line="250" w:lineRule="exact"/>
        <w:jc w:val="both"/>
        <w:rPr>
          <w:rFonts w:ascii="Montserrat" w:hAnsi="Montserrat"/>
          <w:sz w:val="18"/>
          <w:szCs w:val="18"/>
        </w:rPr>
      </w:pPr>
      <w:r w:rsidRPr="00063579">
        <w:rPr>
          <w:rFonts w:ascii="Montserrat" w:hAnsi="Montserrat"/>
          <w:sz w:val="18"/>
          <w:szCs w:val="18"/>
        </w:rPr>
        <w:lastRenderedPageBreak/>
        <w:t>La integración de la cuenta “Títulos y Valores a Corto Plazo”, de conformidad a la Guía Contabilizadora 39.- Valores Gubernamentales, Bonos, Otros Títulos de Crédito y Servicio de la Deuda del Tramo de Financiamiento Interno, se registra a valor de colocación y se integra por los siguientes instrumentos:</w:t>
      </w:r>
    </w:p>
    <w:p w14:paraId="5F1CF21F" w14:textId="77777777" w:rsidR="009C3C24" w:rsidRPr="00936371" w:rsidRDefault="009C3C24" w:rsidP="00E52592">
      <w:pPr>
        <w:spacing w:after="60" w:line="250" w:lineRule="exact"/>
        <w:ind w:left="709"/>
        <w:jc w:val="center"/>
        <w:rPr>
          <w:rFonts w:ascii="Montserrat" w:hAnsi="Montserrat" w:cs="Arial"/>
          <w:spacing w:val="-1"/>
          <w:sz w:val="18"/>
          <w:szCs w:val="18"/>
        </w:rPr>
      </w:pPr>
      <w:r w:rsidRPr="00936371">
        <w:rPr>
          <w:rFonts w:ascii="Montserrat" w:eastAsia="Times New Roman" w:hAnsi="Montserrat" w:cs="Calibri"/>
          <w:bCs/>
          <w:sz w:val="16"/>
          <w:szCs w:val="16"/>
          <w:lang w:val="es-MX" w:eastAsia="es-MX"/>
        </w:rPr>
        <w:t>(Pesos)</w:t>
      </w:r>
    </w:p>
    <w:tbl>
      <w:tblPr>
        <w:tblW w:w="8686" w:type="dxa"/>
        <w:jc w:val="center"/>
        <w:tblCellMar>
          <w:left w:w="70" w:type="dxa"/>
          <w:right w:w="70" w:type="dxa"/>
        </w:tblCellMar>
        <w:tblLook w:val="04A0" w:firstRow="1" w:lastRow="0" w:firstColumn="1" w:lastColumn="0" w:noHBand="0" w:noVBand="1"/>
      </w:tblPr>
      <w:tblGrid>
        <w:gridCol w:w="4490"/>
        <w:gridCol w:w="2098"/>
        <w:gridCol w:w="2098"/>
      </w:tblGrid>
      <w:tr w:rsidR="00C4519E" w:rsidRPr="00373F9E" w14:paraId="282A8842" w14:textId="77777777" w:rsidTr="00CC40D5">
        <w:trPr>
          <w:trHeight w:val="57"/>
          <w:jc w:val="center"/>
        </w:trPr>
        <w:tc>
          <w:tcPr>
            <w:tcW w:w="8686" w:type="dxa"/>
            <w:gridSpan w:val="3"/>
            <w:tcBorders>
              <w:top w:val="single" w:sz="12" w:space="0" w:color="808080" w:themeColor="background1" w:themeShade="80"/>
            </w:tcBorders>
            <w:shd w:val="clear" w:color="auto" w:fill="auto"/>
            <w:noWrap/>
            <w:vAlign w:val="center"/>
          </w:tcPr>
          <w:p w14:paraId="74818725" w14:textId="77777777" w:rsidR="00C4519E" w:rsidRPr="00373F9E" w:rsidRDefault="00C4519E" w:rsidP="00373F9E">
            <w:pPr>
              <w:spacing w:after="0" w:line="240" w:lineRule="auto"/>
              <w:jc w:val="center"/>
              <w:rPr>
                <w:rFonts w:ascii="Montserrat" w:eastAsia="Times New Roman" w:hAnsi="Montserrat" w:cs="Calibri"/>
                <w:b/>
                <w:bCs/>
                <w:color w:val="FFFFFF"/>
                <w:sz w:val="4"/>
                <w:szCs w:val="4"/>
                <w:lang w:val="es-MX" w:eastAsia="es-MX"/>
              </w:rPr>
            </w:pPr>
            <w:r w:rsidRPr="00373F9E">
              <w:rPr>
                <w:rFonts w:ascii="Montserrat" w:eastAsia="Times New Roman" w:hAnsi="Montserrat" w:cs="Calibri"/>
                <w:b/>
                <w:bCs/>
                <w:color w:val="FFFFFF"/>
                <w:sz w:val="4"/>
                <w:szCs w:val="4"/>
                <w:lang w:val="es-MX" w:eastAsia="es-MX"/>
              </w:rPr>
              <w:t>Tipo de Instrumento2018017</w:t>
            </w:r>
          </w:p>
        </w:tc>
      </w:tr>
      <w:tr w:rsidR="00BC0F30" w:rsidRPr="006F0DF1" w14:paraId="37808EC4" w14:textId="77777777" w:rsidTr="00263314">
        <w:trPr>
          <w:trHeight w:val="317"/>
          <w:jc w:val="center"/>
        </w:trPr>
        <w:tc>
          <w:tcPr>
            <w:tcW w:w="4490" w:type="dxa"/>
            <w:tcBorders>
              <w:left w:val="single" w:sz="8" w:space="0" w:color="FFFFFF" w:themeColor="background1"/>
              <w:bottom w:val="double" w:sz="12" w:space="0" w:color="808080" w:themeColor="background1" w:themeShade="80"/>
              <w:right w:val="single" w:sz="8" w:space="0" w:color="FFFFFF" w:themeColor="background1"/>
            </w:tcBorders>
            <w:shd w:val="clear" w:color="auto" w:fill="D4C19C"/>
            <w:noWrap/>
            <w:vAlign w:val="center"/>
          </w:tcPr>
          <w:p w14:paraId="02BA2286" w14:textId="77777777" w:rsidR="00BC0F30" w:rsidRPr="006F0DF1" w:rsidRDefault="00BC0F30" w:rsidP="00BC0F30">
            <w:pPr>
              <w:spacing w:after="0" w:line="240" w:lineRule="auto"/>
              <w:jc w:val="center"/>
              <w:rPr>
                <w:rFonts w:ascii="Montserrat" w:eastAsia="Times New Roman" w:hAnsi="Montserrat" w:cs="Calibri"/>
                <w:b/>
                <w:bCs/>
                <w:color w:val="FFFFFF"/>
                <w:sz w:val="16"/>
                <w:szCs w:val="16"/>
                <w:lang w:val="es-MX" w:eastAsia="es-MX"/>
              </w:rPr>
            </w:pPr>
            <w:r w:rsidRPr="006F0DF1">
              <w:rPr>
                <w:rFonts w:ascii="Montserrat" w:eastAsia="Times New Roman" w:hAnsi="Montserrat" w:cs="Calibri"/>
                <w:b/>
                <w:bCs/>
                <w:color w:val="FFFFFF"/>
                <w:sz w:val="16"/>
                <w:szCs w:val="16"/>
                <w:lang w:val="es-MX" w:eastAsia="es-MX"/>
              </w:rPr>
              <w:t>Concepto</w:t>
            </w:r>
          </w:p>
        </w:tc>
        <w:tc>
          <w:tcPr>
            <w:tcW w:w="2098" w:type="dxa"/>
            <w:tcBorders>
              <w:left w:val="single" w:sz="8" w:space="0" w:color="FFFFFF" w:themeColor="background1"/>
              <w:bottom w:val="double" w:sz="12" w:space="0" w:color="808080" w:themeColor="background1" w:themeShade="80"/>
              <w:right w:val="single" w:sz="8" w:space="0" w:color="FFFFFF" w:themeColor="background1"/>
            </w:tcBorders>
            <w:shd w:val="clear" w:color="auto" w:fill="D4C19C"/>
            <w:noWrap/>
            <w:vAlign w:val="center"/>
          </w:tcPr>
          <w:p w14:paraId="39CB1A4A" w14:textId="77777777" w:rsidR="00BC0F30" w:rsidRPr="006F0DF1" w:rsidRDefault="00BC0F30" w:rsidP="00BC0F30">
            <w:pPr>
              <w:spacing w:after="0" w:line="240" w:lineRule="auto"/>
              <w:jc w:val="center"/>
              <w:rPr>
                <w:rFonts w:ascii="Montserrat" w:eastAsia="Times New Roman" w:hAnsi="Montserrat" w:cs="Calibri"/>
                <w:b/>
                <w:bCs/>
                <w:color w:val="FFFFFF"/>
                <w:sz w:val="16"/>
                <w:szCs w:val="16"/>
                <w:lang w:val="es-MX" w:eastAsia="es-MX"/>
              </w:rPr>
            </w:pPr>
            <w:r>
              <w:rPr>
                <w:rFonts w:ascii="Montserrat" w:eastAsia="Times New Roman" w:hAnsi="Montserrat" w:cs="Calibri"/>
                <w:b/>
                <w:bCs/>
                <w:color w:val="FFFFFF"/>
                <w:sz w:val="16"/>
                <w:szCs w:val="16"/>
                <w:lang w:val="es-MX" w:eastAsia="es-MX"/>
              </w:rPr>
              <w:t>201</w:t>
            </w:r>
            <w:r w:rsidR="00AF70EA">
              <w:rPr>
                <w:rFonts w:ascii="Montserrat" w:eastAsia="Times New Roman" w:hAnsi="Montserrat" w:cs="Calibri"/>
                <w:b/>
                <w:bCs/>
                <w:color w:val="FFFFFF"/>
                <w:sz w:val="16"/>
                <w:szCs w:val="16"/>
                <w:lang w:val="es-MX" w:eastAsia="es-MX"/>
              </w:rPr>
              <w:t>9</w:t>
            </w:r>
          </w:p>
        </w:tc>
        <w:tc>
          <w:tcPr>
            <w:tcW w:w="2098" w:type="dxa"/>
            <w:tcBorders>
              <w:left w:val="single" w:sz="8" w:space="0" w:color="FFFFFF" w:themeColor="background1"/>
              <w:bottom w:val="double" w:sz="12" w:space="0" w:color="808080" w:themeColor="background1" w:themeShade="80"/>
              <w:right w:val="single" w:sz="8" w:space="0" w:color="FFFFFF" w:themeColor="background1"/>
            </w:tcBorders>
            <w:shd w:val="clear" w:color="auto" w:fill="D4C19C"/>
            <w:noWrap/>
            <w:vAlign w:val="center"/>
          </w:tcPr>
          <w:p w14:paraId="3FBC57C9" w14:textId="77777777" w:rsidR="00BC0F30" w:rsidRPr="006F0DF1" w:rsidRDefault="00BC0F30" w:rsidP="00BC0F30">
            <w:pPr>
              <w:spacing w:after="0" w:line="240" w:lineRule="auto"/>
              <w:jc w:val="center"/>
              <w:rPr>
                <w:rFonts w:ascii="Montserrat" w:eastAsia="Times New Roman" w:hAnsi="Montserrat" w:cs="Calibri"/>
                <w:b/>
                <w:bCs/>
                <w:color w:val="FFFFFF"/>
                <w:sz w:val="16"/>
                <w:szCs w:val="16"/>
                <w:lang w:val="es-MX" w:eastAsia="es-MX"/>
              </w:rPr>
            </w:pPr>
            <w:r>
              <w:rPr>
                <w:rFonts w:ascii="Montserrat" w:eastAsia="Times New Roman" w:hAnsi="Montserrat" w:cs="Calibri"/>
                <w:b/>
                <w:bCs/>
                <w:color w:val="FFFFFF"/>
                <w:sz w:val="16"/>
                <w:szCs w:val="16"/>
                <w:lang w:val="es-MX" w:eastAsia="es-MX"/>
              </w:rPr>
              <w:t>201</w:t>
            </w:r>
            <w:r w:rsidR="00AF70EA">
              <w:rPr>
                <w:rFonts w:ascii="Montserrat" w:eastAsia="Times New Roman" w:hAnsi="Montserrat" w:cs="Calibri"/>
                <w:b/>
                <w:bCs/>
                <w:color w:val="FFFFFF"/>
                <w:sz w:val="16"/>
                <w:szCs w:val="16"/>
                <w:lang w:val="es-MX" w:eastAsia="es-MX"/>
              </w:rPr>
              <w:t>8</w:t>
            </w:r>
          </w:p>
        </w:tc>
      </w:tr>
      <w:tr w:rsidR="005E3C4A" w:rsidRPr="00FF4F1E" w14:paraId="72915436" w14:textId="77777777" w:rsidTr="00556DB3">
        <w:trPr>
          <w:trHeight w:val="215"/>
          <w:jc w:val="center"/>
        </w:trPr>
        <w:tc>
          <w:tcPr>
            <w:tcW w:w="4490" w:type="dxa"/>
            <w:tcBorders>
              <w:top w:val="double" w:sz="12" w:space="0" w:color="808080" w:themeColor="background1" w:themeShade="80"/>
            </w:tcBorders>
            <w:shd w:val="clear" w:color="auto" w:fill="F2F2F2" w:themeFill="background1" w:themeFillShade="F2"/>
            <w:noWrap/>
            <w:hideMark/>
          </w:tcPr>
          <w:p w14:paraId="59F1B963" w14:textId="77777777" w:rsidR="005E3C4A" w:rsidRPr="00FF4F1E" w:rsidRDefault="005E3C4A" w:rsidP="005E3C4A">
            <w:pPr>
              <w:spacing w:after="0" w:line="240" w:lineRule="auto"/>
              <w:ind w:left="170"/>
              <w:jc w:val="both"/>
              <w:rPr>
                <w:rFonts w:ascii="Montserrat" w:eastAsia="Times New Roman" w:hAnsi="Montserrat" w:cs="Calibri"/>
                <w:color w:val="000000"/>
                <w:sz w:val="15"/>
                <w:szCs w:val="15"/>
                <w:lang w:val="es-MX" w:eastAsia="es-MX"/>
              </w:rPr>
            </w:pPr>
            <w:r w:rsidRPr="00FF4F1E">
              <w:rPr>
                <w:rFonts w:ascii="Montserrat" w:eastAsia="Times New Roman" w:hAnsi="Montserrat" w:cs="Calibri"/>
                <w:color w:val="000000"/>
                <w:sz w:val="15"/>
                <w:szCs w:val="15"/>
                <w:lang w:val="es-MX" w:eastAsia="es-MX"/>
              </w:rPr>
              <w:t>Certificados de la Tesorería (Valor Neto)</w:t>
            </w:r>
          </w:p>
        </w:tc>
        <w:tc>
          <w:tcPr>
            <w:tcW w:w="2098" w:type="dxa"/>
            <w:tcBorders>
              <w:top w:val="double" w:sz="12" w:space="0" w:color="808080" w:themeColor="background1" w:themeShade="80"/>
            </w:tcBorders>
            <w:shd w:val="clear" w:color="auto" w:fill="F2F2F2" w:themeFill="background1" w:themeFillShade="F2"/>
            <w:noWrap/>
            <w:vAlign w:val="center"/>
          </w:tcPr>
          <w:p w14:paraId="2961F00B" w14:textId="4576435F" w:rsidR="005E3C4A" w:rsidRPr="00FF4F1E" w:rsidRDefault="005E3C4A" w:rsidP="005E3C4A">
            <w:pPr>
              <w:spacing w:after="0" w:line="240" w:lineRule="auto"/>
              <w:jc w:val="right"/>
              <w:rPr>
                <w:rFonts w:ascii="Montserrat" w:eastAsia="Times New Roman" w:hAnsi="Montserrat" w:cs="Calibri"/>
                <w:sz w:val="15"/>
                <w:szCs w:val="15"/>
                <w:lang w:val="es-MX" w:eastAsia="es-MX"/>
              </w:rPr>
            </w:pPr>
            <w:r w:rsidRPr="000F0321">
              <w:rPr>
                <w:rFonts w:ascii="Montserrat" w:hAnsi="Montserrat" w:cs="Arial"/>
                <w:color w:val="000000"/>
                <w:sz w:val="15"/>
                <w:szCs w:val="15"/>
              </w:rPr>
              <w:t>802,558,303,004</w:t>
            </w:r>
          </w:p>
        </w:tc>
        <w:tc>
          <w:tcPr>
            <w:tcW w:w="2098" w:type="dxa"/>
            <w:tcBorders>
              <w:top w:val="double" w:sz="12" w:space="0" w:color="808080" w:themeColor="background1" w:themeShade="80"/>
            </w:tcBorders>
            <w:shd w:val="clear" w:color="auto" w:fill="F2F2F2" w:themeFill="background1" w:themeFillShade="F2"/>
            <w:noWrap/>
            <w:vAlign w:val="center"/>
            <w:hideMark/>
          </w:tcPr>
          <w:p w14:paraId="2D42B11C" w14:textId="77777777" w:rsidR="005E3C4A" w:rsidRPr="00FF4F1E" w:rsidRDefault="005E3C4A" w:rsidP="005E3C4A">
            <w:pPr>
              <w:spacing w:after="0" w:line="240" w:lineRule="auto"/>
              <w:jc w:val="right"/>
              <w:rPr>
                <w:rFonts w:ascii="Montserrat" w:eastAsia="Times New Roman" w:hAnsi="Montserrat" w:cs="Calibri"/>
                <w:sz w:val="15"/>
                <w:szCs w:val="15"/>
                <w:lang w:val="es-MX" w:eastAsia="es-MX"/>
              </w:rPr>
            </w:pPr>
            <w:r w:rsidRPr="00FF4F1E">
              <w:rPr>
                <w:rFonts w:ascii="Montserrat" w:eastAsia="Times New Roman" w:hAnsi="Montserrat" w:cs="Calibri"/>
                <w:sz w:val="15"/>
                <w:szCs w:val="15"/>
                <w:lang w:eastAsia="es-MX"/>
              </w:rPr>
              <w:t>734,487,222,835</w:t>
            </w:r>
          </w:p>
        </w:tc>
      </w:tr>
      <w:tr w:rsidR="005E3C4A" w:rsidRPr="00FF4F1E" w14:paraId="42052B76" w14:textId="77777777" w:rsidTr="00556DB3">
        <w:trPr>
          <w:trHeight w:val="215"/>
          <w:jc w:val="center"/>
        </w:trPr>
        <w:tc>
          <w:tcPr>
            <w:tcW w:w="4490" w:type="dxa"/>
            <w:tcBorders>
              <w:top w:val="nil"/>
            </w:tcBorders>
            <w:shd w:val="clear" w:color="auto" w:fill="F2F2F2" w:themeFill="background1" w:themeFillShade="F2"/>
            <w:noWrap/>
            <w:hideMark/>
          </w:tcPr>
          <w:p w14:paraId="4C58A20A" w14:textId="77777777" w:rsidR="005E3C4A" w:rsidRPr="00FF4F1E" w:rsidRDefault="005E3C4A" w:rsidP="005E3C4A">
            <w:pPr>
              <w:spacing w:after="0" w:line="240" w:lineRule="auto"/>
              <w:ind w:left="170"/>
              <w:jc w:val="both"/>
              <w:rPr>
                <w:rFonts w:ascii="Montserrat" w:eastAsia="Times New Roman" w:hAnsi="Montserrat" w:cs="Calibri"/>
                <w:color w:val="000000"/>
                <w:sz w:val="15"/>
                <w:szCs w:val="15"/>
                <w:lang w:val="es-MX" w:eastAsia="es-MX"/>
              </w:rPr>
            </w:pPr>
            <w:r w:rsidRPr="00FF4F1E">
              <w:rPr>
                <w:rFonts w:ascii="Montserrat" w:eastAsia="Times New Roman" w:hAnsi="Montserrat" w:cs="Calibri"/>
                <w:color w:val="000000"/>
                <w:sz w:val="15"/>
                <w:szCs w:val="15"/>
                <w:lang w:val="es-MX" w:eastAsia="es-MX"/>
              </w:rPr>
              <w:t>22291 Otros Documentos por Pagar correspondiente al descuento CETES</w:t>
            </w:r>
          </w:p>
        </w:tc>
        <w:tc>
          <w:tcPr>
            <w:tcW w:w="2098" w:type="dxa"/>
            <w:tcBorders>
              <w:top w:val="nil"/>
            </w:tcBorders>
            <w:shd w:val="clear" w:color="auto" w:fill="F2F2F2" w:themeFill="background1" w:themeFillShade="F2"/>
            <w:noWrap/>
            <w:vAlign w:val="center"/>
          </w:tcPr>
          <w:p w14:paraId="7F4D2E60" w14:textId="604B0478" w:rsidR="005E3C4A" w:rsidRPr="00FF4F1E" w:rsidRDefault="00FF4F1E" w:rsidP="005E3C4A">
            <w:pPr>
              <w:spacing w:after="0" w:line="240" w:lineRule="auto"/>
              <w:jc w:val="right"/>
              <w:rPr>
                <w:rFonts w:ascii="Montserrat" w:eastAsia="Times New Roman" w:hAnsi="Montserrat" w:cs="Calibri"/>
                <w:color w:val="000000"/>
                <w:sz w:val="15"/>
                <w:szCs w:val="15"/>
                <w:lang w:eastAsia="es-MX"/>
              </w:rPr>
            </w:pPr>
            <w:r w:rsidRPr="00FF4F1E">
              <w:rPr>
                <w:rFonts w:ascii="Montserrat" w:hAnsi="Montserrat" w:cs="Arial"/>
                <w:color w:val="000000"/>
                <w:sz w:val="15"/>
                <w:szCs w:val="15"/>
              </w:rPr>
              <w:t>33,134,615,003</w:t>
            </w:r>
          </w:p>
        </w:tc>
        <w:tc>
          <w:tcPr>
            <w:tcW w:w="2098" w:type="dxa"/>
            <w:tcBorders>
              <w:top w:val="nil"/>
            </w:tcBorders>
            <w:shd w:val="clear" w:color="auto" w:fill="F2F2F2" w:themeFill="background1" w:themeFillShade="F2"/>
            <w:noWrap/>
            <w:vAlign w:val="center"/>
            <w:hideMark/>
          </w:tcPr>
          <w:p w14:paraId="4EF9036C" w14:textId="77777777" w:rsidR="005E3C4A" w:rsidRPr="00FF4F1E" w:rsidRDefault="005E3C4A" w:rsidP="005E3C4A">
            <w:pPr>
              <w:spacing w:after="0" w:line="240" w:lineRule="auto"/>
              <w:jc w:val="right"/>
              <w:rPr>
                <w:rFonts w:ascii="Montserrat" w:eastAsia="Times New Roman" w:hAnsi="Montserrat" w:cs="Calibri"/>
                <w:color w:val="000000"/>
                <w:sz w:val="15"/>
                <w:szCs w:val="15"/>
                <w:lang w:eastAsia="es-MX"/>
              </w:rPr>
            </w:pPr>
            <w:r w:rsidRPr="00FF4F1E">
              <w:rPr>
                <w:rFonts w:ascii="Montserrat" w:eastAsia="Times New Roman" w:hAnsi="Montserrat" w:cs="Calibri"/>
                <w:color w:val="000000"/>
                <w:sz w:val="15"/>
                <w:szCs w:val="15"/>
                <w:lang w:eastAsia="es-MX"/>
              </w:rPr>
              <w:t>38,923,633,140</w:t>
            </w:r>
          </w:p>
        </w:tc>
      </w:tr>
      <w:tr w:rsidR="005E3C4A" w:rsidRPr="00FF4F1E" w14:paraId="59CB034C" w14:textId="77777777" w:rsidTr="00556DB3">
        <w:trPr>
          <w:trHeight w:val="215"/>
          <w:jc w:val="center"/>
        </w:trPr>
        <w:tc>
          <w:tcPr>
            <w:tcW w:w="4490" w:type="dxa"/>
            <w:tcBorders>
              <w:bottom w:val="single" w:sz="12" w:space="0" w:color="808080" w:themeColor="background1" w:themeShade="80"/>
            </w:tcBorders>
            <w:shd w:val="clear" w:color="auto" w:fill="F2F2F2" w:themeFill="background1" w:themeFillShade="F2"/>
            <w:noWrap/>
            <w:hideMark/>
          </w:tcPr>
          <w:p w14:paraId="5B6136EA" w14:textId="77777777" w:rsidR="005E3C4A" w:rsidRPr="00FF4F1E" w:rsidRDefault="005E3C4A" w:rsidP="005E3C4A">
            <w:pPr>
              <w:spacing w:after="0" w:line="240" w:lineRule="auto"/>
              <w:ind w:left="170"/>
              <w:jc w:val="right"/>
              <w:rPr>
                <w:rFonts w:ascii="Montserrat" w:eastAsia="Times New Roman" w:hAnsi="Montserrat" w:cs="Calibri"/>
                <w:b/>
                <w:color w:val="000000"/>
                <w:sz w:val="15"/>
                <w:szCs w:val="15"/>
                <w:lang w:val="es-MX" w:eastAsia="es-MX"/>
              </w:rPr>
            </w:pPr>
            <w:r w:rsidRPr="00FF4F1E">
              <w:rPr>
                <w:rFonts w:ascii="Montserrat" w:eastAsia="Times New Roman" w:hAnsi="Montserrat" w:cs="Calibri"/>
                <w:b/>
                <w:color w:val="000000"/>
                <w:sz w:val="15"/>
                <w:szCs w:val="15"/>
                <w:lang w:val="es-MX" w:eastAsia="es-MX"/>
              </w:rPr>
              <w:t>Valor Nominal de la Deuda Interna a CP</w:t>
            </w:r>
          </w:p>
        </w:tc>
        <w:tc>
          <w:tcPr>
            <w:tcW w:w="2098" w:type="dxa"/>
            <w:tcBorders>
              <w:bottom w:val="single" w:sz="12" w:space="0" w:color="808080" w:themeColor="background1" w:themeShade="80"/>
            </w:tcBorders>
            <w:shd w:val="clear" w:color="auto" w:fill="F2F2F2" w:themeFill="background1" w:themeFillShade="F2"/>
            <w:noWrap/>
            <w:vAlign w:val="center"/>
          </w:tcPr>
          <w:p w14:paraId="3B84A22C" w14:textId="0D9EA7E5" w:rsidR="005E3C4A" w:rsidRPr="000F0321" w:rsidRDefault="00FF4F1E">
            <w:pPr>
              <w:spacing w:after="0" w:line="240" w:lineRule="auto"/>
              <w:jc w:val="right"/>
              <w:rPr>
                <w:rFonts w:ascii="Montserrat" w:hAnsi="Montserrat" w:cs="Calibri"/>
                <w:b/>
                <w:bCs/>
                <w:color w:val="000000"/>
                <w:sz w:val="15"/>
                <w:szCs w:val="15"/>
                <w:lang w:val="es-MX" w:eastAsia="es-MX"/>
              </w:rPr>
            </w:pPr>
            <w:r w:rsidRPr="00FF4F1E">
              <w:rPr>
                <w:rFonts w:ascii="Montserrat" w:hAnsi="Montserrat" w:cs="Calibri"/>
                <w:b/>
                <w:bCs/>
                <w:color w:val="000000"/>
                <w:sz w:val="15"/>
                <w:szCs w:val="15"/>
              </w:rPr>
              <w:t>835,692,918,007</w:t>
            </w:r>
          </w:p>
        </w:tc>
        <w:tc>
          <w:tcPr>
            <w:tcW w:w="2098" w:type="dxa"/>
            <w:tcBorders>
              <w:bottom w:val="single" w:sz="12" w:space="0" w:color="808080" w:themeColor="background1" w:themeShade="80"/>
            </w:tcBorders>
            <w:shd w:val="clear" w:color="auto" w:fill="F2F2F2" w:themeFill="background1" w:themeFillShade="F2"/>
            <w:noWrap/>
            <w:vAlign w:val="center"/>
            <w:hideMark/>
          </w:tcPr>
          <w:p w14:paraId="6A4E52CA" w14:textId="77777777" w:rsidR="005E3C4A" w:rsidRPr="00FF4F1E" w:rsidRDefault="005E3C4A" w:rsidP="005E3C4A">
            <w:pPr>
              <w:spacing w:after="0" w:line="240" w:lineRule="auto"/>
              <w:jc w:val="right"/>
              <w:rPr>
                <w:rFonts w:ascii="Montserrat" w:eastAsia="Times New Roman" w:hAnsi="Montserrat" w:cs="Calibri"/>
                <w:b/>
                <w:bCs/>
                <w:color w:val="000000"/>
                <w:sz w:val="15"/>
                <w:szCs w:val="15"/>
                <w:lang w:eastAsia="es-MX"/>
              </w:rPr>
            </w:pPr>
            <w:r w:rsidRPr="00FF4F1E">
              <w:rPr>
                <w:rFonts w:ascii="Montserrat" w:eastAsia="Times New Roman" w:hAnsi="Montserrat" w:cs="Calibri"/>
                <w:b/>
                <w:bCs/>
                <w:color w:val="000000"/>
                <w:sz w:val="15"/>
                <w:szCs w:val="15"/>
                <w:lang w:eastAsia="es-MX"/>
              </w:rPr>
              <w:t>773,410,855,975</w:t>
            </w:r>
          </w:p>
        </w:tc>
      </w:tr>
    </w:tbl>
    <w:p w14:paraId="5C4A545F" w14:textId="77777777" w:rsidR="00921CC4" w:rsidRPr="00263314" w:rsidRDefault="00921CC4" w:rsidP="00263314">
      <w:pPr>
        <w:spacing w:after="0" w:line="240" w:lineRule="auto"/>
        <w:jc w:val="both"/>
        <w:rPr>
          <w:rFonts w:ascii="Montserrat" w:hAnsi="Montserrat"/>
          <w:sz w:val="14"/>
          <w:szCs w:val="14"/>
        </w:rPr>
      </w:pPr>
    </w:p>
    <w:p w14:paraId="2A93B195" w14:textId="77777777" w:rsidR="009C3C24" w:rsidRPr="00495BFD" w:rsidRDefault="009C3C24" w:rsidP="00495BFD">
      <w:pPr>
        <w:pStyle w:val="Prrafodelista"/>
        <w:numPr>
          <w:ilvl w:val="0"/>
          <w:numId w:val="14"/>
        </w:numPr>
        <w:spacing w:after="120" w:line="250" w:lineRule="exact"/>
        <w:ind w:left="714" w:hanging="357"/>
        <w:jc w:val="both"/>
        <w:rPr>
          <w:rFonts w:ascii="Montserrat" w:hAnsi="Montserrat" w:cs="Arial"/>
          <w:spacing w:val="-1"/>
          <w:sz w:val="18"/>
          <w:szCs w:val="18"/>
        </w:rPr>
      </w:pPr>
      <w:r w:rsidRPr="00495BFD">
        <w:rPr>
          <w:rFonts w:ascii="Montserrat" w:hAnsi="Montserrat" w:cs="Arial"/>
          <w:spacing w:val="-1"/>
          <w:sz w:val="18"/>
          <w:szCs w:val="18"/>
        </w:rPr>
        <w:t>Pasivos Diferidos a Corto Plazo</w:t>
      </w:r>
    </w:p>
    <w:p w14:paraId="1B4847C9" w14:textId="6D207D59" w:rsidR="00F675E0" w:rsidRDefault="009C3C24" w:rsidP="00F675E0">
      <w:pPr>
        <w:spacing w:after="0" w:line="250" w:lineRule="exact"/>
        <w:jc w:val="both"/>
        <w:rPr>
          <w:rFonts w:ascii="Montserrat" w:hAnsi="Montserrat"/>
          <w:sz w:val="18"/>
          <w:szCs w:val="18"/>
        </w:rPr>
      </w:pPr>
      <w:r w:rsidRPr="00AB1E92">
        <w:rPr>
          <w:rFonts w:ascii="Montserrat" w:hAnsi="Montserrat"/>
          <w:sz w:val="18"/>
          <w:szCs w:val="18"/>
        </w:rPr>
        <w:t>Corresponde al monto de las obligaciones cuyo beneficio se recibió por anticipado y se reconocerá en un plazo menor o igual a doce meses</w:t>
      </w:r>
      <w:r w:rsidR="00F675E0" w:rsidRPr="000F0321">
        <w:rPr>
          <w:rFonts w:ascii="Montserrat" w:hAnsi="Montserrat"/>
          <w:sz w:val="18"/>
          <w:szCs w:val="18"/>
        </w:rPr>
        <w:t xml:space="preserve"> y se integra </w:t>
      </w:r>
      <w:r w:rsidR="0000636D">
        <w:rPr>
          <w:rFonts w:ascii="Montserrat" w:hAnsi="Montserrat"/>
          <w:sz w:val="18"/>
          <w:szCs w:val="18"/>
        </w:rPr>
        <w:t>como a continuación se detalla</w:t>
      </w:r>
      <w:r w:rsidR="00F675E0" w:rsidRPr="000F0321">
        <w:rPr>
          <w:rFonts w:ascii="Montserrat" w:hAnsi="Montserrat"/>
          <w:sz w:val="18"/>
          <w:szCs w:val="18"/>
        </w:rPr>
        <w:t xml:space="preserve">: </w:t>
      </w:r>
    </w:p>
    <w:p w14:paraId="3EF6AA4F" w14:textId="77777777" w:rsidR="00F675E0" w:rsidRPr="00936371" w:rsidRDefault="00F675E0" w:rsidP="00F675E0">
      <w:pPr>
        <w:spacing w:after="60" w:line="250" w:lineRule="exact"/>
        <w:ind w:left="709"/>
        <w:jc w:val="center"/>
        <w:rPr>
          <w:rFonts w:ascii="Montserrat" w:hAnsi="Montserrat" w:cs="Arial"/>
          <w:spacing w:val="-1"/>
          <w:sz w:val="18"/>
          <w:szCs w:val="18"/>
        </w:rPr>
      </w:pPr>
      <w:r w:rsidRPr="00936371">
        <w:rPr>
          <w:rFonts w:ascii="Montserrat" w:eastAsia="Times New Roman" w:hAnsi="Montserrat" w:cs="Calibri"/>
          <w:bCs/>
          <w:sz w:val="16"/>
          <w:szCs w:val="16"/>
          <w:lang w:val="es-MX" w:eastAsia="es-MX"/>
        </w:rPr>
        <w:t>(Pesos)</w:t>
      </w:r>
    </w:p>
    <w:tbl>
      <w:tblPr>
        <w:tblW w:w="8686" w:type="dxa"/>
        <w:jc w:val="center"/>
        <w:tblCellMar>
          <w:left w:w="70" w:type="dxa"/>
          <w:right w:w="70" w:type="dxa"/>
        </w:tblCellMar>
        <w:tblLook w:val="04A0" w:firstRow="1" w:lastRow="0" w:firstColumn="1" w:lastColumn="0" w:noHBand="0" w:noVBand="1"/>
      </w:tblPr>
      <w:tblGrid>
        <w:gridCol w:w="4490"/>
        <w:gridCol w:w="2098"/>
        <w:gridCol w:w="2098"/>
      </w:tblGrid>
      <w:tr w:rsidR="00F675E0" w:rsidRPr="00373F9E" w14:paraId="7D86B3E3" w14:textId="77777777" w:rsidTr="009E4C75">
        <w:trPr>
          <w:trHeight w:val="57"/>
          <w:jc w:val="center"/>
        </w:trPr>
        <w:tc>
          <w:tcPr>
            <w:tcW w:w="8686" w:type="dxa"/>
            <w:gridSpan w:val="3"/>
            <w:tcBorders>
              <w:top w:val="single" w:sz="12" w:space="0" w:color="808080" w:themeColor="background1" w:themeShade="80"/>
            </w:tcBorders>
            <w:shd w:val="clear" w:color="auto" w:fill="auto"/>
            <w:noWrap/>
            <w:vAlign w:val="center"/>
          </w:tcPr>
          <w:p w14:paraId="17F06CB2" w14:textId="77777777" w:rsidR="00F675E0" w:rsidRPr="00373F9E" w:rsidRDefault="00F675E0" w:rsidP="009E4C75">
            <w:pPr>
              <w:spacing w:after="0" w:line="240" w:lineRule="auto"/>
              <w:jc w:val="center"/>
              <w:rPr>
                <w:rFonts w:ascii="Montserrat" w:eastAsia="Times New Roman" w:hAnsi="Montserrat" w:cs="Calibri"/>
                <w:b/>
                <w:bCs/>
                <w:color w:val="FFFFFF"/>
                <w:sz w:val="4"/>
                <w:szCs w:val="4"/>
                <w:lang w:val="es-MX" w:eastAsia="es-MX"/>
              </w:rPr>
            </w:pPr>
            <w:r w:rsidRPr="00373F9E">
              <w:rPr>
                <w:rFonts w:ascii="Montserrat" w:eastAsia="Times New Roman" w:hAnsi="Montserrat" w:cs="Calibri"/>
                <w:b/>
                <w:bCs/>
                <w:color w:val="FFFFFF"/>
                <w:sz w:val="4"/>
                <w:szCs w:val="4"/>
                <w:lang w:val="es-MX" w:eastAsia="es-MX"/>
              </w:rPr>
              <w:t>Tipo de Instrumento2018017</w:t>
            </w:r>
          </w:p>
        </w:tc>
      </w:tr>
      <w:tr w:rsidR="00F675E0" w:rsidRPr="006F0DF1" w14:paraId="5DFD5DF3" w14:textId="77777777" w:rsidTr="009E4C75">
        <w:trPr>
          <w:trHeight w:val="317"/>
          <w:jc w:val="center"/>
        </w:trPr>
        <w:tc>
          <w:tcPr>
            <w:tcW w:w="4490" w:type="dxa"/>
            <w:tcBorders>
              <w:left w:val="single" w:sz="8" w:space="0" w:color="FFFFFF" w:themeColor="background1"/>
              <w:bottom w:val="double" w:sz="12" w:space="0" w:color="808080" w:themeColor="background1" w:themeShade="80"/>
              <w:right w:val="single" w:sz="8" w:space="0" w:color="FFFFFF" w:themeColor="background1"/>
            </w:tcBorders>
            <w:shd w:val="clear" w:color="auto" w:fill="D4C19C"/>
            <w:noWrap/>
            <w:vAlign w:val="center"/>
          </w:tcPr>
          <w:p w14:paraId="33B019C1" w14:textId="77777777" w:rsidR="00F675E0" w:rsidRPr="006F0DF1" w:rsidRDefault="00F675E0" w:rsidP="009E4C75">
            <w:pPr>
              <w:spacing w:after="0" w:line="240" w:lineRule="auto"/>
              <w:jc w:val="center"/>
              <w:rPr>
                <w:rFonts w:ascii="Montserrat" w:eastAsia="Times New Roman" w:hAnsi="Montserrat" w:cs="Calibri"/>
                <w:b/>
                <w:bCs/>
                <w:color w:val="FFFFFF"/>
                <w:sz w:val="16"/>
                <w:szCs w:val="16"/>
                <w:lang w:val="es-MX" w:eastAsia="es-MX"/>
              </w:rPr>
            </w:pPr>
            <w:r w:rsidRPr="006F0DF1">
              <w:rPr>
                <w:rFonts w:ascii="Montserrat" w:eastAsia="Times New Roman" w:hAnsi="Montserrat" w:cs="Calibri"/>
                <w:b/>
                <w:bCs/>
                <w:color w:val="FFFFFF"/>
                <w:sz w:val="16"/>
                <w:szCs w:val="16"/>
                <w:lang w:val="es-MX" w:eastAsia="es-MX"/>
              </w:rPr>
              <w:t>Concepto</w:t>
            </w:r>
          </w:p>
        </w:tc>
        <w:tc>
          <w:tcPr>
            <w:tcW w:w="2098" w:type="dxa"/>
            <w:tcBorders>
              <w:left w:val="single" w:sz="8" w:space="0" w:color="FFFFFF" w:themeColor="background1"/>
              <w:bottom w:val="double" w:sz="12" w:space="0" w:color="808080" w:themeColor="background1" w:themeShade="80"/>
              <w:right w:val="single" w:sz="8" w:space="0" w:color="FFFFFF" w:themeColor="background1"/>
            </w:tcBorders>
            <w:shd w:val="clear" w:color="auto" w:fill="D4C19C"/>
            <w:noWrap/>
            <w:vAlign w:val="center"/>
          </w:tcPr>
          <w:p w14:paraId="05D8D88F" w14:textId="77777777" w:rsidR="00F675E0" w:rsidRPr="006F0DF1" w:rsidRDefault="00F675E0" w:rsidP="009E4C75">
            <w:pPr>
              <w:spacing w:after="0" w:line="240" w:lineRule="auto"/>
              <w:jc w:val="center"/>
              <w:rPr>
                <w:rFonts w:ascii="Montserrat" w:eastAsia="Times New Roman" w:hAnsi="Montserrat" w:cs="Calibri"/>
                <w:b/>
                <w:bCs/>
                <w:color w:val="FFFFFF"/>
                <w:sz w:val="16"/>
                <w:szCs w:val="16"/>
                <w:lang w:val="es-MX" w:eastAsia="es-MX"/>
              </w:rPr>
            </w:pPr>
            <w:r>
              <w:rPr>
                <w:rFonts w:ascii="Montserrat" w:eastAsia="Times New Roman" w:hAnsi="Montserrat" w:cs="Calibri"/>
                <w:b/>
                <w:bCs/>
                <w:color w:val="FFFFFF"/>
                <w:sz w:val="16"/>
                <w:szCs w:val="16"/>
                <w:lang w:val="es-MX" w:eastAsia="es-MX"/>
              </w:rPr>
              <w:t>2019</w:t>
            </w:r>
          </w:p>
        </w:tc>
        <w:tc>
          <w:tcPr>
            <w:tcW w:w="2098" w:type="dxa"/>
            <w:tcBorders>
              <w:left w:val="single" w:sz="8" w:space="0" w:color="FFFFFF" w:themeColor="background1"/>
              <w:bottom w:val="double" w:sz="12" w:space="0" w:color="808080" w:themeColor="background1" w:themeShade="80"/>
              <w:right w:val="single" w:sz="8" w:space="0" w:color="FFFFFF" w:themeColor="background1"/>
            </w:tcBorders>
            <w:shd w:val="clear" w:color="auto" w:fill="D4C19C"/>
            <w:noWrap/>
            <w:vAlign w:val="center"/>
          </w:tcPr>
          <w:p w14:paraId="6AF89873" w14:textId="77777777" w:rsidR="00F675E0" w:rsidRPr="006F0DF1" w:rsidRDefault="00F675E0" w:rsidP="009E4C75">
            <w:pPr>
              <w:spacing w:after="0" w:line="240" w:lineRule="auto"/>
              <w:jc w:val="center"/>
              <w:rPr>
                <w:rFonts w:ascii="Montserrat" w:eastAsia="Times New Roman" w:hAnsi="Montserrat" w:cs="Calibri"/>
                <w:b/>
                <w:bCs/>
                <w:color w:val="FFFFFF"/>
                <w:sz w:val="16"/>
                <w:szCs w:val="16"/>
                <w:lang w:val="es-MX" w:eastAsia="es-MX"/>
              </w:rPr>
            </w:pPr>
            <w:r>
              <w:rPr>
                <w:rFonts w:ascii="Montserrat" w:eastAsia="Times New Roman" w:hAnsi="Montserrat" w:cs="Calibri"/>
                <w:b/>
                <w:bCs/>
                <w:color w:val="FFFFFF"/>
                <w:sz w:val="16"/>
                <w:szCs w:val="16"/>
                <w:lang w:val="es-MX" w:eastAsia="es-MX"/>
              </w:rPr>
              <w:t>2018</w:t>
            </w:r>
          </w:p>
        </w:tc>
      </w:tr>
      <w:tr w:rsidR="00F675E0" w:rsidRPr="006F0DF1" w14:paraId="415EF556" w14:textId="77777777" w:rsidTr="009E4C75">
        <w:trPr>
          <w:trHeight w:val="215"/>
          <w:jc w:val="center"/>
        </w:trPr>
        <w:tc>
          <w:tcPr>
            <w:tcW w:w="4490" w:type="dxa"/>
            <w:tcBorders>
              <w:top w:val="double" w:sz="12" w:space="0" w:color="808080" w:themeColor="background1" w:themeShade="80"/>
            </w:tcBorders>
            <w:shd w:val="clear" w:color="auto" w:fill="F2F2F2" w:themeFill="background1" w:themeFillShade="F2"/>
            <w:noWrap/>
            <w:hideMark/>
          </w:tcPr>
          <w:p w14:paraId="5C0A1BF3" w14:textId="1EE3B061" w:rsidR="00F675E0" w:rsidRPr="00255081" w:rsidRDefault="00F675E0" w:rsidP="009E4C75">
            <w:pPr>
              <w:spacing w:after="0" w:line="240" w:lineRule="auto"/>
              <w:ind w:left="170"/>
              <w:jc w:val="both"/>
              <w:rPr>
                <w:rFonts w:ascii="Montserrat" w:eastAsia="Times New Roman" w:hAnsi="Montserrat" w:cs="Calibri"/>
                <w:color w:val="000000"/>
                <w:sz w:val="15"/>
                <w:szCs w:val="15"/>
                <w:lang w:val="es-MX" w:eastAsia="es-MX"/>
              </w:rPr>
            </w:pPr>
            <w:r w:rsidRPr="00255081">
              <w:rPr>
                <w:rFonts w:ascii="Montserrat" w:eastAsia="Times New Roman" w:hAnsi="Montserrat" w:cs="Calibri"/>
                <w:color w:val="000000"/>
                <w:sz w:val="15"/>
                <w:szCs w:val="15"/>
                <w:lang w:val="es-MX" w:eastAsia="es-MX"/>
              </w:rPr>
              <w:t>Intereses Cobrados por Adelantado</w:t>
            </w:r>
          </w:p>
        </w:tc>
        <w:tc>
          <w:tcPr>
            <w:tcW w:w="2098" w:type="dxa"/>
            <w:tcBorders>
              <w:top w:val="double" w:sz="12" w:space="0" w:color="808080" w:themeColor="background1" w:themeShade="80"/>
            </w:tcBorders>
            <w:shd w:val="clear" w:color="auto" w:fill="F2F2F2" w:themeFill="background1" w:themeFillShade="F2"/>
            <w:noWrap/>
            <w:vAlign w:val="center"/>
          </w:tcPr>
          <w:p w14:paraId="0ADF2FF8" w14:textId="40F61CFE" w:rsidR="00F675E0" w:rsidRPr="00255081" w:rsidRDefault="00F675E0">
            <w:pPr>
              <w:spacing w:after="0" w:line="240" w:lineRule="auto"/>
              <w:jc w:val="right"/>
              <w:rPr>
                <w:rFonts w:ascii="Montserrat" w:eastAsia="Times New Roman" w:hAnsi="Montserrat" w:cs="Calibri"/>
                <w:sz w:val="15"/>
                <w:szCs w:val="15"/>
                <w:highlight w:val="green"/>
                <w:lang w:val="es-MX" w:eastAsia="es-MX"/>
              </w:rPr>
            </w:pPr>
            <w:r w:rsidRPr="000F0321">
              <w:rPr>
                <w:rFonts w:ascii="Montserrat" w:hAnsi="Montserrat" w:cs="Arial"/>
                <w:color w:val="000000"/>
                <w:sz w:val="15"/>
                <w:szCs w:val="15"/>
              </w:rPr>
              <w:t>1,146,829,672</w:t>
            </w:r>
          </w:p>
        </w:tc>
        <w:tc>
          <w:tcPr>
            <w:tcW w:w="2098" w:type="dxa"/>
            <w:tcBorders>
              <w:top w:val="double" w:sz="12" w:space="0" w:color="808080" w:themeColor="background1" w:themeShade="80"/>
            </w:tcBorders>
            <w:shd w:val="clear" w:color="auto" w:fill="F2F2F2" w:themeFill="background1" w:themeFillShade="F2"/>
            <w:noWrap/>
            <w:vAlign w:val="center"/>
            <w:hideMark/>
          </w:tcPr>
          <w:p w14:paraId="2F3FE5C8" w14:textId="5DA0D92C" w:rsidR="00F675E0" w:rsidRPr="00255081" w:rsidRDefault="00F675E0" w:rsidP="009E4C75">
            <w:pPr>
              <w:spacing w:after="0" w:line="240" w:lineRule="auto"/>
              <w:jc w:val="right"/>
              <w:rPr>
                <w:rFonts w:ascii="Montserrat" w:eastAsia="Times New Roman" w:hAnsi="Montserrat" w:cs="Calibri"/>
                <w:sz w:val="15"/>
                <w:szCs w:val="15"/>
                <w:lang w:val="es-MX" w:eastAsia="es-MX"/>
              </w:rPr>
            </w:pPr>
            <w:r w:rsidRPr="00255081">
              <w:rPr>
                <w:rFonts w:ascii="Montserrat" w:eastAsia="Times New Roman" w:hAnsi="Montserrat" w:cs="Calibri"/>
                <w:sz w:val="15"/>
                <w:szCs w:val="15"/>
                <w:lang w:eastAsia="es-MX"/>
              </w:rPr>
              <w:t>0</w:t>
            </w:r>
          </w:p>
        </w:tc>
      </w:tr>
      <w:tr w:rsidR="00F675E0" w:rsidRPr="006F0DF1" w14:paraId="6BEF41B7" w14:textId="77777777" w:rsidTr="009E4C75">
        <w:trPr>
          <w:trHeight w:val="215"/>
          <w:jc w:val="center"/>
        </w:trPr>
        <w:tc>
          <w:tcPr>
            <w:tcW w:w="4490" w:type="dxa"/>
            <w:tcBorders>
              <w:top w:val="nil"/>
            </w:tcBorders>
            <w:shd w:val="clear" w:color="auto" w:fill="F2F2F2" w:themeFill="background1" w:themeFillShade="F2"/>
            <w:noWrap/>
            <w:hideMark/>
          </w:tcPr>
          <w:p w14:paraId="72F6A940" w14:textId="2EE91AC5" w:rsidR="00F675E0" w:rsidRPr="00255081" w:rsidRDefault="00F675E0" w:rsidP="009E4C75">
            <w:pPr>
              <w:spacing w:after="0" w:line="240" w:lineRule="auto"/>
              <w:ind w:left="170"/>
              <w:jc w:val="both"/>
              <w:rPr>
                <w:rFonts w:ascii="Montserrat" w:eastAsia="Times New Roman" w:hAnsi="Montserrat" w:cs="Calibri"/>
                <w:color w:val="000000"/>
                <w:sz w:val="15"/>
                <w:szCs w:val="15"/>
                <w:lang w:val="es-MX" w:eastAsia="es-MX"/>
              </w:rPr>
            </w:pPr>
            <w:r w:rsidRPr="00255081">
              <w:rPr>
                <w:rFonts w:ascii="Montserrat" w:eastAsia="Times New Roman" w:hAnsi="Montserrat" w:cs="Calibri"/>
                <w:color w:val="000000"/>
                <w:sz w:val="15"/>
                <w:szCs w:val="15"/>
                <w:lang w:val="es-MX" w:eastAsia="es-MX"/>
              </w:rPr>
              <w:t>Pasivos Diferidos por Operaciones Presupuestarias</w:t>
            </w:r>
          </w:p>
        </w:tc>
        <w:tc>
          <w:tcPr>
            <w:tcW w:w="2098" w:type="dxa"/>
            <w:tcBorders>
              <w:top w:val="nil"/>
            </w:tcBorders>
            <w:shd w:val="clear" w:color="auto" w:fill="F2F2F2" w:themeFill="background1" w:themeFillShade="F2"/>
            <w:noWrap/>
            <w:vAlign w:val="center"/>
          </w:tcPr>
          <w:p w14:paraId="7BC7E140" w14:textId="52624D18" w:rsidR="00F675E0" w:rsidRPr="00255081" w:rsidRDefault="00F675E0" w:rsidP="009E4C75">
            <w:pPr>
              <w:spacing w:after="0" w:line="240" w:lineRule="auto"/>
              <w:jc w:val="right"/>
              <w:rPr>
                <w:rFonts w:ascii="Montserrat" w:eastAsia="Times New Roman" w:hAnsi="Montserrat" w:cs="Calibri"/>
                <w:color w:val="000000"/>
                <w:sz w:val="15"/>
                <w:szCs w:val="15"/>
                <w:highlight w:val="green"/>
                <w:lang w:eastAsia="es-MX"/>
              </w:rPr>
            </w:pPr>
            <w:r w:rsidRPr="000F0321">
              <w:rPr>
                <w:rFonts w:ascii="Montserrat" w:hAnsi="Montserrat" w:cs="Arial"/>
                <w:color w:val="000000"/>
                <w:sz w:val="15"/>
                <w:szCs w:val="15"/>
              </w:rPr>
              <w:t>52,973,751</w:t>
            </w:r>
          </w:p>
        </w:tc>
        <w:tc>
          <w:tcPr>
            <w:tcW w:w="2098" w:type="dxa"/>
            <w:tcBorders>
              <w:top w:val="nil"/>
            </w:tcBorders>
            <w:shd w:val="clear" w:color="auto" w:fill="F2F2F2" w:themeFill="background1" w:themeFillShade="F2"/>
            <w:noWrap/>
            <w:vAlign w:val="center"/>
            <w:hideMark/>
          </w:tcPr>
          <w:p w14:paraId="3E194EC2" w14:textId="21CEE086" w:rsidR="00F675E0" w:rsidRPr="00255081" w:rsidRDefault="00F675E0" w:rsidP="009E4C75">
            <w:pPr>
              <w:spacing w:after="0" w:line="240" w:lineRule="auto"/>
              <w:jc w:val="right"/>
              <w:rPr>
                <w:rFonts w:ascii="Montserrat" w:eastAsia="Times New Roman" w:hAnsi="Montserrat" w:cs="Calibri"/>
                <w:color w:val="000000"/>
                <w:sz w:val="15"/>
                <w:szCs w:val="15"/>
                <w:lang w:eastAsia="es-MX"/>
              </w:rPr>
            </w:pPr>
            <w:r w:rsidRPr="00255081">
              <w:rPr>
                <w:rFonts w:ascii="Montserrat" w:eastAsia="Times New Roman" w:hAnsi="Montserrat" w:cs="Calibri"/>
                <w:color w:val="000000"/>
                <w:sz w:val="15"/>
                <w:szCs w:val="15"/>
                <w:lang w:eastAsia="es-MX"/>
              </w:rPr>
              <w:t>70,995,215</w:t>
            </w:r>
          </w:p>
        </w:tc>
      </w:tr>
      <w:tr w:rsidR="00F675E0" w:rsidRPr="006F0DF1" w14:paraId="4ACC144F" w14:textId="77777777" w:rsidTr="009E4C75">
        <w:trPr>
          <w:trHeight w:val="215"/>
          <w:jc w:val="center"/>
        </w:trPr>
        <w:tc>
          <w:tcPr>
            <w:tcW w:w="4490" w:type="dxa"/>
            <w:tcBorders>
              <w:top w:val="nil"/>
            </w:tcBorders>
            <w:shd w:val="clear" w:color="auto" w:fill="F2F2F2" w:themeFill="background1" w:themeFillShade="F2"/>
            <w:noWrap/>
          </w:tcPr>
          <w:p w14:paraId="7A48679D" w14:textId="6EA5C680" w:rsidR="00F675E0" w:rsidRPr="00255081" w:rsidRDefault="00F675E0" w:rsidP="009E4C75">
            <w:pPr>
              <w:spacing w:after="0" w:line="240" w:lineRule="auto"/>
              <w:ind w:left="170"/>
              <w:jc w:val="both"/>
              <w:rPr>
                <w:rFonts w:ascii="Montserrat" w:eastAsia="Times New Roman" w:hAnsi="Montserrat" w:cs="Calibri"/>
                <w:color w:val="000000"/>
                <w:sz w:val="15"/>
                <w:szCs w:val="15"/>
                <w:lang w:val="es-MX" w:eastAsia="es-MX"/>
              </w:rPr>
            </w:pPr>
            <w:r w:rsidRPr="00255081">
              <w:rPr>
                <w:rFonts w:ascii="Montserrat" w:eastAsia="Times New Roman" w:hAnsi="Montserrat" w:cs="Calibri"/>
                <w:color w:val="000000"/>
                <w:sz w:val="15"/>
                <w:szCs w:val="15"/>
                <w:lang w:val="es-MX" w:eastAsia="es-MX"/>
              </w:rPr>
              <w:t>Otros Pasivos Diferidos</w:t>
            </w:r>
          </w:p>
        </w:tc>
        <w:tc>
          <w:tcPr>
            <w:tcW w:w="2098" w:type="dxa"/>
            <w:tcBorders>
              <w:top w:val="nil"/>
            </w:tcBorders>
            <w:shd w:val="clear" w:color="auto" w:fill="F2F2F2" w:themeFill="background1" w:themeFillShade="F2"/>
            <w:noWrap/>
            <w:vAlign w:val="center"/>
          </w:tcPr>
          <w:p w14:paraId="46BBF310" w14:textId="1C040404" w:rsidR="00F675E0" w:rsidRPr="000F0321" w:rsidRDefault="00F675E0" w:rsidP="009E4C75">
            <w:pPr>
              <w:spacing w:after="0" w:line="240" w:lineRule="auto"/>
              <w:jc w:val="right"/>
              <w:rPr>
                <w:rFonts w:ascii="Montserrat" w:hAnsi="Montserrat" w:cs="Arial"/>
                <w:color w:val="000000"/>
                <w:sz w:val="15"/>
                <w:szCs w:val="15"/>
                <w:highlight w:val="green"/>
              </w:rPr>
            </w:pPr>
            <w:r w:rsidRPr="000F0321">
              <w:rPr>
                <w:rFonts w:ascii="Montserrat" w:hAnsi="Montserrat" w:cs="Arial"/>
                <w:color w:val="000000"/>
                <w:sz w:val="15"/>
                <w:szCs w:val="15"/>
              </w:rPr>
              <w:t>12,762,024,683</w:t>
            </w:r>
          </w:p>
        </w:tc>
        <w:tc>
          <w:tcPr>
            <w:tcW w:w="2098" w:type="dxa"/>
            <w:tcBorders>
              <w:top w:val="nil"/>
            </w:tcBorders>
            <w:shd w:val="clear" w:color="auto" w:fill="F2F2F2" w:themeFill="background1" w:themeFillShade="F2"/>
            <w:noWrap/>
            <w:vAlign w:val="center"/>
          </w:tcPr>
          <w:p w14:paraId="33687E8F" w14:textId="2A25BEEC" w:rsidR="00F675E0" w:rsidRPr="00255081" w:rsidRDefault="00F675E0" w:rsidP="009E4C75">
            <w:pPr>
              <w:spacing w:after="0" w:line="240" w:lineRule="auto"/>
              <w:jc w:val="right"/>
              <w:rPr>
                <w:rFonts w:ascii="Montserrat" w:eastAsia="Times New Roman" w:hAnsi="Montserrat" w:cs="Calibri"/>
                <w:color w:val="000000"/>
                <w:sz w:val="15"/>
                <w:szCs w:val="15"/>
                <w:lang w:eastAsia="es-MX"/>
              </w:rPr>
            </w:pPr>
            <w:r w:rsidRPr="00255081">
              <w:rPr>
                <w:rFonts w:ascii="Montserrat" w:eastAsia="Times New Roman" w:hAnsi="Montserrat" w:cs="Calibri"/>
                <w:color w:val="000000"/>
                <w:sz w:val="15"/>
                <w:szCs w:val="15"/>
                <w:lang w:eastAsia="es-MX"/>
              </w:rPr>
              <w:t>4,232,359,060</w:t>
            </w:r>
          </w:p>
        </w:tc>
      </w:tr>
      <w:tr w:rsidR="00F675E0" w:rsidRPr="006F0DF1" w14:paraId="347E22A8" w14:textId="77777777" w:rsidTr="009E4C75">
        <w:trPr>
          <w:trHeight w:val="215"/>
          <w:jc w:val="center"/>
        </w:trPr>
        <w:tc>
          <w:tcPr>
            <w:tcW w:w="4490" w:type="dxa"/>
            <w:tcBorders>
              <w:bottom w:val="single" w:sz="12" w:space="0" w:color="808080" w:themeColor="background1" w:themeShade="80"/>
            </w:tcBorders>
            <w:shd w:val="clear" w:color="auto" w:fill="F2F2F2" w:themeFill="background1" w:themeFillShade="F2"/>
            <w:noWrap/>
            <w:hideMark/>
          </w:tcPr>
          <w:p w14:paraId="54B8F022" w14:textId="77777777" w:rsidR="00F675E0" w:rsidRPr="00255081" w:rsidRDefault="00F675E0" w:rsidP="009E4C75">
            <w:pPr>
              <w:spacing w:after="0" w:line="240" w:lineRule="auto"/>
              <w:ind w:left="170"/>
              <w:jc w:val="right"/>
              <w:rPr>
                <w:rFonts w:ascii="Montserrat" w:eastAsia="Times New Roman" w:hAnsi="Montserrat" w:cs="Calibri"/>
                <w:b/>
                <w:color w:val="000000"/>
                <w:sz w:val="15"/>
                <w:szCs w:val="15"/>
                <w:lang w:val="es-MX" w:eastAsia="es-MX"/>
              </w:rPr>
            </w:pPr>
            <w:r w:rsidRPr="00255081">
              <w:rPr>
                <w:rFonts w:ascii="Montserrat" w:eastAsia="Times New Roman" w:hAnsi="Montserrat" w:cs="Calibri"/>
                <w:b/>
                <w:color w:val="000000"/>
                <w:sz w:val="15"/>
                <w:szCs w:val="15"/>
                <w:lang w:val="es-MX" w:eastAsia="es-MX"/>
              </w:rPr>
              <w:t>Valor Nominal de la Deuda Interna a CP</w:t>
            </w:r>
          </w:p>
        </w:tc>
        <w:tc>
          <w:tcPr>
            <w:tcW w:w="2098" w:type="dxa"/>
            <w:tcBorders>
              <w:bottom w:val="single" w:sz="12" w:space="0" w:color="808080" w:themeColor="background1" w:themeShade="80"/>
            </w:tcBorders>
            <w:shd w:val="clear" w:color="auto" w:fill="F2F2F2" w:themeFill="background1" w:themeFillShade="F2"/>
            <w:noWrap/>
            <w:vAlign w:val="center"/>
          </w:tcPr>
          <w:p w14:paraId="55E11C7F" w14:textId="4E59BFA6" w:rsidR="00F675E0" w:rsidRPr="00255081" w:rsidRDefault="00F675E0" w:rsidP="009E4C75">
            <w:pPr>
              <w:spacing w:after="0" w:line="240" w:lineRule="auto"/>
              <w:jc w:val="right"/>
              <w:rPr>
                <w:rFonts w:ascii="Montserrat" w:eastAsia="Times New Roman" w:hAnsi="Montserrat" w:cs="Calibri"/>
                <w:b/>
                <w:bCs/>
                <w:color w:val="000000"/>
                <w:sz w:val="15"/>
                <w:szCs w:val="15"/>
                <w:highlight w:val="green"/>
                <w:lang w:eastAsia="es-MX"/>
              </w:rPr>
            </w:pPr>
            <w:r w:rsidRPr="00255081">
              <w:rPr>
                <w:rFonts w:ascii="Montserrat" w:eastAsia="Times New Roman" w:hAnsi="Montserrat" w:cs="Calibri"/>
                <w:b/>
                <w:bCs/>
                <w:color w:val="000000"/>
                <w:sz w:val="15"/>
                <w:szCs w:val="15"/>
                <w:lang w:eastAsia="es-MX"/>
              </w:rPr>
              <w:t>13,961,828,106</w:t>
            </w:r>
          </w:p>
        </w:tc>
        <w:tc>
          <w:tcPr>
            <w:tcW w:w="2098" w:type="dxa"/>
            <w:tcBorders>
              <w:bottom w:val="single" w:sz="12" w:space="0" w:color="808080" w:themeColor="background1" w:themeShade="80"/>
            </w:tcBorders>
            <w:shd w:val="clear" w:color="auto" w:fill="F2F2F2" w:themeFill="background1" w:themeFillShade="F2"/>
            <w:noWrap/>
            <w:vAlign w:val="center"/>
            <w:hideMark/>
          </w:tcPr>
          <w:p w14:paraId="380F0D4D" w14:textId="641A24A2" w:rsidR="00F675E0" w:rsidRPr="00255081" w:rsidRDefault="00F675E0" w:rsidP="009E4C75">
            <w:pPr>
              <w:spacing w:after="0" w:line="240" w:lineRule="auto"/>
              <w:jc w:val="right"/>
              <w:rPr>
                <w:rFonts w:ascii="Montserrat" w:eastAsia="Times New Roman" w:hAnsi="Montserrat" w:cs="Calibri"/>
                <w:b/>
                <w:bCs/>
                <w:color w:val="000000"/>
                <w:sz w:val="15"/>
                <w:szCs w:val="15"/>
                <w:lang w:eastAsia="es-MX"/>
              </w:rPr>
            </w:pPr>
            <w:r w:rsidRPr="000F0321">
              <w:rPr>
                <w:rFonts w:ascii="Montserrat" w:hAnsi="Montserrat" w:cs="Arial"/>
                <w:b/>
                <w:bCs/>
                <w:color w:val="000000"/>
                <w:sz w:val="15"/>
                <w:szCs w:val="15"/>
              </w:rPr>
              <w:t>4,303,354,275</w:t>
            </w:r>
          </w:p>
        </w:tc>
      </w:tr>
    </w:tbl>
    <w:p w14:paraId="311769A5" w14:textId="77777777" w:rsidR="00263314" w:rsidRPr="003655A9" w:rsidRDefault="00263314" w:rsidP="000F0321">
      <w:pPr>
        <w:spacing w:after="120" w:line="250" w:lineRule="exact"/>
        <w:jc w:val="both"/>
        <w:rPr>
          <w:rFonts w:ascii="Montserrat" w:hAnsi="Montserrat"/>
          <w:sz w:val="15"/>
          <w:szCs w:val="15"/>
        </w:rPr>
      </w:pPr>
    </w:p>
    <w:p w14:paraId="6A3CAE4A" w14:textId="77777777" w:rsidR="009C3C24" w:rsidRPr="00DD0D81" w:rsidRDefault="009C3C24" w:rsidP="005A5AC5">
      <w:pPr>
        <w:pStyle w:val="Prrafodelista"/>
        <w:numPr>
          <w:ilvl w:val="0"/>
          <w:numId w:val="14"/>
        </w:numPr>
        <w:spacing w:after="120" w:line="250" w:lineRule="exact"/>
        <w:ind w:left="714" w:hanging="357"/>
        <w:jc w:val="both"/>
        <w:rPr>
          <w:rFonts w:ascii="Montserrat" w:hAnsi="Montserrat" w:cs="Arial"/>
          <w:spacing w:val="-1"/>
          <w:sz w:val="18"/>
          <w:szCs w:val="18"/>
        </w:rPr>
      </w:pPr>
      <w:r w:rsidRPr="00DD0D81">
        <w:rPr>
          <w:rFonts w:ascii="Montserrat" w:hAnsi="Montserrat" w:cs="Arial"/>
          <w:spacing w:val="-1"/>
          <w:sz w:val="18"/>
          <w:szCs w:val="18"/>
        </w:rPr>
        <w:t>Fondos y Bienes de Terceros en Garantía y/o Administración a Corto Plazo</w:t>
      </w:r>
    </w:p>
    <w:p w14:paraId="34F7346F" w14:textId="5426AE20" w:rsidR="00301FB1" w:rsidRDefault="009C3C24" w:rsidP="00063579">
      <w:pPr>
        <w:spacing w:after="120" w:line="250" w:lineRule="exact"/>
        <w:jc w:val="both"/>
        <w:rPr>
          <w:rFonts w:ascii="Montserrat" w:hAnsi="Montserrat"/>
          <w:sz w:val="18"/>
          <w:szCs w:val="18"/>
        </w:rPr>
      </w:pPr>
      <w:r w:rsidRPr="00063579">
        <w:rPr>
          <w:rFonts w:ascii="Montserrat" w:hAnsi="Montserrat"/>
          <w:sz w:val="18"/>
          <w:szCs w:val="18"/>
        </w:rPr>
        <w:t>Corresponde a los fondos y bienes propiedad de terceros, en garantía del cumplimient</w:t>
      </w:r>
      <w:r w:rsidR="00303FB6">
        <w:rPr>
          <w:rFonts w:ascii="Montserrat" w:hAnsi="Montserrat"/>
          <w:sz w:val="18"/>
          <w:szCs w:val="18"/>
        </w:rPr>
        <w:t>o de obligaciones contractuales,</w:t>
      </w:r>
      <w:r w:rsidRPr="00063579">
        <w:rPr>
          <w:rFonts w:ascii="Montserrat" w:hAnsi="Montserrat"/>
          <w:sz w:val="18"/>
          <w:szCs w:val="18"/>
        </w:rPr>
        <w:t xml:space="preserve"> legales o para su administración que eventualmente se tendrán que devolver a su titular en un plazo menor o igual a doce meses, así como al Fondo de Estabilización de los Ingresos Presupuestarios.</w:t>
      </w:r>
    </w:p>
    <w:p w14:paraId="38D53B1F" w14:textId="77777777" w:rsidR="009C3C24" w:rsidRPr="00936371" w:rsidRDefault="009C3C24" w:rsidP="00E52592">
      <w:pPr>
        <w:spacing w:after="60" w:line="250" w:lineRule="exact"/>
        <w:ind w:left="709"/>
        <w:jc w:val="center"/>
        <w:rPr>
          <w:rFonts w:ascii="Montserrat" w:hAnsi="Montserrat" w:cs="Arial"/>
          <w:spacing w:val="-1"/>
          <w:sz w:val="18"/>
          <w:szCs w:val="18"/>
        </w:rPr>
      </w:pPr>
      <w:r w:rsidRPr="00936371">
        <w:rPr>
          <w:rFonts w:ascii="Montserrat" w:eastAsia="Times New Roman" w:hAnsi="Montserrat" w:cs="Calibri"/>
          <w:bCs/>
          <w:sz w:val="16"/>
          <w:szCs w:val="16"/>
          <w:lang w:val="es-MX" w:eastAsia="es-MX"/>
        </w:rPr>
        <w:t>(Pesos)</w:t>
      </w:r>
    </w:p>
    <w:tbl>
      <w:tblPr>
        <w:tblW w:w="8989" w:type="dxa"/>
        <w:tblInd w:w="2117" w:type="dxa"/>
        <w:tblCellMar>
          <w:left w:w="70" w:type="dxa"/>
          <w:right w:w="70" w:type="dxa"/>
        </w:tblCellMar>
        <w:tblLook w:val="04A0" w:firstRow="1" w:lastRow="0" w:firstColumn="1" w:lastColumn="0" w:noHBand="0" w:noVBand="1"/>
      </w:tblPr>
      <w:tblGrid>
        <w:gridCol w:w="4793"/>
        <w:gridCol w:w="2098"/>
        <w:gridCol w:w="2098"/>
      </w:tblGrid>
      <w:tr w:rsidR="00C4519E" w:rsidRPr="006F0DF1" w14:paraId="17494F43" w14:textId="77777777" w:rsidTr="00CC40D5">
        <w:trPr>
          <w:trHeight w:val="57"/>
        </w:trPr>
        <w:tc>
          <w:tcPr>
            <w:tcW w:w="8989" w:type="dxa"/>
            <w:gridSpan w:val="3"/>
            <w:tcBorders>
              <w:top w:val="single" w:sz="12" w:space="0" w:color="808080" w:themeColor="background1" w:themeShade="80"/>
            </w:tcBorders>
            <w:shd w:val="clear" w:color="auto" w:fill="auto"/>
            <w:noWrap/>
            <w:vAlign w:val="center"/>
          </w:tcPr>
          <w:p w14:paraId="6749DA51" w14:textId="77777777" w:rsidR="00C4519E" w:rsidRPr="00BC0F30" w:rsidRDefault="00C4519E" w:rsidP="002F797B">
            <w:pPr>
              <w:spacing w:after="0" w:line="240" w:lineRule="auto"/>
              <w:jc w:val="center"/>
              <w:rPr>
                <w:rFonts w:ascii="Montserrat" w:eastAsia="Times New Roman" w:hAnsi="Montserrat" w:cs="Calibri"/>
                <w:b/>
                <w:bCs/>
                <w:color w:val="FFFFFF"/>
                <w:sz w:val="4"/>
                <w:szCs w:val="4"/>
                <w:lang w:val="es-MX" w:eastAsia="es-MX"/>
              </w:rPr>
            </w:pPr>
          </w:p>
        </w:tc>
      </w:tr>
      <w:tr w:rsidR="009C3C24" w:rsidRPr="006F0DF1" w14:paraId="0DDF7BC7" w14:textId="77777777" w:rsidTr="00263314">
        <w:trPr>
          <w:trHeight w:val="317"/>
        </w:trPr>
        <w:tc>
          <w:tcPr>
            <w:tcW w:w="4793" w:type="dxa"/>
            <w:tcBorders>
              <w:left w:val="single" w:sz="8" w:space="0" w:color="FFFFFF" w:themeColor="background1"/>
              <w:bottom w:val="double" w:sz="12" w:space="0" w:color="808080" w:themeColor="background1" w:themeShade="80"/>
              <w:right w:val="single" w:sz="8" w:space="0" w:color="FFFFFF" w:themeColor="background1"/>
            </w:tcBorders>
            <w:shd w:val="clear" w:color="auto" w:fill="D4C19C"/>
            <w:noWrap/>
            <w:vAlign w:val="center"/>
            <w:hideMark/>
          </w:tcPr>
          <w:p w14:paraId="72727E26" w14:textId="77777777" w:rsidR="009C3C24" w:rsidRPr="006F0DF1" w:rsidRDefault="009C3C24" w:rsidP="002F797B">
            <w:pPr>
              <w:spacing w:after="0" w:line="240" w:lineRule="auto"/>
              <w:jc w:val="center"/>
              <w:rPr>
                <w:rFonts w:ascii="Montserrat" w:eastAsia="Times New Roman" w:hAnsi="Montserrat" w:cs="Calibri"/>
                <w:b/>
                <w:bCs/>
                <w:color w:val="FFFFFF"/>
                <w:sz w:val="16"/>
                <w:szCs w:val="16"/>
                <w:lang w:val="es-MX" w:eastAsia="es-MX"/>
              </w:rPr>
            </w:pPr>
            <w:r w:rsidRPr="006F0DF1">
              <w:rPr>
                <w:rFonts w:ascii="Montserrat" w:eastAsia="Times New Roman" w:hAnsi="Montserrat" w:cs="Calibri"/>
                <w:b/>
                <w:bCs/>
                <w:color w:val="FFFFFF"/>
                <w:sz w:val="16"/>
                <w:szCs w:val="16"/>
                <w:lang w:val="es-MX" w:eastAsia="es-MX"/>
              </w:rPr>
              <w:t>Concepto</w:t>
            </w:r>
          </w:p>
        </w:tc>
        <w:tc>
          <w:tcPr>
            <w:tcW w:w="2098" w:type="dxa"/>
            <w:tcBorders>
              <w:left w:val="single" w:sz="8" w:space="0" w:color="FFFFFF" w:themeColor="background1"/>
              <w:bottom w:val="double" w:sz="12" w:space="0" w:color="808080" w:themeColor="background1" w:themeShade="80"/>
              <w:right w:val="single" w:sz="8" w:space="0" w:color="FFFFFF" w:themeColor="background1"/>
            </w:tcBorders>
            <w:shd w:val="clear" w:color="auto" w:fill="D4C19C"/>
            <w:vAlign w:val="center"/>
            <w:hideMark/>
          </w:tcPr>
          <w:p w14:paraId="2D5E7C94" w14:textId="77777777" w:rsidR="009C3C24" w:rsidRPr="006F0DF1" w:rsidRDefault="009C3C24" w:rsidP="002F797B">
            <w:pPr>
              <w:spacing w:after="0" w:line="240" w:lineRule="auto"/>
              <w:jc w:val="center"/>
              <w:rPr>
                <w:rFonts w:ascii="Montserrat" w:eastAsia="Times New Roman" w:hAnsi="Montserrat" w:cs="Calibri"/>
                <w:b/>
                <w:bCs/>
                <w:color w:val="FFFFFF"/>
                <w:sz w:val="16"/>
                <w:szCs w:val="16"/>
                <w:lang w:val="es-MX" w:eastAsia="es-MX"/>
              </w:rPr>
            </w:pPr>
            <w:r>
              <w:rPr>
                <w:rFonts w:ascii="Montserrat" w:eastAsia="Times New Roman" w:hAnsi="Montserrat" w:cs="Calibri"/>
                <w:b/>
                <w:bCs/>
                <w:color w:val="FFFFFF"/>
                <w:sz w:val="16"/>
                <w:szCs w:val="16"/>
                <w:lang w:val="es-MX" w:eastAsia="es-MX"/>
              </w:rPr>
              <w:t>201</w:t>
            </w:r>
            <w:r w:rsidR="00AF70EA">
              <w:rPr>
                <w:rFonts w:ascii="Montserrat" w:eastAsia="Times New Roman" w:hAnsi="Montserrat" w:cs="Calibri"/>
                <w:b/>
                <w:bCs/>
                <w:color w:val="FFFFFF"/>
                <w:sz w:val="16"/>
                <w:szCs w:val="16"/>
                <w:lang w:val="es-MX" w:eastAsia="es-MX"/>
              </w:rPr>
              <w:t>9</w:t>
            </w:r>
          </w:p>
        </w:tc>
        <w:tc>
          <w:tcPr>
            <w:tcW w:w="2098" w:type="dxa"/>
            <w:tcBorders>
              <w:left w:val="single" w:sz="8" w:space="0" w:color="FFFFFF" w:themeColor="background1"/>
              <w:bottom w:val="double" w:sz="12" w:space="0" w:color="808080" w:themeColor="background1" w:themeShade="80"/>
              <w:right w:val="single" w:sz="8" w:space="0" w:color="FFFFFF" w:themeColor="background1"/>
            </w:tcBorders>
            <w:shd w:val="clear" w:color="auto" w:fill="D4C19C"/>
            <w:noWrap/>
            <w:vAlign w:val="center"/>
            <w:hideMark/>
          </w:tcPr>
          <w:p w14:paraId="1CDE0E83" w14:textId="77777777" w:rsidR="009C3C24" w:rsidRPr="006F0DF1" w:rsidRDefault="009C3C24" w:rsidP="002F797B">
            <w:pPr>
              <w:spacing w:after="0" w:line="240" w:lineRule="auto"/>
              <w:jc w:val="center"/>
              <w:rPr>
                <w:rFonts w:ascii="Montserrat" w:eastAsia="Times New Roman" w:hAnsi="Montserrat" w:cs="Calibri"/>
                <w:b/>
                <w:bCs/>
                <w:color w:val="FFFFFF"/>
                <w:sz w:val="16"/>
                <w:szCs w:val="16"/>
                <w:lang w:val="es-MX" w:eastAsia="es-MX"/>
              </w:rPr>
            </w:pPr>
            <w:r>
              <w:rPr>
                <w:rFonts w:ascii="Montserrat" w:eastAsia="Times New Roman" w:hAnsi="Montserrat" w:cs="Calibri"/>
                <w:b/>
                <w:bCs/>
                <w:color w:val="FFFFFF"/>
                <w:sz w:val="16"/>
                <w:szCs w:val="16"/>
                <w:lang w:val="es-MX" w:eastAsia="es-MX"/>
              </w:rPr>
              <w:t>201</w:t>
            </w:r>
            <w:r w:rsidR="00AF70EA">
              <w:rPr>
                <w:rFonts w:ascii="Montserrat" w:eastAsia="Times New Roman" w:hAnsi="Montserrat" w:cs="Calibri"/>
                <w:b/>
                <w:bCs/>
                <w:color w:val="FFFFFF"/>
                <w:sz w:val="16"/>
                <w:szCs w:val="16"/>
                <w:lang w:val="es-MX" w:eastAsia="es-MX"/>
              </w:rPr>
              <w:t>8</w:t>
            </w:r>
          </w:p>
        </w:tc>
      </w:tr>
      <w:tr w:rsidR="00D216BF" w:rsidRPr="006F0DF1" w14:paraId="208A29F1" w14:textId="77777777" w:rsidTr="00AF70EA">
        <w:trPr>
          <w:trHeight w:val="215"/>
        </w:trPr>
        <w:tc>
          <w:tcPr>
            <w:tcW w:w="4793" w:type="dxa"/>
            <w:tcBorders>
              <w:top w:val="double" w:sz="12" w:space="0" w:color="808080" w:themeColor="background1" w:themeShade="80"/>
            </w:tcBorders>
            <w:shd w:val="clear" w:color="auto" w:fill="F2F2F2" w:themeFill="background1" w:themeFillShade="F2"/>
            <w:noWrap/>
            <w:vAlign w:val="center"/>
            <w:hideMark/>
          </w:tcPr>
          <w:p w14:paraId="519C4002" w14:textId="77777777" w:rsidR="00D216BF" w:rsidRPr="00255081" w:rsidRDefault="00D216BF" w:rsidP="00D216BF">
            <w:pPr>
              <w:spacing w:after="0" w:line="240" w:lineRule="auto"/>
              <w:ind w:left="170"/>
              <w:jc w:val="both"/>
              <w:rPr>
                <w:rFonts w:ascii="Montserrat" w:eastAsia="Times New Roman" w:hAnsi="Montserrat" w:cs="Calibri"/>
                <w:color w:val="000000"/>
                <w:sz w:val="15"/>
                <w:szCs w:val="15"/>
                <w:lang w:val="es-MX" w:eastAsia="es-MX"/>
              </w:rPr>
            </w:pPr>
            <w:r w:rsidRPr="00255081">
              <w:rPr>
                <w:rFonts w:ascii="Montserrat" w:eastAsia="Times New Roman" w:hAnsi="Montserrat" w:cs="Calibri"/>
                <w:color w:val="000000"/>
                <w:sz w:val="15"/>
                <w:szCs w:val="15"/>
                <w:lang w:val="es-MX" w:eastAsia="es-MX"/>
              </w:rPr>
              <w:t xml:space="preserve">Fondos por Impuestos, Derechos, Productos y Aprovechamientos </w:t>
            </w:r>
          </w:p>
        </w:tc>
        <w:tc>
          <w:tcPr>
            <w:tcW w:w="2098" w:type="dxa"/>
            <w:tcBorders>
              <w:top w:val="double" w:sz="12" w:space="0" w:color="808080" w:themeColor="background1" w:themeShade="80"/>
            </w:tcBorders>
            <w:shd w:val="clear" w:color="000000" w:fill="F2F2F2"/>
            <w:vAlign w:val="center"/>
          </w:tcPr>
          <w:p w14:paraId="725067D6" w14:textId="21428032" w:rsidR="00D216BF" w:rsidRPr="00255081" w:rsidRDefault="00D216BF" w:rsidP="00D216BF">
            <w:pPr>
              <w:spacing w:after="0" w:line="240" w:lineRule="auto"/>
              <w:jc w:val="right"/>
              <w:rPr>
                <w:rFonts w:ascii="Montserrat" w:hAnsi="Montserrat" w:cs="Calibri"/>
                <w:sz w:val="15"/>
                <w:szCs w:val="15"/>
                <w:lang w:val="es-MX" w:eastAsia="es-MX"/>
              </w:rPr>
            </w:pPr>
            <w:r w:rsidRPr="000F0321">
              <w:rPr>
                <w:rFonts w:ascii="Montserrat" w:hAnsi="Montserrat" w:cs="Arial"/>
                <w:color w:val="000000"/>
                <w:sz w:val="15"/>
                <w:szCs w:val="15"/>
              </w:rPr>
              <w:t>9,927,112,689</w:t>
            </w:r>
          </w:p>
        </w:tc>
        <w:tc>
          <w:tcPr>
            <w:tcW w:w="2098" w:type="dxa"/>
            <w:tcBorders>
              <w:top w:val="double" w:sz="12" w:space="0" w:color="808080" w:themeColor="background1" w:themeShade="80"/>
            </w:tcBorders>
            <w:shd w:val="clear" w:color="auto" w:fill="F2F2F2" w:themeFill="background1" w:themeFillShade="F2"/>
            <w:noWrap/>
            <w:vAlign w:val="center"/>
            <w:hideMark/>
          </w:tcPr>
          <w:p w14:paraId="11AC7827" w14:textId="77777777" w:rsidR="00D216BF" w:rsidRPr="00255081" w:rsidRDefault="00D216BF" w:rsidP="00D216BF">
            <w:pPr>
              <w:spacing w:after="0" w:line="240" w:lineRule="auto"/>
              <w:jc w:val="right"/>
              <w:rPr>
                <w:rFonts w:ascii="Montserrat" w:hAnsi="Montserrat" w:cs="Calibri"/>
                <w:sz w:val="15"/>
                <w:szCs w:val="15"/>
                <w:lang w:val="es-MX" w:eastAsia="es-MX"/>
              </w:rPr>
            </w:pPr>
            <w:r w:rsidRPr="00255081">
              <w:rPr>
                <w:rFonts w:ascii="Montserrat" w:hAnsi="Montserrat" w:cs="Calibri"/>
                <w:sz w:val="15"/>
                <w:szCs w:val="15"/>
              </w:rPr>
              <w:t>9,941,102,720</w:t>
            </w:r>
          </w:p>
        </w:tc>
      </w:tr>
      <w:tr w:rsidR="00D216BF" w:rsidRPr="006F0DF1" w14:paraId="315C5646" w14:textId="77777777" w:rsidTr="00556DB3">
        <w:trPr>
          <w:trHeight w:val="215"/>
        </w:trPr>
        <w:tc>
          <w:tcPr>
            <w:tcW w:w="4793" w:type="dxa"/>
            <w:tcBorders>
              <w:top w:val="nil"/>
            </w:tcBorders>
            <w:shd w:val="clear" w:color="auto" w:fill="F2F2F2" w:themeFill="background1" w:themeFillShade="F2"/>
            <w:noWrap/>
            <w:vAlign w:val="center"/>
            <w:hideMark/>
          </w:tcPr>
          <w:p w14:paraId="6F77B7BF" w14:textId="77777777" w:rsidR="00D216BF" w:rsidRPr="00255081" w:rsidRDefault="00D216BF" w:rsidP="00D216BF">
            <w:pPr>
              <w:spacing w:after="0" w:line="240" w:lineRule="auto"/>
              <w:ind w:left="170"/>
              <w:jc w:val="both"/>
              <w:rPr>
                <w:rFonts w:ascii="Montserrat" w:eastAsia="Times New Roman" w:hAnsi="Montserrat" w:cs="Calibri"/>
                <w:color w:val="000000"/>
                <w:sz w:val="15"/>
                <w:szCs w:val="15"/>
                <w:lang w:val="es-MX" w:eastAsia="es-MX"/>
              </w:rPr>
            </w:pPr>
            <w:r w:rsidRPr="00255081">
              <w:rPr>
                <w:rFonts w:ascii="Montserrat" w:eastAsia="Times New Roman" w:hAnsi="Montserrat" w:cs="Calibri"/>
                <w:color w:val="000000"/>
                <w:sz w:val="15"/>
                <w:szCs w:val="15"/>
                <w:lang w:val="es-MX" w:eastAsia="es-MX"/>
              </w:rPr>
              <w:t>Cuentas Aduaneras en Garantía a CP</w:t>
            </w:r>
          </w:p>
        </w:tc>
        <w:tc>
          <w:tcPr>
            <w:tcW w:w="2098" w:type="dxa"/>
            <w:tcBorders>
              <w:top w:val="nil"/>
            </w:tcBorders>
            <w:shd w:val="clear" w:color="000000" w:fill="F2F2F2"/>
            <w:vAlign w:val="center"/>
          </w:tcPr>
          <w:p w14:paraId="5ED1193D" w14:textId="257A022A" w:rsidR="00D216BF" w:rsidRPr="00255081" w:rsidRDefault="00D216BF" w:rsidP="00D216BF">
            <w:pPr>
              <w:spacing w:after="0" w:line="240" w:lineRule="auto"/>
              <w:jc w:val="right"/>
              <w:rPr>
                <w:rFonts w:ascii="Montserrat" w:hAnsi="Montserrat" w:cs="Calibri"/>
                <w:sz w:val="15"/>
                <w:szCs w:val="15"/>
              </w:rPr>
            </w:pPr>
            <w:r w:rsidRPr="000F0321">
              <w:rPr>
                <w:rFonts w:ascii="Montserrat" w:hAnsi="Montserrat" w:cs="Arial"/>
                <w:color w:val="000000"/>
                <w:sz w:val="15"/>
                <w:szCs w:val="15"/>
              </w:rPr>
              <w:t>591,953,057</w:t>
            </w:r>
          </w:p>
        </w:tc>
        <w:tc>
          <w:tcPr>
            <w:tcW w:w="2098" w:type="dxa"/>
            <w:tcBorders>
              <w:top w:val="nil"/>
            </w:tcBorders>
            <w:shd w:val="clear" w:color="auto" w:fill="F2F2F2" w:themeFill="background1" w:themeFillShade="F2"/>
            <w:noWrap/>
            <w:vAlign w:val="center"/>
            <w:hideMark/>
          </w:tcPr>
          <w:p w14:paraId="16C226EF" w14:textId="77777777" w:rsidR="00D216BF" w:rsidRPr="00255081" w:rsidRDefault="00D216BF" w:rsidP="00D216BF">
            <w:pPr>
              <w:spacing w:after="0" w:line="240" w:lineRule="auto"/>
              <w:jc w:val="right"/>
              <w:rPr>
                <w:rFonts w:ascii="Montserrat" w:hAnsi="Montserrat" w:cs="Calibri"/>
                <w:sz w:val="15"/>
                <w:szCs w:val="15"/>
              </w:rPr>
            </w:pPr>
            <w:r w:rsidRPr="00255081">
              <w:rPr>
                <w:rFonts w:ascii="Montserrat" w:hAnsi="Montserrat" w:cs="Calibri"/>
                <w:sz w:val="15"/>
                <w:szCs w:val="15"/>
              </w:rPr>
              <w:t>501,893,670</w:t>
            </w:r>
          </w:p>
        </w:tc>
      </w:tr>
      <w:tr w:rsidR="00D216BF" w:rsidRPr="006F0DF1" w14:paraId="193D1132" w14:textId="77777777" w:rsidTr="00556DB3">
        <w:trPr>
          <w:trHeight w:val="215"/>
        </w:trPr>
        <w:tc>
          <w:tcPr>
            <w:tcW w:w="4793" w:type="dxa"/>
            <w:tcBorders>
              <w:top w:val="nil"/>
            </w:tcBorders>
            <w:shd w:val="clear" w:color="auto" w:fill="F2F2F2" w:themeFill="background1" w:themeFillShade="F2"/>
            <w:noWrap/>
            <w:vAlign w:val="center"/>
            <w:hideMark/>
          </w:tcPr>
          <w:p w14:paraId="3E667ECA" w14:textId="77777777" w:rsidR="00D216BF" w:rsidRPr="00255081" w:rsidRDefault="00D216BF" w:rsidP="00D216BF">
            <w:pPr>
              <w:spacing w:after="0" w:line="240" w:lineRule="auto"/>
              <w:ind w:left="170"/>
              <w:jc w:val="both"/>
              <w:rPr>
                <w:rFonts w:ascii="Montserrat" w:eastAsia="Times New Roman" w:hAnsi="Montserrat" w:cs="Calibri"/>
                <w:color w:val="000000"/>
                <w:sz w:val="15"/>
                <w:szCs w:val="15"/>
                <w:lang w:val="es-MX" w:eastAsia="es-MX"/>
              </w:rPr>
            </w:pPr>
            <w:r w:rsidRPr="00255081">
              <w:rPr>
                <w:rFonts w:ascii="Montserrat" w:eastAsia="Times New Roman" w:hAnsi="Montserrat" w:cs="Calibri"/>
                <w:color w:val="000000"/>
                <w:sz w:val="15"/>
                <w:szCs w:val="15"/>
                <w:lang w:val="es-MX" w:eastAsia="es-MX"/>
              </w:rPr>
              <w:t>Fondos por Clasificar y Ajenos Pendientes de Aplicar a CP</w:t>
            </w:r>
          </w:p>
        </w:tc>
        <w:tc>
          <w:tcPr>
            <w:tcW w:w="2098" w:type="dxa"/>
            <w:tcBorders>
              <w:top w:val="nil"/>
            </w:tcBorders>
            <w:shd w:val="clear" w:color="auto" w:fill="F2F2F2" w:themeFill="background1" w:themeFillShade="F2"/>
            <w:vAlign w:val="center"/>
          </w:tcPr>
          <w:p w14:paraId="7D1AF088" w14:textId="37FB0506" w:rsidR="00D216BF" w:rsidRPr="00255081" w:rsidRDefault="00D216BF" w:rsidP="00D216BF">
            <w:pPr>
              <w:spacing w:after="0" w:line="240" w:lineRule="auto"/>
              <w:jc w:val="right"/>
              <w:rPr>
                <w:rFonts w:ascii="Montserrat" w:hAnsi="Montserrat" w:cs="Calibri"/>
                <w:sz w:val="15"/>
                <w:szCs w:val="15"/>
              </w:rPr>
            </w:pPr>
            <w:r w:rsidRPr="000F0321">
              <w:rPr>
                <w:rFonts w:ascii="Montserrat" w:hAnsi="Montserrat" w:cs="Arial"/>
                <w:color w:val="000000"/>
                <w:sz w:val="15"/>
                <w:szCs w:val="15"/>
              </w:rPr>
              <w:t>-2,973</w:t>
            </w:r>
          </w:p>
        </w:tc>
        <w:tc>
          <w:tcPr>
            <w:tcW w:w="2098" w:type="dxa"/>
            <w:tcBorders>
              <w:top w:val="nil"/>
            </w:tcBorders>
            <w:shd w:val="clear" w:color="auto" w:fill="F2F2F2" w:themeFill="background1" w:themeFillShade="F2"/>
            <w:noWrap/>
            <w:vAlign w:val="center"/>
            <w:hideMark/>
          </w:tcPr>
          <w:p w14:paraId="0D8A99DB" w14:textId="77777777" w:rsidR="00D216BF" w:rsidRPr="00255081" w:rsidRDefault="00D216BF" w:rsidP="00D216BF">
            <w:pPr>
              <w:spacing w:after="0" w:line="240" w:lineRule="auto"/>
              <w:jc w:val="right"/>
              <w:rPr>
                <w:rFonts w:ascii="Montserrat" w:hAnsi="Montserrat" w:cs="Calibri"/>
                <w:sz w:val="15"/>
                <w:szCs w:val="15"/>
              </w:rPr>
            </w:pPr>
            <w:r w:rsidRPr="00255081">
              <w:rPr>
                <w:rFonts w:ascii="Montserrat" w:hAnsi="Montserrat" w:cs="Calibri"/>
                <w:sz w:val="15"/>
                <w:szCs w:val="15"/>
              </w:rPr>
              <w:t>-303,494,557</w:t>
            </w:r>
          </w:p>
        </w:tc>
      </w:tr>
      <w:tr w:rsidR="00D216BF" w:rsidRPr="006F0DF1" w14:paraId="602CE981" w14:textId="77777777" w:rsidTr="00556DB3">
        <w:trPr>
          <w:trHeight w:val="215"/>
        </w:trPr>
        <w:tc>
          <w:tcPr>
            <w:tcW w:w="4793" w:type="dxa"/>
            <w:tcBorders>
              <w:top w:val="nil"/>
            </w:tcBorders>
            <w:shd w:val="clear" w:color="auto" w:fill="F2F2F2" w:themeFill="background1" w:themeFillShade="F2"/>
            <w:noWrap/>
            <w:vAlign w:val="center"/>
            <w:hideMark/>
          </w:tcPr>
          <w:p w14:paraId="56C96C33" w14:textId="77777777" w:rsidR="00D216BF" w:rsidRPr="00255081" w:rsidRDefault="00D216BF" w:rsidP="00D216BF">
            <w:pPr>
              <w:spacing w:after="0" w:line="240" w:lineRule="auto"/>
              <w:ind w:left="170"/>
              <w:jc w:val="both"/>
              <w:rPr>
                <w:rFonts w:ascii="Montserrat" w:eastAsia="Times New Roman" w:hAnsi="Montserrat" w:cs="Calibri"/>
                <w:color w:val="000000"/>
                <w:sz w:val="15"/>
                <w:szCs w:val="15"/>
                <w:lang w:val="es-MX" w:eastAsia="es-MX"/>
              </w:rPr>
            </w:pPr>
            <w:r w:rsidRPr="00255081">
              <w:rPr>
                <w:rFonts w:ascii="Montserrat" w:eastAsia="Times New Roman" w:hAnsi="Montserrat" w:cs="Calibri"/>
                <w:color w:val="000000"/>
                <w:sz w:val="15"/>
                <w:szCs w:val="15"/>
                <w:lang w:val="es-MX" w:eastAsia="es-MX"/>
              </w:rPr>
              <w:t>Fondo de Estabilización a CP</w:t>
            </w:r>
          </w:p>
        </w:tc>
        <w:tc>
          <w:tcPr>
            <w:tcW w:w="2098" w:type="dxa"/>
            <w:tcBorders>
              <w:top w:val="nil"/>
            </w:tcBorders>
            <w:shd w:val="clear" w:color="auto" w:fill="F2F2F2" w:themeFill="background1" w:themeFillShade="F2"/>
            <w:vAlign w:val="center"/>
          </w:tcPr>
          <w:p w14:paraId="0848D3D9" w14:textId="6C709065" w:rsidR="00D216BF" w:rsidRPr="00255081" w:rsidRDefault="00D216BF" w:rsidP="00D216BF">
            <w:pPr>
              <w:spacing w:after="0" w:line="240" w:lineRule="auto"/>
              <w:jc w:val="right"/>
              <w:rPr>
                <w:rFonts w:ascii="Montserrat" w:hAnsi="Montserrat" w:cs="Calibri"/>
                <w:sz w:val="15"/>
                <w:szCs w:val="15"/>
              </w:rPr>
            </w:pPr>
            <w:r w:rsidRPr="000F0321">
              <w:rPr>
                <w:rFonts w:ascii="Montserrat" w:hAnsi="Montserrat" w:cs="Arial"/>
                <w:color w:val="000000"/>
                <w:sz w:val="15"/>
                <w:szCs w:val="15"/>
              </w:rPr>
              <w:t>158,543,834,123</w:t>
            </w:r>
          </w:p>
        </w:tc>
        <w:tc>
          <w:tcPr>
            <w:tcW w:w="2098" w:type="dxa"/>
            <w:tcBorders>
              <w:top w:val="nil"/>
            </w:tcBorders>
            <w:shd w:val="clear" w:color="auto" w:fill="F2F2F2" w:themeFill="background1" w:themeFillShade="F2"/>
            <w:noWrap/>
            <w:vAlign w:val="center"/>
            <w:hideMark/>
          </w:tcPr>
          <w:p w14:paraId="6CF3CDD9" w14:textId="77777777" w:rsidR="00D216BF" w:rsidRPr="00255081" w:rsidRDefault="00D216BF" w:rsidP="00D216BF">
            <w:pPr>
              <w:spacing w:after="0" w:line="240" w:lineRule="auto"/>
              <w:jc w:val="right"/>
              <w:rPr>
                <w:rFonts w:ascii="Montserrat" w:hAnsi="Montserrat" w:cs="Calibri"/>
                <w:sz w:val="15"/>
                <w:szCs w:val="15"/>
              </w:rPr>
            </w:pPr>
            <w:r w:rsidRPr="00255081">
              <w:rPr>
                <w:rFonts w:ascii="Montserrat" w:hAnsi="Montserrat" w:cs="Calibri"/>
                <w:sz w:val="15"/>
                <w:szCs w:val="15"/>
              </w:rPr>
              <w:t>279,770,718,652</w:t>
            </w:r>
          </w:p>
        </w:tc>
      </w:tr>
      <w:tr w:rsidR="00D216BF" w:rsidRPr="006F0DF1" w14:paraId="480B2025" w14:textId="77777777" w:rsidTr="00556DB3">
        <w:trPr>
          <w:trHeight w:val="314"/>
        </w:trPr>
        <w:tc>
          <w:tcPr>
            <w:tcW w:w="4793" w:type="dxa"/>
            <w:tcBorders>
              <w:top w:val="nil"/>
            </w:tcBorders>
            <w:shd w:val="clear" w:color="auto" w:fill="F2F2F2" w:themeFill="background1" w:themeFillShade="F2"/>
            <w:noWrap/>
            <w:vAlign w:val="center"/>
            <w:hideMark/>
          </w:tcPr>
          <w:p w14:paraId="3606D474" w14:textId="77777777" w:rsidR="00D216BF" w:rsidRPr="00255081" w:rsidRDefault="00D216BF" w:rsidP="00D216BF">
            <w:pPr>
              <w:spacing w:after="0" w:line="240" w:lineRule="auto"/>
              <w:ind w:left="170"/>
              <w:jc w:val="both"/>
              <w:rPr>
                <w:rFonts w:ascii="Montserrat" w:eastAsia="Times New Roman" w:hAnsi="Montserrat" w:cs="Calibri"/>
                <w:color w:val="000000"/>
                <w:sz w:val="15"/>
                <w:szCs w:val="15"/>
                <w:lang w:val="es-MX" w:eastAsia="es-MX"/>
              </w:rPr>
            </w:pPr>
            <w:r w:rsidRPr="00255081">
              <w:rPr>
                <w:rFonts w:ascii="Montserrat" w:eastAsia="Times New Roman" w:hAnsi="Montserrat" w:cs="Calibri"/>
                <w:color w:val="000000"/>
                <w:sz w:val="15"/>
                <w:szCs w:val="15"/>
                <w:lang w:val="es-MX" w:eastAsia="es-MX"/>
              </w:rPr>
              <w:t>Fondos de Fideicomisos, Mandatos y Contratos Análogos a CP</w:t>
            </w:r>
          </w:p>
        </w:tc>
        <w:tc>
          <w:tcPr>
            <w:tcW w:w="2098" w:type="dxa"/>
            <w:tcBorders>
              <w:top w:val="nil"/>
            </w:tcBorders>
            <w:shd w:val="clear" w:color="000000" w:fill="F2F2F2"/>
            <w:vAlign w:val="center"/>
          </w:tcPr>
          <w:p w14:paraId="3F1130C5" w14:textId="718D8298" w:rsidR="00D216BF" w:rsidRPr="00255081" w:rsidRDefault="00E6129F" w:rsidP="00D216BF">
            <w:pPr>
              <w:spacing w:after="0" w:line="240" w:lineRule="auto"/>
              <w:jc w:val="right"/>
              <w:rPr>
                <w:rFonts w:ascii="Montserrat" w:hAnsi="Montserrat" w:cs="Calibri"/>
                <w:sz w:val="15"/>
                <w:szCs w:val="15"/>
              </w:rPr>
            </w:pPr>
            <w:r>
              <w:rPr>
                <w:rFonts w:ascii="Montserrat" w:hAnsi="Montserrat" w:cs="Arial"/>
                <w:color w:val="000000"/>
                <w:sz w:val="15"/>
                <w:szCs w:val="15"/>
              </w:rPr>
              <w:t>0</w:t>
            </w:r>
          </w:p>
        </w:tc>
        <w:tc>
          <w:tcPr>
            <w:tcW w:w="2098" w:type="dxa"/>
            <w:tcBorders>
              <w:top w:val="nil"/>
            </w:tcBorders>
            <w:shd w:val="clear" w:color="auto" w:fill="F2F2F2" w:themeFill="background1" w:themeFillShade="F2"/>
            <w:noWrap/>
            <w:vAlign w:val="center"/>
            <w:hideMark/>
          </w:tcPr>
          <w:p w14:paraId="1188CC1D" w14:textId="77777777" w:rsidR="00D216BF" w:rsidRPr="00255081" w:rsidRDefault="00D216BF" w:rsidP="00D216BF">
            <w:pPr>
              <w:spacing w:after="0" w:line="240" w:lineRule="auto"/>
              <w:jc w:val="right"/>
              <w:rPr>
                <w:rFonts w:ascii="Montserrat" w:hAnsi="Montserrat" w:cs="Calibri"/>
                <w:sz w:val="15"/>
                <w:szCs w:val="15"/>
              </w:rPr>
            </w:pPr>
            <w:r w:rsidRPr="00255081">
              <w:rPr>
                <w:rFonts w:ascii="Montserrat" w:hAnsi="Montserrat" w:cs="Calibri"/>
                <w:sz w:val="15"/>
                <w:szCs w:val="15"/>
              </w:rPr>
              <w:t>0</w:t>
            </w:r>
          </w:p>
        </w:tc>
      </w:tr>
      <w:tr w:rsidR="00D216BF" w:rsidRPr="006F0DF1" w14:paraId="0070D868" w14:textId="77777777" w:rsidTr="00556DB3">
        <w:trPr>
          <w:trHeight w:val="215"/>
        </w:trPr>
        <w:tc>
          <w:tcPr>
            <w:tcW w:w="4793" w:type="dxa"/>
            <w:tcBorders>
              <w:top w:val="nil"/>
            </w:tcBorders>
            <w:shd w:val="clear" w:color="auto" w:fill="F2F2F2" w:themeFill="background1" w:themeFillShade="F2"/>
            <w:noWrap/>
            <w:vAlign w:val="center"/>
            <w:hideMark/>
          </w:tcPr>
          <w:p w14:paraId="6DDCFA57" w14:textId="77777777" w:rsidR="00D216BF" w:rsidRPr="00255081" w:rsidRDefault="00D216BF" w:rsidP="00D216BF">
            <w:pPr>
              <w:spacing w:after="0" w:line="240" w:lineRule="auto"/>
              <w:ind w:left="170"/>
              <w:jc w:val="both"/>
              <w:rPr>
                <w:rFonts w:ascii="Montserrat" w:eastAsia="Times New Roman" w:hAnsi="Montserrat" w:cs="Calibri"/>
                <w:color w:val="000000"/>
                <w:sz w:val="15"/>
                <w:szCs w:val="15"/>
                <w:lang w:val="es-MX" w:eastAsia="es-MX"/>
              </w:rPr>
            </w:pPr>
            <w:r w:rsidRPr="00255081">
              <w:rPr>
                <w:rFonts w:ascii="Montserrat" w:eastAsia="Times New Roman" w:hAnsi="Montserrat" w:cs="Calibri"/>
                <w:color w:val="000000"/>
                <w:sz w:val="15"/>
                <w:szCs w:val="15"/>
                <w:lang w:val="es-MX" w:eastAsia="es-MX"/>
              </w:rPr>
              <w:t>Fondos de Terceros en Administración a CP</w:t>
            </w:r>
          </w:p>
        </w:tc>
        <w:tc>
          <w:tcPr>
            <w:tcW w:w="2098" w:type="dxa"/>
            <w:tcBorders>
              <w:top w:val="nil"/>
            </w:tcBorders>
            <w:shd w:val="clear" w:color="000000" w:fill="F2F2F2"/>
            <w:vAlign w:val="center"/>
          </w:tcPr>
          <w:p w14:paraId="517CBFB5" w14:textId="13A53A8C" w:rsidR="00D216BF" w:rsidRPr="00255081" w:rsidRDefault="00D216BF" w:rsidP="00D216BF">
            <w:pPr>
              <w:spacing w:after="0" w:line="240" w:lineRule="auto"/>
              <w:jc w:val="right"/>
              <w:rPr>
                <w:rFonts w:ascii="Montserrat" w:hAnsi="Montserrat" w:cs="Calibri"/>
                <w:sz w:val="15"/>
                <w:szCs w:val="15"/>
              </w:rPr>
            </w:pPr>
            <w:r w:rsidRPr="000F0321">
              <w:rPr>
                <w:rFonts w:ascii="Montserrat" w:hAnsi="Montserrat" w:cs="Arial"/>
                <w:color w:val="000000"/>
                <w:sz w:val="15"/>
                <w:szCs w:val="15"/>
              </w:rPr>
              <w:t>138,192,031,868</w:t>
            </w:r>
          </w:p>
        </w:tc>
        <w:tc>
          <w:tcPr>
            <w:tcW w:w="2098" w:type="dxa"/>
            <w:tcBorders>
              <w:top w:val="nil"/>
            </w:tcBorders>
            <w:shd w:val="clear" w:color="auto" w:fill="F2F2F2" w:themeFill="background1" w:themeFillShade="F2"/>
            <w:noWrap/>
            <w:vAlign w:val="center"/>
            <w:hideMark/>
          </w:tcPr>
          <w:p w14:paraId="39D3765E" w14:textId="77777777" w:rsidR="00D216BF" w:rsidRPr="00255081" w:rsidRDefault="00D216BF" w:rsidP="00D216BF">
            <w:pPr>
              <w:spacing w:after="0" w:line="240" w:lineRule="auto"/>
              <w:jc w:val="right"/>
              <w:rPr>
                <w:rFonts w:ascii="Montserrat" w:hAnsi="Montserrat" w:cs="Calibri"/>
                <w:sz w:val="15"/>
                <w:szCs w:val="15"/>
              </w:rPr>
            </w:pPr>
            <w:r w:rsidRPr="00255081">
              <w:rPr>
                <w:rFonts w:ascii="Montserrat" w:hAnsi="Montserrat" w:cs="Calibri"/>
                <w:sz w:val="15"/>
                <w:szCs w:val="15"/>
              </w:rPr>
              <w:t>153,972,547,604</w:t>
            </w:r>
          </w:p>
        </w:tc>
      </w:tr>
      <w:tr w:rsidR="00D216BF" w:rsidRPr="006F0DF1" w14:paraId="707B43CB" w14:textId="77777777" w:rsidTr="00556DB3">
        <w:trPr>
          <w:trHeight w:val="215"/>
        </w:trPr>
        <w:tc>
          <w:tcPr>
            <w:tcW w:w="4793" w:type="dxa"/>
            <w:tcBorders>
              <w:bottom w:val="single" w:sz="12" w:space="0" w:color="808080" w:themeColor="background1" w:themeShade="80"/>
            </w:tcBorders>
            <w:shd w:val="clear" w:color="auto" w:fill="F2F2F2" w:themeFill="background1" w:themeFillShade="F2"/>
            <w:noWrap/>
            <w:vAlign w:val="center"/>
            <w:hideMark/>
          </w:tcPr>
          <w:p w14:paraId="042AC29C" w14:textId="77777777" w:rsidR="00D216BF" w:rsidRPr="00255081" w:rsidRDefault="00D216BF" w:rsidP="00D216BF">
            <w:pPr>
              <w:spacing w:after="0" w:line="240" w:lineRule="auto"/>
              <w:ind w:left="170"/>
              <w:jc w:val="right"/>
              <w:rPr>
                <w:rFonts w:ascii="Montserrat" w:eastAsia="Times New Roman" w:hAnsi="Montserrat" w:cs="Calibri"/>
                <w:b/>
                <w:bCs/>
                <w:color w:val="000000"/>
                <w:sz w:val="15"/>
                <w:szCs w:val="15"/>
                <w:lang w:val="es-MX" w:eastAsia="es-MX"/>
              </w:rPr>
            </w:pPr>
            <w:r w:rsidRPr="00255081">
              <w:rPr>
                <w:rFonts w:ascii="Montserrat" w:eastAsia="Times New Roman" w:hAnsi="Montserrat" w:cs="Calibri"/>
                <w:b/>
                <w:bCs/>
                <w:color w:val="000000"/>
                <w:sz w:val="15"/>
                <w:szCs w:val="15"/>
                <w:lang w:val="es-MX" w:eastAsia="es-MX"/>
              </w:rPr>
              <w:t>Total Fondos y Bienes de Terceros en Garantía y/o Administración a Corto Plazo</w:t>
            </w:r>
          </w:p>
        </w:tc>
        <w:tc>
          <w:tcPr>
            <w:tcW w:w="2098" w:type="dxa"/>
            <w:tcBorders>
              <w:bottom w:val="single" w:sz="12" w:space="0" w:color="808080" w:themeColor="background1" w:themeShade="80"/>
            </w:tcBorders>
            <w:shd w:val="clear" w:color="auto" w:fill="F2F2F2" w:themeFill="background1" w:themeFillShade="F2"/>
            <w:vAlign w:val="center"/>
          </w:tcPr>
          <w:p w14:paraId="77789052" w14:textId="7868E63E" w:rsidR="00D216BF" w:rsidRPr="00255081" w:rsidRDefault="00D216BF" w:rsidP="00D216BF">
            <w:pPr>
              <w:spacing w:after="0" w:line="240" w:lineRule="auto"/>
              <w:jc w:val="right"/>
              <w:rPr>
                <w:rFonts w:ascii="Montserrat" w:eastAsia="Times New Roman" w:hAnsi="Montserrat" w:cs="Calibri"/>
                <w:b/>
                <w:bCs/>
                <w:sz w:val="15"/>
                <w:szCs w:val="15"/>
                <w:lang w:val="es-MX" w:eastAsia="es-MX"/>
              </w:rPr>
            </w:pPr>
            <w:r w:rsidRPr="000F0321">
              <w:rPr>
                <w:rFonts w:ascii="Montserrat" w:hAnsi="Montserrat" w:cs="Arial"/>
                <w:b/>
                <w:bCs/>
                <w:color w:val="000000"/>
                <w:sz w:val="15"/>
                <w:szCs w:val="15"/>
              </w:rPr>
              <w:t>307,254,928,764</w:t>
            </w:r>
          </w:p>
        </w:tc>
        <w:tc>
          <w:tcPr>
            <w:tcW w:w="2098" w:type="dxa"/>
            <w:tcBorders>
              <w:bottom w:val="single" w:sz="12" w:space="0" w:color="808080" w:themeColor="background1" w:themeShade="80"/>
            </w:tcBorders>
            <w:shd w:val="clear" w:color="auto" w:fill="F2F2F2" w:themeFill="background1" w:themeFillShade="F2"/>
            <w:vAlign w:val="center"/>
            <w:hideMark/>
          </w:tcPr>
          <w:p w14:paraId="67458139" w14:textId="77777777" w:rsidR="00D216BF" w:rsidRPr="00255081" w:rsidRDefault="00D216BF" w:rsidP="00D216BF">
            <w:pPr>
              <w:spacing w:after="0" w:line="240" w:lineRule="auto"/>
              <w:jc w:val="right"/>
              <w:rPr>
                <w:rFonts w:ascii="Montserrat" w:eastAsia="Times New Roman" w:hAnsi="Montserrat" w:cs="Calibri"/>
                <w:b/>
                <w:bCs/>
                <w:sz w:val="15"/>
                <w:szCs w:val="15"/>
                <w:lang w:val="es-MX" w:eastAsia="es-MX"/>
              </w:rPr>
            </w:pPr>
            <w:r w:rsidRPr="00255081">
              <w:rPr>
                <w:rFonts w:ascii="Montserrat" w:eastAsia="Times New Roman" w:hAnsi="Montserrat" w:cs="Calibri"/>
                <w:b/>
                <w:bCs/>
                <w:sz w:val="15"/>
                <w:szCs w:val="15"/>
                <w:lang w:val="es-MX" w:eastAsia="es-MX"/>
              </w:rPr>
              <w:t>443</w:t>
            </w:r>
            <w:r w:rsidRPr="00255081">
              <w:rPr>
                <w:rFonts w:ascii="Montserrat" w:hAnsi="Montserrat" w:cs="Calibri"/>
                <w:b/>
                <w:bCs/>
                <w:sz w:val="15"/>
                <w:szCs w:val="15"/>
              </w:rPr>
              <w:t>,882,768,089</w:t>
            </w:r>
          </w:p>
        </w:tc>
      </w:tr>
    </w:tbl>
    <w:p w14:paraId="6AAD6310" w14:textId="0B185E0A" w:rsidR="00263314" w:rsidRDefault="00263314" w:rsidP="00263314">
      <w:pPr>
        <w:spacing w:after="0" w:line="240" w:lineRule="auto"/>
        <w:jc w:val="both"/>
        <w:rPr>
          <w:rFonts w:ascii="Montserrat" w:hAnsi="Montserrat" w:cs="Arial"/>
          <w:spacing w:val="-1"/>
          <w:sz w:val="18"/>
          <w:szCs w:val="18"/>
        </w:rPr>
      </w:pPr>
    </w:p>
    <w:p w14:paraId="18BE4ACF" w14:textId="77777777" w:rsidR="009C3C24" w:rsidRPr="00495BFD" w:rsidRDefault="009C3C24" w:rsidP="00495BFD">
      <w:pPr>
        <w:pStyle w:val="Prrafodelista"/>
        <w:numPr>
          <w:ilvl w:val="0"/>
          <w:numId w:val="14"/>
        </w:numPr>
        <w:spacing w:after="120" w:line="250" w:lineRule="exact"/>
        <w:ind w:left="714" w:hanging="357"/>
        <w:jc w:val="both"/>
        <w:rPr>
          <w:rFonts w:ascii="Montserrat" w:hAnsi="Montserrat" w:cs="Arial"/>
          <w:spacing w:val="-1"/>
          <w:sz w:val="18"/>
          <w:szCs w:val="18"/>
        </w:rPr>
      </w:pPr>
      <w:r w:rsidRPr="00495BFD">
        <w:rPr>
          <w:rFonts w:ascii="Montserrat" w:hAnsi="Montserrat" w:cs="Arial"/>
          <w:spacing w:val="-1"/>
          <w:sz w:val="18"/>
          <w:szCs w:val="18"/>
        </w:rPr>
        <w:lastRenderedPageBreak/>
        <w:t>Otros Pasivos a Corto Plazo</w:t>
      </w:r>
    </w:p>
    <w:p w14:paraId="5748B38D" w14:textId="2E313755" w:rsidR="009C3C24" w:rsidRPr="00063579" w:rsidRDefault="009C3C24" w:rsidP="00063579">
      <w:pPr>
        <w:spacing w:after="120" w:line="250" w:lineRule="exact"/>
        <w:jc w:val="both"/>
        <w:rPr>
          <w:rFonts w:ascii="Montserrat" w:hAnsi="Montserrat"/>
          <w:sz w:val="18"/>
          <w:szCs w:val="18"/>
        </w:rPr>
      </w:pPr>
      <w:r w:rsidRPr="00063579">
        <w:rPr>
          <w:rFonts w:ascii="Montserrat" w:hAnsi="Montserrat"/>
          <w:sz w:val="18"/>
          <w:szCs w:val="18"/>
        </w:rPr>
        <w:t>En este rubro se registran, entre otros, los adeudos del ente público con terceros pendientes de pago, tales como acreedores diversos, y los recursos recibidos cuya aplicación definitiva a la Ley de Ingresos</w:t>
      </w:r>
      <w:r w:rsidR="0000636D">
        <w:rPr>
          <w:rFonts w:ascii="Montserrat" w:hAnsi="Montserrat"/>
          <w:sz w:val="18"/>
          <w:szCs w:val="18"/>
        </w:rPr>
        <w:t xml:space="preserve"> de la Federación</w:t>
      </w:r>
      <w:r w:rsidRPr="00063579">
        <w:rPr>
          <w:rFonts w:ascii="Montserrat" w:hAnsi="Montserrat"/>
          <w:sz w:val="18"/>
          <w:szCs w:val="18"/>
        </w:rPr>
        <w:t xml:space="preserve"> o devolución a la fecha de balance se encuentran pendientes y en menor medida a los pasivos pendientes de depurar.</w:t>
      </w:r>
    </w:p>
    <w:p w14:paraId="1B1D0596" w14:textId="77777777" w:rsidR="009C3C24" w:rsidRPr="00936371" w:rsidRDefault="009C3C24" w:rsidP="00E52592">
      <w:pPr>
        <w:spacing w:after="60" w:line="250" w:lineRule="exact"/>
        <w:ind w:left="709"/>
        <w:jc w:val="center"/>
        <w:rPr>
          <w:rFonts w:ascii="Montserrat" w:hAnsi="Montserrat" w:cs="Arial"/>
          <w:spacing w:val="-1"/>
          <w:sz w:val="18"/>
          <w:szCs w:val="18"/>
        </w:rPr>
      </w:pPr>
      <w:r w:rsidRPr="00936371">
        <w:rPr>
          <w:rFonts w:ascii="Montserrat" w:eastAsia="Times New Roman" w:hAnsi="Montserrat" w:cs="Calibri"/>
          <w:bCs/>
          <w:sz w:val="16"/>
          <w:szCs w:val="16"/>
          <w:lang w:val="es-MX" w:eastAsia="es-MX"/>
        </w:rPr>
        <w:t>(Pesos)</w:t>
      </w:r>
    </w:p>
    <w:tbl>
      <w:tblPr>
        <w:tblW w:w="9015" w:type="dxa"/>
        <w:jc w:val="center"/>
        <w:tblCellMar>
          <w:left w:w="70" w:type="dxa"/>
          <w:right w:w="70" w:type="dxa"/>
        </w:tblCellMar>
        <w:tblLook w:val="04A0" w:firstRow="1" w:lastRow="0" w:firstColumn="1" w:lastColumn="0" w:noHBand="0" w:noVBand="1"/>
      </w:tblPr>
      <w:tblGrid>
        <w:gridCol w:w="4819"/>
        <w:gridCol w:w="2098"/>
        <w:gridCol w:w="2098"/>
      </w:tblGrid>
      <w:tr w:rsidR="00C4519E" w:rsidRPr="006F0DF1" w14:paraId="22FE6C4D" w14:textId="77777777" w:rsidTr="00C8753F">
        <w:trPr>
          <w:trHeight w:val="57"/>
          <w:jc w:val="center"/>
        </w:trPr>
        <w:tc>
          <w:tcPr>
            <w:tcW w:w="9015" w:type="dxa"/>
            <w:gridSpan w:val="3"/>
            <w:tcBorders>
              <w:top w:val="single" w:sz="12" w:space="0" w:color="808080" w:themeColor="background1" w:themeShade="80"/>
            </w:tcBorders>
            <w:shd w:val="clear" w:color="auto" w:fill="auto"/>
            <w:noWrap/>
            <w:vAlign w:val="center"/>
          </w:tcPr>
          <w:p w14:paraId="436C0B68" w14:textId="77777777" w:rsidR="00C4519E" w:rsidRPr="00BC0F30" w:rsidRDefault="00C4519E" w:rsidP="002F797B">
            <w:pPr>
              <w:spacing w:after="0" w:line="240" w:lineRule="auto"/>
              <w:jc w:val="center"/>
              <w:rPr>
                <w:rFonts w:ascii="Montserrat" w:eastAsia="Times New Roman" w:hAnsi="Montserrat" w:cs="Calibri"/>
                <w:b/>
                <w:bCs/>
                <w:color w:val="FFFFFF"/>
                <w:sz w:val="4"/>
                <w:szCs w:val="4"/>
                <w:lang w:val="es-MX" w:eastAsia="es-MX"/>
              </w:rPr>
            </w:pPr>
          </w:p>
        </w:tc>
      </w:tr>
      <w:tr w:rsidR="009C3C24" w:rsidRPr="006F0DF1" w14:paraId="4E748324" w14:textId="77777777" w:rsidTr="00C8753F">
        <w:trPr>
          <w:trHeight w:val="317"/>
          <w:jc w:val="center"/>
        </w:trPr>
        <w:tc>
          <w:tcPr>
            <w:tcW w:w="4819" w:type="dxa"/>
            <w:tcBorders>
              <w:left w:val="single" w:sz="8" w:space="0" w:color="FFFFFF" w:themeColor="background1"/>
              <w:bottom w:val="double" w:sz="12" w:space="0" w:color="808080" w:themeColor="background1" w:themeShade="80"/>
              <w:right w:val="single" w:sz="8" w:space="0" w:color="FFFFFF" w:themeColor="background1"/>
            </w:tcBorders>
            <w:shd w:val="clear" w:color="auto" w:fill="D4C19C"/>
            <w:noWrap/>
            <w:vAlign w:val="center"/>
            <w:hideMark/>
          </w:tcPr>
          <w:p w14:paraId="158D7F72" w14:textId="77777777" w:rsidR="009C3C24" w:rsidRPr="006F0DF1" w:rsidRDefault="009C3C24" w:rsidP="002F797B">
            <w:pPr>
              <w:spacing w:after="0" w:line="240" w:lineRule="auto"/>
              <w:jc w:val="center"/>
              <w:rPr>
                <w:rFonts w:ascii="Montserrat" w:eastAsia="Times New Roman" w:hAnsi="Montserrat" w:cs="Calibri"/>
                <w:b/>
                <w:bCs/>
                <w:color w:val="FFFFFF"/>
                <w:sz w:val="16"/>
                <w:szCs w:val="16"/>
                <w:lang w:val="es-MX" w:eastAsia="es-MX"/>
              </w:rPr>
            </w:pPr>
            <w:r w:rsidRPr="006F0DF1">
              <w:rPr>
                <w:rFonts w:ascii="Montserrat" w:eastAsia="Times New Roman" w:hAnsi="Montserrat" w:cs="Calibri"/>
                <w:b/>
                <w:bCs/>
                <w:color w:val="FFFFFF"/>
                <w:sz w:val="16"/>
                <w:szCs w:val="16"/>
                <w:lang w:val="es-MX" w:eastAsia="es-MX"/>
              </w:rPr>
              <w:t>Concepto</w:t>
            </w:r>
          </w:p>
        </w:tc>
        <w:tc>
          <w:tcPr>
            <w:tcW w:w="2098" w:type="dxa"/>
            <w:tcBorders>
              <w:left w:val="single" w:sz="8" w:space="0" w:color="FFFFFF" w:themeColor="background1"/>
              <w:bottom w:val="double" w:sz="12" w:space="0" w:color="808080" w:themeColor="background1" w:themeShade="80"/>
              <w:right w:val="single" w:sz="8" w:space="0" w:color="FFFFFF" w:themeColor="background1"/>
            </w:tcBorders>
            <w:shd w:val="clear" w:color="auto" w:fill="D4C19C"/>
            <w:vAlign w:val="center"/>
            <w:hideMark/>
          </w:tcPr>
          <w:p w14:paraId="705EF81A" w14:textId="77777777" w:rsidR="009C3C24" w:rsidRPr="006F0DF1" w:rsidRDefault="009C3C24" w:rsidP="002F797B">
            <w:pPr>
              <w:spacing w:after="0" w:line="240" w:lineRule="auto"/>
              <w:jc w:val="center"/>
              <w:rPr>
                <w:rFonts w:ascii="Montserrat" w:eastAsia="Times New Roman" w:hAnsi="Montserrat" w:cs="Calibri"/>
                <w:b/>
                <w:bCs/>
                <w:color w:val="FFFFFF"/>
                <w:sz w:val="16"/>
                <w:szCs w:val="16"/>
                <w:lang w:val="es-MX" w:eastAsia="es-MX"/>
              </w:rPr>
            </w:pPr>
            <w:r>
              <w:rPr>
                <w:rFonts w:ascii="Montserrat" w:eastAsia="Times New Roman" w:hAnsi="Montserrat" w:cs="Calibri"/>
                <w:b/>
                <w:bCs/>
                <w:color w:val="FFFFFF"/>
                <w:sz w:val="16"/>
                <w:szCs w:val="16"/>
                <w:lang w:val="es-MX" w:eastAsia="es-MX"/>
              </w:rPr>
              <w:t>201</w:t>
            </w:r>
            <w:r w:rsidR="00AF70EA">
              <w:rPr>
                <w:rFonts w:ascii="Montserrat" w:eastAsia="Times New Roman" w:hAnsi="Montserrat" w:cs="Calibri"/>
                <w:b/>
                <w:bCs/>
                <w:color w:val="FFFFFF"/>
                <w:sz w:val="16"/>
                <w:szCs w:val="16"/>
                <w:lang w:val="es-MX" w:eastAsia="es-MX"/>
              </w:rPr>
              <w:t>9</w:t>
            </w:r>
          </w:p>
        </w:tc>
        <w:tc>
          <w:tcPr>
            <w:tcW w:w="2098" w:type="dxa"/>
            <w:tcBorders>
              <w:left w:val="single" w:sz="8" w:space="0" w:color="FFFFFF" w:themeColor="background1"/>
              <w:bottom w:val="double" w:sz="12" w:space="0" w:color="808080" w:themeColor="background1" w:themeShade="80"/>
              <w:right w:val="single" w:sz="8" w:space="0" w:color="FFFFFF" w:themeColor="background1"/>
            </w:tcBorders>
            <w:shd w:val="clear" w:color="auto" w:fill="D4C19C"/>
            <w:noWrap/>
            <w:vAlign w:val="center"/>
            <w:hideMark/>
          </w:tcPr>
          <w:p w14:paraId="0660E66C" w14:textId="77777777" w:rsidR="009C3C24" w:rsidRPr="006F0DF1" w:rsidRDefault="009C3C24" w:rsidP="002F797B">
            <w:pPr>
              <w:spacing w:after="0" w:line="240" w:lineRule="auto"/>
              <w:jc w:val="center"/>
              <w:rPr>
                <w:rFonts w:ascii="Montserrat" w:eastAsia="Times New Roman" w:hAnsi="Montserrat" w:cs="Calibri"/>
                <w:b/>
                <w:bCs/>
                <w:color w:val="FFFFFF"/>
                <w:sz w:val="16"/>
                <w:szCs w:val="16"/>
                <w:lang w:val="es-MX" w:eastAsia="es-MX"/>
              </w:rPr>
            </w:pPr>
            <w:r>
              <w:rPr>
                <w:rFonts w:ascii="Montserrat" w:eastAsia="Times New Roman" w:hAnsi="Montserrat" w:cs="Calibri"/>
                <w:b/>
                <w:bCs/>
                <w:color w:val="FFFFFF"/>
                <w:sz w:val="16"/>
                <w:szCs w:val="16"/>
                <w:lang w:val="es-MX" w:eastAsia="es-MX"/>
              </w:rPr>
              <w:t>201</w:t>
            </w:r>
            <w:r w:rsidR="00AF70EA">
              <w:rPr>
                <w:rFonts w:ascii="Montserrat" w:eastAsia="Times New Roman" w:hAnsi="Montserrat" w:cs="Calibri"/>
                <w:b/>
                <w:bCs/>
                <w:color w:val="FFFFFF"/>
                <w:sz w:val="16"/>
                <w:szCs w:val="16"/>
                <w:lang w:val="es-MX" w:eastAsia="es-MX"/>
              </w:rPr>
              <w:t>8</w:t>
            </w:r>
          </w:p>
        </w:tc>
      </w:tr>
      <w:tr w:rsidR="00D216BF" w:rsidRPr="006F0DF1" w14:paraId="670C820E" w14:textId="77777777" w:rsidTr="00C8753F">
        <w:trPr>
          <w:trHeight w:val="215"/>
          <w:jc w:val="center"/>
        </w:trPr>
        <w:tc>
          <w:tcPr>
            <w:tcW w:w="4819" w:type="dxa"/>
            <w:tcBorders>
              <w:top w:val="double" w:sz="12" w:space="0" w:color="808080" w:themeColor="background1" w:themeShade="80"/>
            </w:tcBorders>
            <w:shd w:val="clear" w:color="auto" w:fill="F2F2F2" w:themeFill="background1" w:themeFillShade="F2"/>
            <w:noWrap/>
            <w:vAlign w:val="center"/>
            <w:hideMark/>
          </w:tcPr>
          <w:p w14:paraId="66D7E7F9" w14:textId="77777777" w:rsidR="00D216BF" w:rsidRPr="00255081" w:rsidRDefault="00D216BF" w:rsidP="00D216BF">
            <w:pPr>
              <w:spacing w:after="0" w:line="240" w:lineRule="auto"/>
              <w:ind w:left="170"/>
              <w:rPr>
                <w:rFonts w:ascii="Montserrat" w:eastAsia="Times New Roman" w:hAnsi="Montserrat" w:cs="Calibri"/>
                <w:color w:val="000000"/>
                <w:sz w:val="15"/>
                <w:szCs w:val="15"/>
                <w:lang w:val="es-MX" w:eastAsia="es-MX"/>
              </w:rPr>
            </w:pPr>
            <w:r w:rsidRPr="00255081">
              <w:rPr>
                <w:rFonts w:ascii="Montserrat" w:eastAsia="Times New Roman" w:hAnsi="Montserrat" w:cs="Calibri"/>
                <w:color w:val="000000"/>
                <w:sz w:val="15"/>
                <w:szCs w:val="15"/>
                <w:lang w:val="es-MX" w:eastAsia="es-MX"/>
              </w:rPr>
              <w:t>Otros Pasivos a Corto Plazo</w:t>
            </w:r>
          </w:p>
        </w:tc>
        <w:tc>
          <w:tcPr>
            <w:tcW w:w="2098" w:type="dxa"/>
            <w:tcBorders>
              <w:top w:val="double" w:sz="12" w:space="0" w:color="808080" w:themeColor="background1" w:themeShade="80"/>
            </w:tcBorders>
            <w:shd w:val="clear" w:color="auto" w:fill="F2F2F2" w:themeFill="background1" w:themeFillShade="F2"/>
            <w:vAlign w:val="center"/>
          </w:tcPr>
          <w:p w14:paraId="03EB2AE1" w14:textId="7963E5B1" w:rsidR="00D216BF" w:rsidRPr="00255081" w:rsidRDefault="00D216BF" w:rsidP="00D216BF">
            <w:pPr>
              <w:spacing w:after="0" w:line="240" w:lineRule="auto"/>
              <w:jc w:val="right"/>
              <w:rPr>
                <w:rFonts w:ascii="Montserrat" w:eastAsia="Times New Roman" w:hAnsi="Montserrat" w:cs="Calibri"/>
                <w:sz w:val="15"/>
                <w:szCs w:val="15"/>
                <w:lang w:val="es-MX" w:eastAsia="es-MX"/>
              </w:rPr>
            </w:pPr>
            <w:r w:rsidRPr="000F0321">
              <w:rPr>
                <w:rFonts w:ascii="Montserrat" w:hAnsi="Montserrat" w:cs="Arial"/>
                <w:color w:val="000000"/>
                <w:sz w:val="15"/>
                <w:szCs w:val="15"/>
              </w:rPr>
              <w:t>116,747,298,773</w:t>
            </w:r>
          </w:p>
        </w:tc>
        <w:tc>
          <w:tcPr>
            <w:tcW w:w="2098" w:type="dxa"/>
            <w:tcBorders>
              <w:top w:val="double" w:sz="12" w:space="0" w:color="808080" w:themeColor="background1" w:themeShade="80"/>
            </w:tcBorders>
            <w:shd w:val="clear" w:color="auto" w:fill="F2F2F2" w:themeFill="background1" w:themeFillShade="F2"/>
            <w:noWrap/>
            <w:vAlign w:val="center"/>
            <w:hideMark/>
          </w:tcPr>
          <w:p w14:paraId="6FD8B108" w14:textId="77777777" w:rsidR="00D216BF" w:rsidRPr="00255081" w:rsidRDefault="00D216BF" w:rsidP="00D216BF">
            <w:pPr>
              <w:spacing w:after="0" w:line="240" w:lineRule="auto"/>
              <w:jc w:val="right"/>
              <w:rPr>
                <w:rFonts w:ascii="Montserrat" w:eastAsia="Times New Roman" w:hAnsi="Montserrat" w:cs="Calibri"/>
                <w:sz w:val="15"/>
                <w:szCs w:val="15"/>
                <w:lang w:val="es-MX" w:eastAsia="es-MX"/>
              </w:rPr>
            </w:pPr>
            <w:r w:rsidRPr="00255081">
              <w:rPr>
                <w:rFonts w:ascii="Montserrat" w:hAnsi="Montserrat" w:cs="Calibri"/>
                <w:sz w:val="15"/>
                <w:szCs w:val="15"/>
              </w:rPr>
              <w:t>4,745,206,358</w:t>
            </w:r>
          </w:p>
        </w:tc>
      </w:tr>
      <w:tr w:rsidR="00D216BF" w:rsidRPr="00AD3E3E" w14:paraId="2A36595B" w14:textId="77777777" w:rsidTr="00C8753F">
        <w:trPr>
          <w:trHeight w:val="215"/>
          <w:jc w:val="center"/>
        </w:trPr>
        <w:tc>
          <w:tcPr>
            <w:tcW w:w="4819" w:type="dxa"/>
            <w:tcBorders>
              <w:bottom w:val="single" w:sz="12" w:space="0" w:color="808080" w:themeColor="background1" w:themeShade="80"/>
            </w:tcBorders>
            <w:shd w:val="clear" w:color="auto" w:fill="F2F2F2" w:themeFill="background1" w:themeFillShade="F2"/>
            <w:noWrap/>
            <w:vAlign w:val="center"/>
          </w:tcPr>
          <w:p w14:paraId="65E6408E" w14:textId="77777777" w:rsidR="00D216BF" w:rsidRPr="00255081" w:rsidRDefault="00D216BF" w:rsidP="00D216BF">
            <w:pPr>
              <w:spacing w:after="0" w:line="240" w:lineRule="auto"/>
              <w:ind w:left="170"/>
              <w:jc w:val="right"/>
              <w:rPr>
                <w:rFonts w:ascii="Montserrat" w:eastAsia="Times New Roman" w:hAnsi="Montserrat" w:cs="Calibri"/>
                <w:b/>
                <w:color w:val="000000"/>
                <w:sz w:val="15"/>
                <w:szCs w:val="15"/>
                <w:lang w:val="es-MX" w:eastAsia="es-MX"/>
              </w:rPr>
            </w:pPr>
            <w:r w:rsidRPr="00255081">
              <w:rPr>
                <w:rFonts w:ascii="Montserrat" w:eastAsia="Times New Roman" w:hAnsi="Montserrat" w:cs="Calibri"/>
                <w:b/>
                <w:color w:val="000000"/>
                <w:sz w:val="15"/>
                <w:szCs w:val="15"/>
                <w:lang w:val="es-MX" w:eastAsia="es-MX"/>
              </w:rPr>
              <w:t>Total Otros Pasivos a Corto Plazo</w:t>
            </w:r>
          </w:p>
        </w:tc>
        <w:tc>
          <w:tcPr>
            <w:tcW w:w="2098" w:type="dxa"/>
            <w:tcBorders>
              <w:bottom w:val="single" w:sz="12" w:space="0" w:color="808080" w:themeColor="background1" w:themeShade="80"/>
            </w:tcBorders>
            <w:shd w:val="clear" w:color="auto" w:fill="F2F2F2" w:themeFill="background1" w:themeFillShade="F2"/>
            <w:vAlign w:val="center"/>
          </w:tcPr>
          <w:p w14:paraId="4D476FE3" w14:textId="71C91B18" w:rsidR="00D216BF" w:rsidRPr="00255081" w:rsidRDefault="00D216BF" w:rsidP="00D216BF">
            <w:pPr>
              <w:spacing w:after="0" w:line="240" w:lineRule="auto"/>
              <w:jc w:val="right"/>
              <w:rPr>
                <w:rFonts w:ascii="Montserrat" w:eastAsia="Times New Roman" w:hAnsi="Montserrat" w:cs="Calibri"/>
                <w:b/>
                <w:sz w:val="15"/>
                <w:szCs w:val="15"/>
                <w:lang w:val="es-MX" w:eastAsia="es-MX"/>
              </w:rPr>
            </w:pPr>
            <w:r w:rsidRPr="000F0321">
              <w:rPr>
                <w:rFonts w:ascii="Montserrat" w:hAnsi="Montserrat" w:cs="Arial"/>
                <w:b/>
                <w:bCs/>
                <w:color w:val="000000"/>
                <w:sz w:val="15"/>
                <w:szCs w:val="15"/>
              </w:rPr>
              <w:t>116,747,298,773</w:t>
            </w:r>
          </w:p>
        </w:tc>
        <w:tc>
          <w:tcPr>
            <w:tcW w:w="2098" w:type="dxa"/>
            <w:tcBorders>
              <w:bottom w:val="single" w:sz="12" w:space="0" w:color="808080" w:themeColor="background1" w:themeShade="80"/>
            </w:tcBorders>
            <w:shd w:val="clear" w:color="auto" w:fill="F2F2F2" w:themeFill="background1" w:themeFillShade="F2"/>
            <w:noWrap/>
            <w:vAlign w:val="center"/>
          </w:tcPr>
          <w:p w14:paraId="489C2B4F" w14:textId="77777777" w:rsidR="00D216BF" w:rsidRPr="00255081" w:rsidRDefault="00D216BF" w:rsidP="00D216BF">
            <w:pPr>
              <w:spacing w:after="0" w:line="240" w:lineRule="auto"/>
              <w:jc w:val="right"/>
              <w:rPr>
                <w:rFonts w:ascii="Montserrat" w:eastAsia="Times New Roman" w:hAnsi="Montserrat" w:cs="Calibri"/>
                <w:b/>
                <w:sz w:val="15"/>
                <w:szCs w:val="15"/>
                <w:lang w:val="es-MX" w:eastAsia="es-MX"/>
              </w:rPr>
            </w:pPr>
            <w:r w:rsidRPr="00255081">
              <w:rPr>
                <w:rFonts w:ascii="Montserrat" w:hAnsi="Montserrat" w:cs="Calibri"/>
                <w:b/>
                <w:bCs/>
                <w:sz w:val="15"/>
                <w:szCs w:val="15"/>
              </w:rPr>
              <w:t>4,745,206,358</w:t>
            </w:r>
          </w:p>
        </w:tc>
      </w:tr>
    </w:tbl>
    <w:p w14:paraId="020EC1DE" w14:textId="77777777" w:rsidR="00263314" w:rsidRDefault="00263314" w:rsidP="00263314">
      <w:pPr>
        <w:spacing w:after="0" w:line="240" w:lineRule="auto"/>
        <w:jc w:val="both"/>
        <w:rPr>
          <w:rFonts w:ascii="Montserrat" w:hAnsi="Montserrat" w:cs="Arial"/>
          <w:spacing w:val="-1"/>
          <w:sz w:val="18"/>
          <w:szCs w:val="18"/>
        </w:rPr>
      </w:pPr>
    </w:p>
    <w:p w14:paraId="690306C6" w14:textId="77777777" w:rsidR="00F86C1F" w:rsidRPr="00263314" w:rsidRDefault="00F86C1F" w:rsidP="00263314">
      <w:pPr>
        <w:spacing w:after="0" w:line="240" w:lineRule="auto"/>
        <w:jc w:val="both"/>
        <w:rPr>
          <w:rFonts w:ascii="Montserrat" w:hAnsi="Montserrat" w:cs="Arial"/>
          <w:spacing w:val="-1"/>
          <w:sz w:val="18"/>
          <w:szCs w:val="18"/>
        </w:rPr>
      </w:pPr>
    </w:p>
    <w:p w14:paraId="0B3011E8" w14:textId="77777777" w:rsidR="009C3C24" w:rsidRPr="004E44CE" w:rsidRDefault="009C3C24" w:rsidP="00263314">
      <w:pPr>
        <w:pStyle w:val="VIETAFLECHA"/>
        <w:numPr>
          <w:ilvl w:val="0"/>
          <w:numId w:val="13"/>
        </w:numPr>
        <w:spacing w:before="120"/>
        <w:ind w:left="357" w:hanging="357"/>
        <w:rPr>
          <w:rFonts w:cs="Arial"/>
          <w:spacing w:val="-1"/>
        </w:rPr>
      </w:pPr>
      <w:r w:rsidRPr="004E44CE">
        <w:rPr>
          <w:rFonts w:cs="Arial"/>
          <w:spacing w:val="-1"/>
        </w:rPr>
        <w:t>Pasivo No Circulante</w:t>
      </w:r>
    </w:p>
    <w:p w14:paraId="4E2BA3DC" w14:textId="7745A2E9" w:rsidR="009C3C24" w:rsidRDefault="0000636D" w:rsidP="00063579">
      <w:pPr>
        <w:spacing w:after="120" w:line="250" w:lineRule="exact"/>
        <w:jc w:val="both"/>
        <w:rPr>
          <w:rFonts w:ascii="Montserrat" w:hAnsi="Montserrat"/>
          <w:sz w:val="18"/>
          <w:szCs w:val="18"/>
        </w:rPr>
      </w:pPr>
      <w:r>
        <w:rPr>
          <w:rFonts w:ascii="Montserrat" w:hAnsi="Montserrat"/>
          <w:sz w:val="18"/>
          <w:szCs w:val="18"/>
        </w:rPr>
        <w:t>Destacan entre lo</w:t>
      </w:r>
      <w:r w:rsidR="009C3C24" w:rsidRPr="00063579">
        <w:rPr>
          <w:rFonts w:ascii="Montserrat" w:hAnsi="Montserrat"/>
          <w:sz w:val="18"/>
          <w:szCs w:val="18"/>
        </w:rPr>
        <w:t xml:space="preserve">s principales </w:t>
      </w:r>
      <w:r>
        <w:rPr>
          <w:rFonts w:ascii="Montserrat" w:hAnsi="Montserrat"/>
          <w:sz w:val="18"/>
          <w:szCs w:val="18"/>
        </w:rPr>
        <w:t>rubros del Pasivo No Circulante lo</w:t>
      </w:r>
      <w:r w:rsidR="009C3C24" w:rsidRPr="00063579">
        <w:rPr>
          <w:rFonts w:ascii="Montserrat" w:hAnsi="Montserrat"/>
          <w:sz w:val="18"/>
          <w:szCs w:val="18"/>
        </w:rPr>
        <w:t>s siguientes:</w:t>
      </w:r>
    </w:p>
    <w:p w14:paraId="7B3A10B1" w14:textId="77777777" w:rsidR="00263314" w:rsidRPr="00263314" w:rsidRDefault="00263314" w:rsidP="00263314">
      <w:pPr>
        <w:spacing w:after="0" w:line="240" w:lineRule="auto"/>
        <w:jc w:val="both"/>
        <w:rPr>
          <w:rFonts w:ascii="Montserrat" w:hAnsi="Montserrat" w:cs="Arial"/>
          <w:spacing w:val="-1"/>
          <w:sz w:val="18"/>
          <w:szCs w:val="18"/>
        </w:rPr>
      </w:pPr>
    </w:p>
    <w:p w14:paraId="7D9F48CA" w14:textId="77777777" w:rsidR="009C3C24" w:rsidRPr="00936371" w:rsidRDefault="009C3C24" w:rsidP="00E52592">
      <w:pPr>
        <w:spacing w:after="60" w:line="250" w:lineRule="exact"/>
        <w:ind w:left="709"/>
        <w:jc w:val="center"/>
        <w:rPr>
          <w:rFonts w:ascii="Montserrat" w:hAnsi="Montserrat" w:cs="Arial"/>
          <w:spacing w:val="-1"/>
          <w:sz w:val="18"/>
          <w:szCs w:val="18"/>
        </w:rPr>
      </w:pPr>
      <w:r w:rsidRPr="00936371">
        <w:rPr>
          <w:rFonts w:ascii="Montserrat" w:eastAsia="Times New Roman" w:hAnsi="Montserrat" w:cs="Calibri"/>
          <w:bCs/>
          <w:sz w:val="16"/>
          <w:szCs w:val="16"/>
          <w:lang w:val="es-MX" w:eastAsia="es-MX"/>
        </w:rPr>
        <w:t>(Pesos)</w:t>
      </w:r>
    </w:p>
    <w:tbl>
      <w:tblPr>
        <w:tblW w:w="8393" w:type="dxa"/>
        <w:jc w:val="center"/>
        <w:tblCellMar>
          <w:left w:w="70" w:type="dxa"/>
          <w:right w:w="70" w:type="dxa"/>
        </w:tblCellMar>
        <w:tblLook w:val="04A0" w:firstRow="1" w:lastRow="0" w:firstColumn="1" w:lastColumn="0" w:noHBand="0" w:noVBand="1"/>
      </w:tblPr>
      <w:tblGrid>
        <w:gridCol w:w="4613"/>
        <w:gridCol w:w="1980"/>
        <w:gridCol w:w="1800"/>
      </w:tblGrid>
      <w:tr w:rsidR="00C4519E" w:rsidRPr="006F0DF1" w14:paraId="55B6033E" w14:textId="77777777" w:rsidTr="00C8753F">
        <w:trPr>
          <w:trHeight w:val="57"/>
          <w:jc w:val="center"/>
        </w:trPr>
        <w:tc>
          <w:tcPr>
            <w:tcW w:w="8393" w:type="dxa"/>
            <w:gridSpan w:val="3"/>
            <w:tcBorders>
              <w:top w:val="single" w:sz="12" w:space="0" w:color="808080" w:themeColor="background1" w:themeShade="80"/>
            </w:tcBorders>
            <w:shd w:val="clear" w:color="auto" w:fill="auto"/>
            <w:noWrap/>
            <w:vAlign w:val="center"/>
          </w:tcPr>
          <w:p w14:paraId="62B85C33" w14:textId="77777777" w:rsidR="00C4519E" w:rsidRPr="00BC0F30" w:rsidRDefault="00C4519E" w:rsidP="002F797B">
            <w:pPr>
              <w:spacing w:after="0" w:line="240" w:lineRule="auto"/>
              <w:jc w:val="center"/>
              <w:rPr>
                <w:rFonts w:ascii="Montserrat" w:eastAsia="Times New Roman" w:hAnsi="Montserrat" w:cs="Calibri"/>
                <w:b/>
                <w:bCs/>
                <w:color w:val="FFFFFF"/>
                <w:sz w:val="4"/>
                <w:szCs w:val="4"/>
                <w:lang w:val="es-MX" w:eastAsia="es-MX"/>
              </w:rPr>
            </w:pPr>
          </w:p>
        </w:tc>
      </w:tr>
      <w:tr w:rsidR="009C3C24" w:rsidRPr="006F0DF1" w14:paraId="2E7BC5F3" w14:textId="77777777" w:rsidTr="00C8753F">
        <w:trPr>
          <w:trHeight w:val="317"/>
          <w:jc w:val="center"/>
        </w:trPr>
        <w:tc>
          <w:tcPr>
            <w:tcW w:w="4613" w:type="dxa"/>
            <w:tcBorders>
              <w:left w:val="single" w:sz="8" w:space="0" w:color="FFFFFF" w:themeColor="background1"/>
              <w:bottom w:val="double" w:sz="12" w:space="0" w:color="808080" w:themeColor="background1" w:themeShade="80"/>
              <w:right w:val="single" w:sz="8" w:space="0" w:color="FFFFFF" w:themeColor="background1"/>
            </w:tcBorders>
            <w:shd w:val="clear" w:color="auto" w:fill="D4C19C"/>
            <w:noWrap/>
            <w:vAlign w:val="center"/>
            <w:hideMark/>
          </w:tcPr>
          <w:p w14:paraId="42A73EE2" w14:textId="77777777" w:rsidR="009C3C24" w:rsidRPr="006F0DF1" w:rsidRDefault="009C3C24" w:rsidP="002F797B">
            <w:pPr>
              <w:spacing w:after="0" w:line="240" w:lineRule="auto"/>
              <w:jc w:val="center"/>
              <w:rPr>
                <w:rFonts w:ascii="Montserrat" w:eastAsia="Times New Roman" w:hAnsi="Montserrat" w:cs="Calibri"/>
                <w:b/>
                <w:bCs/>
                <w:color w:val="FFFFFF"/>
                <w:sz w:val="16"/>
                <w:szCs w:val="16"/>
                <w:lang w:val="es-MX" w:eastAsia="es-MX"/>
              </w:rPr>
            </w:pPr>
            <w:r w:rsidRPr="006F0DF1">
              <w:rPr>
                <w:rFonts w:ascii="Montserrat" w:eastAsia="Times New Roman" w:hAnsi="Montserrat" w:cs="Calibri"/>
                <w:b/>
                <w:bCs/>
                <w:color w:val="FFFFFF"/>
                <w:sz w:val="16"/>
                <w:szCs w:val="16"/>
                <w:lang w:val="es-MX" w:eastAsia="es-MX"/>
              </w:rPr>
              <w:t>Concepto</w:t>
            </w:r>
          </w:p>
        </w:tc>
        <w:tc>
          <w:tcPr>
            <w:tcW w:w="1980" w:type="dxa"/>
            <w:tcBorders>
              <w:left w:val="single" w:sz="8" w:space="0" w:color="FFFFFF" w:themeColor="background1"/>
              <w:bottom w:val="double" w:sz="12" w:space="0" w:color="808080" w:themeColor="background1" w:themeShade="80"/>
              <w:right w:val="single" w:sz="8" w:space="0" w:color="FFFFFF" w:themeColor="background1"/>
            </w:tcBorders>
            <w:shd w:val="clear" w:color="auto" w:fill="D4C19C"/>
            <w:vAlign w:val="center"/>
            <w:hideMark/>
          </w:tcPr>
          <w:p w14:paraId="25244A61" w14:textId="77777777" w:rsidR="009C3C24" w:rsidRPr="006F0DF1" w:rsidRDefault="009C3C24" w:rsidP="002F797B">
            <w:pPr>
              <w:spacing w:after="0" w:line="240" w:lineRule="auto"/>
              <w:jc w:val="center"/>
              <w:rPr>
                <w:rFonts w:ascii="Montserrat" w:eastAsia="Times New Roman" w:hAnsi="Montserrat" w:cs="Calibri"/>
                <w:b/>
                <w:bCs/>
                <w:color w:val="FFFFFF"/>
                <w:sz w:val="16"/>
                <w:szCs w:val="16"/>
                <w:lang w:val="es-MX" w:eastAsia="es-MX"/>
              </w:rPr>
            </w:pPr>
            <w:r>
              <w:rPr>
                <w:rFonts w:ascii="Montserrat" w:eastAsia="Times New Roman" w:hAnsi="Montserrat" w:cs="Calibri"/>
                <w:b/>
                <w:bCs/>
                <w:color w:val="FFFFFF"/>
                <w:sz w:val="16"/>
                <w:szCs w:val="16"/>
                <w:lang w:val="es-MX" w:eastAsia="es-MX"/>
              </w:rPr>
              <w:t>201</w:t>
            </w:r>
            <w:r w:rsidR="00AF70EA">
              <w:rPr>
                <w:rFonts w:ascii="Montserrat" w:eastAsia="Times New Roman" w:hAnsi="Montserrat" w:cs="Calibri"/>
                <w:b/>
                <w:bCs/>
                <w:color w:val="FFFFFF"/>
                <w:sz w:val="16"/>
                <w:szCs w:val="16"/>
                <w:lang w:val="es-MX" w:eastAsia="es-MX"/>
              </w:rPr>
              <w:t>9</w:t>
            </w:r>
          </w:p>
        </w:tc>
        <w:tc>
          <w:tcPr>
            <w:tcW w:w="1800" w:type="dxa"/>
            <w:tcBorders>
              <w:left w:val="single" w:sz="8" w:space="0" w:color="FFFFFF" w:themeColor="background1"/>
              <w:bottom w:val="double" w:sz="12" w:space="0" w:color="808080" w:themeColor="background1" w:themeShade="80"/>
              <w:right w:val="single" w:sz="8" w:space="0" w:color="FFFFFF" w:themeColor="background1"/>
            </w:tcBorders>
            <w:shd w:val="clear" w:color="auto" w:fill="D4C19C"/>
            <w:noWrap/>
            <w:vAlign w:val="center"/>
            <w:hideMark/>
          </w:tcPr>
          <w:p w14:paraId="7C4642C0" w14:textId="77777777" w:rsidR="009C3C24" w:rsidRPr="006F0DF1" w:rsidRDefault="009C3C24" w:rsidP="002F797B">
            <w:pPr>
              <w:spacing w:after="0" w:line="240" w:lineRule="auto"/>
              <w:jc w:val="center"/>
              <w:rPr>
                <w:rFonts w:ascii="Montserrat" w:eastAsia="Times New Roman" w:hAnsi="Montserrat" w:cs="Calibri"/>
                <w:b/>
                <w:bCs/>
                <w:color w:val="FFFFFF"/>
                <w:sz w:val="16"/>
                <w:szCs w:val="16"/>
                <w:lang w:val="es-MX" w:eastAsia="es-MX"/>
              </w:rPr>
            </w:pPr>
            <w:r>
              <w:rPr>
                <w:rFonts w:ascii="Montserrat" w:eastAsia="Times New Roman" w:hAnsi="Montserrat" w:cs="Calibri"/>
                <w:b/>
                <w:bCs/>
                <w:color w:val="FFFFFF"/>
                <w:sz w:val="16"/>
                <w:szCs w:val="16"/>
                <w:lang w:val="es-MX" w:eastAsia="es-MX"/>
              </w:rPr>
              <w:t>201</w:t>
            </w:r>
            <w:r w:rsidR="00AF70EA">
              <w:rPr>
                <w:rFonts w:ascii="Montserrat" w:eastAsia="Times New Roman" w:hAnsi="Montserrat" w:cs="Calibri"/>
                <w:b/>
                <w:bCs/>
                <w:color w:val="FFFFFF"/>
                <w:sz w:val="16"/>
                <w:szCs w:val="16"/>
                <w:lang w:val="es-MX" w:eastAsia="es-MX"/>
              </w:rPr>
              <w:t>8</w:t>
            </w:r>
          </w:p>
        </w:tc>
      </w:tr>
      <w:tr w:rsidR="00D216BF" w:rsidRPr="006F0DF1" w14:paraId="4BA6CE9F" w14:textId="77777777" w:rsidTr="00C8753F">
        <w:trPr>
          <w:trHeight w:val="215"/>
          <w:jc w:val="center"/>
        </w:trPr>
        <w:tc>
          <w:tcPr>
            <w:tcW w:w="4613" w:type="dxa"/>
            <w:tcBorders>
              <w:top w:val="double" w:sz="12" w:space="0" w:color="808080" w:themeColor="background1" w:themeShade="80"/>
            </w:tcBorders>
            <w:shd w:val="clear" w:color="auto" w:fill="F2F2F2" w:themeFill="background1" w:themeFillShade="F2"/>
            <w:noWrap/>
            <w:vAlign w:val="center"/>
            <w:hideMark/>
          </w:tcPr>
          <w:p w14:paraId="5D65BB0A" w14:textId="77777777" w:rsidR="00D216BF" w:rsidRPr="00255081" w:rsidRDefault="00D216BF" w:rsidP="00D216BF">
            <w:pPr>
              <w:spacing w:after="0" w:line="240" w:lineRule="auto"/>
              <w:ind w:left="170"/>
              <w:jc w:val="both"/>
              <w:rPr>
                <w:rFonts w:ascii="Montserrat" w:eastAsia="Times New Roman" w:hAnsi="Montserrat" w:cs="Calibri"/>
                <w:color w:val="000000"/>
                <w:sz w:val="15"/>
                <w:szCs w:val="15"/>
                <w:lang w:val="es-MX" w:eastAsia="es-MX"/>
              </w:rPr>
            </w:pPr>
            <w:r w:rsidRPr="00255081">
              <w:rPr>
                <w:rFonts w:ascii="Montserrat" w:eastAsia="Times New Roman" w:hAnsi="Montserrat" w:cs="Calibri"/>
                <w:color w:val="000000"/>
                <w:sz w:val="15"/>
                <w:szCs w:val="15"/>
                <w:lang w:val="es-MX" w:eastAsia="es-MX"/>
              </w:rPr>
              <w:t>Documentos por Pagar a Largo Plazo</w:t>
            </w:r>
          </w:p>
        </w:tc>
        <w:tc>
          <w:tcPr>
            <w:tcW w:w="1980" w:type="dxa"/>
            <w:tcBorders>
              <w:top w:val="double" w:sz="12" w:space="0" w:color="808080" w:themeColor="background1" w:themeShade="80"/>
            </w:tcBorders>
            <w:shd w:val="clear" w:color="000000" w:fill="F2F2F2"/>
            <w:vAlign w:val="center"/>
          </w:tcPr>
          <w:p w14:paraId="22C55E94" w14:textId="65AF548F" w:rsidR="00D216BF" w:rsidRPr="00255081" w:rsidRDefault="00D216BF" w:rsidP="00D216BF">
            <w:pPr>
              <w:spacing w:after="0" w:line="240" w:lineRule="auto"/>
              <w:jc w:val="right"/>
              <w:rPr>
                <w:rFonts w:ascii="Montserrat" w:eastAsia="Times New Roman" w:hAnsi="Montserrat" w:cs="Calibri"/>
                <w:color w:val="000000"/>
                <w:sz w:val="15"/>
                <w:szCs w:val="15"/>
                <w:lang w:val="es-MX" w:eastAsia="es-MX"/>
              </w:rPr>
            </w:pPr>
            <w:r w:rsidRPr="000F0321">
              <w:rPr>
                <w:rFonts w:ascii="Montserrat" w:hAnsi="Montserrat" w:cs="Arial"/>
                <w:color w:val="000000"/>
                <w:sz w:val="15"/>
                <w:szCs w:val="15"/>
              </w:rPr>
              <w:t>6,527,979,582,859</w:t>
            </w:r>
          </w:p>
        </w:tc>
        <w:tc>
          <w:tcPr>
            <w:tcW w:w="1800" w:type="dxa"/>
            <w:tcBorders>
              <w:top w:val="double" w:sz="12" w:space="0" w:color="808080" w:themeColor="background1" w:themeShade="80"/>
            </w:tcBorders>
            <w:shd w:val="clear" w:color="auto" w:fill="F2F2F2" w:themeFill="background1" w:themeFillShade="F2"/>
            <w:noWrap/>
            <w:vAlign w:val="center"/>
            <w:hideMark/>
          </w:tcPr>
          <w:p w14:paraId="08CA157B" w14:textId="77777777" w:rsidR="00D216BF" w:rsidRPr="00255081" w:rsidRDefault="00D216BF" w:rsidP="00D216BF">
            <w:pPr>
              <w:spacing w:after="0" w:line="240" w:lineRule="auto"/>
              <w:jc w:val="right"/>
              <w:rPr>
                <w:rFonts w:ascii="Montserrat" w:eastAsia="Times New Roman" w:hAnsi="Montserrat" w:cs="Calibri"/>
                <w:color w:val="000000"/>
                <w:sz w:val="15"/>
                <w:szCs w:val="15"/>
                <w:lang w:val="es-MX" w:eastAsia="es-MX"/>
              </w:rPr>
            </w:pPr>
            <w:r w:rsidRPr="00255081">
              <w:rPr>
                <w:rFonts w:ascii="Montserrat" w:eastAsia="Times New Roman" w:hAnsi="Montserrat" w:cs="Calibri"/>
                <w:color w:val="000000"/>
                <w:sz w:val="15"/>
                <w:szCs w:val="15"/>
                <w:lang w:val="es-MX" w:eastAsia="es-MX"/>
              </w:rPr>
              <w:t>5,460,953,870,384</w:t>
            </w:r>
          </w:p>
        </w:tc>
      </w:tr>
      <w:tr w:rsidR="00D216BF" w:rsidRPr="006F0DF1" w14:paraId="43BFD9A0" w14:textId="77777777" w:rsidTr="00C8753F">
        <w:trPr>
          <w:trHeight w:val="215"/>
          <w:jc w:val="center"/>
        </w:trPr>
        <w:tc>
          <w:tcPr>
            <w:tcW w:w="4613" w:type="dxa"/>
            <w:tcBorders>
              <w:top w:val="nil"/>
            </w:tcBorders>
            <w:shd w:val="clear" w:color="auto" w:fill="F2F2F2" w:themeFill="background1" w:themeFillShade="F2"/>
            <w:noWrap/>
            <w:vAlign w:val="center"/>
            <w:hideMark/>
          </w:tcPr>
          <w:p w14:paraId="595199C7" w14:textId="77777777" w:rsidR="00D216BF" w:rsidRPr="00255081" w:rsidRDefault="00D216BF" w:rsidP="00D216BF">
            <w:pPr>
              <w:spacing w:after="0" w:line="240" w:lineRule="auto"/>
              <w:ind w:left="170"/>
              <w:jc w:val="both"/>
              <w:rPr>
                <w:rFonts w:ascii="Montserrat" w:eastAsia="Times New Roman" w:hAnsi="Montserrat" w:cs="Calibri"/>
                <w:color w:val="000000"/>
                <w:sz w:val="15"/>
                <w:szCs w:val="15"/>
                <w:lang w:val="es-MX" w:eastAsia="es-MX"/>
              </w:rPr>
            </w:pPr>
            <w:r w:rsidRPr="00255081">
              <w:rPr>
                <w:rFonts w:ascii="Montserrat" w:eastAsia="Times New Roman" w:hAnsi="Montserrat" w:cs="Calibri"/>
                <w:color w:val="000000"/>
                <w:sz w:val="15"/>
                <w:szCs w:val="15"/>
                <w:lang w:val="es-MX" w:eastAsia="es-MX"/>
              </w:rPr>
              <w:t>Deuda Pública a Largo Plazo</w:t>
            </w:r>
          </w:p>
        </w:tc>
        <w:tc>
          <w:tcPr>
            <w:tcW w:w="1980" w:type="dxa"/>
            <w:tcBorders>
              <w:top w:val="nil"/>
            </w:tcBorders>
            <w:shd w:val="clear" w:color="000000" w:fill="F2F2F2"/>
            <w:vAlign w:val="center"/>
          </w:tcPr>
          <w:p w14:paraId="2A855657" w14:textId="7653CB51" w:rsidR="00D216BF" w:rsidRPr="00255081" w:rsidRDefault="00D216BF" w:rsidP="00D216BF">
            <w:pPr>
              <w:spacing w:after="0" w:line="240" w:lineRule="auto"/>
              <w:jc w:val="right"/>
              <w:rPr>
                <w:rFonts w:ascii="Montserrat" w:eastAsia="Times New Roman" w:hAnsi="Montserrat" w:cs="Calibri"/>
                <w:color w:val="000000"/>
                <w:sz w:val="15"/>
                <w:szCs w:val="15"/>
                <w:lang w:val="es-MX" w:eastAsia="es-MX"/>
              </w:rPr>
            </w:pPr>
            <w:r w:rsidRPr="000F0321">
              <w:rPr>
                <w:rFonts w:ascii="Montserrat" w:hAnsi="Montserrat" w:cs="Arial"/>
                <w:color w:val="000000"/>
                <w:sz w:val="15"/>
                <w:szCs w:val="15"/>
              </w:rPr>
              <w:t>8,648,237,066,409</w:t>
            </w:r>
          </w:p>
        </w:tc>
        <w:tc>
          <w:tcPr>
            <w:tcW w:w="1800" w:type="dxa"/>
            <w:tcBorders>
              <w:top w:val="nil"/>
            </w:tcBorders>
            <w:shd w:val="clear" w:color="auto" w:fill="F2F2F2" w:themeFill="background1" w:themeFillShade="F2"/>
            <w:noWrap/>
            <w:vAlign w:val="center"/>
            <w:hideMark/>
          </w:tcPr>
          <w:p w14:paraId="584E026C" w14:textId="77777777" w:rsidR="00D216BF" w:rsidRPr="00255081" w:rsidRDefault="00D216BF" w:rsidP="00D216BF">
            <w:pPr>
              <w:spacing w:after="0" w:line="240" w:lineRule="auto"/>
              <w:jc w:val="right"/>
              <w:rPr>
                <w:rFonts w:ascii="Montserrat" w:eastAsia="Times New Roman" w:hAnsi="Montserrat" w:cs="Calibri"/>
                <w:color w:val="000000"/>
                <w:sz w:val="15"/>
                <w:szCs w:val="15"/>
                <w:lang w:val="es-MX" w:eastAsia="es-MX"/>
              </w:rPr>
            </w:pPr>
            <w:r w:rsidRPr="00255081">
              <w:rPr>
                <w:rFonts w:ascii="Montserrat" w:eastAsia="Times New Roman" w:hAnsi="Montserrat" w:cs="Calibri"/>
                <w:color w:val="000000"/>
                <w:sz w:val="15"/>
                <w:szCs w:val="15"/>
                <w:lang w:val="es-MX" w:eastAsia="es-MX"/>
              </w:rPr>
              <w:t>8,828,022,128,955</w:t>
            </w:r>
          </w:p>
        </w:tc>
      </w:tr>
      <w:tr w:rsidR="00D216BF" w:rsidRPr="006F0DF1" w14:paraId="165C7048" w14:textId="77777777" w:rsidTr="00C8753F">
        <w:trPr>
          <w:trHeight w:val="215"/>
          <w:jc w:val="center"/>
        </w:trPr>
        <w:tc>
          <w:tcPr>
            <w:tcW w:w="4613" w:type="dxa"/>
            <w:tcBorders>
              <w:top w:val="nil"/>
            </w:tcBorders>
            <w:shd w:val="clear" w:color="auto" w:fill="F2F2F2" w:themeFill="background1" w:themeFillShade="F2"/>
            <w:noWrap/>
            <w:vAlign w:val="center"/>
            <w:hideMark/>
          </w:tcPr>
          <w:p w14:paraId="320CBAA6" w14:textId="77777777" w:rsidR="00D216BF" w:rsidRPr="00255081" w:rsidRDefault="00D216BF" w:rsidP="00D216BF">
            <w:pPr>
              <w:spacing w:after="0" w:line="240" w:lineRule="auto"/>
              <w:ind w:left="170"/>
              <w:jc w:val="both"/>
              <w:rPr>
                <w:rFonts w:ascii="Montserrat" w:eastAsia="Times New Roman" w:hAnsi="Montserrat" w:cs="Calibri"/>
                <w:color w:val="000000"/>
                <w:sz w:val="15"/>
                <w:szCs w:val="15"/>
                <w:lang w:val="es-MX" w:eastAsia="es-MX"/>
              </w:rPr>
            </w:pPr>
            <w:r w:rsidRPr="00255081">
              <w:rPr>
                <w:rFonts w:ascii="Montserrat" w:eastAsia="Times New Roman" w:hAnsi="Montserrat" w:cs="Calibri"/>
                <w:color w:val="000000"/>
                <w:sz w:val="15"/>
                <w:szCs w:val="15"/>
                <w:lang w:val="es-MX" w:eastAsia="es-MX"/>
              </w:rPr>
              <w:t>Pasivos Diferidos a Largo Plazo</w:t>
            </w:r>
          </w:p>
        </w:tc>
        <w:tc>
          <w:tcPr>
            <w:tcW w:w="1980" w:type="dxa"/>
            <w:tcBorders>
              <w:top w:val="nil"/>
            </w:tcBorders>
            <w:shd w:val="clear" w:color="000000" w:fill="F2F2F2"/>
            <w:vAlign w:val="center"/>
          </w:tcPr>
          <w:p w14:paraId="2D613EE2" w14:textId="7D1A3D2C" w:rsidR="00D216BF" w:rsidRPr="00255081" w:rsidRDefault="00D216BF" w:rsidP="00D216BF">
            <w:pPr>
              <w:spacing w:after="0" w:line="240" w:lineRule="auto"/>
              <w:jc w:val="right"/>
              <w:rPr>
                <w:rFonts w:ascii="Montserrat" w:eastAsia="Times New Roman" w:hAnsi="Montserrat" w:cs="Calibri"/>
                <w:color w:val="000000"/>
                <w:sz w:val="15"/>
                <w:szCs w:val="15"/>
                <w:lang w:val="es-MX" w:eastAsia="es-MX"/>
              </w:rPr>
            </w:pPr>
            <w:r w:rsidRPr="000F0321">
              <w:rPr>
                <w:rFonts w:ascii="Montserrat" w:hAnsi="Montserrat" w:cs="Arial"/>
                <w:color w:val="000000"/>
                <w:sz w:val="15"/>
                <w:szCs w:val="15"/>
              </w:rPr>
              <w:t>49,585,679</w:t>
            </w:r>
          </w:p>
        </w:tc>
        <w:tc>
          <w:tcPr>
            <w:tcW w:w="1800" w:type="dxa"/>
            <w:tcBorders>
              <w:top w:val="nil"/>
            </w:tcBorders>
            <w:shd w:val="clear" w:color="auto" w:fill="F2F2F2" w:themeFill="background1" w:themeFillShade="F2"/>
            <w:noWrap/>
            <w:vAlign w:val="center"/>
            <w:hideMark/>
          </w:tcPr>
          <w:p w14:paraId="06B63002" w14:textId="77777777" w:rsidR="00D216BF" w:rsidRPr="00255081" w:rsidRDefault="00D216BF" w:rsidP="00D216BF">
            <w:pPr>
              <w:spacing w:after="0" w:line="240" w:lineRule="auto"/>
              <w:jc w:val="right"/>
              <w:rPr>
                <w:rFonts w:ascii="Montserrat" w:eastAsia="Times New Roman" w:hAnsi="Montserrat" w:cs="Calibri"/>
                <w:color w:val="000000"/>
                <w:sz w:val="15"/>
                <w:szCs w:val="15"/>
                <w:lang w:val="es-MX" w:eastAsia="es-MX"/>
              </w:rPr>
            </w:pPr>
            <w:r w:rsidRPr="00255081">
              <w:rPr>
                <w:rFonts w:ascii="Montserrat" w:eastAsia="Times New Roman" w:hAnsi="Montserrat" w:cs="Calibri"/>
                <w:color w:val="000000"/>
                <w:sz w:val="15"/>
                <w:szCs w:val="15"/>
                <w:lang w:val="es-MX" w:eastAsia="es-MX"/>
              </w:rPr>
              <w:t>49,585,679</w:t>
            </w:r>
          </w:p>
        </w:tc>
      </w:tr>
      <w:tr w:rsidR="00D216BF" w:rsidRPr="006F0DF1" w14:paraId="1A176C44" w14:textId="77777777" w:rsidTr="00C8753F">
        <w:trPr>
          <w:trHeight w:val="215"/>
          <w:jc w:val="center"/>
        </w:trPr>
        <w:tc>
          <w:tcPr>
            <w:tcW w:w="4613" w:type="dxa"/>
            <w:tcBorders>
              <w:top w:val="nil"/>
            </w:tcBorders>
            <w:shd w:val="clear" w:color="auto" w:fill="F2F2F2" w:themeFill="background1" w:themeFillShade="F2"/>
            <w:noWrap/>
            <w:vAlign w:val="center"/>
            <w:hideMark/>
          </w:tcPr>
          <w:p w14:paraId="734C2C6E" w14:textId="77777777" w:rsidR="00D216BF" w:rsidRPr="00255081" w:rsidRDefault="00D216BF" w:rsidP="00D216BF">
            <w:pPr>
              <w:spacing w:after="0" w:line="240" w:lineRule="auto"/>
              <w:ind w:left="170"/>
              <w:jc w:val="both"/>
              <w:rPr>
                <w:rFonts w:ascii="Montserrat" w:eastAsia="Times New Roman" w:hAnsi="Montserrat" w:cs="Calibri"/>
                <w:color w:val="000000"/>
                <w:sz w:val="15"/>
                <w:szCs w:val="15"/>
                <w:lang w:val="es-MX" w:eastAsia="es-MX"/>
              </w:rPr>
            </w:pPr>
            <w:r w:rsidRPr="00255081">
              <w:rPr>
                <w:rFonts w:ascii="Montserrat" w:eastAsia="Times New Roman" w:hAnsi="Montserrat" w:cs="Calibri"/>
                <w:color w:val="000000"/>
                <w:sz w:val="15"/>
                <w:szCs w:val="15"/>
                <w:lang w:val="es-MX" w:eastAsia="es-MX"/>
              </w:rPr>
              <w:t>Fondos y Bienes de Terceros en Garantía y/o en Administración a Largo Plazo</w:t>
            </w:r>
          </w:p>
        </w:tc>
        <w:tc>
          <w:tcPr>
            <w:tcW w:w="1980" w:type="dxa"/>
            <w:tcBorders>
              <w:top w:val="nil"/>
            </w:tcBorders>
            <w:shd w:val="clear" w:color="000000" w:fill="F2F2F2"/>
            <w:vAlign w:val="center"/>
          </w:tcPr>
          <w:p w14:paraId="4C517398" w14:textId="7E52DCEB" w:rsidR="00D216BF" w:rsidRPr="00255081" w:rsidRDefault="00D216BF" w:rsidP="00D216BF">
            <w:pPr>
              <w:spacing w:after="0" w:line="240" w:lineRule="auto"/>
              <w:jc w:val="right"/>
              <w:rPr>
                <w:rFonts w:ascii="Montserrat" w:eastAsia="Times New Roman" w:hAnsi="Montserrat" w:cs="Calibri"/>
                <w:color w:val="000000"/>
                <w:sz w:val="15"/>
                <w:szCs w:val="15"/>
                <w:lang w:val="es-MX" w:eastAsia="es-MX"/>
              </w:rPr>
            </w:pPr>
            <w:r w:rsidRPr="000F0321">
              <w:rPr>
                <w:rFonts w:ascii="Montserrat" w:hAnsi="Montserrat" w:cs="Arial"/>
                <w:color w:val="000000"/>
                <w:sz w:val="15"/>
                <w:szCs w:val="15"/>
              </w:rPr>
              <w:t>10,039,585,705</w:t>
            </w:r>
          </w:p>
        </w:tc>
        <w:tc>
          <w:tcPr>
            <w:tcW w:w="1800" w:type="dxa"/>
            <w:tcBorders>
              <w:top w:val="nil"/>
            </w:tcBorders>
            <w:shd w:val="clear" w:color="auto" w:fill="F2F2F2" w:themeFill="background1" w:themeFillShade="F2"/>
            <w:noWrap/>
            <w:vAlign w:val="center"/>
            <w:hideMark/>
          </w:tcPr>
          <w:p w14:paraId="6BCC5CF7" w14:textId="77777777" w:rsidR="00D216BF" w:rsidRPr="00255081" w:rsidRDefault="00D216BF" w:rsidP="00D216BF">
            <w:pPr>
              <w:spacing w:after="0" w:line="240" w:lineRule="auto"/>
              <w:jc w:val="right"/>
              <w:rPr>
                <w:rFonts w:ascii="Montserrat" w:eastAsia="Times New Roman" w:hAnsi="Montserrat" w:cs="Calibri"/>
                <w:color w:val="000000"/>
                <w:sz w:val="15"/>
                <w:szCs w:val="15"/>
                <w:lang w:val="es-MX" w:eastAsia="es-MX"/>
              </w:rPr>
            </w:pPr>
            <w:r w:rsidRPr="00255081">
              <w:rPr>
                <w:rFonts w:ascii="Montserrat" w:eastAsia="Times New Roman" w:hAnsi="Montserrat" w:cs="Calibri"/>
                <w:color w:val="000000"/>
                <w:sz w:val="15"/>
                <w:szCs w:val="15"/>
                <w:lang w:val="es-MX" w:eastAsia="es-MX"/>
              </w:rPr>
              <w:t>10,039,585,704</w:t>
            </w:r>
          </w:p>
        </w:tc>
      </w:tr>
      <w:tr w:rsidR="00D216BF" w:rsidRPr="006F0DF1" w14:paraId="7AAF4124" w14:textId="77777777" w:rsidTr="00C8753F">
        <w:trPr>
          <w:trHeight w:val="215"/>
          <w:jc w:val="center"/>
        </w:trPr>
        <w:tc>
          <w:tcPr>
            <w:tcW w:w="4613" w:type="dxa"/>
            <w:tcBorders>
              <w:bottom w:val="single" w:sz="12" w:space="0" w:color="808080" w:themeColor="background1" w:themeShade="80"/>
            </w:tcBorders>
            <w:shd w:val="clear" w:color="auto" w:fill="F2F2F2" w:themeFill="background1" w:themeFillShade="F2"/>
            <w:noWrap/>
            <w:vAlign w:val="center"/>
            <w:hideMark/>
          </w:tcPr>
          <w:p w14:paraId="0FA11BFC" w14:textId="77777777" w:rsidR="00D216BF" w:rsidRPr="00255081" w:rsidRDefault="00D216BF" w:rsidP="00D216BF">
            <w:pPr>
              <w:spacing w:after="0" w:line="240" w:lineRule="auto"/>
              <w:ind w:left="170"/>
              <w:jc w:val="right"/>
              <w:rPr>
                <w:rFonts w:ascii="Montserrat" w:eastAsia="Times New Roman" w:hAnsi="Montserrat" w:cs="Calibri"/>
                <w:b/>
                <w:bCs/>
                <w:color w:val="000000"/>
                <w:sz w:val="15"/>
                <w:szCs w:val="15"/>
                <w:lang w:val="es-MX" w:eastAsia="es-MX"/>
              </w:rPr>
            </w:pPr>
            <w:r w:rsidRPr="00255081">
              <w:rPr>
                <w:rFonts w:ascii="Montserrat" w:eastAsia="Times New Roman" w:hAnsi="Montserrat" w:cs="Calibri"/>
                <w:b/>
                <w:bCs/>
                <w:color w:val="000000"/>
                <w:sz w:val="15"/>
                <w:szCs w:val="15"/>
                <w:lang w:val="es-MX" w:eastAsia="es-MX"/>
              </w:rPr>
              <w:t>Total Pasivo No Circulante</w:t>
            </w:r>
          </w:p>
        </w:tc>
        <w:tc>
          <w:tcPr>
            <w:tcW w:w="1980" w:type="dxa"/>
            <w:tcBorders>
              <w:bottom w:val="single" w:sz="12" w:space="0" w:color="808080" w:themeColor="background1" w:themeShade="80"/>
            </w:tcBorders>
            <w:shd w:val="clear" w:color="000000" w:fill="F2F2F2"/>
            <w:vAlign w:val="center"/>
          </w:tcPr>
          <w:p w14:paraId="32BB5DA0" w14:textId="3921EDDF" w:rsidR="00D216BF" w:rsidRPr="00255081" w:rsidRDefault="00D216BF" w:rsidP="00D216BF">
            <w:pPr>
              <w:spacing w:after="0" w:line="240" w:lineRule="auto"/>
              <w:jc w:val="right"/>
              <w:rPr>
                <w:rFonts w:ascii="Montserrat" w:hAnsi="Montserrat" w:cs="Calibri"/>
                <w:b/>
                <w:bCs/>
                <w:sz w:val="15"/>
                <w:szCs w:val="15"/>
              </w:rPr>
            </w:pPr>
            <w:r w:rsidRPr="000F0321">
              <w:rPr>
                <w:rFonts w:ascii="Montserrat" w:hAnsi="Montserrat" w:cs="Arial"/>
                <w:b/>
                <w:bCs/>
                <w:color w:val="000000"/>
                <w:sz w:val="15"/>
                <w:szCs w:val="15"/>
              </w:rPr>
              <w:t>15,186,305,820,652</w:t>
            </w:r>
          </w:p>
        </w:tc>
        <w:tc>
          <w:tcPr>
            <w:tcW w:w="1800" w:type="dxa"/>
            <w:tcBorders>
              <w:bottom w:val="single" w:sz="12" w:space="0" w:color="808080" w:themeColor="background1" w:themeShade="80"/>
            </w:tcBorders>
            <w:shd w:val="clear" w:color="auto" w:fill="F2F2F2" w:themeFill="background1" w:themeFillShade="F2"/>
            <w:noWrap/>
            <w:vAlign w:val="center"/>
            <w:hideMark/>
          </w:tcPr>
          <w:p w14:paraId="59039D1D" w14:textId="77777777" w:rsidR="00D216BF" w:rsidRPr="00255081" w:rsidRDefault="00D216BF" w:rsidP="00D216BF">
            <w:pPr>
              <w:spacing w:after="0" w:line="240" w:lineRule="auto"/>
              <w:jc w:val="right"/>
              <w:rPr>
                <w:rFonts w:ascii="Montserrat" w:hAnsi="Montserrat" w:cs="Calibri"/>
                <w:b/>
                <w:bCs/>
                <w:sz w:val="15"/>
                <w:szCs w:val="15"/>
              </w:rPr>
            </w:pPr>
            <w:r w:rsidRPr="00255081">
              <w:rPr>
                <w:rFonts w:ascii="Montserrat" w:hAnsi="Montserrat" w:cs="Calibri"/>
                <w:b/>
                <w:bCs/>
                <w:sz w:val="15"/>
                <w:szCs w:val="15"/>
              </w:rPr>
              <w:t>14,299,065,170,722</w:t>
            </w:r>
          </w:p>
        </w:tc>
      </w:tr>
    </w:tbl>
    <w:p w14:paraId="3062F997" w14:textId="77777777" w:rsidR="00263314" w:rsidRDefault="00263314" w:rsidP="00263314">
      <w:pPr>
        <w:spacing w:after="0" w:line="240" w:lineRule="auto"/>
        <w:jc w:val="both"/>
        <w:rPr>
          <w:rFonts w:ascii="Montserrat" w:hAnsi="Montserrat" w:cs="Arial"/>
          <w:spacing w:val="-1"/>
          <w:sz w:val="18"/>
          <w:szCs w:val="18"/>
        </w:rPr>
      </w:pPr>
    </w:p>
    <w:p w14:paraId="3ED80048" w14:textId="40DC5AD5" w:rsidR="00F36D96" w:rsidRDefault="00F36D96" w:rsidP="00263314">
      <w:pPr>
        <w:spacing w:after="0" w:line="240" w:lineRule="auto"/>
        <w:jc w:val="both"/>
        <w:rPr>
          <w:rFonts w:ascii="Montserrat" w:hAnsi="Montserrat" w:cs="Arial"/>
          <w:spacing w:val="-1"/>
          <w:sz w:val="18"/>
          <w:szCs w:val="18"/>
        </w:rPr>
      </w:pPr>
    </w:p>
    <w:p w14:paraId="600DE4E7" w14:textId="77777777" w:rsidR="009C3C24" w:rsidRPr="00DD0D81" w:rsidRDefault="009C3C24" w:rsidP="00AD4885">
      <w:pPr>
        <w:pStyle w:val="Prrafodelista"/>
        <w:numPr>
          <w:ilvl w:val="0"/>
          <w:numId w:val="14"/>
        </w:numPr>
        <w:spacing w:before="120" w:after="120" w:line="250" w:lineRule="exact"/>
        <w:ind w:left="714" w:hanging="357"/>
        <w:jc w:val="both"/>
        <w:rPr>
          <w:rFonts w:ascii="Montserrat" w:hAnsi="Montserrat" w:cs="Arial"/>
          <w:spacing w:val="-1"/>
          <w:sz w:val="18"/>
          <w:szCs w:val="18"/>
        </w:rPr>
      </w:pPr>
      <w:r w:rsidRPr="00DD0D81">
        <w:rPr>
          <w:rFonts w:ascii="Montserrat" w:hAnsi="Montserrat" w:cs="Arial"/>
          <w:spacing w:val="-1"/>
          <w:sz w:val="18"/>
          <w:szCs w:val="18"/>
        </w:rPr>
        <w:t>Documentos por Pagar a Largo Plazo</w:t>
      </w:r>
    </w:p>
    <w:p w14:paraId="101363F6" w14:textId="77777777" w:rsidR="009C3C24" w:rsidRPr="00063579" w:rsidRDefault="009C3C24" w:rsidP="00063579">
      <w:pPr>
        <w:spacing w:after="120" w:line="250" w:lineRule="exact"/>
        <w:jc w:val="both"/>
        <w:rPr>
          <w:rFonts w:ascii="Montserrat" w:hAnsi="Montserrat"/>
          <w:sz w:val="18"/>
          <w:szCs w:val="18"/>
        </w:rPr>
      </w:pPr>
      <w:r w:rsidRPr="00063579">
        <w:rPr>
          <w:rFonts w:ascii="Montserrat" w:hAnsi="Montserrat"/>
          <w:sz w:val="18"/>
          <w:szCs w:val="18"/>
        </w:rPr>
        <w:t>Destaca en este rubro las obligaciones internas contraídas por el ente público, mediante bonos, títulos y valores de la deuda pública interna, destinados a la regulación monetaria con vencimiento en un plazo mayor a doce meses.</w:t>
      </w:r>
    </w:p>
    <w:p w14:paraId="52EE9960" w14:textId="33113E82" w:rsidR="009C3C24" w:rsidRDefault="009C3C24" w:rsidP="00063579">
      <w:pPr>
        <w:spacing w:after="120" w:line="250" w:lineRule="exact"/>
        <w:jc w:val="both"/>
        <w:rPr>
          <w:rFonts w:ascii="Montserrat" w:hAnsi="Montserrat"/>
          <w:sz w:val="18"/>
          <w:szCs w:val="18"/>
        </w:rPr>
      </w:pPr>
      <w:r w:rsidRPr="00063579">
        <w:rPr>
          <w:rFonts w:ascii="Montserrat" w:hAnsi="Montserrat"/>
          <w:sz w:val="18"/>
          <w:szCs w:val="18"/>
        </w:rPr>
        <w:t xml:space="preserve">El concepto Bonos y Títulos Destinados a Regulación Monetaria a LP es la subcuenta contable </w:t>
      </w:r>
      <w:r w:rsidR="00D06797">
        <w:rPr>
          <w:rFonts w:ascii="Montserrat" w:hAnsi="Montserrat"/>
          <w:sz w:val="18"/>
          <w:szCs w:val="18"/>
        </w:rPr>
        <w:t>de pasivo en la que se registra</w:t>
      </w:r>
      <w:r w:rsidRPr="00063579">
        <w:rPr>
          <w:rFonts w:ascii="Montserrat" w:hAnsi="Montserrat"/>
          <w:sz w:val="18"/>
          <w:szCs w:val="18"/>
        </w:rPr>
        <w:t xml:space="preserve"> el valor nominal de los siguientes instrumentos:</w:t>
      </w:r>
    </w:p>
    <w:p w14:paraId="3427BF89" w14:textId="77777777" w:rsidR="00F86C1F" w:rsidRDefault="00F86C1F" w:rsidP="00063579">
      <w:pPr>
        <w:spacing w:after="120" w:line="250" w:lineRule="exact"/>
        <w:jc w:val="both"/>
        <w:rPr>
          <w:rFonts w:ascii="Montserrat" w:hAnsi="Montserrat"/>
          <w:sz w:val="18"/>
          <w:szCs w:val="18"/>
        </w:rPr>
      </w:pPr>
    </w:p>
    <w:p w14:paraId="73EBA9EE" w14:textId="77777777" w:rsidR="00F86C1F" w:rsidRDefault="00F86C1F" w:rsidP="00063579">
      <w:pPr>
        <w:spacing w:after="120" w:line="250" w:lineRule="exact"/>
        <w:jc w:val="both"/>
        <w:rPr>
          <w:rFonts w:ascii="Montserrat" w:hAnsi="Montserrat"/>
          <w:sz w:val="18"/>
          <w:szCs w:val="18"/>
        </w:rPr>
      </w:pPr>
    </w:p>
    <w:p w14:paraId="32E31463" w14:textId="77777777" w:rsidR="00F86C1F" w:rsidRDefault="00F86C1F" w:rsidP="00063579">
      <w:pPr>
        <w:spacing w:after="120" w:line="250" w:lineRule="exact"/>
        <w:jc w:val="both"/>
        <w:rPr>
          <w:rFonts w:ascii="Montserrat" w:hAnsi="Montserrat"/>
          <w:sz w:val="18"/>
          <w:szCs w:val="18"/>
        </w:rPr>
      </w:pPr>
    </w:p>
    <w:p w14:paraId="0CF02EB4" w14:textId="77777777" w:rsidR="00263314" w:rsidRPr="00263314" w:rsidRDefault="00263314" w:rsidP="00263314">
      <w:pPr>
        <w:spacing w:after="0" w:line="240" w:lineRule="auto"/>
        <w:jc w:val="both"/>
        <w:rPr>
          <w:rFonts w:ascii="Montserrat" w:hAnsi="Montserrat" w:cs="Arial"/>
          <w:spacing w:val="-1"/>
          <w:sz w:val="18"/>
          <w:szCs w:val="18"/>
        </w:rPr>
      </w:pPr>
    </w:p>
    <w:p w14:paraId="753C5633" w14:textId="77777777" w:rsidR="009C3C24" w:rsidRPr="00936371" w:rsidRDefault="009C3C24" w:rsidP="00E52592">
      <w:pPr>
        <w:spacing w:after="60" w:line="250" w:lineRule="exact"/>
        <w:ind w:left="709"/>
        <w:jc w:val="center"/>
        <w:rPr>
          <w:rFonts w:ascii="Montserrat" w:hAnsi="Montserrat" w:cs="Arial"/>
          <w:spacing w:val="-1"/>
          <w:sz w:val="18"/>
          <w:szCs w:val="18"/>
        </w:rPr>
      </w:pPr>
      <w:r w:rsidRPr="00936371">
        <w:rPr>
          <w:rFonts w:ascii="Montserrat" w:eastAsia="Times New Roman" w:hAnsi="Montserrat" w:cs="Calibri"/>
          <w:bCs/>
          <w:sz w:val="16"/>
          <w:szCs w:val="16"/>
          <w:lang w:val="es-MX" w:eastAsia="es-MX"/>
        </w:rPr>
        <w:lastRenderedPageBreak/>
        <w:t>(Pesos)</w:t>
      </w:r>
    </w:p>
    <w:tbl>
      <w:tblPr>
        <w:tblW w:w="9416" w:type="dxa"/>
        <w:jc w:val="center"/>
        <w:tblCellMar>
          <w:left w:w="70" w:type="dxa"/>
          <w:right w:w="70" w:type="dxa"/>
        </w:tblCellMar>
        <w:tblLook w:val="04A0" w:firstRow="1" w:lastRow="0" w:firstColumn="1" w:lastColumn="0" w:noHBand="0" w:noVBand="1"/>
      </w:tblPr>
      <w:tblGrid>
        <w:gridCol w:w="3960"/>
        <w:gridCol w:w="1260"/>
        <w:gridCol w:w="2098"/>
        <w:gridCol w:w="2098"/>
      </w:tblGrid>
      <w:tr w:rsidR="00C4519E" w:rsidRPr="006F0DF1" w14:paraId="44622BBB" w14:textId="77777777" w:rsidTr="00CC40D5">
        <w:trPr>
          <w:trHeight w:val="57"/>
          <w:jc w:val="center"/>
        </w:trPr>
        <w:tc>
          <w:tcPr>
            <w:tcW w:w="9416" w:type="dxa"/>
            <w:gridSpan w:val="4"/>
            <w:tcBorders>
              <w:top w:val="single" w:sz="12" w:space="0" w:color="808080" w:themeColor="background1" w:themeShade="80"/>
            </w:tcBorders>
            <w:shd w:val="clear" w:color="auto" w:fill="auto"/>
            <w:noWrap/>
            <w:vAlign w:val="center"/>
          </w:tcPr>
          <w:p w14:paraId="26C3E62E" w14:textId="77777777" w:rsidR="00C4519E" w:rsidRPr="00BC0F30" w:rsidRDefault="00C4519E" w:rsidP="002F797B">
            <w:pPr>
              <w:spacing w:after="0" w:line="240" w:lineRule="auto"/>
              <w:jc w:val="center"/>
              <w:rPr>
                <w:rFonts w:ascii="Montserrat" w:eastAsia="Times New Roman" w:hAnsi="Montserrat" w:cs="Calibri"/>
                <w:b/>
                <w:bCs/>
                <w:color w:val="FFFFFF"/>
                <w:sz w:val="4"/>
                <w:szCs w:val="4"/>
                <w:lang w:val="es-MX" w:eastAsia="es-MX"/>
              </w:rPr>
            </w:pPr>
          </w:p>
        </w:tc>
      </w:tr>
      <w:tr w:rsidR="009C3C24" w:rsidRPr="006F0DF1" w14:paraId="5273E685" w14:textId="77777777" w:rsidTr="00263314">
        <w:trPr>
          <w:trHeight w:val="317"/>
          <w:jc w:val="center"/>
        </w:trPr>
        <w:tc>
          <w:tcPr>
            <w:tcW w:w="3960" w:type="dxa"/>
            <w:tcBorders>
              <w:left w:val="single" w:sz="8" w:space="0" w:color="FFFFFF" w:themeColor="background1"/>
              <w:bottom w:val="double" w:sz="12" w:space="0" w:color="808080" w:themeColor="background1" w:themeShade="80"/>
              <w:right w:val="single" w:sz="8" w:space="0" w:color="FFFFFF" w:themeColor="background1"/>
            </w:tcBorders>
            <w:shd w:val="clear" w:color="auto" w:fill="D4C19C"/>
            <w:noWrap/>
            <w:vAlign w:val="center"/>
            <w:hideMark/>
          </w:tcPr>
          <w:p w14:paraId="0534878B" w14:textId="77777777" w:rsidR="009C3C24" w:rsidRPr="006F0DF1" w:rsidRDefault="009C3C24" w:rsidP="002F797B">
            <w:pPr>
              <w:spacing w:after="0" w:line="240" w:lineRule="auto"/>
              <w:jc w:val="center"/>
              <w:rPr>
                <w:rFonts w:ascii="Montserrat" w:eastAsia="Times New Roman" w:hAnsi="Montserrat" w:cs="Calibri"/>
                <w:b/>
                <w:bCs/>
                <w:color w:val="FFFFFF"/>
                <w:sz w:val="16"/>
                <w:szCs w:val="16"/>
                <w:lang w:val="es-MX" w:eastAsia="es-MX"/>
              </w:rPr>
            </w:pPr>
            <w:r w:rsidRPr="006F0DF1">
              <w:rPr>
                <w:rFonts w:ascii="Montserrat" w:eastAsia="Times New Roman" w:hAnsi="Montserrat" w:cs="Calibri"/>
                <w:b/>
                <w:bCs/>
                <w:color w:val="FFFFFF"/>
                <w:sz w:val="16"/>
                <w:szCs w:val="16"/>
                <w:lang w:val="es-MX" w:eastAsia="es-MX"/>
              </w:rPr>
              <w:t>Tipo de Instrumento</w:t>
            </w:r>
          </w:p>
        </w:tc>
        <w:tc>
          <w:tcPr>
            <w:tcW w:w="1260" w:type="dxa"/>
            <w:tcBorders>
              <w:left w:val="single" w:sz="8" w:space="0" w:color="FFFFFF" w:themeColor="background1"/>
              <w:bottom w:val="double" w:sz="12" w:space="0" w:color="808080" w:themeColor="background1" w:themeShade="80"/>
              <w:right w:val="single" w:sz="8" w:space="0" w:color="FFFFFF" w:themeColor="background1"/>
            </w:tcBorders>
            <w:shd w:val="clear" w:color="auto" w:fill="D4C19C"/>
            <w:vAlign w:val="center"/>
            <w:hideMark/>
          </w:tcPr>
          <w:p w14:paraId="4B409478" w14:textId="77777777" w:rsidR="009C3C24" w:rsidRPr="006F0DF1" w:rsidRDefault="009C3C24" w:rsidP="002F797B">
            <w:pPr>
              <w:spacing w:after="0" w:line="240" w:lineRule="auto"/>
              <w:jc w:val="center"/>
              <w:rPr>
                <w:rFonts w:ascii="Montserrat" w:eastAsia="Times New Roman" w:hAnsi="Montserrat" w:cs="Calibri"/>
                <w:b/>
                <w:bCs/>
                <w:color w:val="FFFFFF"/>
                <w:sz w:val="16"/>
                <w:szCs w:val="16"/>
                <w:lang w:val="es-MX" w:eastAsia="es-MX"/>
              </w:rPr>
            </w:pPr>
            <w:r w:rsidRPr="006F0DF1">
              <w:rPr>
                <w:rFonts w:ascii="Montserrat" w:eastAsia="Times New Roman" w:hAnsi="Montserrat" w:cs="Calibri"/>
                <w:b/>
                <w:bCs/>
                <w:color w:val="FFFFFF"/>
                <w:sz w:val="16"/>
                <w:szCs w:val="16"/>
                <w:lang w:val="es-MX" w:eastAsia="es-MX"/>
              </w:rPr>
              <w:t>Siglas</w:t>
            </w:r>
          </w:p>
        </w:tc>
        <w:tc>
          <w:tcPr>
            <w:tcW w:w="2098" w:type="dxa"/>
            <w:tcBorders>
              <w:left w:val="single" w:sz="8" w:space="0" w:color="FFFFFF" w:themeColor="background1"/>
              <w:bottom w:val="double" w:sz="12" w:space="0" w:color="808080" w:themeColor="background1" w:themeShade="80"/>
              <w:right w:val="single" w:sz="8" w:space="0" w:color="FFFFFF" w:themeColor="background1"/>
            </w:tcBorders>
            <w:shd w:val="clear" w:color="auto" w:fill="D4C19C"/>
            <w:noWrap/>
            <w:vAlign w:val="center"/>
            <w:hideMark/>
          </w:tcPr>
          <w:p w14:paraId="078CA98C" w14:textId="77777777" w:rsidR="009C3C24" w:rsidRPr="006F0DF1" w:rsidRDefault="009C3C24" w:rsidP="00AF70EA">
            <w:pPr>
              <w:spacing w:after="0" w:line="240" w:lineRule="auto"/>
              <w:jc w:val="center"/>
              <w:rPr>
                <w:rFonts w:ascii="Montserrat" w:eastAsia="Times New Roman" w:hAnsi="Montserrat" w:cs="Calibri"/>
                <w:b/>
                <w:bCs/>
                <w:color w:val="FFFFFF"/>
                <w:sz w:val="16"/>
                <w:szCs w:val="16"/>
                <w:lang w:val="es-MX" w:eastAsia="es-MX"/>
              </w:rPr>
            </w:pPr>
            <w:r>
              <w:rPr>
                <w:rFonts w:ascii="Montserrat" w:eastAsia="Times New Roman" w:hAnsi="Montserrat" w:cs="Calibri"/>
                <w:b/>
                <w:bCs/>
                <w:color w:val="FFFFFF"/>
                <w:sz w:val="16"/>
                <w:szCs w:val="16"/>
                <w:lang w:val="es-MX" w:eastAsia="es-MX"/>
              </w:rPr>
              <w:t>201</w:t>
            </w:r>
            <w:r w:rsidR="00AF70EA">
              <w:rPr>
                <w:rFonts w:ascii="Montserrat" w:eastAsia="Times New Roman" w:hAnsi="Montserrat" w:cs="Calibri"/>
                <w:b/>
                <w:bCs/>
                <w:color w:val="FFFFFF"/>
                <w:sz w:val="16"/>
                <w:szCs w:val="16"/>
                <w:lang w:val="es-MX" w:eastAsia="es-MX"/>
              </w:rPr>
              <w:t>9</w:t>
            </w:r>
          </w:p>
        </w:tc>
        <w:tc>
          <w:tcPr>
            <w:tcW w:w="2098" w:type="dxa"/>
            <w:tcBorders>
              <w:left w:val="single" w:sz="8" w:space="0" w:color="FFFFFF" w:themeColor="background1"/>
              <w:bottom w:val="double" w:sz="12" w:space="0" w:color="808080" w:themeColor="background1" w:themeShade="80"/>
              <w:right w:val="single" w:sz="8" w:space="0" w:color="FFFFFF" w:themeColor="background1"/>
            </w:tcBorders>
            <w:shd w:val="clear" w:color="auto" w:fill="D4C19C"/>
            <w:noWrap/>
            <w:vAlign w:val="center"/>
            <w:hideMark/>
          </w:tcPr>
          <w:p w14:paraId="3A510D31" w14:textId="77777777" w:rsidR="009C3C24" w:rsidRPr="006F0DF1" w:rsidRDefault="009C3C24" w:rsidP="002F797B">
            <w:pPr>
              <w:spacing w:after="0" w:line="240" w:lineRule="auto"/>
              <w:jc w:val="center"/>
              <w:rPr>
                <w:rFonts w:ascii="Montserrat" w:eastAsia="Times New Roman" w:hAnsi="Montserrat" w:cs="Calibri"/>
                <w:b/>
                <w:bCs/>
                <w:color w:val="FFFFFF"/>
                <w:sz w:val="16"/>
                <w:szCs w:val="16"/>
                <w:lang w:val="es-MX" w:eastAsia="es-MX"/>
              </w:rPr>
            </w:pPr>
            <w:r>
              <w:rPr>
                <w:rFonts w:ascii="Montserrat" w:eastAsia="Times New Roman" w:hAnsi="Montserrat" w:cs="Calibri"/>
                <w:b/>
                <w:bCs/>
                <w:color w:val="FFFFFF"/>
                <w:sz w:val="16"/>
                <w:szCs w:val="16"/>
                <w:lang w:val="es-MX" w:eastAsia="es-MX"/>
              </w:rPr>
              <w:t>201</w:t>
            </w:r>
            <w:r w:rsidR="00AF70EA">
              <w:rPr>
                <w:rFonts w:ascii="Montserrat" w:eastAsia="Times New Roman" w:hAnsi="Montserrat" w:cs="Calibri"/>
                <w:b/>
                <w:bCs/>
                <w:color w:val="FFFFFF"/>
                <w:sz w:val="16"/>
                <w:szCs w:val="16"/>
                <w:lang w:val="es-MX" w:eastAsia="es-MX"/>
              </w:rPr>
              <w:t>8</w:t>
            </w:r>
          </w:p>
        </w:tc>
      </w:tr>
      <w:tr w:rsidR="00F31319" w:rsidRPr="006F0DF1" w14:paraId="647C3EFA" w14:textId="77777777" w:rsidTr="00556DB3">
        <w:trPr>
          <w:trHeight w:val="215"/>
          <w:jc w:val="center"/>
        </w:trPr>
        <w:tc>
          <w:tcPr>
            <w:tcW w:w="3960" w:type="dxa"/>
            <w:tcBorders>
              <w:top w:val="double" w:sz="12" w:space="0" w:color="808080" w:themeColor="background1" w:themeShade="80"/>
            </w:tcBorders>
            <w:shd w:val="clear" w:color="auto" w:fill="F2F2F2" w:themeFill="background1" w:themeFillShade="F2"/>
            <w:vAlign w:val="center"/>
            <w:hideMark/>
          </w:tcPr>
          <w:p w14:paraId="435F4E5D" w14:textId="77777777" w:rsidR="00F31319" w:rsidRPr="00255081" w:rsidRDefault="00F31319" w:rsidP="00F31319">
            <w:pPr>
              <w:spacing w:after="0" w:line="240" w:lineRule="auto"/>
              <w:ind w:left="170"/>
              <w:rPr>
                <w:rFonts w:ascii="Montserrat" w:eastAsia="Times New Roman" w:hAnsi="Montserrat" w:cs="Calibri"/>
                <w:color w:val="000000"/>
                <w:sz w:val="15"/>
                <w:szCs w:val="15"/>
                <w:lang w:val="es-MX" w:eastAsia="es-MX"/>
              </w:rPr>
            </w:pPr>
            <w:r w:rsidRPr="00255081">
              <w:rPr>
                <w:rFonts w:ascii="Montserrat" w:eastAsia="Times New Roman" w:hAnsi="Montserrat" w:cs="Calibri"/>
                <w:color w:val="000000"/>
                <w:sz w:val="15"/>
                <w:szCs w:val="15"/>
                <w:lang w:val="es-MX" w:eastAsia="es-MX"/>
              </w:rPr>
              <w:t xml:space="preserve">Certificados de la Tesorería </w:t>
            </w:r>
          </w:p>
        </w:tc>
        <w:tc>
          <w:tcPr>
            <w:tcW w:w="1260" w:type="dxa"/>
            <w:tcBorders>
              <w:top w:val="double" w:sz="12" w:space="0" w:color="808080" w:themeColor="background1" w:themeShade="80"/>
            </w:tcBorders>
            <w:shd w:val="clear" w:color="auto" w:fill="F2F2F2" w:themeFill="background1" w:themeFillShade="F2"/>
            <w:vAlign w:val="center"/>
            <w:hideMark/>
          </w:tcPr>
          <w:p w14:paraId="3A4E1BA7" w14:textId="77777777" w:rsidR="00F31319" w:rsidRPr="00255081" w:rsidRDefault="00F31319" w:rsidP="00F31319">
            <w:pPr>
              <w:spacing w:after="0" w:line="240" w:lineRule="auto"/>
              <w:rPr>
                <w:rFonts w:ascii="Montserrat" w:eastAsia="Times New Roman" w:hAnsi="Montserrat" w:cs="Calibri"/>
                <w:color w:val="000000"/>
                <w:sz w:val="15"/>
                <w:szCs w:val="15"/>
                <w:lang w:val="es-MX" w:eastAsia="es-MX"/>
              </w:rPr>
            </w:pPr>
            <w:r w:rsidRPr="00255081">
              <w:rPr>
                <w:rFonts w:ascii="Montserrat" w:eastAsia="Times New Roman" w:hAnsi="Montserrat" w:cs="Calibri"/>
                <w:color w:val="000000"/>
                <w:sz w:val="15"/>
                <w:szCs w:val="15"/>
                <w:lang w:val="es-MX" w:eastAsia="es-MX"/>
              </w:rPr>
              <w:t>CETES</w:t>
            </w:r>
          </w:p>
        </w:tc>
        <w:tc>
          <w:tcPr>
            <w:tcW w:w="2098" w:type="dxa"/>
            <w:tcBorders>
              <w:top w:val="double" w:sz="12" w:space="0" w:color="808080" w:themeColor="background1" w:themeShade="80"/>
            </w:tcBorders>
            <w:shd w:val="clear" w:color="auto" w:fill="F2F2F2" w:themeFill="background1" w:themeFillShade="F2"/>
            <w:vAlign w:val="center"/>
          </w:tcPr>
          <w:p w14:paraId="6187B5A6" w14:textId="16752AEA" w:rsidR="00F31319" w:rsidRPr="00255081" w:rsidRDefault="00F31319" w:rsidP="00F31319">
            <w:pPr>
              <w:spacing w:after="0" w:line="240" w:lineRule="auto"/>
              <w:jc w:val="right"/>
              <w:rPr>
                <w:rFonts w:ascii="Montserrat" w:eastAsia="Times New Roman" w:hAnsi="Montserrat" w:cs="Calibri"/>
                <w:sz w:val="15"/>
                <w:szCs w:val="15"/>
                <w:lang w:eastAsia="es-MX"/>
              </w:rPr>
            </w:pPr>
            <w:r w:rsidRPr="000F0321">
              <w:rPr>
                <w:rFonts w:ascii="Montserrat" w:hAnsi="Montserrat" w:cs="Arial"/>
                <w:color w:val="000000"/>
                <w:sz w:val="15"/>
                <w:szCs w:val="15"/>
              </w:rPr>
              <w:t>2,290,000,000,000</w:t>
            </w:r>
          </w:p>
        </w:tc>
        <w:tc>
          <w:tcPr>
            <w:tcW w:w="2098" w:type="dxa"/>
            <w:tcBorders>
              <w:top w:val="double" w:sz="12" w:space="0" w:color="808080" w:themeColor="background1" w:themeShade="80"/>
            </w:tcBorders>
            <w:shd w:val="clear" w:color="auto" w:fill="F2F2F2" w:themeFill="background1" w:themeFillShade="F2"/>
            <w:vAlign w:val="center"/>
            <w:hideMark/>
          </w:tcPr>
          <w:p w14:paraId="2E50954C" w14:textId="77777777" w:rsidR="00F31319" w:rsidRPr="00255081" w:rsidRDefault="00F31319" w:rsidP="00F31319">
            <w:pPr>
              <w:spacing w:after="0" w:line="240" w:lineRule="auto"/>
              <w:jc w:val="right"/>
              <w:rPr>
                <w:rFonts w:ascii="Montserrat" w:eastAsia="Times New Roman" w:hAnsi="Montserrat" w:cs="Calibri"/>
                <w:sz w:val="15"/>
                <w:szCs w:val="15"/>
                <w:lang w:eastAsia="es-MX"/>
              </w:rPr>
            </w:pPr>
            <w:r w:rsidRPr="00255081">
              <w:rPr>
                <w:rFonts w:ascii="Montserrat" w:eastAsia="Times New Roman" w:hAnsi="Montserrat" w:cs="Calibri"/>
                <w:sz w:val="15"/>
                <w:szCs w:val="15"/>
                <w:lang w:eastAsia="es-MX"/>
              </w:rPr>
              <w:t>2,190,000,000,000</w:t>
            </w:r>
          </w:p>
        </w:tc>
      </w:tr>
      <w:tr w:rsidR="00F31319" w:rsidRPr="006F0DF1" w14:paraId="574014C3" w14:textId="77777777" w:rsidTr="00556DB3">
        <w:trPr>
          <w:trHeight w:val="215"/>
          <w:jc w:val="center"/>
        </w:trPr>
        <w:tc>
          <w:tcPr>
            <w:tcW w:w="3960" w:type="dxa"/>
            <w:shd w:val="clear" w:color="auto" w:fill="F2F2F2" w:themeFill="background1" w:themeFillShade="F2"/>
            <w:vAlign w:val="center"/>
            <w:hideMark/>
          </w:tcPr>
          <w:p w14:paraId="0D88E9C5" w14:textId="77777777" w:rsidR="00F31319" w:rsidRPr="00255081" w:rsidRDefault="00F31319" w:rsidP="00F31319">
            <w:pPr>
              <w:spacing w:after="0" w:line="240" w:lineRule="auto"/>
              <w:ind w:left="170"/>
              <w:rPr>
                <w:rFonts w:ascii="Montserrat" w:eastAsia="Times New Roman" w:hAnsi="Montserrat" w:cs="Calibri"/>
                <w:color w:val="000000"/>
                <w:sz w:val="15"/>
                <w:szCs w:val="15"/>
                <w:lang w:val="es-MX" w:eastAsia="es-MX"/>
              </w:rPr>
            </w:pPr>
            <w:r w:rsidRPr="00255081">
              <w:rPr>
                <w:rFonts w:ascii="Montserrat" w:eastAsia="Times New Roman" w:hAnsi="Montserrat" w:cs="Calibri"/>
                <w:color w:val="000000"/>
                <w:sz w:val="15"/>
                <w:szCs w:val="15"/>
                <w:lang w:val="es-MX" w:eastAsia="es-MX"/>
              </w:rPr>
              <w:t>Bonos de Desarrollo del Gobierno Federal</w:t>
            </w:r>
          </w:p>
        </w:tc>
        <w:tc>
          <w:tcPr>
            <w:tcW w:w="1260" w:type="dxa"/>
            <w:shd w:val="clear" w:color="auto" w:fill="F2F2F2" w:themeFill="background1" w:themeFillShade="F2"/>
            <w:vAlign w:val="center"/>
            <w:hideMark/>
          </w:tcPr>
          <w:p w14:paraId="587CE216" w14:textId="77777777" w:rsidR="00F31319" w:rsidRPr="00255081" w:rsidRDefault="00F31319" w:rsidP="00F31319">
            <w:pPr>
              <w:spacing w:after="0" w:line="240" w:lineRule="auto"/>
              <w:rPr>
                <w:rFonts w:ascii="Montserrat" w:eastAsia="Times New Roman" w:hAnsi="Montserrat" w:cs="Calibri"/>
                <w:color w:val="000000"/>
                <w:sz w:val="15"/>
                <w:szCs w:val="15"/>
                <w:lang w:val="es-MX" w:eastAsia="es-MX"/>
              </w:rPr>
            </w:pPr>
            <w:r w:rsidRPr="00255081">
              <w:rPr>
                <w:rFonts w:ascii="Montserrat" w:eastAsia="Times New Roman" w:hAnsi="Montserrat" w:cs="Calibri"/>
                <w:color w:val="000000"/>
                <w:sz w:val="15"/>
                <w:szCs w:val="15"/>
                <w:lang w:val="es-MX" w:eastAsia="es-MX"/>
              </w:rPr>
              <w:t>BONDES</w:t>
            </w:r>
          </w:p>
        </w:tc>
        <w:tc>
          <w:tcPr>
            <w:tcW w:w="2098" w:type="dxa"/>
            <w:shd w:val="clear" w:color="auto" w:fill="F2F2F2" w:themeFill="background1" w:themeFillShade="F2"/>
            <w:vAlign w:val="center"/>
          </w:tcPr>
          <w:p w14:paraId="49FA56AF" w14:textId="00559C78" w:rsidR="00F31319" w:rsidRPr="00255081" w:rsidRDefault="00F31319" w:rsidP="00F31319">
            <w:pPr>
              <w:spacing w:after="0" w:line="240" w:lineRule="auto"/>
              <w:jc w:val="right"/>
              <w:rPr>
                <w:rFonts w:ascii="Montserrat" w:eastAsia="Times New Roman" w:hAnsi="Montserrat" w:cs="Calibri"/>
                <w:sz w:val="15"/>
                <w:szCs w:val="15"/>
                <w:lang w:eastAsia="es-MX"/>
              </w:rPr>
            </w:pPr>
            <w:r w:rsidRPr="000F0321">
              <w:rPr>
                <w:rFonts w:ascii="Montserrat" w:hAnsi="Montserrat" w:cs="Arial"/>
                <w:color w:val="000000"/>
                <w:sz w:val="15"/>
                <w:szCs w:val="15"/>
              </w:rPr>
              <w:t>2,800,000,000,000</w:t>
            </w:r>
          </w:p>
        </w:tc>
        <w:tc>
          <w:tcPr>
            <w:tcW w:w="2098" w:type="dxa"/>
            <w:shd w:val="clear" w:color="auto" w:fill="F2F2F2" w:themeFill="background1" w:themeFillShade="F2"/>
            <w:vAlign w:val="center"/>
            <w:hideMark/>
          </w:tcPr>
          <w:p w14:paraId="23DC589C" w14:textId="77777777" w:rsidR="00F31319" w:rsidRPr="00255081" w:rsidRDefault="00F31319" w:rsidP="00F31319">
            <w:pPr>
              <w:spacing w:after="0" w:line="240" w:lineRule="auto"/>
              <w:jc w:val="right"/>
              <w:rPr>
                <w:rFonts w:ascii="Montserrat" w:eastAsia="Times New Roman" w:hAnsi="Montserrat" w:cs="Calibri"/>
                <w:sz w:val="15"/>
                <w:szCs w:val="15"/>
                <w:lang w:eastAsia="es-MX"/>
              </w:rPr>
            </w:pPr>
            <w:r w:rsidRPr="00255081">
              <w:rPr>
                <w:rFonts w:ascii="Montserrat" w:eastAsia="Times New Roman" w:hAnsi="Montserrat" w:cs="Calibri"/>
                <w:sz w:val="15"/>
                <w:szCs w:val="15"/>
                <w:lang w:eastAsia="es-MX"/>
              </w:rPr>
              <w:t>2,050,000,000,000</w:t>
            </w:r>
          </w:p>
        </w:tc>
      </w:tr>
      <w:tr w:rsidR="00F31319" w:rsidRPr="006F0DF1" w14:paraId="1A5A0A4C" w14:textId="77777777" w:rsidTr="00556DB3">
        <w:trPr>
          <w:trHeight w:val="215"/>
          <w:jc w:val="center"/>
        </w:trPr>
        <w:tc>
          <w:tcPr>
            <w:tcW w:w="3960" w:type="dxa"/>
            <w:shd w:val="clear" w:color="auto" w:fill="F2F2F2" w:themeFill="background1" w:themeFillShade="F2"/>
            <w:vAlign w:val="center"/>
            <w:hideMark/>
          </w:tcPr>
          <w:p w14:paraId="5069709A" w14:textId="77777777" w:rsidR="00F31319" w:rsidRPr="00255081" w:rsidRDefault="00F31319" w:rsidP="00F31319">
            <w:pPr>
              <w:spacing w:after="0" w:line="240" w:lineRule="auto"/>
              <w:ind w:left="170"/>
              <w:rPr>
                <w:rFonts w:ascii="Montserrat" w:eastAsia="Times New Roman" w:hAnsi="Montserrat" w:cs="Calibri"/>
                <w:color w:val="000000"/>
                <w:sz w:val="15"/>
                <w:szCs w:val="15"/>
                <w:lang w:val="es-MX" w:eastAsia="es-MX"/>
              </w:rPr>
            </w:pPr>
            <w:r w:rsidRPr="00255081">
              <w:rPr>
                <w:rFonts w:ascii="Montserrat" w:eastAsia="Times New Roman" w:hAnsi="Montserrat" w:cs="Calibri"/>
                <w:color w:val="000000"/>
                <w:sz w:val="15"/>
                <w:szCs w:val="15"/>
                <w:lang w:val="es-MX" w:eastAsia="es-MX"/>
              </w:rPr>
              <w:t>Bonos Gubernamentales a Tasa Fija</w:t>
            </w:r>
          </w:p>
        </w:tc>
        <w:tc>
          <w:tcPr>
            <w:tcW w:w="1260" w:type="dxa"/>
            <w:shd w:val="clear" w:color="auto" w:fill="F2F2F2" w:themeFill="background1" w:themeFillShade="F2"/>
            <w:vAlign w:val="center"/>
            <w:hideMark/>
          </w:tcPr>
          <w:p w14:paraId="7811B622" w14:textId="77777777" w:rsidR="00F31319" w:rsidRPr="00255081" w:rsidRDefault="00F31319" w:rsidP="00F31319">
            <w:pPr>
              <w:spacing w:after="0" w:line="240" w:lineRule="auto"/>
              <w:rPr>
                <w:rFonts w:ascii="Montserrat" w:eastAsia="Times New Roman" w:hAnsi="Montserrat" w:cs="Calibri"/>
                <w:color w:val="000000"/>
                <w:sz w:val="15"/>
                <w:szCs w:val="15"/>
                <w:lang w:val="es-MX" w:eastAsia="es-MX"/>
              </w:rPr>
            </w:pPr>
            <w:r w:rsidRPr="00255081">
              <w:rPr>
                <w:rFonts w:ascii="Montserrat" w:eastAsia="Times New Roman" w:hAnsi="Montserrat" w:cs="Calibri"/>
                <w:color w:val="000000"/>
                <w:sz w:val="15"/>
                <w:szCs w:val="15"/>
                <w:lang w:val="es-MX" w:eastAsia="es-MX"/>
              </w:rPr>
              <w:t>BONOS M</w:t>
            </w:r>
          </w:p>
        </w:tc>
        <w:tc>
          <w:tcPr>
            <w:tcW w:w="2098" w:type="dxa"/>
            <w:shd w:val="clear" w:color="auto" w:fill="F2F2F2" w:themeFill="background1" w:themeFillShade="F2"/>
            <w:vAlign w:val="center"/>
          </w:tcPr>
          <w:p w14:paraId="5A852FA9" w14:textId="3BF42E85" w:rsidR="00F31319" w:rsidRPr="00255081" w:rsidRDefault="00F31319" w:rsidP="00F31319">
            <w:pPr>
              <w:spacing w:after="0" w:line="240" w:lineRule="auto"/>
              <w:jc w:val="right"/>
              <w:rPr>
                <w:rFonts w:ascii="Montserrat" w:eastAsia="Times New Roman" w:hAnsi="Montserrat" w:cs="Calibri"/>
                <w:sz w:val="15"/>
                <w:szCs w:val="15"/>
                <w:lang w:eastAsia="es-MX"/>
              </w:rPr>
            </w:pPr>
            <w:r w:rsidRPr="000F0321">
              <w:rPr>
                <w:rFonts w:ascii="Montserrat" w:hAnsi="Montserrat" w:cs="Arial"/>
                <w:color w:val="000000"/>
                <w:sz w:val="15"/>
                <w:szCs w:val="15"/>
              </w:rPr>
              <w:t>230,000,000,000</w:t>
            </w:r>
          </w:p>
        </w:tc>
        <w:tc>
          <w:tcPr>
            <w:tcW w:w="2098" w:type="dxa"/>
            <w:shd w:val="clear" w:color="auto" w:fill="F2F2F2" w:themeFill="background1" w:themeFillShade="F2"/>
            <w:vAlign w:val="center"/>
            <w:hideMark/>
          </w:tcPr>
          <w:p w14:paraId="4282433B" w14:textId="77777777" w:rsidR="00F31319" w:rsidRPr="00255081" w:rsidRDefault="00F31319" w:rsidP="00F31319">
            <w:pPr>
              <w:spacing w:after="0" w:line="240" w:lineRule="auto"/>
              <w:jc w:val="right"/>
              <w:rPr>
                <w:rFonts w:ascii="Montserrat" w:eastAsia="Times New Roman" w:hAnsi="Montserrat" w:cs="Calibri"/>
                <w:sz w:val="15"/>
                <w:szCs w:val="15"/>
                <w:lang w:eastAsia="es-MX"/>
              </w:rPr>
            </w:pPr>
            <w:r w:rsidRPr="00255081">
              <w:rPr>
                <w:rFonts w:ascii="Montserrat" w:eastAsia="Times New Roman" w:hAnsi="Montserrat" w:cs="Calibri"/>
                <w:sz w:val="15"/>
                <w:szCs w:val="15"/>
                <w:lang w:eastAsia="es-MX"/>
              </w:rPr>
              <w:t>210,000,000,000</w:t>
            </w:r>
          </w:p>
        </w:tc>
      </w:tr>
      <w:tr w:rsidR="00F31319" w:rsidRPr="006F0DF1" w14:paraId="69261448" w14:textId="77777777" w:rsidTr="00556DB3">
        <w:trPr>
          <w:trHeight w:val="215"/>
          <w:jc w:val="center"/>
        </w:trPr>
        <w:tc>
          <w:tcPr>
            <w:tcW w:w="3960" w:type="dxa"/>
            <w:shd w:val="clear" w:color="auto" w:fill="F2F2F2" w:themeFill="background1" w:themeFillShade="F2"/>
            <w:vAlign w:val="center"/>
            <w:hideMark/>
          </w:tcPr>
          <w:p w14:paraId="0B49D39D" w14:textId="77777777" w:rsidR="00F31319" w:rsidRPr="00255081" w:rsidRDefault="00F31319" w:rsidP="00F31319">
            <w:pPr>
              <w:spacing w:after="0" w:line="240" w:lineRule="auto"/>
              <w:ind w:left="170"/>
              <w:rPr>
                <w:rFonts w:ascii="Montserrat" w:eastAsia="Times New Roman" w:hAnsi="Montserrat" w:cs="Calibri"/>
                <w:color w:val="000000"/>
                <w:sz w:val="15"/>
                <w:szCs w:val="15"/>
                <w:lang w:val="es-MX" w:eastAsia="es-MX"/>
              </w:rPr>
            </w:pPr>
            <w:r w:rsidRPr="00255081">
              <w:rPr>
                <w:rFonts w:ascii="Montserrat" w:eastAsia="Times New Roman" w:hAnsi="Montserrat" w:cs="Calibri"/>
                <w:color w:val="000000"/>
                <w:sz w:val="15"/>
                <w:szCs w:val="15"/>
                <w:lang w:val="es-MX" w:eastAsia="es-MX"/>
              </w:rPr>
              <w:t>UDIBONOS</w:t>
            </w:r>
          </w:p>
        </w:tc>
        <w:tc>
          <w:tcPr>
            <w:tcW w:w="1260" w:type="dxa"/>
            <w:shd w:val="clear" w:color="auto" w:fill="F2F2F2" w:themeFill="background1" w:themeFillShade="F2"/>
            <w:vAlign w:val="center"/>
            <w:hideMark/>
          </w:tcPr>
          <w:p w14:paraId="2A47E4E2" w14:textId="77777777" w:rsidR="00F31319" w:rsidRPr="00255081" w:rsidRDefault="00F31319" w:rsidP="00F31319">
            <w:pPr>
              <w:spacing w:after="0" w:line="240" w:lineRule="auto"/>
              <w:rPr>
                <w:rFonts w:ascii="Montserrat" w:eastAsia="Times New Roman" w:hAnsi="Montserrat" w:cs="Calibri"/>
                <w:color w:val="000000"/>
                <w:sz w:val="15"/>
                <w:szCs w:val="15"/>
                <w:lang w:val="es-MX" w:eastAsia="es-MX"/>
              </w:rPr>
            </w:pPr>
            <w:r w:rsidRPr="00255081">
              <w:rPr>
                <w:rFonts w:ascii="Montserrat" w:eastAsia="Times New Roman" w:hAnsi="Montserrat" w:cs="Calibri"/>
                <w:color w:val="000000"/>
                <w:sz w:val="15"/>
                <w:szCs w:val="15"/>
                <w:lang w:val="es-MX" w:eastAsia="es-MX"/>
              </w:rPr>
              <w:t>UDIBONOS</w:t>
            </w:r>
          </w:p>
        </w:tc>
        <w:tc>
          <w:tcPr>
            <w:tcW w:w="2098" w:type="dxa"/>
            <w:shd w:val="clear" w:color="auto" w:fill="F2F2F2" w:themeFill="background1" w:themeFillShade="F2"/>
            <w:vAlign w:val="center"/>
          </w:tcPr>
          <w:p w14:paraId="23248A72" w14:textId="0AAC74DE" w:rsidR="00F31319" w:rsidRPr="00255081" w:rsidRDefault="00F31319" w:rsidP="00F31319">
            <w:pPr>
              <w:spacing w:after="0" w:line="240" w:lineRule="auto"/>
              <w:jc w:val="right"/>
              <w:rPr>
                <w:rFonts w:ascii="Montserrat" w:eastAsia="Times New Roman" w:hAnsi="Montserrat" w:cs="Calibri"/>
                <w:sz w:val="15"/>
                <w:szCs w:val="15"/>
                <w:lang w:eastAsia="es-MX"/>
              </w:rPr>
            </w:pPr>
            <w:r w:rsidRPr="000F0321">
              <w:rPr>
                <w:rFonts w:ascii="Montserrat" w:hAnsi="Montserrat" w:cs="Arial"/>
                <w:color w:val="000000"/>
                <w:sz w:val="15"/>
                <w:szCs w:val="15"/>
              </w:rPr>
              <w:t>1,162,061,668,800</w:t>
            </w:r>
          </w:p>
        </w:tc>
        <w:tc>
          <w:tcPr>
            <w:tcW w:w="2098" w:type="dxa"/>
            <w:shd w:val="clear" w:color="auto" w:fill="F2F2F2" w:themeFill="background1" w:themeFillShade="F2"/>
            <w:vAlign w:val="center"/>
            <w:hideMark/>
          </w:tcPr>
          <w:p w14:paraId="4BDFF0CF" w14:textId="77777777" w:rsidR="00F31319" w:rsidRPr="00255081" w:rsidRDefault="00F31319" w:rsidP="00F31319">
            <w:pPr>
              <w:spacing w:after="0" w:line="240" w:lineRule="auto"/>
              <w:jc w:val="right"/>
              <w:rPr>
                <w:rFonts w:ascii="Montserrat" w:eastAsia="Times New Roman" w:hAnsi="Montserrat" w:cs="Calibri"/>
                <w:sz w:val="15"/>
                <w:szCs w:val="15"/>
                <w:lang w:eastAsia="es-MX"/>
              </w:rPr>
            </w:pPr>
            <w:r w:rsidRPr="00255081">
              <w:rPr>
                <w:rFonts w:ascii="Montserrat" w:eastAsia="Times New Roman" w:hAnsi="Montserrat" w:cs="Calibri"/>
                <w:sz w:val="15"/>
                <w:szCs w:val="15"/>
                <w:lang w:eastAsia="es-MX"/>
              </w:rPr>
              <w:t>965,127,805,000</w:t>
            </w:r>
          </w:p>
        </w:tc>
      </w:tr>
      <w:tr w:rsidR="00D216BF" w:rsidRPr="006F0DF1" w14:paraId="4FED7B50" w14:textId="77777777" w:rsidTr="00556DB3">
        <w:trPr>
          <w:trHeight w:val="215"/>
          <w:jc w:val="center"/>
        </w:trPr>
        <w:tc>
          <w:tcPr>
            <w:tcW w:w="3960" w:type="dxa"/>
            <w:shd w:val="clear" w:color="auto" w:fill="F2F2F2" w:themeFill="background1" w:themeFillShade="F2"/>
            <w:vAlign w:val="center"/>
            <w:hideMark/>
          </w:tcPr>
          <w:p w14:paraId="74E4FB40" w14:textId="77777777" w:rsidR="00D216BF" w:rsidRPr="00255081" w:rsidRDefault="00D216BF" w:rsidP="00D216BF">
            <w:pPr>
              <w:spacing w:after="0" w:line="240" w:lineRule="auto"/>
              <w:ind w:left="87"/>
              <w:rPr>
                <w:rFonts w:ascii="Montserrat" w:eastAsia="Times New Roman" w:hAnsi="Montserrat" w:cs="Calibri"/>
                <w:b/>
                <w:bCs/>
                <w:color w:val="000000"/>
                <w:sz w:val="15"/>
                <w:szCs w:val="15"/>
                <w:lang w:val="es-MX" w:eastAsia="es-MX"/>
              </w:rPr>
            </w:pPr>
          </w:p>
          <w:p w14:paraId="0F87B213" w14:textId="77777777" w:rsidR="00D216BF" w:rsidRPr="00255081" w:rsidRDefault="00D216BF" w:rsidP="00D216BF">
            <w:pPr>
              <w:spacing w:after="0" w:line="240" w:lineRule="auto"/>
              <w:rPr>
                <w:rFonts w:ascii="Montserrat" w:eastAsia="Times New Roman" w:hAnsi="Montserrat" w:cs="Calibri"/>
                <w:b/>
                <w:bCs/>
                <w:color w:val="000000"/>
                <w:sz w:val="15"/>
                <w:szCs w:val="15"/>
                <w:lang w:val="es-MX" w:eastAsia="es-MX"/>
              </w:rPr>
            </w:pPr>
            <w:r w:rsidRPr="00255081">
              <w:rPr>
                <w:rFonts w:ascii="Montserrat" w:eastAsia="Times New Roman" w:hAnsi="Montserrat" w:cs="Calibri"/>
                <w:b/>
                <w:bCs/>
                <w:color w:val="000000"/>
                <w:sz w:val="15"/>
                <w:szCs w:val="15"/>
                <w:lang w:val="es-MX" w:eastAsia="es-MX"/>
              </w:rPr>
              <w:t>Bonos y Títulos destinados a Regulación Monetaria</w:t>
            </w:r>
          </w:p>
        </w:tc>
        <w:tc>
          <w:tcPr>
            <w:tcW w:w="1260" w:type="dxa"/>
            <w:shd w:val="clear" w:color="auto" w:fill="F2F2F2" w:themeFill="background1" w:themeFillShade="F2"/>
            <w:vAlign w:val="center"/>
            <w:hideMark/>
          </w:tcPr>
          <w:p w14:paraId="63C74510" w14:textId="77777777" w:rsidR="00D216BF" w:rsidRPr="00255081" w:rsidRDefault="00D216BF" w:rsidP="00D216BF">
            <w:pPr>
              <w:spacing w:after="0" w:line="240" w:lineRule="auto"/>
              <w:jc w:val="right"/>
              <w:rPr>
                <w:rFonts w:ascii="Montserrat" w:eastAsia="Times New Roman" w:hAnsi="Montserrat" w:cs="Calibri"/>
                <w:b/>
                <w:bCs/>
                <w:color w:val="000000"/>
                <w:sz w:val="15"/>
                <w:szCs w:val="15"/>
                <w:lang w:val="es-MX" w:eastAsia="es-MX"/>
              </w:rPr>
            </w:pPr>
            <w:r w:rsidRPr="00255081">
              <w:rPr>
                <w:rFonts w:ascii="Montserrat" w:eastAsia="Times New Roman" w:hAnsi="Montserrat" w:cs="Calibri"/>
                <w:b/>
                <w:bCs/>
                <w:color w:val="000000"/>
                <w:sz w:val="15"/>
                <w:szCs w:val="15"/>
                <w:lang w:val="es-MX" w:eastAsia="es-MX"/>
              </w:rPr>
              <w:t> </w:t>
            </w:r>
          </w:p>
        </w:tc>
        <w:tc>
          <w:tcPr>
            <w:tcW w:w="2098" w:type="dxa"/>
            <w:shd w:val="clear" w:color="auto" w:fill="F2F2F2" w:themeFill="background1" w:themeFillShade="F2"/>
            <w:vAlign w:val="center"/>
          </w:tcPr>
          <w:p w14:paraId="6EB15F8F" w14:textId="23FACDA1" w:rsidR="00D216BF" w:rsidRPr="00255081" w:rsidRDefault="00F31319" w:rsidP="00D216BF">
            <w:pPr>
              <w:spacing w:after="0" w:line="240" w:lineRule="auto"/>
              <w:jc w:val="right"/>
              <w:rPr>
                <w:rFonts w:ascii="Montserrat" w:eastAsia="Times New Roman" w:hAnsi="Montserrat" w:cs="Calibri"/>
                <w:b/>
                <w:bCs/>
                <w:sz w:val="15"/>
                <w:szCs w:val="15"/>
                <w:lang w:eastAsia="es-MX"/>
              </w:rPr>
            </w:pPr>
            <w:r w:rsidRPr="000F0321">
              <w:rPr>
                <w:rFonts w:ascii="Montserrat" w:hAnsi="Montserrat" w:cs="Arial"/>
                <w:b/>
                <w:bCs/>
                <w:color w:val="000000"/>
                <w:sz w:val="15"/>
                <w:szCs w:val="15"/>
              </w:rPr>
              <w:t>6,482,061,668,800</w:t>
            </w:r>
          </w:p>
        </w:tc>
        <w:tc>
          <w:tcPr>
            <w:tcW w:w="2098" w:type="dxa"/>
            <w:shd w:val="clear" w:color="auto" w:fill="F2F2F2" w:themeFill="background1" w:themeFillShade="F2"/>
            <w:vAlign w:val="center"/>
            <w:hideMark/>
          </w:tcPr>
          <w:p w14:paraId="25ABEE9B" w14:textId="77777777" w:rsidR="00D216BF" w:rsidRPr="00255081" w:rsidRDefault="00D216BF" w:rsidP="00D216BF">
            <w:pPr>
              <w:spacing w:after="0" w:line="240" w:lineRule="auto"/>
              <w:jc w:val="right"/>
              <w:rPr>
                <w:rFonts w:ascii="Montserrat" w:eastAsia="Times New Roman" w:hAnsi="Montserrat" w:cs="Calibri"/>
                <w:b/>
                <w:bCs/>
                <w:sz w:val="15"/>
                <w:szCs w:val="15"/>
                <w:lang w:eastAsia="es-MX"/>
              </w:rPr>
            </w:pPr>
            <w:r w:rsidRPr="00255081">
              <w:rPr>
                <w:rFonts w:ascii="Montserrat" w:eastAsia="Times New Roman" w:hAnsi="Montserrat" w:cs="Calibri"/>
                <w:b/>
                <w:bCs/>
                <w:sz w:val="15"/>
                <w:szCs w:val="15"/>
                <w:lang w:eastAsia="es-MX"/>
              </w:rPr>
              <w:t>5,415,127,805,000</w:t>
            </w:r>
          </w:p>
        </w:tc>
      </w:tr>
      <w:tr w:rsidR="00D216BF" w:rsidRPr="006F0DF1" w14:paraId="5A7AC273" w14:textId="77777777" w:rsidTr="00AF70EA">
        <w:trPr>
          <w:trHeight w:val="113"/>
          <w:jc w:val="center"/>
        </w:trPr>
        <w:tc>
          <w:tcPr>
            <w:tcW w:w="3960" w:type="dxa"/>
            <w:shd w:val="clear" w:color="auto" w:fill="F2F2F2" w:themeFill="background1" w:themeFillShade="F2"/>
            <w:vAlign w:val="center"/>
            <w:hideMark/>
          </w:tcPr>
          <w:p w14:paraId="64A07F15" w14:textId="77777777" w:rsidR="00D216BF" w:rsidRPr="00255081" w:rsidRDefault="00D216BF" w:rsidP="00D216BF">
            <w:pPr>
              <w:spacing w:after="0" w:line="240" w:lineRule="auto"/>
              <w:ind w:left="170"/>
              <w:jc w:val="right"/>
              <w:rPr>
                <w:rFonts w:ascii="Montserrat" w:eastAsia="Times New Roman" w:hAnsi="Montserrat" w:cs="Calibri"/>
                <w:color w:val="000000"/>
                <w:sz w:val="15"/>
                <w:szCs w:val="15"/>
                <w:lang w:val="es-MX" w:eastAsia="es-MX"/>
              </w:rPr>
            </w:pPr>
            <w:r w:rsidRPr="00255081">
              <w:rPr>
                <w:rFonts w:ascii="Montserrat" w:eastAsia="Times New Roman" w:hAnsi="Montserrat" w:cs="Calibri"/>
                <w:color w:val="000000"/>
                <w:sz w:val="15"/>
                <w:szCs w:val="15"/>
                <w:lang w:val="es-MX" w:eastAsia="es-MX"/>
              </w:rPr>
              <w:t> </w:t>
            </w:r>
          </w:p>
        </w:tc>
        <w:tc>
          <w:tcPr>
            <w:tcW w:w="1260" w:type="dxa"/>
            <w:shd w:val="clear" w:color="auto" w:fill="F2F2F2" w:themeFill="background1" w:themeFillShade="F2"/>
            <w:vAlign w:val="center"/>
            <w:hideMark/>
          </w:tcPr>
          <w:p w14:paraId="7C382C5B" w14:textId="77777777" w:rsidR="00D216BF" w:rsidRPr="00255081" w:rsidRDefault="00D216BF" w:rsidP="00D216BF">
            <w:pPr>
              <w:spacing w:after="0" w:line="240" w:lineRule="auto"/>
              <w:jc w:val="right"/>
              <w:rPr>
                <w:rFonts w:ascii="Montserrat" w:eastAsia="Times New Roman" w:hAnsi="Montserrat" w:cs="Calibri"/>
                <w:color w:val="000000"/>
                <w:sz w:val="15"/>
                <w:szCs w:val="15"/>
                <w:lang w:val="es-MX" w:eastAsia="es-MX"/>
              </w:rPr>
            </w:pPr>
            <w:r w:rsidRPr="00255081">
              <w:rPr>
                <w:rFonts w:ascii="Montserrat" w:eastAsia="Times New Roman" w:hAnsi="Montserrat" w:cs="Calibri"/>
                <w:color w:val="000000"/>
                <w:sz w:val="15"/>
                <w:szCs w:val="15"/>
                <w:lang w:val="es-MX" w:eastAsia="es-MX"/>
              </w:rPr>
              <w:t> </w:t>
            </w:r>
          </w:p>
        </w:tc>
        <w:tc>
          <w:tcPr>
            <w:tcW w:w="2098" w:type="dxa"/>
            <w:shd w:val="clear" w:color="auto" w:fill="F2F2F2" w:themeFill="background1" w:themeFillShade="F2"/>
            <w:vAlign w:val="center"/>
          </w:tcPr>
          <w:p w14:paraId="120A9633" w14:textId="7C8DB87F" w:rsidR="00D216BF" w:rsidRPr="00255081" w:rsidRDefault="00D216BF" w:rsidP="00D216BF">
            <w:pPr>
              <w:spacing w:after="0" w:line="240" w:lineRule="auto"/>
              <w:jc w:val="right"/>
              <w:rPr>
                <w:rFonts w:ascii="Montserrat" w:eastAsia="Times New Roman" w:hAnsi="Montserrat" w:cs="Calibri"/>
                <w:b/>
                <w:bCs/>
                <w:sz w:val="15"/>
                <w:szCs w:val="15"/>
                <w:lang w:eastAsia="es-MX"/>
              </w:rPr>
            </w:pPr>
            <w:r w:rsidRPr="000F0321">
              <w:rPr>
                <w:rFonts w:ascii="Montserrat" w:hAnsi="Montserrat" w:cs="Arial"/>
                <w:color w:val="000000"/>
                <w:sz w:val="15"/>
                <w:szCs w:val="15"/>
              </w:rPr>
              <w:t> </w:t>
            </w:r>
          </w:p>
        </w:tc>
        <w:tc>
          <w:tcPr>
            <w:tcW w:w="2098" w:type="dxa"/>
            <w:shd w:val="clear" w:color="auto" w:fill="F2F2F2" w:themeFill="background1" w:themeFillShade="F2"/>
            <w:vAlign w:val="center"/>
            <w:hideMark/>
          </w:tcPr>
          <w:p w14:paraId="3B30CED0" w14:textId="77777777" w:rsidR="00D216BF" w:rsidRPr="00255081" w:rsidRDefault="00D216BF" w:rsidP="00D216BF">
            <w:pPr>
              <w:spacing w:after="0" w:line="240" w:lineRule="auto"/>
              <w:jc w:val="right"/>
              <w:rPr>
                <w:rFonts w:ascii="Montserrat" w:eastAsia="Times New Roman" w:hAnsi="Montserrat" w:cs="Calibri"/>
                <w:b/>
                <w:bCs/>
                <w:sz w:val="15"/>
                <w:szCs w:val="15"/>
                <w:lang w:eastAsia="es-MX"/>
              </w:rPr>
            </w:pPr>
            <w:r w:rsidRPr="00255081">
              <w:rPr>
                <w:rFonts w:ascii="Montserrat" w:eastAsia="Times New Roman" w:hAnsi="Montserrat" w:cs="Calibri"/>
                <w:b/>
                <w:bCs/>
                <w:sz w:val="15"/>
                <w:szCs w:val="15"/>
                <w:lang w:eastAsia="es-MX"/>
              </w:rPr>
              <w:t> </w:t>
            </w:r>
          </w:p>
        </w:tc>
      </w:tr>
      <w:tr w:rsidR="00D216BF" w:rsidRPr="006F0DF1" w14:paraId="7435AFAA" w14:textId="77777777" w:rsidTr="00556DB3">
        <w:trPr>
          <w:trHeight w:val="215"/>
          <w:jc w:val="center"/>
        </w:trPr>
        <w:tc>
          <w:tcPr>
            <w:tcW w:w="3960" w:type="dxa"/>
            <w:tcBorders>
              <w:top w:val="nil"/>
            </w:tcBorders>
            <w:shd w:val="clear" w:color="auto" w:fill="F2F2F2" w:themeFill="background1" w:themeFillShade="F2"/>
            <w:vAlign w:val="center"/>
            <w:hideMark/>
          </w:tcPr>
          <w:p w14:paraId="32829B28" w14:textId="77777777" w:rsidR="00D216BF" w:rsidRPr="00255081" w:rsidRDefault="00D216BF" w:rsidP="00D216BF">
            <w:pPr>
              <w:spacing w:after="0" w:line="240" w:lineRule="auto"/>
              <w:jc w:val="both"/>
              <w:rPr>
                <w:rFonts w:ascii="Montserrat" w:eastAsia="Times New Roman" w:hAnsi="Montserrat" w:cs="Calibri"/>
                <w:b/>
                <w:bCs/>
                <w:color w:val="000000"/>
                <w:sz w:val="15"/>
                <w:szCs w:val="15"/>
                <w:lang w:val="es-MX" w:eastAsia="es-MX"/>
              </w:rPr>
            </w:pPr>
            <w:r w:rsidRPr="00255081">
              <w:rPr>
                <w:rFonts w:ascii="Montserrat" w:eastAsia="Times New Roman" w:hAnsi="Montserrat" w:cs="Calibri"/>
                <w:b/>
                <w:bCs/>
                <w:color w:val="000000"/>
                <w:sz w:val="15"/>
                <w:szCs w:val="15"/>
                <w:lang w:val="es-MX" w:eastAsia="es-MX"/>
              </w:rPr>
              <w:t>Otros Documentos por Pagar a Largo Plazo</w:t>
            </w:r>
          </w:p>
        </w:tc>
        <w:tc>
          <w:tcPr>
            <w:tcW w:w="1260" w:type="dxa"/>
            <w:tcBorders>
              <w:top w:val="nil"/>
            </w:tcBorders>
            <w:shd w:val="clear" w:color="auto" w:fill="F2F2F2" w:themeFill="background1" w:themeFillShade="F2"/>
            <w:vAlign w:val="center"/>
            <w:hideMark/>
          </w:tcPr>
          <w:p w14:paraId="57871E27" w14:textId="77777777" w:rsidR="00D216BF" w:rsidRPr="00255081" w:rsidRDefault="00D216BF" w:rsidP="00D216BF">
            <w:pPr>
              <w:spacing w:after="0" w:line="240" w:lineRule="auto"/>
              <w:jc w:val="right"/>
              <w:rPr>
                <w:rFonts w:ascii="Montserrat" w:eastAsia="Times New Roman" w:hAnsi="Montserrat" w:cs="Calibri"/>
                <w:b/>
                <w:bCs/>
                <w:color w:val="000000"/>
                <w:sz w:val="15"/>
                <w:szCs w:val="15"/>
                <w:lang w:val="es-MX" w:eastAsia="es-MX"/>
              </w:rPr>
            </w:pPr>
            <w:r w:rsidRPr="00255081">
              <w:rPr>
                <w:rFonts w:ascii="Montserrat" w:eastAsia="Times New Roman" w:hAnsi="Montserrat" w:cs="Calibri"/>
                <w:b/>
                <w:bCs/>
                <w:color w:val="000000"/>
                <w:sz w:val="15"/>
                <w:szCs w:val="15"/>
                <w:lang w:val="es-MX" w:eastAsia="es-MX"/>
              </w:rPr>
              <w:t> </w:t>
            </w:r>
          </w:p>
        </w:tc>
        <w:tc>
          <w:tcPr>
            <w:tcW w:w="2098" w:type="dxa"/>
            <w:tcBorders>
              <w:top w:val="nil"/>
            </w:tcBorders>
            <w:shd w:val="clear" w:color="auto" w:fill="F2F2F2" w:themeFill="background1" w:themeFillShade="F2"/>
            <w:vAlign w:val="center"/>
          </w:tcPr>
          <w:p w14:paraId="759CA916" w14:textId="4BF3F2E3" w:rsidR="00D216BF" w:rsidRPr="00255081" w:rsidRDefault="00F31319" w:rsidP="00D216BF">
            <w:pPr>
              <w:spacing w:after="0" w:line="240" w:lineRule="auto"/>
              <w:jc w:val="right"/>
              <w:rPr>
                <w:rFonts w:ascii="Montserrat" w:eastAsia="Times New Roman" w:hAnsi="Montserrat" w:cs="Calibri"/>
                <w:b/>
                <w:bCs/>
                <w:sz w:val="15"/>
                <w:szCs w:val="15"/>
                <w:lang w:eastAsia="es-MX"/>
              </w:rPr>
            </w:pPr>
            <w:r w:rsidRPr="000F0321">
              <w:rPr>
                <w:rFonts w:ascii="Montserrat" w:hAnsi="Montserrat" w:cs="Arial"/>
                <w:b/>
                <w:bCs/>
                <w:color w:val="000000"/>
                <w:sz w:val="15"/>
                <w:szCs w:val="15"/>
              </w:rPr>
              <w:t>45,917,914,059</w:t>
            </w:r>
          </w:p>
        </w:tc>
        <w:tc>
          <w:tcPr>
            <w:tcW w:w="2098" w:type="dxa"/>
            <w:tcBorders>
              <w:top w:val="nil"/>
            </w:tcBorders>
            <w:shd w:val="clear" w:color="auto" w:fill="F2F2F2" w:themeFill="background1" w:themeFillShade="F2"/>
            <w:vAlign w:val="center"/>
            <w:hideMark/>
          </w:tcPr>
          <w:p w14:paraId="160FB8EA" w14:textId="77777777" w:rsidR="00D216BF" w:rsidRPr="00255081" w:rsidRDefault="00D216BF" w:rsidP="00D216BF">
            <w:pPr>
              <w:spacing w:after="0" w:line="240" w:lineRule="auto"/>
              <w:jc w:val="right"/>
              <w:rPr>
                <w:rFonts w:ascii="Montserrat" w:eastAsia="Times New Roman" w:hAnsi="Montserrat" w:cs="Calibri"/>
                <w:b/>
                <w:bCs/>
                <w:sz w:val="15"/>
                <w:szCs w:val="15"/>
                <w:lang w:eastAsia="es-MX"/>
              </w:rPr>
            </w:pPr>
            <w:r w:rsidRPr="00255081">
              <w:rPr>
                <w:rFonts w:ascii="Montserrat" w:eastAsia="Times New Roman" w:hAnsi="Montserrat" w:cs="Calibri"/>
                <w:b/>
                <w:bCs/>
                <w:sz w:val="15"/>
                <w:szCs w:val="15"/>
                <w:lang w:eastAsia="es-MX"/>
              </w:rPr>
              <w:t>45,826,065,384</w:t>
            </w:r>
          </w:p>
        </w:tc>
      </w:tr>
      <w:tr w:rsidR="00D216BF" w:rsidRPr="006F0DF1" w14:paraId="170C6C42" w14:textId="77777777" w:rsidTr="00556DB3">
        <w:trPr>
          <w:trHeight w:val="113"/>
          <w:jc w:val="center"/>
        </w:trPr>
        <w:tc>
          <w:tcPr>
            <w:tcW w:w="3960" w:type="dxa"/>
            <w:tcBorders>
              <w:top w:val="nil"/>
            </w:tcBorders>
            <w:shd w:val="clear" w:color="auto" w:fill="F2F2F2" w:themeFill="background1" w:themeFillShade="F2"/>
            <w:vAlign w:val="center"/>
            <w:hideMark/>
          </w:tcPr>
          <w:p w14:paraId="4AA0F19C" w14:textId="77777777" w:rsidR="00D216BF" w:rsidRPr="00255081" w:rsidRDefault="00D216BF" w:rsidP="00D216BF">
            <w:pPr>
              <w:spacing w:after="0" w:line="240" w:lineRule="auto"/>
              <w:ind w:left="170"/>
              <w:jc w:val="right"/>
              <w:rPr>
                <w:rFonts w:ascii="Montserrat" w:eastAsia="Times New Roman" w:hAnsi="Montserrat" w:cs="Calibri"/>
                <w:color w:val="000000"/>
                <w:sz w:val="15"/>
                <w:szCs w:val="15"/>
                <w:lang w:val="es-MX" w:eastAsia="es-MX"/>
              </w:rPr>
            </w:pPr>
            <w:r w:rsidRPr="00255081">
              <w:rPr>
                <w:rFonts w:ascii="Montserrat" w:eastAsia="Times New Roman" w:hAnsi="Montserrat" w:cs="Calibri"/>
                <w:color w:val="000000"/>
                <w:sz w:val="15"/>
                <w:szCs w:val="15"/>
                <w:lang w:val="es-MX" w:eastAsia="es-MX"/>
              </w:rPr>
              <w:t> </w:t>
            </w:r>
          </w:p>
        </w:tc>
        <w:tc>
          <w:tcPr>
            <w:tcW w:w="1260" w:type="dxa"/>
            <w:tcBorders>
              <w:top w:val="nil"/>
            </w:tcBorders>
            <w:shd w:val="clear" w:color="auto" w:fill="F2F2F2" w:themeFill="background1" w:themeFillShade="F2"/>
            <w:vAlign w:val="center"/>
            <w:hideMark/>
          </w:tcPr>
          <w:p w14:paraId="1B61DA65" w14:textId="77777777" w:rsidR="00D216BF" w:rsidRPr="00255081" w:rsidRDefault="00D216BF" w:rsidP="00D216BF">
            <w:pPr>
              <w:spacing w:after="0" w:line="240" w:lineRule="auto"/>
              <w:jc w:val="right"/>
              <w:rPr>
                <w:rFonts w:ascii="Montserrat" w:eastAsia="Times New Roman" w:hAnsi="Montserrat" w:cs="Calibri"/>
                <w:color w:val="000000"/>
                <w:sz w:val="15"/>
                <w:szCs w:val="15"/>
                <w:lang w:val="es-MX" w:eastAsia="es-MX"/>
              </w:rPr>
            </w:pPr>
            <w:r w:rsidRPr="00255081">
              <w:rPr>
                <w:rFonts w:ascii="Montserrat" w:eastAsia="Times New Roman" w:hAnsi="Montserrat" w:cs="Calibri"/>
                <w:color w:val="000000"/>
                <w:sz w:val="15"/>
                <w:szCs w:val="15"/>
                <w:lang w:val="es-MX" w:eastAsia="es-MX"/>
              </w:rPr>
              <w:t> </w:t>
            </w:r>
          </w:p>
        </w:tc>
        <w:tc>
          <w:tcPr>
            <w:tcW w:w="2098" w:type="dxa"/>
            <w:tcBorders>
              <w:top w:val="nil"/>
            </w:tcBorders>
            <w:shd w:val="clear" w:color="auto" w:fill="F2F2F2" w:themeFill="background1" w:themeFillShade="F2"/>
            <w:vAlign w:val="center"/>
          </w:tcPr>
          <w:p w14:paraId="14041DAD" w14:textId="6AB11F49" w:rsidR="00D216BF" w:rsidRPr="00255081" w:rsidRDefault="00D216BF" w:rsidP="00D216BF">
            <w:pPr>
              <w:spacing w:after="0" w:line="240" w:lineRule="auto"/>
              <w:jc w:val="right"/>
              <w:rPr>
                <w:rFonts w:ascii="Montserrat" w:eastAsia="Times New Roman" w:hAnsi="Montserrat" w:cs="Calibri"/>
                <w:b/>
                <w:bCs/>
                <w:sz w:val="15"/>
                <w:szCs w:val="15"/>
                <w:lang w:eastAsia="es-MX"/>
              </w:rPr>
            </w:pPr>
            <w:r w:rsidRPr="000F0321">
              <w:rPr>
                <w:rFonts w:ascii="Montserrat" w:hAnsi="Montserrat" w:cs="Arial"/>
                <w:color w:val="000000"/>
                <w:sz w:val="15"/>
                <w:szCs w:val="15"/>
              </w:rPr>
              <w:t> </w:t>
            </w:r>
          </w:p>
        </w:tc>
        <w:tc>
          <w:tcPr>
            <w:tcW w:w="2098" w:type="dxa"/>
            <w:tcBorders>
              <w:top w:val="nil"/>
            </w:tcBorders>
            <w:shd w:val="clear" w:color="auto" w:fill="F2F2F2" w:themeFill="background1" w:themeFillShade="F2"/>
            <w:vAlign w:val="center"/>
            <w:hideMark/>
          </w:tcPr>
          <w:p w14:paraId="7CF3262C" w14:textId="77777777" w:rsidR="00D216BF" w:rsidRPr="00255081" w:rsidRDefault="00D216BF" w:rsidP="00D216BF">
            <w:pPr>
              <w:spacing w:after="0" w:line="240" w:lineRule="auto"/>
              <w:jc w:val="right"/>
              <w:rPr>
                <w:rFonts w:ascii="Montserrat" w:eastAsia="Times New Roman" w:hAnsi="Montserrat" w:cs="Calibri"/>
                <w:b/>
                <w:bCs/>
                <w:sz w:val="15"/>
                <w:szCs w:val="15"/>
                <w:lang w:eastAsia="es-MX"/>
              </w:rPr>
            </w:pPr>
          </w:p>
        </w:tc>
      </w:tr>
      <w:tr w:rsidR="00D216BF" w:rsidRPr="006F0DF1" w14:paraId="5BDCFADD" w14:textId="77777777" w:rsidTr="00556DB3">
        <w:trPr>
          <w:trHeight w:val="215"/>
          <w:jc w:val="center"/>
        </w:trPr>
        <w:tc>
          <w:tcPr>
            <w:tcW w:w="3960" w:type="dxa"/>
            <w:tcBorders>
              <w:bottom w:val="single" w:sz="12" w:space="0" w:color="808080" w:themeColor="background1" w:themeShade="80"/>
            </w:tcBorders>
            <w:shd w:val="clear" w:color="auto" w:fill="F2F2F2" w:themeFill="background1" w:themeFillShade="F2"/>
            <w:vAlign w:val="center"/>
            <w:hideMark/>
          </w:tcPr>
          <w:p w14:paraId="52A1E6A2" w14:textId="77777777" w:rsidR="00D216BF" w:rsidRPr="00255081" w:rsidRDefault="00D216BF" w:rsidP="00D216BF">
            <w:pPr>
              <w:spacing w:after="0" w:line="240" w:lineRule="auto"/>
              <w:ind w:left="170"/>
              <w:jc w:val="right"/>
              <w:rPr>
                <w:rFonts w:ascii="Montserrat" w:eastAsia="Times New Roman" w:hAnsi="Montserrat" w:cs="Calibri"/>
                <w:b/>
                <w:bCs/>
                <w:color w:val="000000"/>
                <w:sz w:val="15"/>
                <w:szCs w:val="15"/>
                <w:lang w:val="es-MX" w:eastAsia="es-MX"/>
              </w:rPr>
            </w:pPr>
            <w:r w:rsidRPr="00255081">
              <w:rPr>
                <w:rFonts w:ascii="Montserrat" w:eastAsia="Times New Roman" w:hAnsi="Montserrat" w:cs="Calibri"/>
                <w:b/>
                <w:bCs/>
                <w:color w:val="000000"/>
                <w:sz w:val="15"/>
                <w:szCs w:val="15"/>
                <w:lang w:val="es-MX" w:eastAsia="es-MX"/>
              </w:rPr>
              <w:t>Total de Documentos por Pagar a Largo Plazo</w:t>
            </w:r>
          </w:p>
        </w:tc>
        <w:tc>
          <w:tcPr>
            <w:tcW w:w="1260" w:type="dxa"/>
            <w:tcBorders>
              <w:bottom w:val="single" w:sz="12" w:space="0" w:color="808080" w:themeColor="background1" w:themeShade="80"/>
            </w:tcBorders>
            <w:shd w:val="clear" w:color="auto" w:fill="F2F2F2" w:themeFill="background1" w:themeFillShade="F2"/>
            <w:vAlign w:val="center"/>
            <w:hideMark/>
          </w:tcPr>
          <w:p w14:paraId="2819B9B5" w14:textId="77777777" w:rsidR="00D216BF" w:rsidRPr="00255081" w:rsidRDefault="00D216BF" w:rsidP="00D216BF">
            <w:pPr>
              <w:spacing w:after="0" w:line="240" w:lineRule="auto"/>
              <w:jc w:val="right"/>
              <w:rPr>
                <w:rFonts w:ascii="Montserrat" w:eastAsia="Times New Roman" w:hAnsi="Montserrat" w:cs="Calibri"/>
                <w:b/>
                <w:bCs/>
                <w:color w:val="000000"/>
                <w:sz w:val="15"/>
                <w:szCs w:val="15"/>
                <w:lang w:val="es-MX" w:eastAsia="es-MX"/>
              </w:rPr>
            </w:pPr>
            <w:r w:rsidRPr="00255081">
              <w:rPr>
                <w:rFonts w:ascii="Montserrat" w:eastAsia="Times New Roman" w:hAnsi="Montserrat" w:cs="Calibri"/>
                <w:b/>
                <w:bCs/>
                <w:color w:val="000000"/>
                <w:sz w:val="15"/>
                <w:szCs w:val="15"/>
                <w:lang w:val="es-MX" w:eastAsia="es-MX"/>
              </w:rPr>
              <w:t> </w:t>
            </w:r>
          </w:p>
        </w:tc>
        <w:tc>
          <w:tcPr>
            <w:tcW w:w="2098" w:type="dxa"/>
            <w:tcBorders>
              <w:bottom w:val="single" w:sz="12" w:space="0" w:color="808080" w:themeColor="background1" w:themeShade="80"/>
            </w:tcBorders>
            <w:shd w:val="clear" w:color="auto" w:fill="F2F2F2" w:themeFill="background1" w:themeFillShade="F2"/>
            <w:vAlign w:val="center"/>
          </w:tcPr>
          <w:p w14:paraId="7DF61AF5" w14:textId="58075C76" w:rsidR="00D216BF" w:rsidRPr="00255081" w:rsidRDefault="00F31319" w:rsidP="00D216BF">
            <w:pPr>
              <w:spacing w:after="0" w:line="240" w:lineRule="auto"/>
              <w:jc w:val="right"/>
              <w:rPr>
                <w:rFonts w:ascii="Montserrat" w:eastAsia="Times New Roman" w:hAnsi="Montserrat" w:cs="Calibri"/>
                <w:b/>
                <w:bCs/>
                <w:sz w:val="15"/>
                <w:szCs w:val="15"/>
                <w:lang w:eastAsia="es-MX"/>
              </w:rPr>
            </w:pPr>
            <w:r w:rsidRPr="000F0321">
              <w:rPr>
                <w:rFonts w:ascii="Montserrat" w:hAnsi="Montserrat" w:cs="Arial"/>
                <w:b/>
                <w:bCs/>
                <w:color w:val="000000"/>
                <w:sz w:val="15"/>
                <w:szCs w:val="15"/>
              </w:rPr>
              <w:t>6,527,979,582,859</w:t>
            </w:r>
          </w:p>
        </w:tc>
        <w:tc>
          <w:tcPr>
            <w:tcW w:w="2098" w:type="dxa"/>
            <w:tcBorders>
              <w:bottom w:val="single" w:sz="12" w:space="0" w:color="808080" w:themeColor="background1" w:themeShade="80"/>
            </w:tcBorders>
            <w:shd w:val="clear" w:color="auto" w:fill="F2F2F2" w:themeFill="background1" w:themeFillShade="F2"/>
            <w:vAlign w:val="center"/>
            <w:hideMark/>
          </w:tcPr>
          <w:p w14:paraId="657530C6" w14:textId="77777777" w:rsidR="00D216BF" w:rsidRPr="00255081" w:rsidRDefault="00D216BF" w:rsidP="00D216BF">
            <w:pPr>
              <w:spacing w:after="0" w:line="240" w:lineRule="auto"/>
              <w:jc w:val="right"/>
              <w:rPr>
                <w:rFonts w:ascii="Montserrat" w:eastAsia="Times New Roman" w:hAnsi="Montserrat" w:cs="Calibri"/>
                <w:b/>
                <w:bCs/>
                <w:sz w:val="15"/>
                <w:szCs w:val="15"/>
                <w:lang w:eastAsia="es-MX"/>
              </w:rPr>
            </w:pPr>
            <w:r w:rsidRPr="00255081">
              <w:rPr>
                <w:rFonts w:ascii="Montserrat" w:eastAsia="Times New Roman" w:hAnsi="Montserrat" w:cs="Calibri"/>
                <w:b/>
                <w:bCs/>
                <w:sz w:val="15"/>
                <w:szCs w:val="15"/>
                <w:lang w:eastAsia="es-MX"/>
              </w:rPr>
              <w:t>5,460,953,870,384</w:t>
            </w:r>
          </w:p>
        </w:tc>
      </w:tr>
    </w:tbl>
    <w:p w14:paraId="4790CF72" w14:textId="77777777" w:rsidR="00AD4885" w:rsidRDefault="00AD4885" w:rsidP="00263314">
      <w:pPr>
        <w:spacing w:after="0" w:line="240" w:lineRule="auto"/>
        <w:jc w:val="both"/>
        <w:rPr>
          <w:rFonts w:ascii="Montserrat" w:hAnsi="Montserrat" w:cs="Arial"/>
          <w:spacing w:val="-1"/>
          <w:sz w:val="18"/>
          <w:szCs w:val="18"/>
        </w:rPr>
      </w:pPr>
    </w:p>
    <w:p w14:paraId="1973161E" w14:textId="77777777" w:rsidR="009C3C24" w:rsidRPr="00DD0D81" w:rsidRDefault="009C3C24" w:rsidP="00B9210C">
      <w:pPr>
        <w:pStyle w:val="Prrafodelista"/>
        <w:numPr>
          <w:ilvl w:val="0"/>
          <w:numId w:val="14"/>
        </w:numPr>
        <w:spacing w:before="120" w:after="120" w:line="250" w:lineRule="exact"/>
        <w:ind w:left="714" w:hanging="357"/>
        <w:contextualSpacing w:val="0"/>
        <w:jc w:val="both"/>
        <w:rPr>
          <w:rFonts w:ascii="Montserrat" w:hAnsi="Montserrat" w:cs="Arial"/>
          <w:spacing w:val="-1"/>
          <w:sz w:val="18"/>
          <w:szCs w:val="18"/>
        </w:rPr>
      </w:pPr>
      <w:r w:rsidRPr="00DD0D81">
        <w:rPr>
          <w:rFonts w:ascii="Montserrat" w:hAnsi="Montserrat" w:cs="Arial"/>
          <w:spacing w:val="-1"/>
          <w:sz w:val="18"/>
          <w:szCs w:val="18"/>
        </w:rPr>
        <w:t>Deuda Pública a Largo Plazo</w:t>
      </w:r>
    </w:p>
    <w:p w14:paraId="6F243E3C" w14:textId="77777777" w:rsidR="009C3C24" w:rsidRPr="00063579" w:rsidRDefault="009C3C24" w:rsidP="00063579">
      <w:pPr>
        <w:spacing w:after="120" w:line="250" w:lineRule="exact"/>
        <w:jc w:val="both"/>
        <w:rPr>
          <w:rFonts w:ascii="Montserrat" w:hAnsi="Montserrat"/>
          <w:sz w:val="18"/>
          <w:szCs w:val="18"/>
        </w:rPr>
      </w:pPr>
      <w:r w:rsidRPr="00063579">
        <w:rPr>
          <w:rFonts w:ascii="Montserrat" w:hAnsi="Montserrat"/>
          <w:sz w:val="18"/>
          <w:szCs w:val="18"/>
        </w:rPr>
        <w:t>Son los adeudos contraídos por la colocación de bonos y títulos de deuda interna y externa, con vencimiento en un plazo mayor o igual a doce meses, como son: CETES, BONDES, UDIBONOS o Préstamos de Organismos Financieros Internacionales, etc.</w:t>
      </w:r>
    </w:p>
    <w:p w14:paraId="5C746C9F" w14:textId="1A4290D2" w:rsidR="009C3C24" w:rsidRPr="00063579" w:rsidRDefault="0000636D" w:rsidP="00063579">
      <w:pPr>
        <w:spacing w:after="120" w:line="250" w:lineRule="exact"/>
        <w:jc w:val="both"/>
        <w:rPr>
          <w:rFonts w:ascii="Montserrat" w:hAnsi="Montserrat"/>
          <w:sz w:val="18"/>
          <w:szCs w:val="18"/>
        </w:rPr>
      </w:pPr>
      <w:r>
        <w:rPr>
          <w:rFonts w:ascii="Montserrat" w:hAnsi="Montserrat"/>
          <w:sz w:val="18"/>
          <w:szCs w:val="18"/>
        </w:rPr>
        <w:t>La desagregación de la cuenta Deuda Pública a Largo Plazo</w:t>
      </w:r>
      <w:r w:rsidR="009C3C24" w:rsidRPr="00063579">
        <w:rPr>
          <w:rFonts w:ascii="Montserrat" w:hAnsi="Montserrat"/>
          <w:sz w:val="18"/>
          <w:szCs w:val="18"/>
        </w:rPr>
        <w:t xml:space="preserve"> se presenta a continuación:</w:t>
      </w:r>
    </w:p>
    <w:p w14:paraId="7977EE18" w14:textId="77777777" w:rsidR="009C3C24" w:rsidRPr="00936371" w:rsidRDefault="009C3C24" w:rsidP="00E52592">
      <w:pPr>
        <w:spacing w:after="60" w:line="250" w:lineRule="exact"/>
        <w:ind w:left="709"/>
        <w:jc w:val="center"/>
        <w:rPr>
          <w:rFonts w:ascii="Montserrat" w:hAnsi="Montserrat" w:cs="Arial"/>
          <w:spacing w:val="-1"/>
          <w:sz w:val="18"/>
          <w:szCs w:val="18"/>
        </w:rPr>
      </w:pPr>
      <w:r w:rsidRPr="00936371">
        <w:rPr>
          <w:rFonts w:ascii="Montserrat" w:eastAsia="Times New Roman" w:hAnsi="Montserrat" w:cs="Calibri"/>
          <w:bCs/>
          <w:sz w:val="16"/>
          <w:szCs w:val="16"/>
          <w:lang w:val="es-MX" w:eastAsia="es-MX"/>
        </w:rPr>
        <w:t>(Pesos)</w:t>
      </w:r>
    </w:p>
    <w:tbl>
      <w:tblPr>
        <w:tblW w:w="9462" w:type="dxa"/>
        <w:jc w:val="center"/>
        <w:tblCellMar>
          <w:left w:w="70" w:type="dxa"/>
          <w:right w:w="70" w:type="dxa"/>
        </w:tblCellMar>
        <w:tblLook w:val="04A0" w:firstRow="1" w:lastRow="0" w:firstColumn="1" w:lastColumn="0" w:noHBand="0" w:noVBand="1"/>
      </w:tblPr>
      <w:tblGrid>
        <w:gridCol w:w="5266"/>
        <w:gridCol w:w="2098"/>
        <w:gridCol w:w="2098"/>
      </w:tblGrid>
      <w:tr w:rsidR="00C4519E" w:rsidRPr="006F0DF1" w14:paraId="60D87A60" w14:textId="77777777" w:rsidTr="00CC40D5">
        <w:trPr>
          <w:trHeight w:val="57"/>
          <w:jc w:val="center"/>
        </w:trPr>
        <w:tc>
          <w:tcPr>
            <w:tcW w:w="9462" w:type="dxa"/>
            <w:gridSpan w:val="3"/>
            <w:tcBorders>
              <w:top w:val="single" w:sz="12" w:space="0" w:color="808080" w:themeColor="background1" w:themeShade="80"/>
            </w:tcBorders>
            <w:shd w:val="clear" w:color="auto" w:fill="auto"/>
            <w:noWrap/>
            <w:vAlign w:val="center"/>
          </w:tcPr>
          <w:p w14:paraId="08F602DC" w14:textId="77777777" w:rsidR="00C4519E" w:rsidRPr="00BC0F30" w:rsidRDefault="00C4519E" w:rsidP="002F797B">
            <w:pPr>
              <w:spacing w:after="0" w:line="240" w:lineRule="auto"/>
              <w:jc w:val="center"/>
              <w:rPr>
                <w:rFonts w:ascii="Montserrat" w:eastAsia="Times New Roman" w:hAnsi="Montserrat" w:cs="Calibri"/>
                <w:b/>
                <w:bCs/>
                <w:color w:val="FFFFFF"/>
                <w:sz w:val="4"/>
                <w:szCs w:val="4"/>
                <w:lang w:val="es-MX" w:eastAsia="es-MX"/>
              </w:rPr>
            </w:pPr>
          </w:p>
        </w:tc>
      </w:tr>
      <w:tr w:rsidR="009C3C24" w:rsidRPr="006F0DF1" w14:paraId="71799028" w14:textId="77777777" w:rsidTr="005C224C">
        <w:trPr>
          <w:trHeight w:val="317"/>
          <w:jc w:val="center"/>
        </w:trPr>
        <w:tc>
          <w:tcPr>
            <w:tcW w:w="5266" w:type="dxa"/>
            <w:tcBorders>
              <w:left w:val="single" w:sz="8" w:space="0" w:color="FFFFFF" w:themeColor="background1"/>
              <w:bottom w:val="double" w:sz="12" w:space="0" w:color="808080" w:themeColor="background1" w:themeShade="80"/>
              <w:right w:val="single" w:sz="8" w:space="0" w:color="FFFFFF" w:themeColor="background1"/>
            </w:tcBorders>
            <w:shd w:val="clear" w:color="auto" w:fill="D4C19C"/>
            <w:noWrap/>
            <w:vAlign w:val="center"/>
            <w:hideMark/>
          </w:tcPr>
          <w:p w14:paraId="6BDBA783" w14:textId="77777777" w:rsidR="009C3C24" w:rsidRPr="006F0DF1" w:rsidRDefault="009C3C24" w:rsidP="002F797B">
            <w:pPr>
              <w:spacing w:after="0" w:line="240" w:lineRule="auto"/>
              <w:jc w:val="center"/>
              <w:rPr>
                <w:rFonts w:ascii="Montserrat" w:eastAsia="Times New Roman" w:hAnsi="Montserrat" w:cs="Calibri"/>
                <w:b/>
                <w:bCs/>
                <w:color w:val="FFFFFF"/>
                <w:sz w:val="16"/>
                <w:szCs w:val="16"/>
                <w:lang w:val="es-MX" w:eastAsia="es-MX"/>
              </w:rPr>
            </w:pPr>
            <w:r w:rsidRPr="006F0DF1">
              <w:rPr>
                <w:rFonts w:ascii="Montserrat" w:eastAsia="Times New Roman" w:hAnsi="Montserrat" w:cs="Calibri"/>
                <w:b/>
                <w:bCs/>
                <w:color w:val="FFFFFF"/>
                <w:sz w:val="16"/>
                <w:szCs w:val="16"/>
                <w:lang w:val="es-MX" w:eastAsia="es-MX"/>
              </w:rPr>
              <w:t>Concepto</w:t>
            </w:r>
          </w:p>
        </w:tc>
        <w:tc>
          <w:tcPr>
            <w:tcW w:w="2098" w:type="dxa"/>
            <w:tcBorders>
              <w:left w:val="single" w:sz="8" w:space="0" w:color="FFFFFF" w:themeColor="background1"/>
              <w:bottom w:val="double" w:sz="12" w:space="0" w:color="808080" w:themeColor="background1" w:themeShade="80"/>
              <w:right w:val="single" w:sz="8" w:space="0" w:color="FFFFFF" w:themeColor="background1"/>
            </w:tcBorders>
            <w:shd w:val="clear" w:color="auto" w:fill="D4C19C"/>
            <w:vAlign w:val="center"/>
            <w:hideMark/>
          </w:tcPr>
          <w:p w14:paraId="64B64958" w14:textId="77777777" w:rsidR="009C3C24" w:rsidRPr="006F0DF1" w:rsidRDefault="009C3C24" w:rsidP="002F797B">
            <w:pPr>
              <w:spacing w:after="0" w:line="240" w:lineRule="auto"/>
              <w:jc w:val="center"/>
              <w:rPr>
                <w:rFonts w:ascii="Montserrat" w:eastAsia="Times New Roman" w:hAnsi="Montserrat" w:cs="Calibri"/>
                <w:b/>
                <w:bCs/>
                <w:color w:val="FFFFFF"/>
                <w:sz w:val="16"/>
                <w:szCs w:val="16"/>
                <w:lang w:val="es-MX" w:eastAsia="es-MX"/>
              </w:rPr>
            </w:pPr>
            <w:r>
              <w:rPr>
                <w:rFonts w:ascii="Montserrat" w:eastAsia="Times New Roman" w:hAnsi="Montserrat" w:cs="Calibri"/>
                <w:b/>
                <w:bCs/>
                <w:color w:val="FFFFFF"/>
                <w:sz w:val="16"/>
                <w:szCs w:val="16"/>
                <w:lang w:val="es-MX" w:eastAsia="es-MX"/>
              </w:rPr>
              <w:t>201</w:t>
            </w:r>
            <w:r w:rsidR="00674B56">
              <w:rPr>
                <w:rFonts w:ascii="Montserrat" w:eastAsia="Times New Roman" w:hAnsi="Montserrat" w:cs="Calibri"/>
                <w:b/>
                <w:bCs/>
                <w:color w:val="FFFFFF"/>
                <w:sz w:val="16"/>
                <w:szCs w:val="16"/>
                <w:lang w:val="es-MX" w:eastAsia="es-MX"/>
              </w:rPr>
              <w:t>9</w:t>
            </w:r>
          </w:p>
        </w:tc>
        <w:tc>
          <w:tcPr>
            <w:tcW w:w="2098" w:type="dxa"/>
            <w:tcBorders>
              <w:left w:val="single" w:sz="8" w:space="0" w:color="FFFFFF" w:themeColor="background1"/>
              <w:bottom w:val="double" w:sz="12" w:space="0" w:color="808080" w:themeColor="background1" w:themeShade="80"/>
              <w:right w:val="single" w:sz="8" w:space="0" w:color="FFFFFF" w:themeColor="background1"/>
            </w:tcBorders>
            <w:shd w:val="clear" w:color="auto" w:fill="D4C19C"/>
            <w:noWrap/>
            <w:vAlign w:val="center"/>
            <w:hideMark/>
          </w:tcPr>
          <w:p w14:paraId="40289F71" w14:textId="77777777" w:rsidR="009C3C24" w:rsidRPr="006F0DF1" w:rsidRDefault="009C3C24" w:rsidP="002F797B">
            <w:pPr>
              <w:spacing w:after="0" w:line="240" w:lineRule="auto"/>
              <w:jc w:val="center"/>
              <w:rPr>
                <w:rFonts w:ascii="Montserrat" w:eastAsia="Times New Roman" w:hAnsi="Montserrat" w:cs="Calibri"/>
                <w:b/>
                <w:bCs/>
                <w:color w:val="FFFFFF"/>
                <w:sz w:val="16"/>
                <w:szCs w:val="16"/>
                <w:lang w:val="es-MX" w:eastAsia="es-MX"/>
              </w:rPr>
            </w:pPr>
            <w:r>
              <w:rPr>
                <w:rFonts w:ascii="Montserrat" w:eastAsia="Times New Roman" w:hAnsi="Montserrat" w:cs="Calibri"/>
                <w:b/>
                <w:bCs/>
                <w:color w:val="FFFFFF"/>
                <w:sz w:val="16"/>
                <w:szCs w:val="16"/>
                <w:lang w:val="es-MX" w:eastAsia="es-MX"/>
              </w:rPr>
              <w:t>201</w:t>
            </w:r>
            <w:r w:rsidR="00674B56">
              <w:rPr>
                <w:rFonts w:ascii="Montserrat" w:eastAsia="Times New Roman" w:hAnsi="Montserrat" w:cs="Calibri"/>
                <w:b/>
                <w:bCs/>
                <w:color w:val="FFFFFF"/>
                <w:sz w:val="16"/>
                <w:szCs w:val="16"/>
                <w:lang w:val="es-MX" w:eastAsia="es-MX"/>
              </w:rPr>
              <w:t>8</w:t>
            </w:r>
          </w:p>
        </w:tc>
      </w:tr>
      <w:tr w:rsidR="00D216BF" w:rsidRPr="006F0DF1" w14:paraId="626E9DC3" w14:textId="77777777" w:rsidTr="000F0321">
        <w:trPr>
          <w:trHeight w:val="215"/>
          <w:jc w:val="center"/>
        </w:trPr>
        <w:tc>
          <w:tcPr>
            <w:tcW w:w="5266" w:type="dxa"/>
            <w:tcBorders>
              <w:top w:val="double" w:sz="12" w:space="0" w:color="808080" w:themeColor="background1" w:themeShade="80"/>
            </w:tcBorders>
            <w:shd w:val="clear" w:color="auto" w:fill="F2F2F2" w:themeFill="background1" w:themeFillShade="F2"/>
            <w:noWrap/>
            <w:vAlign w:val="center"/>
            <w:hideMark/>
          </w:tcPr>
          <w:p w14:paraId="5F9C5420" w14:textId="77777777" w:rsidR="00D216BF" w:rsidRPr="00255081" w:rsidRDefault="00D216BF" w:rsidP="00D216BF">
            <w:pPr>
              <w:spacing w:after="0" w:line="240" w:lineRule="auto"/>
              <w:ind w:left="170"/>
              <w:rPr>
                <w:rFonts w:ascii="Montserrat" w:eastAsia="Times New Roman" w:hAnsi="Montserrat" w:cs="Calibri"/>
                <w:color w:val="000000"/>
                <w:sz w:val="15"/>
                <w:szCs w:val="15"/>
                <w:lang w:val="es-MX" w:eastAsia="es-MX"/>
              </w:rPr>
            </w:pPr>
            <w:r w:rsidRPr="00255081">
              <w:rPr>
                <w:rFonts w:ascii="Montserrat" w:eastAsia="Times New Roman" w:hAnsi="Montserrat" w:cs="Calibri"/>
                <w:color w:val="000000"/>
                <w:sz w:val="15"/>
                <w:szCs w:val="15"/>
                <w:lang w:val="es-MX" w:eastAsia="es-MX"/>
              </w:rPr>
              <w:t>Títulos y Valores de la Deuda Pública Interna a Largo Plazo</w:t>
            </w:r>
          </w:p>
        </w:tc>
        <w:tc>
          <w:tcPr>
            <w:tcW w:w="2098" w:type="dxa"/>
            <w:tcBorders>
              <w:top w:val="double" w:sz="12" w:space="0" w:color="808080" w:themeColor="background1" w:themeShade="80"/>
            </w:tcBorders>
            <w:shd w:val="clear" w:color="auto" w:fill="F2F2F2" w:themeFill="background1" w:themeFillShade="F2"/>
            <w:vAlign w:val="center"/>
          </w:tcPr>
          <w:p w14:paraId="0B544ABC" w14:textId="568854B6" w:rsidR="00D216BF" w:rsidRPr="00255081" w:rsidRDefault="00D216BF">
            <w:pPr>
              <w:spacing w:after="0" w:line="240" w:lineRule="auto"/>
              <w:jc w:val="right"/>
              <w:rPr>
                <w:rFonts w:ascii="Montserrat" w:eastAsia="Times New Roman" w:hAnsi="Montserrat" w:cs="Calibri"/>
                <w:color w:val="000000"/>
                <w:sz w:val="15"/>
                <w:szCs w:val="15"/>
                <w:lang w:val="es-MX" w:eastAsia="es-MX"/>
              </w:rPr>
            </w:pPr>
            <w:r w:rsidRPr="000F0321">
              <w:rPr>
                <w:rFonts w:ascii="Montserrat" w:hAnsi="Montserrat" w:cs="Arial"/>
                <w:color w:val="000000"/>
                <w:sz w:val="15"/>
                <w:szCs w:val="15"/>
              </w:rPr>
              <w:t>5,547,102,269,193</w:t>
            </w:r>
          </w:p>
        </w:tc>
        <w:tc>
          <w:tcPr>
            <w:tcW w:w="2098" w:type="dxa"/>
            <w:tcBorders>
              <w:top w:val="double" w:sz="12" w:space="0" w:color="808080" w:themeColor="background1" w:themeShade="80"/>
            </w:tcBorders>
            <w:shd w:val="clear" w:color="auto" w:fill="F2F2F2" w:themeFill="background1" w:themeFillShade="F2"/>
            <w:noWrap/>
            <w:hideMark/>
          </w:tcPr>
          <w:p w14:paraId="3BC3D27B" w14:textId="77777777" w:rsidR="00D216BF" w:rsidRPr="00255081" w:rsidRDefault="00D216BF" w:rsidP="00D216BF">
            <w:pPr>
              <w:spacing w:after="0" w:line="240" w:lineRule="auto"/>
              <w:jc w:val="right"/>
              <w:rPr>
                <w:rFonts w:ascii="Montserrat" w:eastAsia="Times New Roman" w:hAnsi="Montserrat" w:cs="Calibri"/>
                <w:color w:val="000000"/>
                <w:sz w:val="15"/>
                <w:szCs w:val="15"/>
                <w:lang w:val="es-MX" w:eastAsia="es-MX"/>
              </w:rPr>
            </w:pPr>
            <w:r w:rsidRPr="00255081">
              <w:rPr>
                <w:rFonts w:ascii="Montserrat" w:eastAsia="Times New Roman" w:hAnsi="Montserrat" w:cs="Calibri"/>
                <w:color w:val="000000"/>
                <w:sz w:val="15"/>
                <w:szCs w:val="15"/>
                <w:lang w:val="es-MX" w:eastAsia="es-MX"/>
              </w:rPr>
              <w:t>5,572,736,207,577</w:t>
            </w:r>
          </w:p>
        </w:tc>
      </w:tr>
      <w:tr w:rsidR="00D216BF" w:rsidRPr="006F0DF1" w14:paraId="7F8C0971" w14:textId="77777777" w:rsidTr="000F0321">
        <w:trPr>
          <w:trHeight w:val="215"/>
          <w:jc w:val="center"/>
        </w:trPr>
        <w:tc>
          <w:tcPr>
            <w:tcW w:w="5266" w:type="dxa"/>
            <w:tcBorders>
              <w:top w:val="nil"/>
            </w:tcBorders>
            <w:shd w:val="clear" w:color="auto" w:fill="F2F2F2" w:themeFill="background1" w:themeFillShade="F2"/>
            <w:noWrap/>
            <w:vAlign w:val="center"/>
            <w:hideMark/>
          </w:tcPr>
          <w:p w14:paraId="48A71CF4" w14:textId="77777777" w:rsidR="00D216BF" w:rsidRPr="00255081" w:rsidRDefault="00D216BF" w:rsidP="00D216BF">
            <w:pPr>
              <w:spacing w:after="0" w:line="240" w:lineRule="auto"/>
              <w:ind w:left="170"/>
              <w:rPr>
                <w:rFonts w:ascii="Montserrat" w:eastAsia="Times New Roman" w:hAnsi="Montserrat" w:cs="Calibri"/>
                <w:color w:val="000000"/>
                <w:sz w:val="15"/>
                <w:szCs w:val="15"/>
                <w:lang w:val="es-MX" w:eastAsia="es-MX"/>
              </w:rPr>
            </w:pPr>
            <w:r w:rsidRPr="00255081">
              <w:rPr>
                <w:rFonts w:ascii="Montserrat" w:eastAsia="Times New Roman" w:hAnsi="Montserrat" w:cs="Calibri"/>
                <w:color w:val="000000"/>
                <w:sz w:val="15"/>
                <w:szCs w:val="15"/>
                <w:lang w:val="es-MX" w:eastAsia="es-MX"/>
              </w:rPr>
              <w:t>Títulos y Valores de la Deuda Pública Externa a Largo Plazo</w:t>
            </w:r>
          </w:p>
        </w:tc>
        <w:tc>
          <w:tcPr>
            <w:tcW w:w="2098" w:type="dxa"/>
            <w:tcBorders>
              <w:top w:val="nil"/>
            </w:tcBorders>
            <w:shd w:val="clear" w:color="auto" w:fill="F2F2F2" w:themeFill="background1" w:themeFillShade="F2"/>
            <w:vAlign w:val="center"/>
          </w:tcPr>
          <w:p w14:paraId="4E0E91AF" w14:textId="0E6EA6D3" w:rsidR="00D216BF" w:rsidRPr="00255081" w:rsidRDefault="00D216BF" w:rsidP="00D216BF">
            <w:pPr>
              <w:spacing w:after="0" w:line="240" w:lineRule="auto"/>
              <w:jc w:val="right"/>
              <w:rPr>
                <w:rFonts w:ascii="Montserrat" w:eastAsia="Times New Roman" w:hAnsi="Montserrat" w:cs="Calibri"/>
                <w:color w:val="000000"/>
                <w:sz w:val="15"/>
                <w:szCs w:val="15"/>
                <w:lang w:val="es-MX" w:eastAsia="es-MX"/>
              </w:rPr>
            </w:pPr>
            <w:r w:rsidRPr="000F0321">
              <w:rPr>
                <w:rFonts w:ascii="Montserrat" w:hAnsi="Montserrat" w:cs="Arial"/>
                <w:color w:val="000000"/>
                <w:sz w:val="15"/>
                <w:szCs w:val="15"/>
              </w:rPr>
              <w:t>2,350,011,190,970</w:t>
            </w:r>
          </w:p>
        </w:tc>
        <w:tc>
          <w:tcPr>
            <w:tcW w:w="2098" w:type="dxa"/>
            <w:tcBorders>
              <w:top w:val="nil"/>
            </w:tcBorders>
            <w:shd w:val="clear" w:color="auto" w:fill="F2F2F2" w:themeFill="background1" w:themeFillShade="F2"/>
            <w:noWrap/>
            <w:hideMark/>
          </w:tcPr>
          <w:p w14:paraId="1FF7C6A2" w14:textId="77777777" w:rsidR="00D216BF" w:rsidRPr="00255081" w:rsidRDefault="00D216BF" w:rsidP="00D216BF">
            <w:pPr>
              <w:spacing w:after="0" w:line="240" w:lineRule="auto"/>
              <w:jc w:val="right"/>
              <w:rPr>
                <w:rFonts w:ascii="Montserrat" w:eastAsia="Times New Roman" w:hAnsi="Montserrat" w:cs="Calibri"/>
                <w:color w:val="000000"/>
                <w:sz w:val="15"/>
                <w:szCs w:val="15"/>
                <w:lang w:val="es-MX" w:eastAsia="es-MX"/>
              </w:rPr>
            </w:pPr>
            <w:r w:rsidRPr="00255081">
              <w:rPr>
                <w:rFonts w:ascii="Montserrat" w:eastAsia="Times New Roman" w:hAnsi="Montserrat" w:cs="Calibri"/>
                <w:color w:val="000000"/>
                <w:sz w:val="15"/>
                <w:szCs w:val="15"/>
                <w:lang w:val="es-MX" w:eastAsia="es-MX"/>
              </w:rPr>
              <w:t>2,496,303,743,330</w:t>
            </w:r>
          </w:p>
        </w:tc>
      </w:tr>
      <w:tr w:rsidR="00D216BF" w:rsidRPr="006F0DF1" w14:paraId="123AA060" w14:textId="77777777" w:rsidTr="000F0321">
        <w:trPr>
          <w:trHeight w:val="215"/>
          <w:jc w:val="center"/>
        </w:trPr>
        <w:tc>
          <w:tcPr>
            <w:tcW w:w="5266" w:type="dxa"/>
            <w:tcBorders>
              <w:top w:val="nil"/>
            </w:tcBorders>
            <w:shd w:val="clear" w:color="auto" w:fill="F2F2F2" w:themeFill="background1" w:themeFillShade="F2"/>
            <w:noWrap/>
            <w:vAlign w:val="center"/>
            <w:hideMark/>
          </w:tcPr>
          <w:p w14:paraId="3A533707" w14:textId="77777777" w:rsidR="00D216BF" w:rsidRPr="00255081" w:rsidRDefault="00D216BF" w:rsidP="00D216BF">
            <w:pPr>
              <w:spacing w:after="0" w:line="240" w:lineRule="auto"/>
              <w:ind w:left="170"/>
              <w:rPr>
                <w:rFonts w:ascii="Montserrat" w:eastAsia="Times New Roman" w:hAnsi="Montserrat" w:cs="Calibri"/>
                <w:color w:val="000000"/>
                <w:sz w:val="15"/>
                <w:szCs w:val="15"/>
                <w:lang w:val="es-MX" w:eastAsia="es-MX"/>
              </w:rPr>
            </w:pPr>
            <w:r w:rsidRPr="00255081">
              <w:rPr>
                <w:rFonts w:ascii="Montserrat" w:eastAsia="Times New Roman" w:hAnsi="Montserrat" w:cs="Calibri"/>
                <w:color w:val="000000"/>
                <w:sz w:val="15"/>
                <w:szCs w:val="15"/>
                <w:lang w:val="es-MX" w:eastAsia="es-MX"/>
              </w:rPr>
              <w:t>Préstamos de la Deuda Pública Interna por Pagar a Largo Plazo</w:t>
            </w:r>
          </w:p>
        </w:tc>
        <w:tc>
          <w:tcPr>
            <w:tcW w:w="2098" w:type="dxa"/>
            <w:tcBorders>
              <w:top w:val="nil"/>
            </w:tcBorders>
            <w:shd w:val="clear" w:color="auto" w:fill="F2F2F2" w:themeFill="background1" w:themeFillShade="F2"/>
            <w:vAlign w:val="center"/>
          </w:tcPr>
          <w:p w14:paraId="2572CE81" w14:textId="35C601F8" w:rsidR="00D216BF" w:rsidRPr="00255081" w:rsidRDefault="00D216BF" w:rsidP="00D216BF">
            <w:pPr>
              <w:spacing w:after="0" w:line="240" w:lineRule="auto"/>
              <w:jc w:val="right"/>
              <w:rPr>
                <w:rFonts w:ascii="Montserrat" w:eastAsia="Times New Roman" w:hAnsi="Montserrat" w:cs="Calibri"/>
                <w:color w:val="000000"/>
                <w:sz w:val="15"/>
                <w:szCs w:val="15"/>
                <w:lang w:val="es-MX" w:eastAsia="es-MX"/>
              </w:rPr>
            </w:pPr>
            <w:r w:rsidRPr="000F0321">
              <w:rPr>
                <w:rFonts w:ascii="Montserrat" w:hAnsi="Montserrat" w:cs="Arial"/>
                <w:color w:val="000000"/>
                <w:sz w:val="15"/>
                <w:szCs w:val="15"/>
              </w:rPr>
              <w:t>160,569,966,925</w:t>
            </w:r>
          </w:p>
        </w:tc>
        <w:tc>
          <w:tcPr>
            <w:tcW w:w="2098" w:type="dxa"/>
            <w:tcBorders>
              <w:top w:val="nil"/>
            </w:tcBorders>
            <w:shd w:val="clear" w:color="auto" w:fill="F2F2F2" w:themeFill="background1" w:themeFillShade="F2"/>
            <w:noWrap/>
            <w:hideMark/>
          </w:tcPr>
          <w:p w14:paraId="4068DEDD" w14:textId="77777777" w:rsidR="00D216BF" w:rsidRPr="00255081" w:rsidRDefault="00D216BF" w:rsidP="00D216BF">
            <w:pPr>
              <w:spacing w:after="0" w:line="240" w:lineRule="auto"/>
              <w:jc w:val="right"/>
              <w:rPr>
                <w:rFonts w:ascii="Montserrat" w:eastAsia="Times New Roman" w:hAnsi="Montserrat" w:cs="Calibri"/>
                <w:color w:val="000000"/>
                <w:sz w:val="15"/>
                <w:szCs w:val="15"/>
                <w:lang w:val="es-MX" w:eastAsia="es-MX"/>
              </w:rPr>
            </w:pPr>
            <w:r w:rsidRPr="00255081">
              <w:rPr>
                <w:rFonts w:ascii="Montserrat" w:eastAsia="Times New Roman" w:hAnsi="Montserrat" w:cs="Calibri"/>
                <w:color w:val="000000"/>
                <w:sz w:val="15"/>
                <w:szCs w:val="15"/>
                <w:lang w:val="es-MX" w:eastAsia="es-MX"/>
              </w:rPr>
              <w:t>156,585,126,070</w:t>
            </w:r>
          </w:p>
        </w:tc>
      </w:tr>
      <w:tr w:rsidR="00D216BF" w:rsidRPr="006F0DF1" w14:paraId="32AA63D7" w14:textId="77777777" w:rsidTr="000F0321">
        <w:trPr>
          <w:trHeight w:val="215"/>
          <w:jc w:val="center"/>
        </w:trPr>
        <w:tc>
          <w:tcPr>
            <w:tcW w:w="5266" w:type="dxa"/>
            <w:tcBorders>
              <w:top w:val="nil"/>
            </w:tcBorders>
            <w:shd w:val="clear" w:color="auto" w:fill="F2F2F2" w:themeFill="background1" w:themeFillShade="F2"/>
            <w:noWrap/>
            <w:vAlign w:val="center"/>
            <w:hideMark/>
          </w:tcPr>
          <w:p w14:paraId="6E273F6A" w14:textId="77777777" w:rsidR="00D216BF" w:rsidRPr="00255081" w:rsidRDefault="00D216BF" w:rsidP="00D216BF">
            <w:pPr>
              <w:spacing w:after="0" w:line="240" w:lineRule="auto"/>
              <w:ind w:left="170"/>
              <w:rPr>
                <w:rFonts w:ascii="Montserrat" w:eastAsia="Times New Roman" w:hAnsi="Montserrat" w:cs="Calibri"/>
                <w:color w:val="000000"/>
                <w:sz w:val="15"/>
                <w:szCs w:val="15"/>
                <w:lang w:val="es-MX" w:eastAsia="es-MX"/>
              </w:rPr>
            </w:pPr>
            <w:r w:rsidRPr="00255081">
              <w:rPr>
                <w:rFonts w:ascii="Montserrat" w:eastAsia="Times New Roman" w:hAnsi="Montserrat" w:cs="Calibri"/>
                <w:color w:val="000000"/>
                <w:sz w:val="15"/>
                <w:szCs w:val="15"/>
                <w:lang w:val="es-MX" w:eastAsia="es-MX"/>
              </w:rPr>
              <w:t>Préstamos de la Deuda Pública Externa por Pagar a Largo Plazo</w:t>
            </w:r>
          </w:p>
        </w:tc>
        <w:tc>
          <w:tcPr>
            <w:tcW w:w="2098" w:type="dxa"/>
            <w:tcBorders>
              <w:top w:val="nil"/>
            </w:tcBorders>
            <w:shd w:val="clear" w:color="auto" w:fill="F2F2F2" w:themeFill="background1" w:themeFillShade="F2"/>
            <w:vAlign w:val="center"/>
          </w:tcPr>
          <w:p w14:paraId="72B8BCB7" w14:textId="1F0E7D55" w:rsidR="00D216BF" w:rsidRPr="00255081" w:rsidRDefault="00D216BF" w:rsidP="00D216BF">
            <w:pPr>
              <w:spacing w:after="0" w:line="240" w:lineRule="auto"/>
              <w:jc w:val="right"/>
              <w:rPr>
                <w:rFonts w:ascii="Montserrat" w:eastAsia="Times New Roman" w:hAnsi="Montserrat" w:cs="Calibri"/>
                <w:color w:val="000000"/>
                <w:sz w:val="15"/>
                <w:szCs w:val="15"/>
                <w:lang w:val="es-MX" w:eastAsia="es-MX"/>
              </w:rPr>
            </w:pPr>
            <w:r w:rsidRPr="000F0321">
              <w:rPr>
                <w:rFonts w:ascii="Montserrat" w:hAnsi="Montserrat" w:cs="Arial"/>
                <w:color w:val="000000"/>
                <w:sz w:val="15"/>
                <w:szCs w:val="15"/>
              </w:rPr>
              <w:t>546,601,519,149</w:t>
            </w:r>
          </w:p>
        </w:tc>
        <w:tc>
          <w:tcPr>
            <w:tcW w:w="2098" w:type="dxa"/>
            <w:tcBorders>
              <w:top w:val="nil"/>
            </w:tcBorders>
            <w:shd w:val="clear" w:color="auto" w:fill="F2F2F2" w:themeFill="background1" w:themeFillShade="F2"/>
            <w:noWrap/>
            <w:hideMark/>
          </w:tcPr>
          <w:p w14:paraId="342CB862" w14:textId="77777777" w:rsidR="00D216BF" w:rsidRPr="00255081" w:rsidRDefault="00D216BF" w:rsidP="00D216BF">
            <w:pPr>
              <w:spacing w:after="0" w:line="240" w:lineRule="auto"/>
              <w:jc w:val="right"/>
              <w:rPr>
                <w:rFonts w:ascii="Montserrat" w:eastAsia="Times New Roman" w:hAnsi="Montserrat" w:cs="Calibri"/>
                <w:color w:val="000000"/>
                <w:sz w:val="15"/>
                <w:szCs w:val="15"/>
                <w:lang w:val="es-MX" w:eastAsia="es-MX"/>
              </w:rPr>
            </w:pPr>
            <w:r w:rsidRPr="00255081">
              <w:rPr>
                <w:rFonts w:ascii="Montserrat" w:eastAsia="Times New Roman" w:hAnsi="Montserrat" w:cs="Calibri"/>
                <w:color w:val="000000"/>
                <w:sz w:val="15"/>
                <w:szCs w:val="15"/>
                <w:lang w:val="es-MX" w:eastAsia="es-MX"/>
              </w:rPr>
              <w:t>551,666,936,621</w:t>
            </w:r>
          </w:p>
        </w:tc>
      </w:tr>
      <w:tr w:rsidR="00D216BF" w:rsidRPr="006F0DF1" w14:paraId="5D5D3EC2" w14:textId="77777777" w:rsidTr="000F0321">
        <w:trPr>
          <w:trHeight w:val="215"/>
          <w:jc w:val="center"/>
        </w:trPr>
        <w:tc>
          <w:tcPr>
            <w:tcW w:w="5266" w:type="dxa"/>
            <w:tcBorders>
              <w:top w:val="nil"/>
            </w:tcBorders>
            <w:shd w:val="clear" w:color="auto" w:fill="F2F2F2" w:themeFill="background1" w:themeFillShade="F2"/>
            <w:noWrap/>
            <w:vAlign w:val="center"/>
            <w:hideMark/>
          </w:tcPr>
          <w:p w14:paraId="4DC4F995" w14:textId="77777777" w:rsidR="00D216BF" w:rsidRPr="00255081" w:rsidRDefault="00D216BF" w:rsidP="00D216BF">
            <w:pPr>
              <w:spacing w:after="0" w:line="240" w:lineRule="auto"/>
              <w:ind w:left="170"/>
              <w:rPr>
                <w:rFonts w:ascii="Montserrat" w:eastAsia="Times New Roman" w:hAnsi="Montserrat" w:cs="Calibri"/>
                <w:color w:val="000000"/>
                <w:sz w:val="15"/>
                <w:szCs w:val="15"/>
                <w:lang w:val="es-MX" w:eastAsia="es-MX"/>
              </w:rPr>
            </w:pPr>
            <w:r w:rsidRPr="00255081">
              <w:rPr>
                <w:rFonts w:ascii="Montserrat" w:eastAsia="Times New Roman" w:hAnsi="Montserrat" w:cs="Calibri"/>
                <w:color w:val="000000"/>
                <w:sz w:val="15"/>
                <w:szCs w:val="15"/>
                <w:lang w:val="es-MX" w:eastAsia="es-MX"/>
              </w:rPr>
              <w:t>Arrendamiento Financiero por Pagar a Largo Plazo</w:t>
            </w:r>
          </w:p>
        </w:tc>
        <w:tc>
          <w:tcPr>
            <w:tcW w:w="2098" w:type="dxa"/>
            <w:tcBorders>
              <w:top w:val="nil"/>
            </w:tcBorders>
            <w:shd w:val="clear" w:color="auto" w:fill="F2F2F2" w:themeFill="background1" w:themeFillShade="F2"/>
            <w:vAlign w:val="center"/>
          </w:tcPr>
          <w:p w14:paraId="18A7B81A" w14:textId="08DF885A" w:rsidR="00D216BF" w:rsidRPr="00255081" w:rsidRDefault="00D216BF" w:rsidP="00D216BF">
            <w:pPr>
              <w:spacing w:after="0" w:line="240" w:lineRule="auto"/>
              <w:jc w:val="right"/>
              <w:rPr>
                <w:rFonts w:ascii="Montserrat" w:eastAsia="Times New Roman" w:hAnsi="Montserrat" w:cs="Calibri"/>
                <w:color w:val="000000"/>
                <w:sz w:val="15"/>
                <w:szCs w:val="15"/>
                <w:lang w:val="es-MX" w:eastAsia="es-MX"/>
              </w:rPr>
            </w:pPr>
            <w:r w:rsidRPr="000F0321">
              <w:rPr>
                <w:rFonts w:ascii="Montserrat" w:hAnsi="Montserrat" w:cs="Arial"/>
                <w:color w:val="000000"/>
                <w:sz w:val="15"/>
                <w:szCs w:val="15"/>
              </w:rPr>
              <w:t>43,952,120,172</w:t>
            </w:r>
          </w:p>
        </w:tc>
        <w:tc>
          <w:tcPr>
            <w:tcW w:w="2098" w:type="dxa"/>
            <w:tcBorders>
              <w:top w:val="nil"/>
            </w:tcBorders>
            <w:shd w:val="clear" w:color="auto" w:fill="F2F2F2" w:themeFill="background1" w:themeFillShade="F2"/>
            <w:noWrap/>
            <w:hideMark/>
          </w:tcPr>
          <w:p w14:paraId="754E714B" w14:textId="77777777" w:rsidR="00D216BF" w:rsidRPr="00255081" w:rsidRDefault="00D216BF" w:rsidP="00D216BF">
            <w:pPr>
              <w:spacing w:after="0" w:line="240" w:lineRule="auto"/>
              <w:jc w:val="right"/>
              <w:rPr>
                <w:rFonts w:ascii="Montserrat" w:eastAsia="Times New Roman" w:hAnsi="Montserrat" w:cs="Calibri"/>
                <w:color w:val="000000"/>
                <w:sz w:val="15"/>
                <w:szCs w:val="15"/>
                <w:lang w:val="es-MX" w:eastAsia="es-MX"/>
              </w:rPr>
            </w:pPr>
            <w:r w:rsidRPr="00255081">
              <w:rPr>
                <w:rFonts w:ascii="Montserrat" w:eastAsia="Times New Roman" w:hAnsi="Montserrat" w:cs="Calibri"/>
                <w:color w:val="000000"/>
                <w:sz w:val="15"/>
                <w:szCs w:val="15"/>
                <w:lang w:val="es-MX" w:eastAsia="es-MX"/>
              </w:rPr>
              <w:t>50,730,115,357</w:t>
            </w:r>
          </w:p>
        </w:tc>
      </w:tr>
      <w:tr w:rsidR="00D216BF" w:rsidRPr="006F0DF1" w14:paraId="2B9B6E3A" w14:textId="77777777" w:rsidTr="000F0321">
        <w:trPr>
          <w:trHeight w:val="215"/>
          <w:jc w:val="center"/>
        </w:trPr>
        <w:tc>
          <w:tcPr>
            <w:tcW w:w="5266" w:type="dxa"/>
            <w:tcBorders>
              <w:bottom w:val="single" w:sz="12" w:space="0" w:color="808080" w:themeColor="background1" w:themeShade="80"/>
            </w:tcBorders>
            <w:shd w:val="clear" w:color="auto" w:fill="F2F2F2" w:themeFill="background1" w:themeFillShade="F2"/>
            <w:noWrap/>
            <w:vAlign w:val="center"/>
            <w:hideMark/>
          </w:tcPr>
          <w:p w14:paraId="5D3D83B3" w14:textId="77777777" w:rsidR="00D216BF" w:rsidRPr="00255081" w:rsidRDefault="00D216BF" w:rsidP="00D216BF">
            <w:pPr>
              <w:spacing w:after="0" w:line="240" w:lineRule="auto"/>
              <w:ind w:left="170"/>
              <w:jc w:val="right"/>
              <w:rPr>
                <w:rFonts w:ascii="Montserrat" w:eastAsia="Times New Roman" w:hAnsi="Montserrat" w:cs="Calibri"/>
                <w:b/>
                <w:bCs/>
                <w:color w:val="000000"/>
                <w:sz w:val="15"/>
                <w:szCs w:val="15"/>
                <w:lang w:val="es-MX" w:eastAsia="es-MX"/>
              </w:rPr>
            </w:pPr>
            <w:r w:rsidRPr="00255081">
              <w:rPr>
                <w:rFonts w:ascii="Montserrat" w:eastAsia="Times New Roman" w:hAnsi="Montserrat" w:cs="Calibri"/>
                <w:b/>
                <w:bCs/>
                <w:color w:val="000000"/>
                <w:sz w:val="15"/>
                <w:szCs w:val="15"/>
                <w:lang w:val="es-MX" w:eastAsia="es-MX"/>
              </w:rPr>
              <w:t>Total Deuda Pública a Largo Plazo</w:t>
            </w:r>
          </w:p>
        </w:tc>
        <w:tc>
          <w:tcPr>
            <w:tcW w:w="2098" w:type="dxa"/>
            <w:tcBorders>
              <w:bottom w:val="single" w:sz="12" w:space="0" w:color="808080" w:themeColor="background1" w:themeShade="80"/>
            </w:tcBorders>
            <w:shd w:val="clear" w:color="auto" w:fill="F2F2F2" w:themeFill="background1" w:themeFillShade="F2"/>
            <w:vAlign w:val="center"/>
          </w:tcPr>
          <w:p w14:paraId="1BF24119" w14:textId="328A8A73" w:rsidR="00D216BF" w:rsidRPr="000F0321" w:rsidRDefault="00D216BF" w:rsidP="00D216BF">
            <w:pPr>
              <w:spacing w:after="0" w:line="240" w:lineRule="auto"/>
              <w:jc w:val="right"/>
              <w:rPr>
                <w:sz w:val="15"/>
                <w:szCs w:val="15"/>
              </w:rPr>
            </w:pPr>
            <w:r w:rsidRPr="000F0321">
              <w:rPr>
                <w:rFonts w:ascii="Montserrat" w:hAnsi="Montserrat" w:cs="Arial"/>
                <w:b/>
                <w:bCs/>
                <w:color w:val="000000"/>
                <w:sz w:val="15"/>
                <w:szCs w:val="15"/>
              </w:rPr>
              <w:t>8,648,237,066,409</w:t>
            </w:r>
          </w:p>
        </w:tc>
        <w:tc>
          <w:tcPr>
            <w:tcW w:w="2098" w:type="dxa"/>
            <w:tcBorders>
              <w:bottom w:val="single" w:sz="12" w:space="0" w:color="808080" w:themeColor="background1" w:themeShade="80"/>
            </w:tcBorders>
            <w:shd w:val="clear" w:color="auto" w:fill="F2F2F2" w:themeFill="background1" w:themeFillShade="F2"/>
            <w:noWrap/>
            <w:hideMark/>
          </w:tcPr>
          <w:p w14:paraId="37B8121B" w14:textId="77777777" w:rsidR="00D216BF" w:rsidRPr="000F0321" w:rsidRDefault="00D216BF" w:rsidP="00D216BF">
            <w:pPr>
              <w:spacing w:after="0" w:line="240" w:lineRule="auto"/>
              <w:jc w:val="right"/>
              <w:rPr>
                <w:sz w:val="15"/>
                <w:szCs w:val="15"/>
              </w:rPr>
            </w:pPr>
            <w:r w:rsidRPr="00255081">
              <w:rPr>
                <w:rFonts w:ascii="Montserrat" w:eastAsia="Times New Roman" w:hAnsi="Montserrat" w:cs="Calibri"/>
                <w:b/>
                <w:bCs/>
                <w:color w:val="000000"/>
                <w:sz w:val="15"/>
                <w:szCs w:val="15"/>
                <w:lang w:val="es-MX" w:eastAsia="es-MX"/>
              </w:rPr>
              <w:t>8,828,022,128,955</w:t>
            </w:r>
          </w:p>
        </w:tc>
      </w:tr>
    </w:tbl>
    <w:p w14:paraId="04E06770" w14:textId="77777777" w:rsidR="00495BFD" w:rsidRDefault="00495BFD" w:rsidP="00263314">
      <w:pPr>
        <w:spacing w:after="0" w:line="240" w:lineRule="auto"/>
        <w:jc w:val="both"/>
        <w:rPr>
          <w:rFonts w:ascii="Montserrat" w:hAnsi="Montserrat" w:cs="Arial"/>
          <w:spacing w:val="-1"/>
          <w:sz w:val="18"/>
          <w:szCs w:val="18"/>
        </w:rPr>
      </w:pPr>
    </w:p>
    <w:p w14:paraId="2FECE84A" w14:textId="05334B78" w:rsidR="009C3C24" w:rsidRDefault="009C3C24" w:rsidP="00FC39E1">
      <w:pPr>
        <w:pStyle w:val="Prrafodelista"/>
        <w:numPr>
          <w:ilvl w:val="0"/>
          <w:numId w:val="30"/>
        </w:numPr>
        <w:spacing w:before="240" w:after="120" w:line="250" w:lineRule="exact"/>
        <w:ind w:left="709" w:hanging="284"/>
        <w:jc w:val="both"/>
        <w:rPr>
          <w:rFonts w:ascii="Montserrat" w:hAnsi="Montserrat" w:cs="Arial"/>
          <w:spacing w:val="-1"/>
          <w:sz w:val="18"/>
          <w:szCs w:val="18"/>
        </w:rPr>
      </w:pPr>
      <w:r w:rsidRPr="00F1379E">
        <w:rPr>
          <w:rFonts w:ascii="Montserrat" w:hAnsi="Montserrat" w:cs="Arial"/>
          <w:spacing w:val="-1"/>
          <w:sz w:val="18"/>
          <w:szCs w:val="18"/>
        </w:rPr>
        <w:t>Los Títulos y Valores de la Deuda Pública Interna</w:t>
      </w:r>
      <w:r w:rsidR="0000636D">
        <w:rPr>
          <w:rFonts w:ascii="Montserrat" w:hAnsi="Montserrat" w:cs="Arial"/>
          <w:spacing w:val="-1"/>
          <w:sz w:val="18"/>
          <w:szCs w:val="18"/>
        </w:rPr>
        <w:t xml:space="preserve"> a Largo Plazo</w:t>
      </w:r>
      <w:r w:rsidRPr="00F1379E">
        <w:rPr>
          <w:rFonts w:ascii="Montserrat" w:hAnsi="Montserrat" w:cs="Arial"/>
          <w:spacing w:val="-1"/>
          <w:sz w:val="18"/>
          <w:szCs w:val="18"/>
        </w:rPr>
        <w:t>, de conformidad a la Guía Contabilizadora 39.- Valores Gubernamentales, Bonos, Otros Títulos de Crédito y Servicio de la Deuda del Tramo de Financiamiento Interno</w:t>
      </w:r>
      <w:r w:rsidR="0000636D">
        <w:rPr>
          <w:rFonts w:ascii="Montserrat" w:hAnsi="Montserrat" w:cs="Arial"/>
          <w:spacing w:val="-1"/>
          <w:sz w:val="18"/>
          <w:szCs w:val="18"/>
        </w:rPr>
        <w:t xml:space="preserve"> del MCGPEF</w:t>
      </w:r>
      <w:r w:rsidRPr="00F1379E">
        <w:rPr>
          <w:rFonts w:ascii="Montserrat" w:hAnsi="Montserrat" w:cs="Arial"/>
          <w:spacing w:val="-1"/>
          <w:sz w:val="18"/>
          <w:szCs w:val="18"/>
        </w:rPr>
        <w:t>, se registra a valor de colocación y se integra por los siguientes instrumentos:</w:t>
      </w:r>
    </w:p>
    <w:p w14:paraId="4C91D66E" w14:textId="77777777" w:rsidR="00F86C1F" w:rsidRDefault="00F86C1F" w:rsidP="000F0321">
      <w:pPr>
        <w:spacing w:before="240" w:after="120" w:line="250" w:lineRule="exact"/>
        <w:jc w:val="both"/>
        <w:rPr>
          <w:rFonts w:ascii="Montserrat" w:hAnsi="Montserrat" w:cs="Arial"/>
          <w:spacing w:val="-1"/>
          <w:sz w:val="18"/>
          <w:szCs w:val="18"/>
        </w:rPr>
      </w:pPr>
    </w:p>
    <w:p w14:paraId="2124F573" w14:textId="2C63F5C2" w:rsidR="00F86C1F" w:rsidRDefault="00F86C1F" w:rsidP="000F0321">
      <w:pPr>
        <w:spacing w:before="240" w:after="120" w:line="250" w:lineRule="exact"/>
        <w:jc w:val="both"/>
        <w:rPr>
          <w:rFonts w:ascii="Montserrat" w:hAnsi="Montserrat" w:cs="Arial"/>
          <w:spacing w:val="-1"/>
          <w:sz w:val="18"/>
          <w:szCs w:val="18"/>
        </w:rPr>
      </w:pPr>
    </w:p>
    <w:p w14:paraId="367C8005" w14:textId="61481921" w:rsidR="00F86C1F" w:rsidRDefault="00F86C1F" w:rsidP="000F0321">
      <w:pPr>
        <w:spacing w:after="0" w:line="240" w:lineRule="auto"/>
        <w:jc w:val="both"/>
        <w:rPr>
          <w:rFonts w:ascii="Montserrat" w:hAnsi="Montserrat" w:cs="Arial"/>
          <w:spacing w:val="-1"/>
          <w:sz w:val="18"/>
          <w:szCs w:val="18"/>
        </w:rPr>
      </w:pPr>
    </w:p>
    <w:p w14:paraId="247BB0A7" w14:textId="77777777" w:rsidR="005B52DD" w:rsidRDefault="005B52DD" w:rsidP="000F0321">
      <w:pPr>
        <w:spacing w:after="0" w:line="240" w:lineRule="auto"/>
        <w:jc w:val="both"/>
        <w:rPr>
          <w:rFonts w:ascii="Montserrat" w:hAnsi="Montserrat" w:cs="Arial"/>
          <w:spacing w:val="-1"/>
          <w:sz w:val="18"/>
          <w:szCs w:val="18"/>
        </w:rPr>
      </w:pPr>
    </w:p>
    <w:p w14:paraId="18A03BB3" w14:textId="77777777" w:rsidR="009C3C24" w:rsidRPr="00936371" w:rsidRDefault="009C3C24" w:rsidP="00E52592">
      <w:pPr>
        <w:spacing w:after="60" w:line="250" w:lineRule="exact"/>
        <w:jc w:val="center"/>
        <w:rPr>
          <w:rFonts w:ascii="Montserrat" w:hAnsi="Montserrat" w:cs="Arial"/>
          <w:spacing w:val="-1"/>
          <w:sz w:val="18"/>
          <w:szCs w:val="18"/>
        </w:rPr>
      </w:pPr>
      <w:r w:rsidRPr="00936371">
        <w:rPr>
          <w:rFonts w:ascii="Montserrat" w:eastAsia="Times New Roman" w:hAnsi="Montserrat" w:cs="Calibri"/>
          <w:bCs/>
          <w:sz w:val="16"/>
          <w:szCs w:val="16"/>
          <w:lang w:eastAsia="es-MX"/>
        </w:rPr>
        <w:lastRenderedPageBreak/>
        <w:t>(Pesos)</w:t>
      </w:r>
    </w:p>
    <w:tbl>
      <w:tblPr>
        <w:tblW w:w="9720" w:type="dxa"/>
        <w:jc w:val="center"/>
        <w:tblCellMar>
          <w:left w:w="70" w:type="dxa"/>
          <w:right w:w="70" w:type="dxa"/>
        </w:tblCellMar>
        <w:tblLook w:val="04A0" w:firstRow="1" w:lastRow="0" w:firstColumn="1" w:lastColumn="0" w:noHBand="0" w:noVBand="1"/>
      </w:tblPr>
      <w:tblGrid>
        <w:gridCol w:w="4084"/>
        <w:gridCol w:w="1440"/>
        <w:gridCol w:w="2098"/>
        <w:gridCol w:w="2098"/>
      </w:tblGrid>
      <w:tr w:rsidR="00C4519E" w:rsidRPr="006F0DF1" w14:paraId="003B1F52" w14:textId="77777777" w:rsidTr="00CC40D5">
        <w:trPr>
          <w:trHeight w:val="57"/>
          <w:jc w:val="center"/>
        </w:trPr>
        <w:tc>
          <w:tcPr>
            <w:tcW w:w="9720" w:type="dxa"/>
            <w:gridSpan w:val="4"/>
            <w:tcBorders>
              <w:top w:val="single" w:sz="12" w:space="0" w:color="808080" w:themeColor="background1" w:themeShade="80"/>
            </w:tcBorders>
            <w:shd w:val="clear" w:color="auto" w:fill="auto"/>
            <w:noWrap/>
            <w:vAlign w:val="center"/>
          </w:tcPr>
          <w:p w14:paraId="561F0CCE" w14:textId="77777777" w:rsidR="00C4519E" w:rsidRPr="00BC0F30" w:rsidRDefault="00C4519E" w:rsidP="002F797B">
            <w:pPr>
              <w:spacing w:after="0" w:line="240" w:lineRule="auto"/>
              <w:jc w:val="center"/>
              <w:rPr>
                <w:rFonts w:ascii="Montserrat" w:eastAsia="Times New Roman" w:hAnsi="Montserrat" w:cs="Calibri"/>
                <w:b/>
                <w:bCs/>
                <w:color w:val="FFFFFF"/>
                <w:sz w:val="4"/>
                <w:szCs w:val="4"/>
                <w:lang w:eastAsia="es-MX"/>
              </w:rPr>
            </w:pPr>
          </w:p>
        </w:tc>
      </w:tr>
      <w:tr w:rsidR="009C3C24" w:rsidRPr="006F0DF1" w14:paraId="3DA216ED" w14:textId="77777777" w:rsidTr="005C224C">
        <w:trPr>
          <w:trHeight w:val="317"/>
          <w:jc w:val="center"/>
        </w:trPr>
        <w:tc>
          <w:tcPr>
            <w:tcW w:w="4084" w:type="dxa"/>
            <w:tcBorders>
              <w:left w:val="single" w:sz="8" w:space="0" w:color="FFFFFF" w:themeColor="background1"/>
              <w:bottom w:val="double" w:sz="12" w:space="0" w:color="808080" w:themeColor="background1" w:themeShade="80"/>
              <w:right w:val="single" w:sz="8" w:space="0" w:color="FFFFFF" w:themeColor="background1"/>
            </w:tcBorders>
            <w:shd w:val="clear" w:color="auto" w:fill="D4C19C"/>
            <w:noWrap/>
            <w:vAlign w:val="center"/>
            <w:hideMark/>
          </w:tcPr>
          <w:p w14:paraId="772D3027" w14:textId="77777777" w:rsidR="009C3C24" w:rsidRPr="006F0DF1" w:rsidRDefault="009C3C24" w:rsidP="002F797B">
            <w:pPr>
              <w:spacing w:after="0" w:line="240" w:lineRule="auto"/>
              <w:jc w:val="center"/>
              <w:rPr>
                <w:rFonts w:ascii="Montserrat" w:eastAsia="Times New Roman" w:hAnsi="Montserrat" w:cs="Calibri"/>
                <w:b/>
                <w:bCs/>
                <w:color w:val="FFFFFF"/>
                <w:sz w:val="16"/>
                <w:szCs w:val="16"/>
                <w:lang w:val="es-MX" w:eastAsia="es-MX"/>
              </w:rPr>
            </w:pPr>
            <w:r w:rsidRPr="006F0DF1">
              <w:rPr>
                <w:rFonts w:ascii="Montserrat" w:eastAsia="Times New Roman" w:hAnsi="Montserrat" w:cs="Calibri"/>
                <w:b/>
                <w:bCs/>
                <w:color w:val="FFFFFF"/>
                <w:sz w:val="16"/>
                <w:szCs w:val="16"/>
                <w:lang w:eastAsia="es-MX"/>
              </w:rPr>
              <w:t>Tipo de Instrumento</w:t>
            </w:r>
          </w:p>
        </w:tc>
        <w:tc>
          <w:tcPr>
            <w:tcW w:w="1440" w:type="dxa"/>
            <w:tcBorders>
              <w:left w:val="single" w:sz="8" w:space="0" w:color="FFFFFF" w:themeColor="background1"/>
              <w:bottom w:val="double" w:sz="12" w:space="0" w:color="808080" w:themeColor="background1" w:themeShade="80"/>
              <w:right w:val="single" w:sz="8" w:space="0" w:color="FFFFFF" w:themeColor="background1"/>
            </w:tcBorders>
            <w:shd w:val="clear" w:color="auto" w:fill="D4C19C"/>
            <w:vAlign w:val="center"/>
            <w:hideMark/>
          </w:tcPr>
          <w:p w14:paraId="1B9D3E2F" w14:textId="77777777" w:rsidR="009C3C24" w:rsidRPr="006F0DF1" w:rsidRDefault="009C3C24" w:rsidP="002F797B">
            <w:pPr>
              <w:spacing w:after="0" w:line="240" w:lineRule="auto"/>
              <w:jc w:val="center"/>
              <w:rPr>
                <w:rFonts w:ascii="Montserrat" w:eastAsia="Times New Roman" w:hAnsi="Montserrat" w:cs="Calibri"/>
                <w:b/>
                <w:bCs/>
                <w:color w:val="FFFFFF"/>
                <w:sz w:val="16"/>
                <w:szCs w:val="16"/>
                <w:lang w:val="es-MX" w:eastAsia="es-MX"/>
              </w:rPr>
            </w:pPr>
            <w:r w:rsidRPr="006F0DF1">
              <w:rPr>
                <w:rFonts w:ascii="Montserrat" w:eastAsia="Times New Roman" w:hAnsi="Montserrat" w:cs="Calibri"/>
                <w:b/>
                <w:bCs/>
                <w:color w:val="FFFFFF"/>
                <w:sz w:val="16"/>
                <w:szCs w:val="16"/>
                <w:lang w:eastAsia="es-MX"/>
              </w:rPr>
              <w:t>Siglas</w:t>
            </w:r>
          </w:p>
        </w:tc>
        <w:tc>
          <w:tcPr>
            <w:tcW w:w="2098" w:type="dxa"/>
            <w:tcBorders>
              <w:left w:val="single" w:sz="8" w:space="0" w:color="FFFFFF" w:themeColor="background1"/>
              <w:bottom w:val="double" w:sz="12" w:space="0" w:color="808080" w:themeColor="background1" w:themeShade="80"/>
              <w:right w:val="single" w:sz="8" w:space="0" w:color="FFFFFF" w:themeColor="background1"/>
            </w:tcBorders>
            <w:shd w:val="clear" w:color="auto" w:fill="D4C19C"/>
            <w:noWrap/>
            <w:vAlign w:val="center"/>
            <w:hideMark/>
          </w:tcPr>
          <w:p w14:paraId="7A67563B" w14:textId="77777777" w:rsidR="009C3C24" w:rsidRPr="006F0DF1" w:rsidRDefault="009C3C24" w:rsidP="002F797B">
            <w:pPr>
              <w:spacing w:after="0" w:line="240" w:lineRule="auto"/>
              <w:jc w:val="center"/>
              <w:rPr>
                <w:rFonts w:ascii="Montserrat" w:eastAsia="Times New Roman" w:hAnsi="Montserrat" w:cs="Calibri"/>
                <w:b/>
                <w:bCs/>
                <w:color w:val="FFFFFF"/>
                <w:sz w:val="16"/>
                <w:szCs w:val="16"/>
                <w:lang w:val="es-MX" w:eastAsia="es-MX"/>
              </w:rPr>
            </w:pPr>
            <w:r w:rsidRPr="006F0DF1">
              <w:rPr>
                <w:rFonts w:ascii="Montserrat" w:eastAsia="Times New Roman" w:hAnsi="Montserrat" w:cs="Calibri"/>
                <w:b/>
                <w:bCs/>
                <w:color w:val="FFFFFF"/>
                <w:sz w:val="16"/>
                <w:szCs w:val="16"/>
                <w:lang w:eastAsia="es-MX"/>
              </w:rPr>
              <w:t>201</w:t>
            </w:r>
            <w:r w:rsidR="00674B56">
              <w:rPr>
                <w:rFonts w:ascii="Montserrat" w:eastAsia="Times New Roman" w:hAnsi="Montserrat" w:cs="Calibri"/>
                <w:b/>
                <w:bCs/>
                <w:color w:val="FFFFFF"/>
                <w:sz w:val="16"/>
                <w:szCs w:val="16"/>
                <w:lang w:eastAsia="es-MX"/>
              </w:rPr>
              <w:t>9</w:t>
            </w:r>
          </w:p>
        </w:tc>
        <w:tc>
          <w:tcPr>
            <w:tcW w:w="2098" w:type="dxa"/>
            <w:tcBorders>
              <w:left w:val="single" w:sz="8" w:space="0" w:color="FFFFFF" w:themeColor="background1"/>
              <w:bottom w:val="double" w:sz="12" w:space="0" w:color="808080" w:themeColor="background1" w:themeShade="80"/>
              <w:right w:val="single" w:sz="8" w:space="0" w:color="FFFFFF" w:themeColor="background1"/>
            </w:tcBorders>
            <w:shd w:val="clear" w:color="auto" w:fill="D4C19C"/>
            <w:noWrap/>
            <w:vAlign w:val="center"/>
            <w:hideMark/>
          </w:tcPr>
          <w:p w14:paraId="6964085F" w14:textId="77777777" w:rsidR="009C3C24" w:rsidRPr="006F0DF1" w:rsidRDefault="009C3C24" w:rsidP="002F797B">
            <w:pPr>
              <w:spacing w:after="0" w:line="240" w:lineRule="auto"/>
              <w:jc w:val="center"/>
              <w:rPr>
                <w:rFonts w:ascii="Montserrat" w:eastAsia="Times New Roman" w:hAnsi="Montserrat" w:cs="Calibri"/>
                <w:b/>
                <w:bCs/>
                <w:color w:val="FFFFFF"/>
                <w:sz w:val="16"/>
                <w:szCs w:val="16"/>
                <w:lang w:val="es-MX" w:eastAsia="es-MX"/>
              </w:rPr>
            </w:pPr>
            <w:r w:rsidRPr="006F0DF1">
              <w:rPr>
                <w:rFonts w:ascii="Montserrat" w:eastAsia="Times New Roman" w:hAnsi="Montserrat" w:cs="Calibri"/>
                <w:b/>
                <w:bCs/>
                <w:color w:val="FFFFFF"/>
                <w:sz w:val="16"/>
                <w:szCs w:val="16"/>
                <w:lang w:eastAsia="es-MX"/>
              </w:rPr>
              <w:t>201</w:t>
            </w:r>
            <w:r w:rsidR="00674B56">
              <w:rPr>
                <w:rFonts w:ascii="Montserrat" w:eastAsia="Times New Roman" w:hAnsi="Montserrat" w:cs="Calibri"/>
                <w:b/>
                <w:bCs/>
                <w:color w:val="FFFFFF"/>
                <w:sz w:val="16"/>
                <w:szCs w:val="16"/>
                <w:lang w:eastAsia="es-MX"/>
              </w:rPr>
              <w:t>8</w:t>
            </w:r>
          </w:p>
        </w:tc>
      </w:tr>
      <w:tr w:rsidR="00042DAE" w:rsidRPr="00C861A4" w14:paraId="61503FA3" w14:textId="77777777" w:rsidTr="000F0321">
        <w:trPr>
          <w:trHeight w:val="215"/>
          <w:jc w:val="center"/>
        </w:trPr>
        <w:tc>
          <w:tcPr>
            <w:tcW w:w="4084" w:type="dxa"/>
            <w:tcBorders>
              <w:top w:val="double" w:sz="12" w:space="0" w:color="808080" w:themeColor="background1" w:themeShade="80"/>
            </w:tcBorders>
            <w:shd w:val="clear" w:color="auto" w:fill="auto"/>
            <w:vAlign w:val="center"/>
            <w:hideMark/>
          </w:tcPr>
          <w:p w14:paraId="0E5669F4" w14:textId="77777777" w:rsidR="00042DAE" w:rsidRPr="00C861A4" w:rsidRDefault="00042DAE" w:rsidP="00042DAE">
            <w:pPr>
              <w:spacing w:after="0" w:line="240" w:lineRule="auto"/>
              <w:ind w:left="170"/>
              <w:rPr>
                <w:rFonts w:ascii="Montserrat" w:eastAsia="Times New Roman" w:hAnsi="Montserrat" w:cs="Calibri"/>
                <w:color w:val="000000"/>
                <w:sz w:val="15"/>
                <w:szCs w:val="15"/>
                <w:lang w:val="es-MX" w:eastAsia="es-MX"/>
              </w:rPr>
            </w:pPr>
            <w:r w:rsidRPr="00C861A4">
              <w:rPr>
                <w:rFonts w:ascii="Montserrat" w:eastAsia="Times New Roman" w:hAnsi="Montserrat" w:cs="Calibri"/>
                <w:color w:val="000000"/>
                <w:sz w:val="15"/>
                <w:szCs w:val="15"/>
                <w:lang w:eastAsia="es-MX"/>
              </w:rPr>
              <w:t xml:space="preserve">Bonos de Desarrollo del Gobierno Federal </w:t>
            </w:r>
          </w:p>
        </w:tc>
        <w:tc>
          <w:tcPr>
            <w:tcW w:w="1440" w:type="dxa"/>
            <w:tcBorders>
              <w:top w:val="double" w:sz="12" w:space="0" w:color="808080" w:themeColor="background1" w:themeShade="80"/>
            </w:tcBorders>
            <w:shd w:val="clear" w:color="auto" w:fill="auto"/>
            <w:vAlign w:val="center"/>
            <w:hideMark/>
          </w:tcPr>
          <w:p w14:paraId="242B5FAD" w14:textId="77777777" w:rsidR="00042DAE" w:rsidRPr="00C861A4" w:rsidRDefault="00042DAE" w:rsidP="00042DAE">
            <w:pPr>
              <w:spacing w:after="0" w:line="240" w:lineRule="auto"/>
              <w:jc w:val="center"/>
              <w:rPr>
                <w:rFonts w:ascii="Montserrat" w:eastAsia="Times New Roman" w:hAnsi="Montserrat" w:cs="Calibri"/>
                <w:color w:val="000000"/>
                <w:sz w:val="15"/>
                <w:szCs w:val="15"/>
                <w:lang w:val="es-MX" w:eastAsia="es-MX"/>
              </w:rPr>
            </w:pPr>
            <w:r w:rsidRPr="00C861A4">
              <w:rPr>
                <w:rFonts w:ascii="Montserrat" w:eastAsia="Times New Roman" w:hAnsi="Montserrat" w:cs="Calibri"/>
                <w:color w:val="000000"/>
                <w:sz w:val="15"/>
                <w:szCs w:val="15"/>
                <w:lang w:eastAsia="es-MX"/>
              </w:rPr>
              <w:t>BONDES</w:t>
            </w:r>
          </w:p>
        </w:tc>
        <w:tc>
          <w:tcPr>
            <w:tcW w:w="2098" w:type="dxa"/>
            <w:tcBorders>
              <w:top w:val="double" w:sz="12" w:space="0" w:color="808080" w:themeColor="background1" w:themeShade="80"/>
            </w:tcBorders>
            <w:shd w:val="clear" w:color="auto" w:fill="auto"/>
            <w:noWrap/>
          </w:tcPr>
          <w:p w14:paraId="2F0245DE" w14:textId="149257EA" w:rsidR="00042DAE" w:rsidRPr="00C861A4" w:rsidRDefault="00B247A2" w:rsidP="00042DAE">
            <w:pPr>
              <w:spacing w:after="0" w:line="240" w:lineRule="auto"/>
              <w:jc w:val="right"/>
              <w:rPr>
                <w:rFonts w:ascii="Montserrat" w:eastAsia="Times New Roman" w:hAnsi="Montserrat" w:cs="Calibri"/>
                <w:sz w:val="15"/>
                <w:szCs w:val="15"/>
                <w:lang w:eastAsia="es-MX"/>
              </w:rPr>
            </w:pPr>
            <w:r>
              <w:rPr>
                <w:rFonts w:ascii="Montserrat" w:eastAsia="Times New Roman" w:hAnsi="Montserrat" w:cs="Calibri"/>
                <w:sz w:val="15"/>
                <w:szCs w:val="15"/>
                <w:lang w:eastAsia="es-MX"/>
              </w:rPr>
              <w:t xml:space="preserve"> 550,901,840,204</w:t>
            </w:r>
            <w:r w:rsidR="00042DAE" w:rsidRPr="000F0321">
              <w:rPr>
                <w:rFonts w:ascii="Montserrat" w:eastAsia="Times New Roman" w:hAnsi="Montserrat" w:cs="Calibri"/>
                <w:sz w:val="15"/>
                <w:szCs w:val="15"/>
                <w:lang w:eastAsia="es-MX"/>
              </w:rPr>
              <w:t xml:space="preserve"> </w:t>
            </w:r>
          </w:p>
        </w:tc>
        <w:tc>
          <w:tcPr>
            <w:tcW w:w="2098" w:type="dxa"/>
            <w:tcBorders>
              <w:top w:val="double" w:sz="12" w:space="0" w:color="808080" w:themeColor="background1" w:themeShade="80"/>
            </w:tcBorders>
            <w:shd w:val="clear" w:color="auto" w:fill="auto"/>
            <w:vAlign w:val="bottom"/>
            <w:hideMark/>
          </w:tcPr>
          <w:p w14:paraId="053F1D35" w14:textId="77777777" w:rsidR="00042DAE" w:rsidRPr="00C861A4" w:rsidRDefault="00042DAE" w:rsidP="00042DAE">
            <w:pPr>
              <w:spacing w:after="0" w:line="240" w:lineRule="auto"/>
              <w:jc w:val="right"/>
              <w:rPr>
                <w:rFonts w:ascii="Montserrat" w:eastAsia="Times New Roman" w:hAnsi="Montserrat" w:cs="Calibri"/>
                <w:sz w:val="15"/>
                <w:szCs w:val="15"/>
                <w:lang w:eastAsia="es-MX"/>
              </w:rPr>
            </w:pPr>
            <w:r w:rsidRPr="00C861A4">
              <w:rPr>
                <w:rFonts w:ascii="Montserrat" w:eastAsia="Times New Roman" w:hAnsi="Montserrat" w:cs="Calibri"/>
                <w:sz w:val="15"/>
                <w:szCs w:val="15"/>
                <w:lang w:eastAsia="es-MX"/>
              </w:rPr>
              <w:t>548,240,419,304</w:t>
            </w:r>
          </w:p>
        </w:tc>
      </w:tr>
      <w:tr w:rsidR="00042DAE" w:rsidRPr="00C861A4" w14:paraId="7DBE15C3" w14:textId="77777777" w:rsidTr="000F0321">
        <w:trPr>
          <w:trHeight w:val="215"/>
          <w:jc w:val="center"/>
        </w:trPr>
        <w:tc>
          <w:tcPr>
            <w:tcW w:w="4084" w:type="dxa"/>
            <w:tcBorders>
              <w:top w:val="nil"/>
            </w:tcBorders>
            <w:shd w:val="clear" w:color="auto" w:fill="auto"/>
            <w:vAlign w:val="center"/>
            <w:hideMark/>
          </w:tcPr>
          <w:p w14:paraId="5EA631B2" w14:textId="77777777" w:rsidR="00042DAE" w:rsidRPr="00C861A4" w:rsidRDefault="00042DAE" w:rsidP="00042DAE">
            <w:pPr>
              <w:spacing w:after="0" w:line="240" w:lineRule="auto"/>
              <w:ind w:left="170"/>
              <w:rPr>
                <w:rFonts w:ascii="Montserrat" w:eastAsia="Times New Roman" w:hAnsi="Montserrat" w:cs="Calibri"/>
                <w:color w:val="000000"/>
                <w:sz w:val="15"/>
                <w:szCs w:val="15"/>
                <w:lang w:val="es-MX" w:eastAsia="es-MX"/>
              </w:rPr>
            </w:pPr>
            <w:r w:rsidRPr="00C861A4">
              <w:rPr>
                <w:rFonts w:ascii="Montserrat" w:eastAsia="Times New Roman" w:hAnsi="Montserrat" w:cs="Calibri"/>
                <w:color w:val="000000"/>
                <w:sz w:val="15"/>
                <w:szCs w:val="15"/>
                <w:lang w:eastAsia="es-MX"/>
              </w:rPr>
              <w:t xml:space="preserve">Bonos Gubernamentales a Tasa Fija </w:t>
            </w:r>
          </w:p>
        </w:tc>
        <w:tc>
          <w:tcPr>
            <w:tcW w:w="1440" w:type="dxa"/>
            <w:tcBorders>
              <w:top w:val="nil"/>
            </w:tcBorders>
            <w:shd w:val="clear" w:color="auto" w:fill="auto"/>
            <w:vAlign w:val="center"/>
            <w:hideMark/>
          </w:tcPr>
          <w:p w14:paraId="28CD5F91" w14:textId="77777777" w:rsidR="00042DAE" w:rsidRPr="00C861A4" w:rsidRDefault="00042DAE" w:rsidP="00042DAE">
            <w:pPr>
              <w:spacing w:after="0" w:line="240" w:lineRule="auto"/>
              <w:jc w:val="center"/>
              <w:rPr>
                <w:rFonts w:ascii="Montserrat" w:eastAsia="Times New Roman" w:hAnsi="Montserrat" w:cs="Calibri"/>
                <w:color w:val="000000"/>
                <w:sz w:val="15"/>
                <w:szCs w:val="15"/>
                <w:lang w:val="es-MX" w:eastAsia="es-MX"/>
              </w:rPr>
            </w:pPr>
            <w:r w:rsidRPr="00C861A4">
              <w:rPr>
                <w:rFonts w:ascii="Montserrat" w:eastAsia="Times New Roman" w:hAnsi="Montserrat" w:cs="Calibri"/>
                <w:color w:val="000000"/>
                <w:sz w:val="15"/>
                <w:szCs w:val="15"/>
                <w:lang w:eastAsia="es-MX"/>
              </w:rPr>
              <w:t>BONOS M</w:t>
            </w:r>
          </w:p>
        </w:tc>
        <w:tc>
          <w:tcPr>
            <w:tcW w:w="2098" w:type="dxa"/>
            <w:tcBorders>
              <w:top w:val="nil"/>
            </w:tcBorders>
            <w:shd w:val="clear" w:color="auto" w:fill="auto"/>
            <w:noWrap/>
          </w:tcPr>
          <w:p w14:paraId="69D818B6" w14:textId="30BDBB2A" w:rsidR="00042DAE" w:rsidRPr="00C861A4" w:rsidRDefault="00B247A2" w:rsidP="00042DAE">
            <w:pPr>
              <w:spacing w:after="0" w:line="240" w:lineRule="auto"/>
              <w:jc w:val="right"/>
              <w:rPr>
                <w:rFonts w:ascii="Montserrat" w:eastAsia="Times New Roman" w:hAnsi="Montserrat" w:cs="Calibri"/>
                <w:sz w:val="15"/>
                <w:szCs w:val="15"/>
                <w:lang w:eastAsia="es-MX"/>
              </w:rPr>
            </w:pPr>
            <w:r>
              <w:rPr>
                <w:rFonts w:ascii="Montserrat" w:eastAsia="Times New Roman" w:hAnsi="Montserrat" w:cs="Calibri"/>
                <w:sz w:val="15"/>
                <w:szCs w:val="15"/>
                <w:lang w:eastAsia="es-MX"/>
              </w:rPr>
              <w:t xml:space="preserve"> 3,002,701,755,599</w:t>
            </w:r>
            <w:r w:rsidR="00042DAE" w:rsidRPr="000F0321">
              <w:rPr>
                <w:rFonts w:ascii="Montserrat" w:eastAsia="Times New Roman" w:hAnsi="Montserrat" w:cs="Calibri"/>
                <w:sz w:val="15"/>
                <w:szCs w:val="15"/>
                <w:lang w:eastAsia="es-MX"/>
              </w:rPr>
              <w:t xml:space="preserve"> </w:t>
            </w:r>
          </w:p>
        </w:tc>
        <w:tc>
          <w:tcPr>
            <w:tcW w:w="2098" w:type="dxa"/>
            <w:tcBorders>
              <w:top w:val="nil"/>
            </w:tcBorders>
            <w:shd w:val="clear" w:color="auto" w:fill="auto"/>
            <w:vAlign w:val="bottom"/>
            <w:hideMark/>
          </w:tcPr>
          <w:p w14:paraId="2238F28F" w14:textId="77777777" w:rsidR="00042DAE" w:rsidRPr="00C861A4" w:rsidRDefault="00042DAE" w:rsidP="00042DAE">
            <w:pPr>
              <w:spacing w:after="0" w:line="240" w:lineRule="auto"/>
              <w:jc w:val="right"/>
              <w:rPr>
                <w:rFonts w:ascii="Montserrat" w:eastAsia="Times New Roman" w:hAnsi="Montserrat" w:cs="Calibri"/>
                <w:sz w:val="15"/>
                <w:szCs w:val="15"/>
                <w:lang w:eastAsia="es-MX"/>
              </w:rPr>
            </w:pPr>
            <w:r w:rsidRPr="00C861A4">
              <w:rPr>
                <w:rFonts w:ascii="Montserrat" w:eastAsia="Times New Roman" w:hAnsi="Montserrat" w:cs="Calibri"/>
                <w:sz w:val="15"/>
                <w:szCs w:val="15"/>
                <w:lang w:eastAsia="es-MX"/>
              </w:rPr>
              <w:t>2,890,327,441,000</w:t>
            </w:r>
          </w:p>
        </w:tc>
      </w:tr>
      <w:tr w:rsidR="00042DAE" w:rsidRPr="00C861A4" w14:paraId="510E8D2C" w14:textId="77777777" w:rsidTr="000F0321">
        <w:trPr>
          <w:trHeight w:val="215"/>
          <w:jc w:val="center"/>
        </w:trPr>
        <w:tc>
          <w:tcPr>
            <w:tcW w:w="4084" w:type="dxa"/>
            <w:tcBorders>
              <w:top w:val="nil"/>
            </w:tcBorders>
            <w:shd w:val="clear" w:color="auto" w:fill="auto"/>
            <w:vAlign w:val="center"/>
            <w:hideMark/>
          </w:tcPr>
          <w:p w14:paraId="0055D46D" w14:textId="77777777" w:rsidR="00042DAE" w:rsidRPr="00C861A4" w:rsidRDefault="00042DAE" w:rsidP="00042DAE">
            <w:pPr>
              <w:spacing w:after="0" w:line="240" w:lineRule="auto"/>
              <w:ind w:left="170"/>
              <w:rPr>
                <w:rFonts w:ascii="Montserrat" w:eastAsia="Times New Roman" w:hAnsi="Montserrat" w:cs="Calibri"/>
                <w:color w:val="000000"/>
                <w:sz w:val="15"/>
                <w:szCs w:val="15"/>
                <w:lang w:val="es-MX" w:eastAsia="es-MX"/>
              </w:rPr>
            </w:pPr>
            <w:r w:rsidRPr="00C861A4">
              <w:rPr>
                <w:rFonts w:ascii="Montserrat" w:eastAsia="Times New Roman" w:hAnsi="Montserrat" w:cs="Calibri"/>
                <w:color w:val="000000"/>
                <w:sz w:val="15"/>
                <w:szCs w:val="15"/>
                <w:lang w:eastAsia="es-MX"/>
              </w:rPr>
              <w:t>UDIBONOS</w:t>
            </w:r>
          </w:p>
        </w:tc>
        <w:tc>
          <w:tcPr>
            <w:tcW w:w="1440" w:type="dxa"/>
            <w:tcBorders>
              <w:top w:val="nil"/>
            </w:tcBorders>
            <w:shd w:val="clear" w:color="auto" w:fill="auto"/>
            <w:vAlign w:val="center"/>
            <w:hideMark/>
          </w:tcPr>
          <w:p w14:paraId="77C3135D" w14:textId="77777777" w:rsidR="00042DAE" w:rsidRPr="00C861A4" w:rsidRDefault="00042DAE" w:rsidP="00042DAE">
            <w:pPr>
              <w:spacing w:after="0" w:line="240" w:lineRule="auto"/>
              <w:jc w:val="center"/>
              <w:rPr>
                <w:rFonts w:ascii="Montserrat" w:eastAsia="Times New Roman" w:hAnsi="Montserrat" w:cs="Calibri"/>
                <w:color w:val="000000"/>
                <w:sz w:val="15"/>
                <w:szCs w:val="15"/>
                <w:lang w:val="es-MX" w:eastAsia="es-MX"/>
              </w:rPr>
            </w:pPr>
            <w:r w:rsidRPr="00C861A4">
              <w:rPr>
                <w:rFonts w:ascii="Montserrat" w:eastAsia="Times New Roman" w:hAnsi="Montserrat" w:cs="Calibri"/>
                <w:color w:val="000000"/>
                <w:sz w:val="15"/>
                <w:szCs w:val="15"/>
                <w:lang w:eastAsia="es-MX"/>
              </w:rPr>
              <w:t>UDIBONOS</w:t>
            </w:r>
          </w:p>
        </w:tc>
        <w:tc>
          <w:tcPr>
            <w:tcW w:w="2098" w:type="dxa"/>
            <w:tcBorders>
              <w:top w:val="nil"/>
            </w:tcBorders>
            <w:shd w:val="clear" w:color="auto" w:fill="auto"/>
            <w:noWrap/>
          </w:tcPr>
          <w:p w14:paraId="11CAD8B7" w14:textId="22FF32A3" w:rsidR="00042DAE" w:rsidRPr="00C861A4" w:rsidRDefault="00042DAE" w:rsidP="00042DAE">
            <w:pPr>
              <w:spacing w:after="0" w:line="240" w:lineRule="auto"/>
              <w:jc w:val="right"/>
              <w:rPr>
                <w:rFonts w:ascii="Montserrat" w:eastAsia="Times New Roman" w:hAnsi="Montserrat" w:cs="Calibri"/>
                <w:sz w:val="15"/>
                <w:szCs w:val="15"/>
                <w:lang w:eastAsia="es-MX"/>
              </w:rPr>
            </w:pPr>
            <w:r w:rsidRPr="000F0321">
              <w:rPr>
                <w:rFonts w:ascii="Montserrat" w:eastAsia="Times New Roman" w:hAnsi="Montserrat" w:cs="Calibri"/>
                <w:sz w:val="15"/>
                <w:szCs w:val="15"/>
                <w:lang w:eastAsia="es-MX"/>
              </w:rPr>
              <w:t xml:space="preserve"> 1,551,7</w:t>
            </w:r>
            <w:r w:rsidR="00B247A2">
              <w:rPr>
                <w:rFonts w:ascii="Montserrat" w:eastAsia="Times New Roman" w:hAnsi="Montserrat" w:cs="Calibri"/>
                <w:sz w:val="15"/>
                <w:szCs w:val="15"/>
                <w:lang w:eastAsia="es-MX"/>
              </w:rPr>
              <w:t>55,138,361</w:t>
            </w:r>
            <w:r w:rsidRPr="000F0321">
              <w:rPr>
                <w:rFonts w:ascii="Montserrat" w:eastAsia="Times New Roman" w:hAnsi="Montserrat" w:cs="Calibri"/>
                <w:sz w:val="15"/>
                <w:szCs w:val="15"/>
                <w:lang w:eastAsia="es-MX"/>
              </w:rPr>
              <w:t xml:space="preserve"> </w:t>
            </w:r>
          </w:p>
        </w:tc>
        <w:tc>
          <w:tcPr>
            <w:tcW w:w="2098" w:type="dxa"/>
            <w:tcBorders>
              <w:top w:val="nil"/>
            </w:tcBorders>
            <w:shd w:val="clear" w:color="auto" w:fill="auto"/>
            <w:vAlign w:val="bottom"/>
            <w:hideMark/>
          </w:tcPr>
          <w:p w14:paraId="2DE8A4FF" w14:textId="77777777" w:rsidR="00042DAE" w:rsidRPr="00C861A4" w:rsidRDefault="00042DAE" w:rsidP="00042DAE">
            <w:pPr>
              <w:spacing w:after="0" w:line="240" w:lineRule="auto"/>
              <w:jc w:val="right"/>
              <w:rPr>
                <w:rFonts w:ascii="Montserrat" w:eastAsia="Times New Roman" w:hAnsi="Montserrat" w:cs="Calibri"/>
                <w:sz w:val="15"/>
                <w:szCs w:val="15"/>
                <w:lang w:eastAsia="es-MX"/>
              </w:rPr>
            </w:pPr>
            <w:r w:rsidRPr="00C861A4">
              <w:rPr>
                <w:rFonts w:ascii="Montserrat" w:eastAsia="Times New Roman" w:hAnsi="Montserrat" w:cs="Calibri"/>
                <w:sz w:val="15"/>
                <w:szCs w:val="15"/>
                <w:lang w:eastAsia="es-MX"/>
              </w:rPr>
              <w:t>1,656,001,692,443</w:t>
            </w:r>
          </w:p>
        </w:tc>
      </w:tr>
      <w:tr w:rsidR="00042DAE" w:rsidRPr="00C861A4" w14:paraId="796769EA" w14:textId="77777777" w:rsidTr="000F0321">
        <w:trPr>
          <w:trHeight w:val="215"/>
          <w:jc w:val="center"/>
        </w:trPr>
        <w:tc>
          <w:tcPr>
            <w:tcW w:w="4084" w:type="dxa"/>
            <w:tcBorders>
              <w:top w:val="nil"/>
            </w:tcBorders>
            <w:shd w:val="clear" w:color="auto" w:fill="auto"/>
            <w:vAlign w:val="center"/>
            <w:hideMark/>
          </w:tcPr>
          <w:p w14:paraId="364AB637" w14:textId="77777777" w:rsidR="00042DAE" w:rsidRPr="00C861A4" w:rsidRDefault="00042DAE" w:rsidP="00042DAE">
            <w:pPr>
              <w:spacing w:after="0" w:line="240" w:lineRule="auto"/>
              <w:ind w:left="170"/>
              <w:rPr>
                <w:rFonts w:ascii="Montserrat" w:eastAsia="Times New Roman" w:hAnsi="Montserrat" w:cs="Calibri"/>
                <w:color w:val="000000"/>
                <w:sz w:val="15"/>
                <w:szCs w:val="15"/>
                <w:lang w:val="es-MX" w:eastAsia="es-MX"/>
              </w:rPr>
            </w:pPr>
            <w:r w:rsidRPr="00C861A4">
              <w:rPr>
                <w:rFonts w:ascii="Montserrat" w:eastAsia="Times New Roman" w:hAnsi="Montserrat" w:cs="Calibri"/>
                <w:color w:val="000000"/>
                <w:sz w:val="15"/>
                <w:szCs w:val="15"/>
                <w:lang w:eastAsia="es-MX"/>
              </w:rPr>
              <w:t>UDIBONOS SEGREGABLES</w:t>
            </w:r>
          </w:p>
        </w:tc>
        <w:tc>
          <w:tcPr>
            <w:tcW w:w="1440" w:type="dxa"/>
            <w:tcBorders>
              <w:top w:val="nil"/>
            </w:tcBorders>
            <w:shd w:val="clear" w:color="auto" w:fill="auto"/>
            <w:vAlign w:val="center"/>
            <w:hideMark/>
          </w:tcPr>
          <w:p w14:paraId="6B3D1EAA" w14:textId="49BF6E9B" w:rsidR="00042DAE" w:rsidRPr="00C861A4" w:rsidRDefault="00042DAE">
            <w:pPr>
              <w:spacing w:after="0" w:line="240" w:lineRule="auto"/>
              <w:jc w:val="center"/>
              <w:rPr>
                <w:rFonts w:ascii="Montserrat" w:eastAsia="Times New Roman" w:hAnsi="Montserrat" w:cs="Calibri"/>
                <w:color w:val="000000"/>
                <w:sz w:val="15"/>
                <w:szCs w:val="15"/>
                <w:lang w:val="es-MX" w:eastAsia="es-MX"/>
              </w:rPr>
            </w:pPr>
            <w:r w:rsidRPr="00C861A4">
              <w:rPr>
                <w:rFonts w:ascii="Montserrat" w:eastAsia="Times New Roman" w:hAnsi="Montserrat" w:cs="Calibri"/>
                <w:color w:val="000000"/>
                <w:sz w:val="15"/>
                <w:szCs w:val="15"/>
                <w:lang w:eastAsia="es-MX"/>
              </w:rPr>
              <w:t>UDIBONOS S</w:t>
            </w:r>
            <w:r w:rsidRPr="000F0321">
              <w:rPr>
                <w:rFonts w:ascii="Montserrat" w:eastAsia="Times New Roman" w:hAnsi="Montserrat" w:cs="Calibri"/>
                <w:color w:val="000000"/>
                <w:sz w:val="15"/>
                <w:szCs w:val="15"/>
                <w:lang w:eastAsia="es-MX"/>
              </w:rPr>
              <w:t xml:space="preserve"> </w:t>
            </w:r>
          </w:p>
        </w:tc>
        <w:tc>
          <w:tcPr>
            <w:tcW w:w="2098" w:type="dxa"/>
            <w:tcBorders>
              <w:top w:val="nil"/>
            </w:tcBorders>
            <w:shd w:val="clear" w:color="auto" w:fill="auto"/>
            <w:noWrap/>
          </w:tcPr>
          <w:p w14:paraId="22CE52ED" w14:textId="10F08120" w:rsidR="00042DAE" w:rsidRPr="00C861A4" w:rsidRDefault="00B247A2" w:rsidP="00042DAE">
            <w:pPr>
              <w:spacing w:after="0" w:line="240" w:lineRule="auto"/>
              <w:jc w:val="right"/>
              <w:rPr>
                <w:rFonts w:ascii="Montserrat" w:eastAsia="Times New Roman" w:hAnsi="Montserrat" w:cs="Calibri"/>
                <w:sz w:val="15"/>
                <w:szCs w:val="15"/>
                <w:lang w:eastAsia="es-MX"/>
              </w:rPr>
            </w:pPr>
            <w:r>
              <w:rPr>
                <w:rFonts w:ascii="Montserrat" w:eastAsia="Times New Roman" w:hAnsi="Montserrat" w:cs="Calibri"/>
                <w:sz w:val="15"/>
                <w:szCs w:val="15"/>
                <w:lang w:eastAsia="es-MX"/>
              </w:rPr>
              <w:t xml:space="preserve"> 7,950,444,700</w:t>
            </w:r>
            <w:r w:rsidR="00042DAE" w:rsidRPr="000F0321">
              <w:rPr>
                <w:rFonts w:ascii="Montserrat" w:eastAsia="Times New Roman" w:hAnsi="Montserrat" w:cs="Calibri"/>
                <w:sz w:val="15"/>
                <w:szCs w:val="15"/>
                <w:lang w:eastAsia="es-MX"/>
              </w:rPr>
              <w:t xml:space="preserve"> </w:t>
            </w:r>
          </w:p>
        </w:tc>
        <w:tc>
          <w:tcPr>
            <w:tcW w:w="2098" w:type="dxa"/>
            <w:tcBorders>
              <w:top w:val="nil"/>
            </w:tcBorders>
            <w:shd w:val="clear" w:color="auto" w:fill="auto"/>
            <w:vAlign w:val="bottom"/>
            <w:hideMark/>
          </w:tcPr>
          <w:p w14:paraId="6050089D" w14:textId="77777777" w:rsidR="00042DAE" w:rsidRPr="00C861A4" w:rsidRDefault="00042DAE" w:rsidP="00042DAE">
            <w:pPr>
              <w:spacing w:after="0" w:line="240" w:lineRule="auto"/>
              <w:jc w:val="right"/>
              <w:rPr>
                <w:rFonts w:ascii="Montserrat" w:eastAsia="Times New Roman" w:hAnsi="Montserrat" w:cs="Calibri"/>
                <w:sz w:val="15"/>
                <w:szCs w:val="15"/>
                <w:lang w:eastAsia="es-MX"/>
              </w:rPr>
            </w:pPr>
            <w:r w:rsidRPr="00C861A4">
              <w:rPr>
                <w:rFonts w:ascii="Montserrat" w:eastAsia="Times New Roman" w:hAnsi="Montserrat" w:cs="Calibri"/>
                <w:sz w:val="15"/>
                <w:szCs w:val="15"/>
                <w:lang w:eastAsia="es-MX"/>
              </w:rPr>
              <w:t>7,897,150,247</w:t>
            </w:r>
          </w:p>
        </w:tc>
      </w:tr>
      <w:tr w:rsidR="00042DAE" w:rsidRPr="00C861A4" w14:paraId="09889DE7" w14:textId="77777777" w:rsidTr="000F0321">
        <w:trPr>
          <w:trHeight w:val="215"/>
          <w:jc w:val="center"/>
        </w:trPr>
        <w:tc>
          <w:tcPr>
            <w:tcW w:w="4084" w:type="dxa"/>
            <w:tcBorders>
              <w:top w:val="nil"/>
            </w:tcBorders>
            <w:shd w:val="clear" w:color="auto" w:fill="auto"/>
            <w:vAlign w:val="center"/>
          </w:tcPr>
          <w:p w14:paraId="3AD0DC75" w14:textId="66212619" w:rsidR="00042DAE" w:rsidRPr="00C861A4" w:rsidRDefault="00042DAE" w:rsidP="00042DAE">
            <w:pPr>
              <w:spacing w:after="0" w:line="240" w:lineRule="auto"/>
              <w:ind w:left="170"/>
              <w:rPr>
                <w:rFonts w:ascii="Montserrat" w:eastAsia="Times New Roman" w:hAnsi="Montserrat" w:cs="Calibri"/>
                <w:color w:val="000000"/>
                <w:sz w:val="15"/>
                <w:szCs w:val="15"/>
                <w:lang w:eastAsia="es-MX"/>
              </w:rPr>
            </w:pPr>
            <w:r w:rsidRPr="000F0321">
              <w:rPr>
                <w:rFonts w:ascii="Montserrat" w:eastAsia="Times New Roman" w:hAnsi="Montserrat" w:cs="Calibri"/>
                <w:b/>
                <w:bCs/>
                <w:color w:val="000000"/>
                <w:sz w:val="15"/>
                <w:szCs w:val="15"/>
                <w:lang w:eastAsia="es-MX"/>
              </w:rPr>
              <w:t>Subtotal de Títulos y Valores de la Deuda Pública Interna a LP</w:t>
            </w:r>
          </w:p>
        </w:tc>
        <w:tc>
          <w:tcPr>
            <w:tcW w:w="1440" w:type="dxa"/>
            <w:tcBorders>
              <w:top w:val="nil"/>
            </w:tcBorders>
            <w:shd w:val="clear" w:color="auto" w:fill="auto"/>
            <w:vAlign w:val="center"/>
          </w:tcPr>
          <w:p w14:paraId="79A6583B" w14:textId="20BF7742" w:rsidR="00042DAE" w:rsidRPr="000F0321" w:rsidRDefault="00042DAE" w:rsidP="00042DAE">
            <w:pPr>
              <w:spacing w:after="0" w:line="240" w:lineRule="auto"/>
              <w:jc w:val="center"/>
              <w:rPr>
                <w:rFonts w:ascii="Montserrat" w:eastAsia="Times New Roman" w:hAnsi="Montserrat" w:cs="Calibri"/>
                <w:color w:val="000000"/>
                <w:sz w:val="15"/>
                <w:szCs w:val="15"/>
                <w:lang w:eastAsia="es-MX"/>
              </w:rPr>
            </w:pPr>
            <w:r w:rsidRPr="00C861A4">
              <w:rPr>
                <w:rFonts w:ascii="Montserrat" w:eastAsia="Times New Roman" w:hAnsi="Montserrat" w:cs="Calibri"/>
                <w:b/>
                <w:bCs/>
                <w:color w:val="000000"/>
                <w:sz w:val="15"/>
                <w:szCs w:val="15"/>
                <w:lang w:eastAsia="es-MX"/>
              </w:rPr>
              <w:t> </w:t>
            </w:r>
          </w:p>
        </w:tc>
        <w:tc>
          <w:tcPr>
            <w:tcW w:w="2098" w:type="dxa"/>
            <w:tcBorders>
              <w:top w:val="nil"/>
            </w:tcBorders>
            <w:shd w:val="clear" w:color="auto" w:fill="auto"/>
            <w:noWrap/>
            <w:vAlign w:val="center"/>
          </w:tcPr>
          <w:p w14:paraId="7D93C691" w14:textId="6C4EE136" w:rsidR="00042DAE" w:rsidRPr="000F0321" w:rsidRDefault="00042DAE" w:rsidP="00042DAE">
            <w:pPr>
              <w:spacing w:after="0" w:line="240" w:lineRule="auto"/>
              <w:jc w:val="right"/>
              <w:rPr>
                <w:rFonts w:ascii="Montserrat" w:eastAsia="Times New Roman" w:hAnsi="Montserrat" w:cs="Calibri"/>
                <w:sz w:val="15"/>
                <w:szCs w:val="15"/>
                <w:lang w:eastAsia="es-MX"/>
              </w:rPr>
            </w:pPr>
            <w:r w:rsidRPr="00C861A4">
              <w:rPr>
                <w:rFonts w:ascii="Montserrat" w:eastAsia="Times New Roman" w:hAnsi="Montserrat" w:cs="Calibri"/>
                <w:b/>
                <w:bCs/>
                <w:sz w:val="15"/>
                <w:szCs w:val="15"/>
                <w:lang w:eastAsia="es-MX"/>
              </w:rPr>
              <w:t>5,113,309,178,864</w:t>
            </w:r>
          </w:p>
        </w:tc>
        <w:tc>
          <w:tcPr>
            <w:tcW w:w="2098" w:type="dxa"/>
            <w:tcBorders>
              <w:top w:val="nil"/>
            </w:tcBorders>
            <w:shd w:val="clear" w:color="auto" w:fill="auto"/>
            <w:vAlign w:val="bottom"/>
          </w:tcPr>
          <w:p w14:paraId="2935A1B0" w14:textId="36548B4C" w:rsidR="00042DAE" w:rsidRPr="00C861A4" w:rsidRDefault="00042DAE" w:rsidP="00042DAE">
            <w:pPr>
              <w:spacing w:after="0" w:line="240" w:lineRule="auto"/>
              <w:jc w:val="right"/>
              <w:rPr>
                <w:rFonts w:ascii="Montserrat" w:eastAsia="Times New Roman" w:hAnsi="Montserrat" w:cs="Calibri"/>
                <w:sz w:val="15"/>
                <w:szCs w:val="15"/>
                <w:lang w:eastAsia="es-MX"/>
              </w:rPr>
            </w:pPr>
            <w:r w:rsidRPr="000F0321">
              <w:rPr>
                <w:rFonts w:ascii="Montserrat" w:eastAsia="Times New Roman" w:hAnsi="Montserrat" w:cs="Calibri"/>
                <w:b/>
                <w:bCs/>
                <w:sz w:val="15"/>
                <w:szCs w:val="15"/>
                <w:lang w:eastAsia="es-MX"/>
              </w:rPr>
              <w:t>5,102,466,702,994</w:t>
            </w:r>
          </w:p>
        </w:tc>
      </w:tr>
      <w:tr w:rsidR="00042DAE" w:rsidRPr="00C861A4" w14:paraId="36FE0838" w14:textId="77777777" w:rsidTr="000F0321">
        <w:trPr>
          <w:trHeight w:val="215"/>
          <w:jc w:val="center"/>
        </w:trPr>
        <w:tc>
          <w:tcPr>
            <w:tcW w:w="4084" w:type="dxa"/>
            <w:tcBorders>
              <w:top w:val="nil"/>
            </w:tcBorders>
            <w:shd w:val="clear" w:color="auto" w:fill="auto"/>
            <w:vAlign w:val="center"/>
            <w:hideMark/>
          </w:tcPr>
          <w:p w14:paraId="5BDF019B" w14:textId="77777777" w:rsidR="00042DAE" w:rsidRPr="00C861A4" w:rsidRDefault="00042DAE" w:rsidP="00042DAE">
            <w:pPr>
              <w:spacing w:before="20" w:after="20" w:line="240" w:lineRule="auto"/>
              <w:ind w:left="170"/>
              <w:rPr>
                <w:rFonts w:ascii="Montserrat" w:eastAsia="Times New Roman" w:hAnsi="Montserrat" w:cs="Calibri"/>
                <w:color w:val="000000"/>
                <w:sz w:val="15"/>
                <w:szCs w:val="15"/>
                <w:lang w:val="es-MX" w:eastAsia="es-MX"/>
              </w:rPr>
            </w:pPr>
            <w:r w:rsidRPr="00C861A4">
              <w:rPr>
                <w:rFonts w:ascii="Montserrat" w:eastAsia="Times New Roman" w:hAnsi="Montserrat" w:cs="Calibri"/>
                <w:color w:val="000000"/>
                <w:sz w:val="15"/>
                <w:szCs w:val="15"/>
                <w:lang w:eastAsia="es-MX"/>
              </w:rPr>
              <w:t>Adeudos Generados por Reestructuración en UDIs a LP</w:t>
            </w:r>
          </w:p>
        </w:tc>
        <w:tc>
          <w:tcPr>
            <w:tcW w:w="1440" w:type="dxa"/>
            <w:tcBorders>
              <w:top w:val="nil"/>
            </w:tcBorders>
            <w:shd w:val="clear" w:color="auto" w:fill="auto"/>
            <w:vAlign w:val="center"/>
            <w:hideMark/>
          </w:tcPr>
          <w:p w14:paraId="154D6DC7" w14:textId="77777777" w:rsidR="00042DAE" w:rsidRPr="00C861A4" w:rsidRDefault="00042DAE" w:rsidP="00042DAE">
            <w:pPr>
              <w:spacing w:after="0" w:line="240" w:lineRule="auto"/>
              <w:rPr>
                <w:rFonts w:ascii="Montserrat" w:eastAsia="Times New Roman" w:hAnsi="Montserrat" w:cs="Calibri"/>
                <w:color w:val="000000"/>
                <w:sz w:val="15"/>
                <w:szCs w:val="15"/>
                <w:lang w:val="es-MX" w:eastAsia="es-MX"/>
              </w:rPr>
            </w:pPr>
            <w:r w:rsidRPr="00C861A4">
              <w:rPr>
                <w:rFonts w:ascii="Montserrat" w:eastAsia="Times New Roman" w:hAnsi="Montserrat" w:cs="Calibri"/>
                <w:color w:val="000000"/>
                <w:sz w:val="15"/>
                <w:szCs w:val="15"/>
                <w:lang w:eastAsia="es-MX"/>
              </w:rPr>
              <w:t> </w:t>
            </w:r>
          </w:p>
        </w:tc>
        <w:tc>
          <w:tcPr>
            <w:tcW w:w="2098" w:type="dxa"/>
            <w:tcBorders>
              <w:top w:val="nil"/>
            </w:tcBorders>
            <w:shd w:val="clear" w:color="auto" w:fill="auto"/>
            <w:vAlign w:val="center"/>
          </w:tcPr>
          <w:p w14:paraId="5679364C" w14:textId="2B6FF19C" w:rsidR="00042DAE" w:rsidRPr="00C861A4" w:rsidRDefault="00042DAE" w:rsidP="00042DAE">
            <w:pPr>
              <w:spacing w:after="0" w:line="240" w:lineRule="auto"/>
              <w:jc w:val="right"/>
              <w:rPr>
                <w:rFonts w:ascii="Montserrat" w:eastAsia="Times New Roman" w:hAnsi="Montserrat" w:cs="Calibri"/>
                <w:sz w:val="15"/>
                <w:szCs w:val="15"/>
                <w:lang w:eastAsia="es-MX"/>
              </w:rPr>
            </w:pPr>
            <w:r w:rsidRPr="00C861A4">
              <w:rPr>
                <w:rFonts w:ascii="Montserrat" w:eastAsia="Times New Roman" w:hAnsi="Montserrat" w:cs="Calibri"/>
                <w:sz w:val="15"/>
                <w:szCs w:val="15"/>
                <w:lang w:eastAsia="es-MX"/>
              </w:rPr>
              <w:t>41,845,998,411</w:t>
            </w:r>
          </w:p>
        </w:tc>
        <w:tc>
          <w:tcPr>
            <w:tcW w:w="2098" w:type="dxa"/>
            <w:tcBorders>
              <w:top w:val="nil"/>
            </w:tcBorders>
            <w:shd w:val="clear" w:color="auto" w:fill="auto"/>
            <w:vAlign w:val="center"/>
            <w:hideMark/>
          </w:tcPr>
          <w:p w14:paraId="0324D4A2" w14:textId="77777777" w:rsidR="00042DAE" w:rsidRPr="00C861A4" w:rsidRDefault="00042DAE" w:rsidP="00042DAE">
            <w:pPr>
              <w:spacing w:after="0" w:line="240" w:lineRule="auto"/>
              <w:jc w:val="right"/>
              <w:rPr>
                <w:rFonts w:ascii="Montserrat" w:eastAsia="Times New Roman" w:hAnsi="Montserrat" w:cs="Calibri"/>
                <w:sz w:val="15"/>
                <w:szCs w:val="15"/>
                <w:lang w:eastAsia="es-MX"/>
              </w:rPr>
            </w:pPr>
            <w:r w:rsidRPr="00C861A4">
              <w:rPr>
                <w:rFonts w:ascii="Montserrat" w:eastAsia="Times New Roman" w:hAnsi="Montserrat" w:cs="Calibri"/>
                <w:sz w:val="15"/>
                <w:szCs w:val="15"/>
                <w:lang w:eastAsia="es-MX"/>
              </w:rPr>
              <w:t>44,503,734,189</w:t>
            </w:r>
          </w:p>
        </w:tc>
      </w:tr>
      <w:tr w:rsidR="00042DAE" w:rsidRPr="00C861A4" w14:paraId="479CC6AB" w14:textId="77777777" w:rsidTr="000F0321">
        <w:trPr>
          <w:trHeight w:val="215"/>
          <w:jc w:val="center"/>
        </w:trPr>
        <w:tc>
          <w:tcPr>
            <w:tcW w:w="4084" w:type="dxa"/>
            <w:tcBorders>
              <w:top w:val="nil"/>
            </w:tcBorders>
            <w:shd w:val="clear" w:color="auto" w:fill="auto"/>
            <w:hideMark/>
          </w:tcPr>
          <w:p w14:paraId="4A8E1D1E" w14:textId="589395A0" w:rsidR="00042DAE" w:rsidRPr="00C861A4" w:rsidRDefault="00042DAE" w:rsidP="00BF6E75">
            <w:pPr>
              <w:spacing w:after="0" w:line="240" w:lineRule="auto"/>
              <w:ind w:left="170"/>
              <w:rPr>
                <w:rFonts w:ascii="Montserrat" w:eastAsia="Times New Roman" w:hAnsi="Montserrat" w:cs="Calibri"/>
                <w:color w:val="000000"/>
                <w:sz w:val="15"/>
                <w:szCs w:val="15"/>
                <w:lang w:eastAsia="es-MX"/>
              </w:rPr>
            </w:pPr>
            <w:r w:rsidRPr="00C861A4">
              <w:rPr>
                <w:rFonts w:ascii="Montserrat" w:eastAsia="Times New Roman" w:hAnsi="Montserrat" w:cs="Calibri"/>
                <w:color w:val="000000"/>
                <w:sz w:val="15"/>
                <w:szCs w:val="15"/>
                <w:lang w:eastAsia="es-MX"/>
              </w:rPr>
              <w:t xml:space="preserve">Bonos de Reconocimiento </w:t>
            </w:r>
            <w:r w:rsidR="00BF6E75">
              <w:rPr>
                <w:rFonts w:ascii="Montserrat" w:eastAsia="Times New Roman" w:hAnsi="Montserrat" w:cs="Calibri"/>
                <w:color w:val="000000"/>
                <w:sz w:val="15"/>
                <w:szCs w:val="15"/>
                <w:lang w:eastAsia="es-MX"/>
              </w:rPr>
              <w:t>pensiónissste</w:t>
            </w:r>
            <w:r w:rsidRPr="00C861A4">
              <w:rPr>
                <w:rFonts w:ascii="Montserrat" w:eastAsia="Times New Roman" w:hAnsi="Montserrat" w:cs="Calibri"/>
                <w:color w:val="000000"/>
                <w:sz w:val="15"/>
                <w:szCs w:val="15"/>
                <w:lang w:eastAsia="es-MX"/>
              </w:rPr>
              <w:t xml:space="preserve"> a LP</w:t>
            </w:r>
          </w:p>
        </w:tc>
        <w:tc>
          <w:tcPr>
            <w:tcW w:w="1440" w:type="dxa"/>
            <w:tcBorders>
              <w:top w:val="nil"/>
            </w:tcBorders>
            <w:shd w:val="clear" w:color="auto" w:fill="auto"/>
            <w:vAlign w:val="center"/>
            <w:hideMark/>
          </w:tcPr>
          <w:p w14:paraId="48FFF166" w14:textId="77777777" w:rsidR="00042DAE" w:rsidRPr="00C861A4" w:rsidRDefault="00042DAE" w:rsidP="00042DAE">
            <w:pPr>
              <w:spacing w:after="0" w:line="240" w:lineRule="auto"/>
              <w:rPr>
                <w:rFonts w:ascii="Montserrat" w:eastAsia="Times New Roman" w:hAnsi="Montserrat" w:cs="Calibri"/>
                <w:color w:val="000000"/>
                <w:sz w:val="15"/>
                <w:szCs w:val="15"/>
                <w:lang w:val="es-MX" w:eastAsia="es-MX"/>
              </w:rPr>
            </w:pPr>
            <w:r w:rsidRPr="00C861A4">
              <w:rPr>
                <w:rFonts w:ascii="Montserrat" w:eastAsia="Times New Roman" w:hAnsi="Montserrat" w:cs="Calibri"/>
                <w:color w:val="000000"/>
                <w:sz w:val="15"/>
                <w:szCs w:val="15"/>
                <w:lang w:eastAsia="es-MX"/>
              </w:rPr>
              <w:t> </w:t>
            </w:r>
          </w:p>
        </w:tc>
        <w:tc>
          <w:tcPr>
            <w:tcW w:w="2098" w:type="dxa"/>
            <w:tcBorders>
              <w:top w:val="nil"/>
            </w:tcBorders>
            <w:shd w:val="clear" w:color="auto" w:fill="auto"/>
            <w:vAlign w:val="center"/>
          </w:tcPr>
          <w:p w14:paraId="1DDCA64E" w14:textId="782C8CA9" w:rsidR="00042DAE" w:rsidRPr="00C861A4" w:rsidRDefault="00042DAE" w:rsidP="00042DAE">
            <w:pPr>
              <w:spacing w:after="0" w:line="240" w:lineRule="auto"/>
              <w:jc w:val="right"/>
              <w:rPr>
                <w:rFonts w:ascii="Montserrat" w:eastAsia="Times New Roman" w:hAnsi="Montserrat" w:cs="Calibri"/>
                <w:sz w:val="15"/>
                <w:szCs w:val="15"/>
                <w:lang w:eastAsia="es-MX"/>
              </w:rPr>
            </w:pPr>
            <w:r w:rsidRPr="00C861A4">
              <w:rPr>
                <w:rFonts w:ascii="Montserrat" w:eastAsia="Times New Roman" w:hAnsi="Montserrat" w:cs="Calibri"/>
                <w:sz w:val="15"/>
                <w:szCs w:val="15"/>
                <w:lang w:eastAsia="es-MX"/>
              </w:rPr>
              <w:t>123,576,684,430</w:t>
            </w:r>
          </w:p>
        </w:tc>
        <w:tc>
          <w:tcPr>
            <w:tcW w:w="2098" w:type="dxa"/>
            <w:tcBorders>
              <w:top w:val="nil"/>
            </w:tcBorders>
            <w:shd w:val="clear" w:color="auto" w:fill="auto"/>
            <w:vAlign w:val="center"/>
            <w:hideMark/>
          </w:tcPr>
          <w:p w14:paraId="34E4C66B" w14:textId="77777777" w:rsidR="00042DAE" w:rsidRPr="00C861A4" w:rsidRDefault="00042DAE" w:rsidP="00042DAE">
            <w:pPr>
              <w:spacing w:after="0" w:line="240" w:lineRule="auto"/>
              <w:jc w:val="right"/>
              <w:rPr>
                <w:rFonts w:ascii="Montserrat" w:eastAsia="Times New Roman" w:hAnsi="Montserrat" w:cs="Calibri"/>
                <w:sz w:val="15"/>
                <w:szCs w:val="15"/>
                <w:lang w:eastAsia="es-MX"/>
              </w:rPr>
            </w:pPr>
            <w:r w:rsidRPr="00C861A4">
              <w:rPr>
                <w:rFonts w:ascii="Montserrat" w:eastAsia="Times New Roman" w:hAnsi="Montserrat" w:cs="Calibri"/>
                <w:sz w:val="15"/>
                <w:szCs w:val="15"/>
                <w:lang w:eastAsia="es-MX"/>
              </w:rPr>
              <w:t>131,803,891,638</w:t>
            </w:r>
          </w:p>
        </w:tc>
      </w:tr>
      <w:tr w:rsidR="00042DAE" w:rsidRPr="00C861A4" w14:paraId="7EFBD008" w14:textId="77777777" w:rsidTr="000F0321">
        <w:trPr>
          <w:trHeight w:val="215"/>
          <w:jc w:val="center"/>
        </w:trPr>
        <w:tc>
          <w:tcPr>
            <w:tcW w:w="4084" w:type="dxa"/>
            <w:tcBorders>
              <w:top w:val="nil"/>
            </w:tcBorders>
            <w:shd w:val="clear" w:color="auto" w:fill="auto"/>
          </w:tcPr>
          <w:p w14:paraId="647E791E" w14:textId="77777777" w:rsidR="00042DAE" w:rsidRPr="00C861A4" w:rsidRDefault="00042DAE" w:rsidP="00042DAE">
            <w:pPr>
              <w:spacing w:before="20" w:after="20" w:line="240" w:lineRule="auto"/>
              <w:ind w:left="170"/>
              <w:rPr>
                <w:rFonts w:ascii="Montserrat" w:eastAsia="Times New Roman" w:hAnsi="Montserrat" w:cs="Calibri"/>
                <w:color w:val="000000"/>
                <w:sz w:val="15"/>
                <w:szCs w:val="15"/>
                <w:lang w:eastAsia="es-MX"/>
              </w:rPr>
            </w:pPr>
            <w:r w:rsidRPr="00C861A4">
              <w:rPr>
                <w:rFonts w:ascii="Montserrat" w:eastAsia="Times New Roman" w:hAnsi="Montserrat" w:cs="Calibri"/>
                <w:color w:val="000000"/>
                <w:sz w:val="15"/>
                <w:szCs w:val="15"/>
                <w:lang w:eastAsia="es-MX"/>
              </w:rPr>
              <w:t xml:space="preserve">Bonos Pensiones Asumidas de Empresas Públicas Productivas a LP </w:t>
            </w:r>
          </w:p>
        </w:tc>
        <w:tc>
          <w:tcPr>
            <w:tcW w:w="1440" w:type="dxa"/>
            <w:tcBorders>
              <w:top w:val="nil"/>
            </w:tcBorders>
            <w:shd w:val="clear" w:color="auto" w:fill="auto"/>
            <w:vAlign w:val="center"/>
          </w:tcPr>
          <w:p w14:paraId="62F95C6C" w14:textId="77777777" w:rsidR="00042DAE" w:rsidRPr="00C861A4" w:rsidRDefault="00042DAE" w:rsidP="00042DAE">
            <w:pPr>
              <w:spacing w:after="0" w:line="240" w:lineRule="auto"/>
              <w:rPr>
                <w:rFonts w:ascii="Montserrat" w:eastAsia="Times New Roman" w:hAnsi="Montserrat" w:cs="Calibri"/>
                <w:color w:val="000000"/>
                <w:sz w:val="15"/>
                <w:szCs w:val="15"/>
                <w:lang w:eastAsia="es-MX"/>
              </w:rPr>
            </w:pPr>
          </w:p>
        </w:tc>
        <w:tc>
          <w:tcPr>
            <w:tcW w:w="2098" w:type="dxa"/>
            <w:tcBorders>
              <w:top w:val="nil"/>
            </w:tcBorders>
            <w:shd w:val="clear" w:color="auto" w:fill="auto"/>
            <w:vAlign w:val="center"/>
          </w:tcPr>
          <w:p w14:paraId="135B83FD" w14:textId="27CCE3C8" w:rsidR="00042DAE" w:rsidRPr="00C861A4" w:rsidRDefault="00042DAE" w:rsidP="00042DAE">
            <w:pPr>
              <w:spacing w:after="0" w:line="240" w:lineRule="auto"/>
              <w:jc w:val="right"/>
              <w:rPr>
                <w:rFonts w:ascii="Montserrat" w:eastAsia="Times New Roman" w:hAnsi="Montserrat" w:cs="Calibri"/>
                <w:sz w:val="15"/>
                <w:szCs w:val="15"/>
                <w:lang w:eastAsia="es-MX"/>
              </w:rPr>
            </w:pPr>
            <w:r w:rsidRPr="00C861A4">
              <w:rPr>
                <w:rFonts w:ascii="Montserrat" w:eastAsia="Times New Roman" w:hAnsi="Montserrat" w:cs="Calibri"/>
                <w:sz w:val="15"/>
                <w:szCs w:val="15"/>
                <w:lang w:eastAsia="es-MX"/>
              </w:rPr>
              <w:t>268,370,407,488</w:t>
            </w:r>
          </w:p>
        </w:tc>
        <w:tc>
          <w:tcPr>
            <w:tcW w:w="2098" w:type="dxa"/>
            <w:tcBorders>
              <w:top w:val="nil"/>
            </w:tcBorders>
            <w:shd w:val="clear" w:color="auto" w:fill="auto"/>
            <w:vAlign w:val="center"/>
          </w:tcPr>
          <w:p w14:paraId="38E331D7" w14:textId="77777777" w:rsidR="00042DAE" w:rsidRPr="00C861A4" w:rsidRDefault="00042DAE" w:rsidP="00042DAE">
            <w:pPr>
              <w:spacing w:after="0" w:line="240" w:lineRule="auto"/>
              <w:jc w:val="right"/>
              <w:rPr>
                <w:rFonts w:ascii="Montserrat" w:eastAsia="Times New Roman" w:hAnsi="Montserrat" w:cs="Calibri"/>
                <w:sz w:val="15"/>
                <w:szCs w:val="15"/>
                <w:lang w:eastAsia="es-MX"/>
              </w:rPr>
            </w:pPr>
            <w:r w:rsidRPr="00C861A4">
              <w:rPr>
                <w:rFonts w:ascii="Montserrat" w:eastAsia="Times New Roman" w:hAnsi="Montserrat" w:cs="Calibri"/>
                <w:sz w:val="15"/>
                <w:szCs w:val="15"/>
                <w:lang w:eastAsia="es-MX"/>
              </w:rPr>
              <w:t>293,961,878,746</w:t>
            </w:r>
          </w:p>
        </w:tc>
      </w:tr>
      <w:tr w:rsidR="00042DAE" w:rsidRPr="00C861A4" w14:paraId="1A8D60DE" w14:textId="77777777" w:rsidTr="000F0321">
        <w:trPr>
          <w:trHeight w:val="215"/>
          <w:jc w:val="center"/>
        </w:trPr>
        <w:tc>
          <w:tcPr>
            <w:tcW w:w="4084" w:type="dxa"/>
            <w:tcBorders>
              <w:bottom w:val="single" w:sz="12" w:space="0" w:color="808080" w:themeColor="background1" w:themeShade="80"/>
            </w:tcBorders>
            <w:shd w:val="clear" w:color="auto" w:fill="auto"/>
            <w:vAlign w:val="center"/>
            <w:hideMark/>
          </w:tcPr>
          <w:p w14:paraId="1D68B553" w14:textId="77777777" w:rsidR="00042DAE" w:rsidRPr="00C861A4" w:rsidRDefault="00042DAE" w:rsidP="00042DAE">
            <w:pPr>
              <w:spacing w:before="20" w:after="20" w:line="240" w:lineRule="auto"/>
              <w:ind w:left="170"/>
              <w:jc w:val="right"/>
              <w:rPr>
                <w:rFonts w:ascii="Montserrat" w:eastAsia="Times New Roman" w:hAnsi="Montserrat" w:cs="Calibri"/>
                <w:b/>
                <w:bCs/>
                <w:color w:val="000000"/>
                <w:sz w:val="15"/>
                <w:szCs w:val="15"/>
                <w:lang w:val="es-MX" w:eastAsia="es-MX"/>
              </w:rPr>
            </w:pPr>
            <w:r w:rsidRPr="00C861A4">
              <w:rPr>
                <w:rFonts w:ascii="Montserrat" w:eastAsia="Times New Roman" w:hAnsi="Montserrat" w:cs="Calibri"/>
                <w:b/>
                <w:bCs/>
                <w:color w:val="000000"/>
                <w:sz w:val="15"/>
                <w:szCs w:val="15"/>
                <w:lang w:eastAsia="es-MX"/>
              </w:rPr>
              <w:t>Total de Títulos y Valores de la Deuda Pública Interna a Largo Plazo</w:t>
            </w:r>
          </w:p>
        </w:tc>
        <w:tc>
          <w:tcPr>
            <w:tcW w:w="1440" w:type="dxa"/>
            <w:tcBorders>
              <w:bottom w:val="single" w:sz="12" w:space="0" w:color="808080" w:themeColor="background1" w:themeShade="80"/>
            </w:tcBorders>
            <w:shd w:val="clear" w:color="auto" w:fill="auto"/>
            <w:vAlign w:val="center"/>
            <w:hideMark/>
          </w:tcPr>
          <w:p w14:paraId="5500F2B7" w14:textId="77777777" w:rsidR="00042DAE" w:rsidRPr="00C861A4" w:rsidRDefault="00042DAE" w:rsidP="00042DAE">
            <w:pPr>
              <w:spacing w:after="0" w:line="240" w:lineRule="auto"/>
              <w:jc w:val="right"/>
              <w:rPr>
                <w:rFonts w:ascii="Montserrat" w:eastAsia="Times New Roman" w:hAnsi="Montserrat" w:cs="Calibri"/>
                <w:b/>
                <w:bCs/>
                <w:color w:val="000000"/>
                <w:sz w:val="15"/>
                <w:szCs w:val="15"/>
                <w:lang w:val="es-MX" w:eastAsia="es-MX"/>
              </w:rPr>
            </w:pPr>
            <w:r w:rsidRPr="00C861A4">
              <w:rPr>
                <w:rFonts w:ascii="Montserrat" w:eastAsia="Times New Roman" w:hAnsi="Montserrat" w:cs="Calibri"/>
                <w:b/>
                <w:bCs/>
                <w:color w:val="000000"/>
                <w:sz w:val="15"/>
                <w:szCs w:val="15"/>
                <w:lang w:val="es-MX" w:eastAsia="es-MX"/>
              </w:rPr>
              <w:t> </w:t>
            </w:r>
          </w:p>
        </w:tc>
        <w:tc>
          <w:tcPr>
            <w:tcW w:w="2098" w:type="dxa"/>
            <w:tcBorders>
              <w:bottom w:val="single" w:sz="12" w:space="0" w:color="808080" w:themeColor="background1" w:themeShade="80"/>
            </w:tcBorders>
            <w:shd w:val="clear" w:color="auto" w:fill="auto"/>
            <w:vAlign w:val="center"/>
          </w:tcPr>
          <w:p w14:paraId="206C2DD9" w14:textId="10C8DA67" w:rsidR="00042DAE" w:rsidRPr="00C861A4" w:rsidRDefault="00042DAE" w:rsidP="00042DAE">
            <w:pPr>
              <w:spacing w:after="0" w:line="240" w:lineRule="auto"/>
              <w:jc w:val="right"/>
              <w:rPr>
                <w:rFonts w:ascii="Montserrat" w:eastAsia="Times New Roman" w:hAnsi="Montserrat" w:cs="Calibri"/>
                <w:b/>
                <w:bCs/>
                <w:sz w:val="15"/>
                <w:szCs w:val="15"/>
                <w:lang w:eastAsia="es-MX"/>
              </w:rPr>
            </w:pPr>
            <w:r w:rsidRPr="000F0321">
              <w:rPr>
                <w:rFonts w:ascii="Montserrat" w:hAnsi="Montserrat" w:cs="Arial"/>
                <w:b/>
                <w:color w:val="000000"/>
                <w:sz w:val="15"/>
                <w:szCs w:val="15"/>
              </w:rPr>
              <w:t>5,547,102,269,193</w:t>
            </w:r>
          </w:p>
        </w:tc>
        <w:tc>
          <w:tcPr>
            <w:tcW w:w="2098" w:type="dxa"/>
            <w:tcBorders>
              <w:bottom w:val="single" w:sz="12" w:space="0" w:color="808080" w:themeColor="background1" w:themeShade="80"/>
            </w:tcBorders>
            <w:shd w:val="clear" w:color="auto" w:fill="auto"/>
            <w:vAlign w:val="center"/>
            <w:hideMark/>
          </w:tcPr>
          <w:p w14:paraId="7127AFBA" w14:textId="77777777" w:rsidR="00042DAE" w:rsidRPr="00C861A4" w:rsidRDefault="00042DAE" w:rsidP="00042DAE">
            <w:pPr>
              <w:spacing w:after="0" w:line="240" w:lineRule="auto"/>
              <w:jc w:val="right"/>
              <w:rPr>
                <w:rFonts w:ascii="Montserrat" w:eastAsia="Times New Roman" w:hAnsi="Montserrat" w:cs="Calibri"/>
                <w:b/>
                <w:bCs/>
                <w:sz w:val="15"/>
                <w:szCs w:val="15"/>
                <w:lang w:eastAsia="es-MX"/>
              </w:rPr>
            </w:pPr>
            <w:r w:rsidRPr="00C861A4">
              <w:rPr>
                <w:rFonts w:ascii="Montserrat" w:eastAsia="Times New Roman" w:hAnsi="Montserrat" w:cs="Calibri"/>
                <w:b/>
                <w:bCs/>
                <w:sz w:val="15"/>
                <w:szCs w:val="15"/>
                <w:lang w:eastAsia="es-MX"/>
              </w:rPr>
              <w:t>5,572,736,207,577</w:t>
            </w:r>
          </w:p>
        </w:tc>
      </w:tr>
    </w:tbl>
    <w:p w14:paraId="3CC9E683" w14:textId="77777777" w:rsidR="00A3585D" w:rsidRPr="00A3585D" w:rsidRDefault="00A3585D" w:rsidP="00263314">
      <w:pPr>
        <w:spacing w:after="0" w:line="240" w:lineRule="auto"/>
        <w:jc w:val="both"/>
        <w:rPr>
          <w:rFonts w:ascii="Montserrat" w:hAnsi="Montserrat" w:cs="Arial"/>
          <w:spacing w:val="-1"/>
          <w:sz w:val="18"/>
          <w:szCs w:val="18"/>
        </w:rPr>
      </w:pPr>
    </w:p>
    <w:p w14:paraId="64D08EF5" w14:textId="39BAEAB0" w:rsidR="00CE3487" w:rsidRDefault="00D06797" w:rsidP="000F0321">
      <w:pPr>
        <w:pStyle w:val="TEXTONORMAL"/>
        <w:rPr>
          <w:rFonts w:cs="Arial"/>
          <w:spacing w:val="-1"/>
        </w:rPr>
      </w:pPr>
      <w:r>
        <w:rPr>
          <w:rFonts w:cs="Arial"/>
          <w:spacing w:val="-1"/>
        </w:rPr>
        <w:t>Se observa en esta cuenta</w:t>
      </w:r>
      <w:r w:rsidR="00CE3487" w:rsidRPr="00556DB3">
        <w:rPr>
          <w:rFonts w:cs="Arial"/>
          <w:spacing w:val="-1"/>
        </w:rPr>
        <w:t xml:space="preserve"> el registro de la asunción de pasivos por parte del Gobierno Federal relacionada con las obligaciones de pago </w:t>
      </w:r>
      <w:r w:rsidR="00CE3487" w:rsidRPr="002E04B7">
        <w:rPr>
          <w:rFonts w:cs="Arial"/>
          <w:spacing w:val="-1"/>
        </w:rPr>
        <w:t xml:space="preserve">de pensiones y jubilaciones a cargo de </w:t>
      </w:r>
      <w:r w:rsidR="0000636D">
        <w:rPr>
          <w:rFonts w:cs="Arial"/>
          <w:spacing w:val="-1"/>
        </w:rPr>
        <w:t>PEMEX</w:t>
      </w:r>
      <w:r w:rsidR="00CE3487" w:rsidRPr="002E04B7">
        <w:rPr>
          <w:rFonts w:cs="Arial"/>
          <w:spacing w:val="-1"/>
        </w:rPr>
        <w:t>, sus Empresas Productivas Subsidiarias</w:t>
      </w:r>
      <w:r w:rsidR="0000636D">
        <w:rPr>
          <w:rFonts w:cs="Arial"/>
          <w:spacing w:val="-1"/>
        </w:rPr>
        <w:t>,</w:t>
      </w:r>
      <w:r w:rsidR="00CE3487" w:rsidRPr="002E04B7">
        <w:rPr>
          <w:rFonts w:cs="Arial"/>
          <w:spacing w:val="-1"/>
        </w:rPr>
        <w:t xml:space="preserve"> así como de la </w:t>
      </w:r>
      <w:r w:rsidR="0000636D">
        <w:rPr>
          <w:rFonts w:cs="Arial"/>
          <w:spacing w:val="-1"/>
        </w:rPr>
        <w:t>CFE</w:t>
      </w:r>
      <w:r w:rsidR="00CE3487" w:rsidRPr="002E04B7">
        <w:rPr>
          <w:rFonts w:cs="Arial"/>
          <w:spacing w:val="-1"/>
        </w:rPr>
        <w:t>, para ello se emitieron pagarés no negociables a favor de dichas empresas productivas, los cuales han disminuido conforme a las amortizaciones de acuerdo a los vencimientos de los títulos.</w:t>
      </w:r>
    </w:p>
    <w:p w14:paraId="08CAD064" w14:textId="39BCA57A" w:rsidR="00042DAE" w:rsidRPr="000F0321" w:rsidRDefault="00CE3487" w:rsidP="000F0321">
      <w:pPr>
        <w:pStyle w:val="Prrafodelista"/>
        <w:numPr>
          <w:ilvl w:val="0"/>
          <w:numId w:val="30"/>
        </w:numPr>
        <w:spacing w:before="240" w:after="120" w:line="250" w:lineRule="exact"/>
        <w:ind w:left="709" w:hanging="284"/>
        <w:jc w:val="both"/>
        <w:rPr>
          <w:rFonts w:cs="Arial"/>
          <w:spacing w:val="-1"/>
        </w:rPr>
      </w:pPr>
      <w:r>
        <w:rPr>
          <w:rFonts w:ascii="Montserrat" w:hAnsi="Montserrat" w:cs="Arial"/>
          <w:spacing w:val="-1"/>
          <w:sz w:val="18"/>
          <w:szCs w:val="18"/>
        </w:rPr>
        <w:t xml:space="preserve">La integración </w:t>
      </w:r>
      <w:r w:rsidRPr="000F0321">
        <w:rPr>
          <w:rFonts w:ascii="Montserrat" w:hAnsi="Montserrat" w:cs="Arial"/>
          <w:spacing w:val="-1"/>
          <w:sz w:val="18"/>
          <w:szCs w:val="18"/>
        </w:rPr>
        <w:t xml:space="preserve">de </w:t>
      </w:r>
      <w:r w:rsidR="00C861A4" w:rsidRPr="000F0321">
        <w:rPr>
          <w:rFonts w:ascii="Montserrat" w:hAnsi="Montserrat" w:cs="Arial"/>
          <w:spacing w:val="-1"/>
          <w:sz w:val="18"/>
          <w:szCs w:val="18"/>
        </w:rPr>
        <w:t xml:space="preserve">Títulos y Valores de la Deuda Pública Interna, </w:t>
      </w:r>
      <w:r w:rsidRPr="000F0321">
        <w:rPr>
          <w:rFonts w:ascii="Montserrat" w:hAnsi="Montserrat" w:cs="Arial"/>
          <w:spacing w:val="-1"/>
          <w:sz w:val="18"/>
          <w:szCs w:val="18"/>
        </w:rPr>
        <w:t>se presenta a continuación:</w:t>
      </w:r>
    </w:p>
    <w:tbl>
      <w:tblPr>
        <w:tblW w:w="9720" w:type="dxa"/>
        <w:jc w:val="center"/>
        <w:tblCellMar>
          <w:left w:w="70" w:type="dxa"/>
          <w:right w:w="70" w:type="dxa"/>
        </w:tblCellMar>
        <w:tblLook w:val="04A0" w:firstRow="1" w:lastRow="0" w:firstColumn="1" w:lastColumn="0" w:noHBand="0" w:noVBand="1"/>
      </w:tblPr>
      <w:tblGrid>
        <w:gridCol w:w="4084"/>
        <w:gridCol w:w="1440"/>
        <w:gridCol w:w="2098"/>
        <w:gridCol w:w="2098"/>
      </w:tblGrid>
      <w:tr w:rsidR="00042DAE" w:rsidRPr="006F0DF1" w14:paraId="1CB53CCC" w14:textId="77777777" w:rsidTr="000F0321">
        <w:trPr>
          <w:trHeight w:val="36"/>
          <w:jc w:val="center"/>
        </w:trPr>
        <w:tc>
          <w:tcPr>
            <w:tcW w:w="9720" w:type="dxa"/>
            <w:gridSpan w:val="4"/>
            <w:tcBorders>
              <w:top w:val="single" w:sz="12" w:space="0" w:color="808080" w:themeColor="background1" w:themeShade="80"/>
            </w:tcBorders>
            <w:shd w:val="clear" w:color="auto" w:fill="auto"/>
            <w:noWrap/>
            <w:vAlign w:val="center"/>
          </w:tcPr>
          <w:p w14:paraId="4B1917DC" w14:textId="77777777" w:rsidR="00042DAE" w:rsidRPr="00BC0F30" w:rsidRDefault="00042DAE" w:rsidP="005A30B5">
            <w:pPr>
              <w:spacing w:after="0" w:line="240" w:lineRule="auto"/>
              <w:jc w:val="center"/>
              <w:rPr>
                <w:rFonts w:ascii="Montserrat" w:eastAsia="Times New Roman" w:hAnsi="Montserrat" w:cs="Calibri"/>
                <w:b/>
                <w:bCs/>
                <w:color w:val="FFFFFF"/>
                <w:sz w:val="4"/>
                <w:szCs w:val="4"/>
                <w:lang w:eastAsia="es-MX"/>
              </w:rPr>
            </w:pPr>
          </w:p>
        </w:tc>
      </w:tr>
      <w:tr w:rsidR="00042DAE" w:rsidRPr="006F0DF1" w14:paraId="6141F166" w14:textId="77777777" w:rsidTr="005A30B5">
        <w:trPr>
          <w:trHeight w:val="317"/>
          <w:jc w:val="center"/>
        </w:trPr>
        <w:tc>
          <w:tcPr>
            <w:tcW w:w="4084" w:type="dxa"/>
            <w:tcBorders>
              <w:left w:val="single" w:sz="8" w:space="0" w:color="FFFFFF" w:themeColor="background1"/>
              <w:bottom w:val="double" w:sz="12" w:space="0" w:color="808080" w:themeColor="background1" w:themeShade="80"/>
              <w:right w:val="single" w:sz="8" w:space="0" w:color="FFFFFF" w:themeColor="background1"/>
            </w:tcBorders>
            <w:shd w:val="clear" w:color="auto" w:fill="D4C19C"/>
            <w:noWrap/>
            <w:vAlign w:val="center"/>
            <w:hideMark/>
          </w:tcPr>
          <w:p w14:paraId="6FEA2AD5" w14:textId="77777777" w:rsidR="00042DAE" w:rsidRPr="006F0DF1" w:rsidRDefault="00042DAE" w:rsidP="005A30B5">
            <w:pPr>
              <w:spacing w:after="0" w:line="240" w:lineRule="auto"/>
              <w:jc w:val="center"/>
              <w:rPr>
                <w:rFonts w:ascii="Montserrat" w:eastAsia="Times New Roman" w:hAnsi="Montserrat" w:cs="Calibri"/>
                <w:b/>
                <w:bCs/>
                <w:color w:val="FFFFFF"/>
                <w:sz w:val="16"/>
                <w:szCs w:val="16"/>
                <w:lang w:val="es-MX" w:eastAsia="es-MX"/>
              </w:rPr>
            </w:pPr>
            <w:r w:rsidRPr="006F0DF1">
              <w:rPr>
                <w:rFonts w:ascii="Montserrat" w:eastAsia="Times New Roman" w:hAnsi="Montserrat" w:cs="Calibri"/>
                <w:b/>
                <w:bCs/>
                <w:color w:val="FFFFFF"/>
                <w:sz w:val="16"/>
                <w:szCs w:val="16"/>
                <w:lang w:eastAsia="es-MX"/>
              </w:rPr>
              <w:t>Tipo de Instrumento</w:t>
            </w:r>
          </w:p>
        </w:tc>
        <w:tc>
          <w:tcPr>
            <w:tcW w:w="1440" w:type="dxa"/>
            <w:tcBorders>
              <w:left w:val="single" w:sz="8" w:space="0" w:color="FFFFFF" w:themeColor="background1"/>
              <w:bottom w:val="double" w:sz="12" w:space="0" w:color="808080" w:themeColor="background1" w:themeShade="80"/>
              <w:right w:val="single" w:sz="8" w:space="0" w:color="FFFFFF" w:themeColor="background1"/>
            </w:tcBorders>
            <w:shd w:val="clear" w:color="auto" w:fill="D4C19C"/>
            <w:vAlign w:val="center"/>
            <w:hideMark/>
          </w:tcPr>
          <w:p w14:paraId="057A2D96" w14:textId="77777777" w:rsidR="00042DAE" w:rsidRPr="006F0DF1" w:rsidRDefault="00042DAE" w:rsidP="005A30B5">
            <w:pPr>
              <w:spacing w:after="0" w:line="240" w:lineRule="auto"/>
              <w:jc w:val="center"/>
              <w:rPr>
                <w:rFonts w:ascii="Montserrat" w:eastAsia="Times New Roman" w:hAnsi="Montserrat" w:cs="Calibri"/>
                <w:b/>
                <w:bCs/>
                <w:color w:val="FFFFFF"/>
                <w:sz w:val="16"/>
                <w:szCs w:val="16"/>
                <w:lang w:val="es-MX" w:eastAsia="es-MX"/>
              </w:rPr>
            </w:pPr>
            <w:r w:rsidRPr="006F0DF1">
              <w:rPr>
                <w:rFonts w:ascii="Montserrat" w:eastAsia="Times New Roman" w:hAnsi="Montserrat" w:cs="Calibri"/>
                <w:b/>
                <w:bCs/>
                <w:color w:val="FFFFFF"/>
                <w:sz w:val="16"/>
                <w:szCs w:val="16"/>
                <w:lang w:eastAsia="es-MX"/>
              </w:rPr>
              <w:t>Siglas</w:t>
            </w:r>
          </w:p>
        </w:tc>
        <w:tc>
          <w:tcPr>
            <w:tcW w:w="2098" w:type="dxa"/>
            <w:tcBorders>
              <w:left w:val="single" w:sz="8" w:space="0" w:color="FFFFFF" w:themeColor="background1"/>
              <w:bottom w:val="double" w:sz="12" w:space="0" w:color="808080" w:themeColor="background1" w:themeShade="80"/>
              <w:right w:val="single" w:sz="8" w:space="0" w:color="FFFFFF" w:themeColor="background1"/>
            </w:tcBorders>
            <w:shd w:val="clear" w:color="auto" w:fill="D4C19C"/>
            <w:noWrap/>
            <w:vAlign w:val="center"/>
            <w:hideMark/>
          </w:tcPr>
          <w:p w14:paraId="3B337EE0" w14:textId="77777777" w:rsidR="00042DAE" w:rsidRPr="006F0DF1" w:rsidRDefault="00042DAE" w:rsidP="005A30B5">
            <w:pPr>
              <w:spacing w:after="0" w:line="240" w:lineRule="auto"/>
              <w:jc w:val="center"/>
              <w:rPr>
                <w:rFonts w:ascii="Montserrat" w:eastAsia="Times New Roman" w:hAnsi="Montserrat" w:cs="Calibri"/>
                <w:b/>
                <w:bCs/>
                <w:color w:val="FFFFFF"/>
                <w:sz w:val="16"/>
                <w:szCs w:val="16"/>
                <w:lang w:val="es-MX" w:eastAsia="es-MX"/>
              </w:rPr>
            </w:pPr>
            <w:r w:rsidRPr="006F0DF1">
              <w:rPr>
                <w:rFonts w:ascii="Montserrat" w:eastAsia="Times New Roman" w:hAnsi="Montserrat" w:cs="Calibri"/>
                <w:b/>
                <w:bCs/>
                <w:color w:val="FFFFFF"/>
                <w:sz w:val="16"/>
                <w:szCs w:val="16"/>
                <w:lang w:eastAsia="es-MX"/>
              </w:rPr>
              <w:t>201</w:t>
            </w:r>
            <w:r>
              <w:rPr>
                <w:rFonts w:ascii="Montserrat" w:eastAsia="Times New Roman" w:hAnsi="Montserrat" w:cs="Calibri"/>
                <w:b/>
                <w:bCs/>
                <w:color w:val="FFFFFF"/>
                <w:sz w:val="16"/>
                <w:szCs w:val="16"/>
                <w:lang w:eastAsia="es-MX"/>
              </w:rPr>
              <w:t>9</w:t>
            </w:r>
          </w:p>
        </w:tc>
        <w:tc>
          <w:tcPr>
            <w:tcW w:w="2098" w:type="dxa"/>
            <w:tcBorders>
              <w:left w:val="single" w:sz="8" w:space="0" w:color="FFFFFF" w:themeColor="background1"/>
              <w:bottom w:val="double" w:sz="12" w:space="0" w:color="808080" w:themeColor="background1" w:themeShade="80"/>
              <w:right w:val="single" w:sz="8" w:space="0" w:color="FFFFFF" w:themeColor="background1"/>
            </w:tcBorders>
            <w:shd w:val="clear" w:color="auto" w:fill="D4C19C"/>
            <w:noWrap/>
            <w:vAlign w:val="center"/>
            <w:hideMark/>
          </w:tcPr>
          <w:p w14:paraId="419737BC" w14:textId="77777777" w:rsidR="00042DAE" w:rsidRPr="006F0DF1" w:rsidRDefault="00042DAE" w:rsidP="005A30B5">
            <w:pPr>
              <w:spacing w:after="0" w:line="240" w:lineRule="auto"/>
              <w:jc w:val="center"/>
              <w:rPr>
                <w:rFonts w:ascii="Montserrat" w:eastAsia="Times New Roman" w:hAnsi="Montserrat" w:cs="Calibri"/>
                <w:b/>
                <w:bCs/>
                <w:color w:val="FFFFFF"/>
                <w:sz w:val="16"/>
                <w:szCs w:val="16"/>
                <w:lang w:val="es-MX" w:eastAsia="es-MX"/>
              </w:rPr>
            </w:pPr>
            <w:r w:rsidRPr="006F0DF1">
              <w:rPr>
                <w:rFonts w:ascii="Montserrat" w:eastAsia="Times New Roman" w:hAnsi="Montserrat" w:cs="Calibri"/>
                <w:b/>
                <w:bCs/>
                <w:color w:val="FFFFFF"/>
                <w:sz w:val="16"/>
                <w:szCs w:val="16"/>
                <w:lang w:eastAsia="es-MX"/>
              </w:rPr>
              <w:t>201</w:t>
            </w:r>
            <w:r>
              <w:rPr>
                <w:rFonts w:ascii="Montserrat" w:eastAsia="Times New Roman" w:hAnsi="Montserrat" w:cs="Calibri"/>
                <w:b/>
                <w:bCs/>
                <w:color w:val="FFFFFF"/>
                <w:sz w:val="16"/>
                <w:szCs w:val="16"/>
                <w:lang w:eastAsia="es-MX"/>
              </w:rPr>
              <w:t>8</w:t>
            </w:r>
          </w:p>
        </w:tc>
      </w:tr>
      <w:tr w:rsidR="00042DAE" w:rsidRPr="00CE3487" w14:paraId="253993CC" w14:textId="77777777" w:rsidTr="000F0321">
        <w:trPr>
          <w:trHeight w:val="215"/>
          <w:jc w:val="center"/>
        </w:trPr>
        <w:tc>
          <w:tcPr>
            <w:tcW w:w="4084" w:type="dxa"/>
            <w:tcBorders>
              <w:top w:val="double" w:sz="12" w:space="0" w:color="808080" w:themeColor="background1" w:themeShade="80"/>
            </w:tcBorders>
            <w:shd w:val="clear" w:color="auto" w:fill="F2F2F2" w:themeFill="background1" w:themeFillShade="F2"/>
            <w:vAlign w:val="center"/>
          </w:tcPr>
          <w:p w14:paraId="39D6C88C" w14:textId="1000D336" w:rsidR="00042DAE" w:rsidRPr="00CE3487" w:rsidRDefault="00042DAE" w:rsidP="00042DAE">
            <w:pPr>
              <w:spacing w:after="0" w:line="240" w:lineRule="auto"/>
              <w:ind w:left="170"/>
              <w:rPr>
                <w:rFonts w:ascii="Montserrat" w:eastAsia="Times New Roman" w:hAnsi="Montserrat" w:cs="Calibri"/>
                <w:color w:val="000000"/>
                <w:sz w:val="15"/>
                <w:szCs w:val="15"/>
                <w:lang w:val="es-MX" w:eastAsia="es-MX"/>
              </w:rPr>
            </w:pPr>
            <w:r w:rsidRPr="00CE3487">
              <w:rPr>
                <w:rFonts w:ascii="Montserrat" w:eastAsia="Times New Roman" w:hAnsi="Montserrat" w:cs="Calibri"/>
                <w:color w:val="000000"/>
                <w:sz w:val="15"/>
                <w:szCs w:val="15"/>
                <w:lang w:eastAsia="es-MX"/>
              </w:rPr>
              <w:t xml:space="preserve">Bonos de Desarrollo del Gobierno Federal </w:t>
            </w:r>
          </w:p>
        </w:tc>
        <w:tc>
          <w:tcPr>
            <w:tcW w:w="1440" w:type="dxa"/>
            <w:tcBorders>
              <w:top w:val="double" w:sz="12" w:space="0" w:color="808080" w:themeColor="background1" w:themeShade="80"/>
            </w:tcBorders>
            <w:shd w:val="clear" w:color="auto" w:fill="F2F2F2" w:themeFill="background1" w:themeFillShade="F2"/>
            <w:vAlign w:val="center"/>
          </w:tcPr>
          <w:p w14:paraId="7FD86B50" w14:textId="0AB374A5" w:rsidR="00042DAE" w:rsidRPr="000F0321" w:rsidRDefault="00042DAE">
            <w:pPr>
              <w:spacing w:after="0" w:line="240" w:lineRule="auto"/>
              <w:jc w:val="center"/>
              <w:rPr>
                <w:rFonts w:ascii="Montserrat" w:eastAsia="Times New Roman" w:hAnsi="Montserrat" w:cs="Calibri"/>
                <w:color w:val="000000"/>
                <w:sz w:val="15"/>
                <w:szCs w:val="15"/>
                <w:lang w:val="es-MX" w:eastAsia="es-MX"/>
              </w:rPr>
            </w:pPr>
            <w:r w:rsidRPr="000F0321">
              <w:rPr>
                <w:rFonts w:ascii="Montserrat" w:eastAsia="Times New Roman" w:hAnsi="Montserrat" w:cs="Calibri"/>
                <w:color w:val="000000"/>
                <w:sz w:val="15"/>
                <w:szCs w:val="15"/>
                <w:lang w:eastAsia="es-MX"/>
              </w:rPr>
              <w:t>BONDES</w:t>
            </w:r>
          </w:p>
        </w:tc>
        <w:tc>
          <w:tcPr>
            <w:tcW w:w="2098" w:type="dxa"/>
            <w:tcBorders>
              <w:top w:val="double" w:sz="12" w:space="0" w:color="808080" w:themeColor="background1" w:themeShade="80"/>
            </w:tcBorders>
            <w:shd w:val="clear" w:color="auto" w:fill="F2F2F2" w:themeFill="background1" w:themeFillShade="F2"/>
            <w:noWrap/>
            <w:vAlign w:val="center"/>
          </w:tcPr>
          <w:p w14:paraId="2C99CEB4" w14:textId="608BD56D" w:rsidR="00042DAE" w:rsidRPr="00CE3487" w:rsidRDefault="00B247A2" w:rsidP="00042DAE">
            <w:pPr>
              <w:spacing w:after="0" w:line="240" w:lineRule="auto"/>
              <w:jc w:val="right"/>
              <w:rPr>
                <w:rFonts w:ascii="Montserrat" w:eastAsia="Times New Roman" w:hAnsi="Montserrat" w:cs="Calibri"/>
                <w:sz w:val="15"/>
                <w:szCs w:val="15"/>
                <w:lang w:eastAsia="es-MX"/>
              </w:rPr>
            </w:pPr>
            <w:r>
              <w:rPr>
                <w:rFonts w:ascii="Montserrat" w:eastAsia="Times New Roman" w:hAnsi="Montserrat" w:cs="Calibri"/>
                <w:sz w:val="15"/>
                <w:szCs w:val="15"/>
                <w:lang w:eastAsia="es-MX"/>
              </w:rPr>
              <w:t>91,187,016,800</w:t>
            </w:r>
          </w:p>
        </w:tc>
        <w:tc>
          <w:tcPr>
            <w:tcW w:w="2098" w:type="dxa"/>
            <w:tcBorders>
              <w:top w:val="double" w:sz="12" w:space="0" w:color="808080" w:themeColor="background1" w:themeShade="80"/>
            </w:tcBorders>
            <w:shd w:val="clear" w:color="auto" w:fill="F2F2F2" w:themeFill="background1" w:themeFillShade="F2"/>
            <w:vAlign w:val="center"/>
          </w:tcPr>
          <w:p w14:paraId="239BA5EF" w14:textId="4B0D259A" w:rsidR="00042DAE" w:rsidRPr="00CE3487" w:rsidRDefault="00042DAE" w:rsidP="00042DAE">
            <w:pPr>
              <w:spacing w:after="0" w:line="240" w:lineRule="auto"/>
              <w:jc w:val="right"/>
              <w:rPr>
                <w:rFonts w:ascii="Montserrat" w:eastAsia="Times New Roman" w:hAnsi="Montserrat" w:cs="Calibri"/>
                <w:sz w:val="15"/>
                <w:szCs w:val="15"/>
                <w:lang w:eastAsia="es-MX"/>
              </w:rPr>
            </w:pPr>
            <w:r w:rsidRPr="00CE3487">
              <w:rPr>
                <w:rFonts w:ascii="Montserrat" w:eastAsia="Times New Roman" w:hAnsi="Montserrat" w:cs="Calibri"/>
                <w:sz w:val="15"/>
                <w:szCs w:val="15"/>
                <w:lang w:eastAsia="es-MX"/>
              </w:rPr>
              <w:t>0</w:t>
            </w:r>
          </w:p>
        </w:tc>
      </w:tr>
      <w:tr w:rsidR="00042DAE" w:rsidRPr="00CE3487" w14:paraId="679C785C" w14:textId="77777777" w:rsidTr="000F0321">
        <w:trPr>
          <w:trHeight w:val="215"/>
          <w:jc w:val="center"/>
        </w:trPr>
        <w:tc>
          <w:tcPr>
            <w:tcW w:w="4084" w:type="dxa"/>
            <w:tcBorders>
              <w:top w:val="nil"/>
            </w:tcBorders>
            <w:shd w:val="clear" w:color="auto" w:fill="F2F2F2" w:themeFill="background1" w:themeFillShade="F2"/>
            <w:vAlign w:val="center"/>
          </w:tcPr>
          <w:p w14:paraId="2CE7C803" w14:textId="56BBDCF6" w:rsidR="00042DAE" w:rsidRPr="00CE3487" w:rsidRDefault="00042DAE" w:rsidP="00042DAE">
            <w:pPr>
              <w:spacing w:after="0" w:line="240" w:lineRule="auto"/>
              <w:ind w:left="170"/>
              <w:rPr>
                <w:rFonts w:ascii="Montserrat" w:eastAsia="Times New Roman" w:hAnsi="Montserrat" w:cs="Calibri"/>
                <w:color w:val="000000"/>
                <w:sz w:val="15"/>
                <w:szCs w:val="15"/>
                <w:lang w:val="es-MX" w:eastAsia="es-MX"/>
              </w:rPr>
            </w:pPr>
            <w:r w:rsidRPr="00CE3487">
              <w:rPr>
                <w:rFonts w:ascii="Montserrat" w:eastAsia="Times New Roman" w:hAnsi="Montserrat" w:cs="Calibri"/>
                <w:color w:val="000000"/>
                <w:sz w:val="15"/>
                <w:szCs w:val="15"/>
                <w:lang w:eastAsia="es-MX"/>
              </w:rPr>
              <w:t xml:space="preserve">Bonos Gubernamentales a Tasa Fija </w:t>
            </w:r>
          </w:p>
        </w:tc>
        <w:tc>
          <w:tcPr>
            <w:tcW w:w="1440" w:type="dxa"/>
            <w:tcBorders>
              <w:top w:val="nil"/>
            </w:tcBorders>
            <w:shd w:val="clear" w:color="auto" w:fill="F2F2F2" w:themeFill="background1" w:themeFillShade="F2"/>
            <w:vAlign w:val="center"/>
          </w:tcPr>
          <w:p w14:paraId="52F0D8D4" w14:textId="0018B6FE" w:rsidR="00042DAE" w:rsidRPr="000F0321" w:rsidRDefault="00042DAE">
            <w:pPr>
              <w:spacing w:after="0" w:line="240" w:lineRule="auto"/>
              <w:jc w:val="center"/>
              <w:rPr>
                <w:rFonts w:ascii="Montserrat" w:eastAsia="Times New Roman" w:hAnsi="Montserrat" w:cs="Calibri"/>
                <w:color w:val="000000"/>
                <w:sz w:val="15"/>
                <w:szCs w:val="15"/>
                <w:lang w:val="es-MX" w:eastAsia="es-MX"/>
              </w:rPr>
            </w:pPr>
            <w:r w:rsidRPr="000F0321">
              <w:rPr>
                <w:rFonts w:ascii="Montserrat" w:eastAsia="Times New Roman" w:hAnsi="Montserrat" w:cs="Calibri"/>
                <w:color w:val="000000"/>
                <w:sz w:val="15"/>
                <w:szCs w:val="15"/>
                <w:lang w:eastAsia="es-MX"/>
              </w:rPr>
              <w:t>BONOS M</w:t>
            </w:r>
          </w:p>
        </w:tc>
        <w:tc>
          <w:tcPr>
            <w:tcW w:w="2098" w:type="dxa"/>
            <w:tcBorders>
              <w:top w:val="nil"/>
            </w:tcBorders>
            <w:shd w:val="clear" w:color="auto" w:fill="F2F2F2" w:themeFill="background1" w:themeFillShade="F2"/>
            <w:noWrap/>
            <w:vAlign w:val="center"/>
          </w:tcPr>
          <w:p w14:paraId="7CBB30A0" w14:textId="7E2538A7" w:rsidR="00042DAE" w:rsidRPr="00CE3487" w:rsidRDefault="00B247A2" w:rsidP="00042DAE">
            <w:pPr>
              <w:spacing w:after="0" w:line="240" w:lineRule="auto"/>
              <w:jc w:val="right"/>
              <w:rPr>
                <w:rFonts w:ascii="Montserrat" w:eastAsia="Times New Roman" w:hAnsi="Montserrat" w:cs="Calibri"/>
                <w:sz w:val="15"/>
                <w:szCs w:val="15"/>
                <w:lang w:eastAsia="es-MX"/>
              </w:rPr>
            </w:pPr>
            <w:r>
              <w:rPr>
                <w:rFonts w:ascii="Montserrat" w:eastAsia="Times New Roman" w:hAnsi="Montserrat" w:cs="Calibri"/>
                <w:sz w:val="15"/>
                <w:szCs w:val="15"/>
                <w:lang w:eastAsia="es-MX"/>
              </w:rPr>
              <w:t>206,427,384,900</w:t>
            </w:r>
          </w:p>
        </w:tc>
        <w:tc>
          <w:tcPr>
            <w:tcW w:w="2098" w:type="dxa"/>
            <w:tcBorders>
              <w:top w:val="nil"/>
            </w:tcBorders>
            <w:shd w:val="clear" w:color="auto" w:fill="F2F2F2" w:themeFill="background1" w:themeFillShade="F2"/>
            <w:vAlign w:val="center"/>
          </w:tcPr>
          <w:p w14:paraId="344574BE" w14:textId="2917E385" w:rsidR="00042DAE" w:rsidRPr="00CE3487" w:rsidRDefault="00042DAE">
            <w:pPr>
              <w:spacing w:after="0" w:line="240" w:lineRule="auto"/>
              <w:jc w:val="right"/>
              <w:rPr>
                <w:rFonts w:ascii="Montserrat" w:eastAsia="Times New Roman" w:hAnsi="Montserrat" w:cs="Calibri"/>
                <w:sz w:val="15"/>
                <w:szCs w:val="15"/>
                <w:lang w:eastAsia="es-MX"/>
              </w:rPr>
            </w:pPr>
            <w:r w:rsidRPr="00CE3487">
              <w:rPr>
                <w:rFonts w:ascii="Montserrat" w:eastAsia="Times New Roman" w:hAnsi="Montserrat" w:cs="Calibri"/>
                <w:sz w:val="15"/>
                <w:szCs w:val="15"/>
                <w:lang w:eastAsia="es-MX"/>
              </w:rPr>
              <w:t>0</w:t>
            </w:r>
          </w:p>
        </w:tc>
      </w:tr>
      <w:tr w:rsidR="00042DAE" w:rsidRPr="00CE3487" w14:paraId="143B1FF6" w14:textId="77777777" w:rsidTr="000F0321">
        <w:trPr>
          <w:trHeight w:val="215"/>
          <w:jc w:val="center"/>
        </w:trPr>
        <w:tc>
          <w:tcPr>
            <w:tcW w:w="4084" w:type="dxa"/>
            <w:tcBorders>
              <w:top w:val="nil"/>
            </w:tcBorders>
            <w:shd w:val="clear" w:color="auto" w:fill="F2F2F2" w:themeFill="background1" w:themeFillShade="F2"/>
            <w:vAlign w:val="center"/>
          </w:tcPr>
          <w:p w14:paraId="15FA53BB" w14:textId="08A47B39" w:rsidR="00042DAE" w:rsidRPr="00CE3487" w:rsidRDefault="00042DAE" w:rsidP="00042DAE">
            <w:pPr>
              <w:spacing w:after="0" w:line="240" w:lineRule="auto"/>
              <w:ind w:left="170"/>
              <w:rPr>
                <w:rFonts w:ascii="Montserrat" w:eastAsia="Times New Roman" w:hAnsi="Montserrat" w:cs="Calibri"/>
                <w:color w:val="000000"/>
                <w:sz w:val="15"/>
                <w:szCs w:val="15"/>
                <w:lang w:val="es-MX" w:eastAsia="es-MX"/>
              </w:rPr>
            </w:pPr>
            <w:r w:rsidRPr="00CE3487">
              <w:rPr>
                <w:rFonts w:ascii="Montserrat" w:eastAsia="Times New Roman" w:hAnsi="Montserrat" w:cs="Calibri"/>
                <w:color w:val="000000"/>
                <w:sz w:val="15"/>
                <w:szCs w:val="15"/>
                <w:lang w:eastAsia="es-MX"/>
              </w:rPr>
              <w:t>UDIBONOS</w:t>
            </w:r>
          </w:p>
        </w:tc>
        <w:tc>
          <w:tcPr>
            <w:tcW w:w="1440" w:type="dxa"/>
            <w:tcBorders>
              <w:top w:val="nil"/>
            </w:tcBorders>
            <w:shd w:val="clear" w:color="auto" w:fill="F2F2F2" w:themeFill="background1" w:themeFillShade="F2"/>
            <w:vAlign w:val="center"/>
          </w:tcPr>
          <w:p w14:paraId="3F6AD864" w14:textId="6F2521D8" w:rsidR="00042DAE" w:rsidRPr="000F0321" w:rsidRDefault="00042DAE">
            <w:pPr>
              <w:spacing w:after="0" w:line="240" w:lineRule="auto"/>
              <w:jc w:val="center"/>
              <w:rPr>
                <w:rFonts w:ascii="Montserrat" w:eastAsia="Times New Roman" w:hAnsi="Montserrat" w:cs="Calibri"/>
                <w:color w:val="000000"/>
                <w:sz w:val="15"/>
                <w:szCs w:val="15"/>
                <w:lang w:val="es-MX" w:eastAsia="es-MX"/>
              </w:rPr>
            </w:pPr>
            <w:r w:rsidRPr="000F0321">
              <w:rPr>
                <w:rFonts w:ascii="Montserrat" w:eastAsia="Times New Roman" w:hAnsi="Montserrat" w:cs="Calibri"/>
                <w:color w:val="000000"/>
                <w:sz w:val="15"/>
                <w:szCs w:val="15"/>
                <w:lang w:eastAsia="es-MX"/>
              </w:rPr>
              <w:t>UDIBONOS</w:t>
            </w:r>
          </w:p>
        </w:tc>
        <w:tc>
          <w:tcPr>
            <w:tcW w:w="2098" w:type="dxa"/>
            <w:tcBorders>
              <w:top w:val="nil"/>
            </w:tcBorders>
            <w:shd w:val="clear" w:color="auto" w:fill="F2F2F2" w:themeFill="background1" w:themeFillShade="F2"/>
            <w:noWrap/>
            <w:vAlign w:val="center"/>
          </w:tcPr>
          <w:p w14:paraId="00FC5BA9" w14:textId="6A25E260" w:rsidR="00042DAE" w:rsidRPr="00CE3487" w:rsidRDefault="00B247A2" w:rsidP="00042DAE">
            <w:pPr>
              <w:spacing w:after="0" w:line="240" w:lineRule="auto"/>
              <w:jc w:val="right"/>
              <w:rPr>
                <w:rFonts w:ascii="Montserrat" w:eastAsia="Times New Roman" w:hAnsi="Montserrat" w:cs="Calibri"/>
                <w:sz w:val="15"/>
                <w:szCs w:val="15"/>
                <w:lang w:eastAsia="es-MX"/>
              </w:rPr>
            </w:pPr>
            <w:r>
              <w:rPr>
                <w:rFonts w:ascii="Montserrat" w:eastAsia="Times New Roman" w:hAnsi="Montserrat" w:cs="Calibri"/>
                <w:sz w:val="15"/>
                <w:szCs w:val="15"/>
                <w:lang w:eastAsia="es-MX"/>
              </w:rPr>
              <w:t>186,008,868,634</w:t>
            </w:r>
          </w:p>
        </w:tc>
        <w:tc>
          <w:tcPr>
            <w:tcW w:w="2098" w:type="dxa"/>
            <w:tcBorders>
              <w:top w:val="nil"/>
            </w:tcBorders>
            <w:shd w:val="clear" w:color="auto" w:fill="F2F2F2" w:themeFill="background1" w:themeFillShade="F2"/>
            <w:vAlign w:val="center"/>
          </w:tcPr>
          <w:p w14:paraId="6C550203" w14:textId="1480266F" w:rsidR="00042DAE" w:rsidRPr="00CE3487" w:rsidRDefault="00042DAE" w:rsidP="00042DAE">
            <w:pPr>
              <w:spacing w:after="0" w:line="240" w:lineRule="auto"/>
              <w:jc w:val="right"/>
              <w:rPr>
                <w:rFonts w:ascii="Montserrat" w:eastAsia="Times New Roman" w:hAnsi="Montserrat" w:cs="Calibri"/>
                <w:sz w:val="15"/>
                <w:szCs w:val="15"/>
                <w:lang w:eastAsia="es-MX"/>
              </w:rPr>
            </w:pPr>
            <w:r w:rsidRPr="00CE3487">
              <w:rPr>
                <w:rFonts w:ascii="Montserrat" w:eastAsia="Times New Roman" w:hAnsi="Montserrat" w:cs="Calibri"/>
                <w:sz w:val="15"/>
                <w:szCs w:val="15"/>
                <w:lang w:eastAsia="es-MX"/>
              </w:rPr>
              <w:t>0</w:t>
            </w:r>
          </w:p>
        </w:tc>
      </w:tr>
      <w:tr w:rsidR="00042DAE" w:rsidRPr="00CE3487" w14:paraId="17D541B7" w14:textId="77777777" w:rsidTr="000F0321">
        <w:trPr>
          <w:trHeight w:val="215"/>
          <w:jc w:val="center"/>
        </w:trPr>
        <w:tc>
          <w:tcPr>
            <w:tcW w:w="4084" w:type="dxa"/>
            <w:tcBorders>
              <w:top w:val="nil"/>
            </w:tcBorders>
            <w:shd w:val="clear" w:color="auto" w:fill="F2F2F2" w:themeFill="background1" w:themeFillShade="F2"/>
            <w:vAlign w:val="center"/>
          </w:tcPr>
          <w:p w14:paraId="4BE48907" w14:textId="1A9FA673" w:rsidR="00042DAE" w:rsidRPr="00CE3487" w:rsidRDefault="00042DAE" w:rsidP="00042DAE">
            <w:pPr>
              <w:spacing w:after="0" w:line="240" w:lineRule="auto"/>
              <w:ind w:left="170"/>
              <w:rPr>
                <w:rFonts w:ascii="Montserrat" w:eastAsia="Times New Roman" w:hAnsi="Montserrat" w:cs="Calibri"/>
                <w:color w:val="000000"/>
                <w:sz w:val="15"/>
                <w:szCs w:val="15"/>
                <w:lang w:val="es-MX" w:eastAsia="es-MX"/>
              </w:rPr>
            </w:pPr>
            <w:r w:rsidRPr="00CE3487">
              <w:rPr>
                <w:rFonts w:ascii="Montserrat" w:eastAsia="Times New Roman" w:hAnsi="Montserrat" w:cs="Calibri"/>
                <w:color w:val="000000"/>
                <w:sz w:val="15"/>
                <w:szCs w:val="15"/>
                <w:lang w:eastAsia="es-MX"/>
              </w:rPr>
              <w:t>UDIBONOS SEGREGABLES</w:t>
            </w:r>
          </w:p>
        </w:tc>
        <w:tc>
          <w:tcPr>
            <w:tcW w:w="1440" w:type="dxa"/>
            <w:tcBorders>
              <w:top w:val="nil"/>
            </w:tcBorders>
            <w:shd w:val="clear" w:color="auto" w:fill="F2F2F2" w:themeFill="background1" w:themeFillShade="F2"/>
            <w:vAlign w:val="center"/>
          </w:tcPr>
          <w:p w14:paraId="1969B62D" w14:textId="16D90F8C" w:rsidR="00042DAE" w:rsidRPr="000F0321" w:rsidRDefault="00042DAE">
            <w:pPr>
              <w:spacing w:after="0" w:line="240" w:lineRule="auto"/>
              <w:jc w:val="center"/>
              <w:rPr>
                <w:rFonts w:ascii="Montserrat" w:eastAsia="Times New Roman" w:hAnsi="Montserrat" w:cs="Calibri"/>
                <w:color w:val="000000"/>
                <w:sz w:val="15"/>
                <w:szCs w:val="15"/>
                <w:lang w:val="es-MX" w:eastAsia="es-MX"/>
              </w:rPr>
            </w:pPr>
            <w:r w:rsidRPr="000F0321">
              <w:rPr>
                <w:rFonts w:ascii="Montserrat" w:eastAsia="Times New Roman" w:hAnsi="Montserrat" w:cs="Calibri"/>
                <w:color w:val="000000"/>
                <w:sz w:val="15"/>
                <w:szCs w:val="15"/>
                <w:lang w:eastAsia="es-MX"/>
              </w:rPr>
              <w:t>UDIBONOS S</w:t>
            </w:r>
          </w:p>
        </w:tc>
        <w:tc>
          <w:tcPr>
            <w:tcW w:w="2098" w:type="dxa"/>
            <w:tcBorders>
              <w:top w:val="nil"/>
            </w:tcBorders>
            <w:shd w:val="clear" w:color="auto" w:fill="F2F2F2" w:themeFill="background1" w:themeFillShade="F2"/>
            <w:noWrap/>
            <w:vAlign w:val="center"/>
          </w:tcPr>
          <w:p w14:paraId="077E8DA7" w14:textId="1EBE5A40" w:rsidR="00042DAE" w:rsidRPr="00CE3487" w:rsidRDefault="00B247A2" w:rsidP="00042DAE">
            <w:pPr>
              <w:spacing w:after="0" w:line="240" w:lineRule="auto"/>
              <w:jc w:val="right"/>
              <w:rPr>
                <w:rFonts w:ascii="Montserrat" w:eastAsia="Times New Roman" w:hAnsi="Montserrat" w:cs="Calibri"/>
                <w:sz w:val="15"/>
                <w:szCs w:val="15"/>
                <w:lang w:eastAsia="es-MX"/>
              </w:rPr>
            </w:pPr>
            <w:r>
              <w:rPr>
                <w:rFonts w:ascii="Montserrat" w:eastAsia="Times New Roman" w:hAnsi="Montserrat" w:cs="Calibri"/>
                <w:sz w:val="15"/>
                <w:szCs w:val="15"/>
                <w:lang w:eastAsia="es-MX"/>
              </w:rPr>
              <w:t>82,442,125</w:t>
            </w:r>
          </w:p>
        </w:tc>
        <w:tc>
          <w:tcPr>
            <w:tcW w:w="2098" w:type="dxa"/>
            <w:tcBorders>
              <w:top w:val="nil"/>
            </w:tcBorders>
            <w:shd w:val="clear" w:color="auto" w:fill="F2F2F2" w:themeFill="background1" w:themeFillShade="F2"/>
            <w:vAlign w:val="center"/>
          </w:tcPr>
          <w:p w14:paraId="1D0D0714" w14:textId="134F1DE2" w:rsidR="00042DAE" w:rsidRPr="00CE3487" w:rsidRDefault="00042DAE" w:rsidP="00042DAE">
            <w:pPr>
              <w:spacing w:after="0" w:line="240" w:lineRule="auto"/>
              <w:jc w:val="right"/>
              <w:rPr>
                <w:rFonts w:ascii="Montserrat" w:eastAsia="Times New Roman" w:hAnsi="Montserrat" w:cs="Calibri"/>
                <w:sz w:val="15"/>
                <w:szCs w:val="15"/>
                <w:lang w:eastAsia="es-MX"/>
              </w:rPr>
            </w:pPr>
            <w:r w:rsidRPr="00CE3487">
              <w:rPr>
                <w:rFonts w:ascii="Montserrat" w:eastAsia="Times New Roman" w:hAnsi="Montserrat" w:cs="Calibri"/>
                <w:sz w:val="15"/>
                <w:szCs w:val="15"/>
                <w:lang w:eastAsia="es-MX"/>
              </w:rPr>
              <w:t>0</w:t>
            </w:r>
          </w:p>
        </w:tc>
      </w:tr>
      <w:tr w:rsidR="00042DAE" w:rsidRPr="00CE3487" w14:paraId="1C361FAF" w14:textId="77777777" w:rsidTr="000F0321">
        <w:trPr>
          <w:trHeight w:val="215"/>
          <w:jc w:val="center"/>
        </w:trPr>
        <w:tc>
          <w:tcPr>
            <w:tcW w:w="4084" w:type="dxa"/>
            <w:tcBorders>
              <w:top w:val="nil"/>
            </w:tcBorders>
            <w:shd w:val="clear" w:color="auto" w:fill="F2F2F2" w:themeFill="background1" w:themeFillShade="F2"/>
            <w:vAlign w:val="center"/>
          </w:tcPr>
          <w:p w14:paraId="411D2054" w14:textId="453A18CA" w:rsidR="00042DAE" w:rsidRPr="000F0321" w:rsidRDefault="00042DAE" w:rsidP="00CE3487">
            <w:pPr>
              <w:spacing w:after="0" w:line="240" w:lineRule="auto"/>
              <w:ind w:left="1064"/>
              <w:rPr>
                <w:rFonts w:ascii="Montserrat" w:eastAsia="Times New Roman" w:hAnsi="Montserrat" w:cs="Calibri"/>
                <w:b/>
                <w:color w:val="000000"/>
                <w:sz w:val="15"/>
                <w:szCs w:val="15"/>
                <w:lang w:val="es-MX" w:eastAsia="es-MX"/>
              </w:rPr>
            </w:pPr>
            <w:r w:rsidRPr="000F0321">
              <w:rPr>
                <w:rFonts w:ascii="Montserrat" w:eastAsia="Times New Roman" w:hAnsi="Montserrat" w:cs="Calibri"/>
                <w:b/>
                <w:bCs/>
                <w:color w:val="000000"/>
                <w:sz w:val="15"/>
                <w:szCs w:val="15"/>
                <w:lang w:eastAsia="es-MX"/>
              </w:rPr>
              <w:t xml:space="preserve">Subtotal de </w:t>
            </w:r>
            <w:r w:rsidRPr="00CE3487">
              <w:rPr>
                <w:rFonts w:ascii="Montserrat" w:eastAsia="Times New Roman" w:hAnsi="Montserrat" w:cs="Calibri"/>
                <w:b/>
                <w:bCs/>
                <w:color w:val="000000"/>
                <w:sz w:val="15"/>
                <w:szCs w:val="15"/>
                <w:lang w:eastAsia="es-MX"/>
              </w:rPr>
              <w:t>Porción a CP de Títulos y Valores de Deuda Pública Interna</w:t>
            </w:r>
          </w:p>
        </w:tc>
        <w:tc>
          <w:tcPr>
            <w:tcW w:w="1440" w:type="dxa"/>
            <w:tcBorders>
              <w:top w:val="nil"/>
            </w:tcBorders>
            <w:shd w:val="clear" w:color="auto" w:fill="F2F2F2" w:themeFill="background1" w:themeFillShade="F2"/>
            <w:vAlign w:val="center"/>
          </w:tcPr>
          <w:p w14:paraId="156E0857" w14:textId="77777777" w:rsidR="00042DAE" w:rsidRPr="000F0321" w:rsidRDefault="00042DAE">
            <w:pPr>
              <w:spacing w:after="0" w:line="240" w:lineRule="auto"/>
              <w:jc w:val="center"/>
              <w:rPr>
                <w:rFonts w:ascii="Montserrat" w:eastAsia="Times New Roman" w:hAnsi="Montserrat" w:cs="Calibri"/>
                <w:b/>
                <w:color w:val="000000"/>
                <w:sz w:val="15"/>
                <w:szCs w:val="15"/>
                <w:lang w:val="es-MX" w:eastAsia="es-MX"/>
              </w:rPr>
            </w:pPr>
          </w:p>
        </w:tc>
        <w:tc>
          <w:tcPr>
            <w:tcW w:w="2098" w:type="dxa"/>
            <w:tcBorders>
              <w:top w:val="nil"/>
            </w:tcBorders>
            <w:shd w:val="clear" w:color="auto" w:fill="F2F2F2" w:themeFill="background1" w:themeFillShade="F2"/>
            <w:noWrap/>
            <w:vAlign w:val="center"/>
          </w:tcPr>
          <w:p w14:paraId="3942B292" w14:textId="54D40845" w:rsidR="00042DAE" w:rsidRPr="000F0321" w:rsidRDefault="00B247A2" w:rsidP="00042DAE">
            <w:pPr>
              <w:spacing w:after="0" w:line="240" w:lineRule="auto"/>
              <w:jc w:val="right"/>
              <w:rPr>
                <w:rFonts w:ascii="Montserrat" w:eastAsia="Times New Roman" w:hAnsi="Montserrat" w:cs="Calibri"/>
                <w:b/>
                <w:sz w:val="15"/>
                <w:szCs w:val="15"/>
                <w:lang w:eastAsia="es-MX"/>
              </w:rPr>
            </w:pPr>
            <w:r>
              <w:rPr>
                <w:rFonts w:ascii="Montserrat" w:eastAsia="Times New Roman" w:hAnsi="Montserrat" w:cs="Calibri"/>
                <w:b/>
                <w:sz w:val="15"/>
                <w:szCs w:val="15"/>
                <w:lang w:eastAsia="es-MX"/>
              </w:rPr>
              <w:t>483,705,712,459</w:t>
            </w:r>
          </w:p>
        </w:tc>
        <w:tc>
          <w:tcPr>
            <w:tcW w:w="2098" w:type="dxa"/>
            <w:tcBorders>
              <w:top w:val="nil"/>
            </w:tcBorders>
            <w:shd w:val="clear" w:color="auto" w:fill="F2F2F2" w:themeFill="background1" w:themeFillShade="F2"/>
            <w:vAlign w:val="center"/>
          </w:tcPr>
          <w:p w14:paraId="4EC95106" w14:textId="5D3A2B5C" w:rsidR="00042DAE" w:rsidRPr="000F0321" w:rsidRDefault="00042DAE" w:rsidP="00042DAE">
            <w:pPr>
              <w:spacing w:after="0" w:line="240" w:lineRule="auto"/>
              <w:jc w:val="right"/>
              <w:rPr>
                <w:rFonts w:ascii="Montserrat" w:eastAsia="Times New Roman" w:hAnsi="Montserrat" w:cs="Calibri"/>
                <w:b/>
                <w:sz w:val="15"/>
                <w:szCs w:val="15"/>
                <w:lang w:eastAsia="es-MX"/>
              </w:rPr>
            </w:pPr>
            <w:r w:rsidRPr="000F0321">
              <w:rPr>
                <w:rFonts w:ascii="Montserrat" w:eastAsia="Times New Roman" w:hAnsi="Montserrat" w:cs="Calibri"/>
                <w:b/>
                <w:sz w:val="15"/>
                <w:szCs w:val="15"/>
                <w:lang w:eastAsia="es-MX"/>
              </w:rPr>
              <w:t>0</w:t>
            </w:r>
          </w:p>
        </w:tc>
      </w:tr>
      <w:tr w:rsidR="00042DAE" w:rsidRPr="00CE3487" w14:paraId="2F242982" w14:textId="77777777" w:rsidTr="000F0321">
        <w:trPr>
          <w:trHeight w:val="215"/>
          <w:jc w:val="center"/>
        </w:trPr>
        <w:tc>
          <w:tcPr>
            <w:tcW w:w="4084" w:type="dxa"/>
            <w:tcBorders>
              <w:top w:val="nil"/>
            </w:tcBorders>
            <w:shd w:val="clear" w:color="auto" w:fill="F2F2F2" w:themeFill="background1" w:themeFillShade="F2"/>
            <w:vAlign w:val="center"/>
          </w:tcPr>
          <w:p w14:paraId="220E3F29" w14:textId="075CC055" w:rsidR="00042DAE" w:rsidRPr="00CE3487" w:rsidRDefault="00042DAE" w:rsidP="00042DAE">
            <w:pPr>
              <w:spacing w:after="0" w:line="240" w:lineRule="auto"/>
              <w:ind w:left="170"/>
              <w:rPr>
                <w:rFonts w:ascii="Montserrat" w:eastAsia="Times New Roman" w:hAnsi="Montserrat" w:cs="Calibri"/>
                <w:color w:val="000000"/>
                <w:sz w:val="15"/>
                <w:szCs w:val="15"/>
                <w:lang w:eastAsia="es-MX"/>
              </w:rPr>
            </w:pPr>
            <w:r w:rsidRPr="00CE3487">
              <w:rPr>
                <w:rFonts w:ascii="Montserrat" w:eastAsia="Times New Roman" w:hAnsi="Montserrat" w:cs="Calibri"/>
                <w:color w:val="000000"/>
                <w:sz w:val="15"/>
                <w:szCs w:val="15"/>
                <w:lang w:eastAsia="es-MX"/>
              </w:rPr>
              <w:t xml:space="preserve">Bonos de Desarrollo del Gobierno Federal </w:t>
            </w:r>
          </w:p>
        </w:tc>
        <w:tc>
          <w:tcPr>
            <w:tcW w:w="1440" w:type="dxa"/>
            <w:tcBorders>
              <w:top w:val="nil"/>
            </w:tcBorders>
            <w:shd w:val="clear" w:color="auto" w:fill="F2F2F2" w:themeFill="background1" w:themeFillShade="F2"/>
            <w:vAlign w:val="center"/>
          </w:tcPr>
          <w:p w14:paraId="1799D7D9" w14:textId="0C4B2AAA" w:rsidR="00042DAE" w:rsidRPr="000F0321" w:rsidRDefault="00042DAE">
            <w:pPr>
              <w:spacing w:after="0" w:line="240" w:lineRule="auto"/>
              <w:jc w:val="center"/>
              <w:rPr>
                <w:rFonts w:ascii="Montserrat" w:eastAsia="Times New Roman" w:hAnsi="Montserrat" w:cs="Calibri"/>
                <w:color w:val="000000"/>
                <w:sz w:val="15"/>
                <w:szCs w:val="15"/>
                <w:lang w:eastAsia="es-MX"/>
              </w:rPr>
            </w:pPr>
            <w:r w:rsidRPr="000F0321">
              <w:rPr>
                <w:rFonts w:ascii="Montserrat" w:eastAsia="Times New Roman" w:hAnsi="Montserrat" w:cs="Calibri"/>
                <w:color w:val="000000"/>
                <w:sz w:val="15"/>
                <w:szCs w:val="15"/>
                <w:lang w:eastAsia="es-MX"/>
              </w:rPr>
              <w:t>BONDES</w:t>
            </w:r>
          </w:p>
        </w:tc>
        <w:tc>
          <w:tcPr>
            <w:tcW w:w="2098" w:type="dxa"/>
            <w:tcBorders>
              <w:top w:val="nil"/>
            </w:tcBorders>
            <w:shd w:val="clear" w:color="auto" w:fill="F2F2F2" w:themeFill="background1" w:themeFillShade="F2"/>
            <w:noWrap/>
            <w:vAlign w:val="center"/>
          </w:tcPr>
          <w:p w14:paraId="03FA4C0B" w14:textId="01603F79" w:rsidR="00042DAE" w:rsidRPr="00CE3487" w:rsidRDefault="00B247A2" w:rsidP="00042DAE">
            <w:pPr>
              <w:spacing w:after="0" w:line="240" w:lineRule="auto"/>
              <w:jc w:val="right"/>
              <w:rPr>
                <w:rFonts w:ascii="Montserrat" w:eastAsia="Times New Roman" w:hAnsi="Montserrat" w:cs="Calibri"/>
                <w:sz w:val="15"/>
                <w:szCs w:val="15"/>
                <w:lang w:eastAsia="es-MX"/>
              </w:rPr>
            </w:pPr>
            <w:r>
              <w:rPr>
                <w:rFonts w:ascii="Montserrat" w:eastAsia="Times New Roman" w:hAnsi="Montserrat" w:cs="Calibri"/>
                <w:sz w:val="15"/>
                <w:szCs w:val="15"/>
                <w:lang w:eastAsia="es-MX"/>
              </w:rPr>
              <w:t xml:space="preserve"> 550,901,840,204</w:t>
            </w:r>
            <w:r w:rsidR="00042DAE" w:rsidRPr="00CE3487">
              <w:rPr>
                <w:rFonts w:ascii="Montserrat" w:eastAsia="Times New Roman" w:hAnsi="Montserrat" w:cs="Calibri"/>
                <w:sz w:val="15"/>
                <w:szCs w:val="15"/>
                <w:lang w:eastAsia="es-MX"/>
              </w:rPr>
              <w:t xml:space="preserve"> </w:t>
            </w:r>
          </w:p>
        </w:tc>
        <w:tc>
          <w:tcPr>
            <w:tcW w:w="2098" w:type="dxa"/>
            <w:tcBorders>
              <w:top w:val="nil"/>
            </w:tcBorders>
            <w:shd w:val="clear" w:color="auto" w:fill="F2F2F2" w:themeFill="background1" w:themeFillShade="F2"/>
            <w:vAlign w:val="center"/>
          </w:tcPr>
          <w:p w14:paraId="3443FBEB" w14:textId="1D8E43A3" w:rsidR="00042DAE" w:rsidRPr="00CE3487" w:rsidRDefault="00042DAE" w:rsidP="00042DAE">
            <w:pPr>
              <w:spacing w:after="0" w:line="240" w:lineRule="auto"/>
              <w:jc w:val="right"/>
              <w:rPr>
                <w:rFonts w:ascii="Montserrat" w:eastAsia="Times New Roman" w:hAnsi="Montserrat" w:cs="Calibri"/>
                <w:sz w:val="15"/>
                <w:szCs w:val="15"/>
                <w:lang w:eastAsia="es-MX"/>
              </w:rPr>
            </w:pPr>
            <w:r w:rsidRPr="00CE3487">
              <w:rPr>
                <w:rFonts w:ascii="Montserrat" w:eastAsia="Times New Roman" w:hAnsi="Montserrat" w:cs="Calibri"/>
                <w:sz w:val="15"/>
                <w:szCs w:val="15"/>
                <w:lang w:eastAsia="es-MX"/>
              </w:rPr>
              <w:t>548,240,419,304</w:t>
            </w:r>
          </w:p>
        </w:tc>
      </w:tr>
      <w:tr w:rsidR="00042DAE" w:rsidRPr="00CE3487" w14:paraId="389F9ADD" w14:textId="77777777" w:rsidTr="000F0321">
        <w:trPr>
          <w:trHeight w:val="215"/>
          <w:jc w:val="center"/>
        </w:trPr>
        <w:tc>
          <w:tcPr>
            <w:tcW w:w="4084" w:type="dxa"/>
            <w:tcBorders>
              <w:top w:val="nil"/>
            </w:tcBorders>
            <w:shd w:val="clear" w:color="auto" w:fill="F2F2F2" w:themeFill="background1" w:themeFillShade="F2"/>
            <w:vAlign w:val="center"/>
          </w:tcPr>
          <w:p w14:paraId="4ABDDE58" w14:textId="75C575F7" w:rsidR="00042DAE" w:rsidRPr="00CE3487" w:rsidRDefault="00042DAE" w:rsidP="00042DAE">
            <w:pPr>
              <w:spacing w:after="0" w:line="240" w:lineRule="auto"/>
              <w:ind w:left="170"/>
              <w:rPr>
                <w:rFonts w:ascii="Montserrat" w:eastAsia="Times New Roman" w:hAnsi="Montserrat" w:cs="Calibri"/>
                <w:color w:val="000000"/>
                <w:sz w:val="15"/>
                <w:szCs w:val="15"/>
                <w:lang w:eastAsia="es-MX"/>
              </w:rPr>
            </w:pPr>
            <w:r w:rsidRPr="00CE3487">
              <w:rPr>
                <w:rFonts w:ascii="Montserrat" w:eastAsia="Times New Roman" w:hAnsi="Montserrat" w:cs="Calibri"/>
                <w:color w:val="000000"/>
                <w:sz w:val="15"/>
                <w:szCs w:val="15"/>
                <w:lang w:eastAsia="es-MX"/>
              </w:rPr>
              <w:t xml:space="preserve">Bonos Gubernamentales a Tasa Fija </w:t>
            </w:r>
          </w:p>
        </w:tc>
        <w:tc>
          <w:tcPr>
            <w:tcW w:w="1440" w:type="dxa"/>
            <w:tcBorders>
              <w:top w:val="nil"/>
            </w:tcBorders>
            <w:shd w:val="clear" w:color="auto" w:fill="F2F2F2" w:themeFill="background1" w:themeFillShade="F2"/>
            <w:vAlign w:val="center"/>
          </w:tcPr>
          <w:p w14:paraId="7107BEB7" w14:textId="334B75F3" w:rsidR="00042DAE" w:rsidRPr="000F0321" w:rsidRDefault="00042DAE">
            <w:pPr>
              <w:spacing w:after="0" w:line="240" w:lineRule="auto"/>
              <w:jc w:val="center"/>
              <w:rPr>
                <w:rFonts w:ascii="Montserrat" w:eastAsia="Times New Roman" w:hAnsi="Montserrat" w:cs="Calibri"/>
                <w:color w:val="000000"/>
                <w:sz w:val="15"/>
                <w:szCs w:val="15"/>
                <w:lang w:eastAsia="es-MX"/>
              </w:rPr>
            </w:pPr>
            <w:r w:rsidRPr="000F0321">
              <w:rPr>
                <w:rFonts w:ascii="Montserrat" w:eastAsia="Times New Roman" w:hAnsi="Montserrat" w:cs="Calibri"/>
                <w:color w:val="000000"/>
                <w:sz w:val="15"/>
                <w:szCs w:val="15"/>
                <w:lang w:eastAsia="es-MX"/>
              </w:rPr>
              <w:t>BONOS M</w:t>
            </w:r>
          </w:p>
        </w:tc>
        <w:tc>
          <w:tcPr>
            <w:tcW w:w="2098" w:type="dxa"/>
            <w:tcBorders>
              <w:top w:val="nil"/>
            </w:tcBorders>
            <w:shd w:val="clear" w:color="auto" w:fill="F2F2F2" w:themeFill="background1" w:themeFillShade="F2"/>
            <w:noWrap/>
            <w:vAlign w:val="center"/>
          </w:tcPr>
          <w:p w14:paraId="512C7022" w14:textId="2CC40ED8" w:rsidR="00042DAE" w:rsidRPr="00CE3487" w:rsidRDefault="00B247A2" w:rsidP="00042DAE">
            <w:pPr>
              <w:spacing w:after="0" w:line="240" w:lineRule="auto"/>
              <w:jc w:val="right"/>
              <w:rPr>
                <w:rFonts w:ascii="Montserrat" w:eastAsia="Times New Roman" w:hAnsi="Montserrat" w:cs="Calibri"/>
                <w:sz w:val="15"/>
                <w:szCs w:val="15"/>
                <w:lang w:eastAsia="es-MX"/>
              </w:rPr>
            </w:pPr>
            <w:r>
              <w:rPr>
                <w:rFonts w:ascii="Montserrat" w:eastAsia="Times New Roman" w:hAnsi="Montserrat" w:cs="Calibri"/>
                <w:sz w:val="15"/>
                <w:szCs w:val="15"/>
                <w:lang w:eastAsia="es-MX"/>
              </w:rPr>
              <w:t xml:space="preserve"> 3,002,701,755,599</w:t>
            </w:r>
            <w:r w:rsidR="00042DAE" w:rsidRPr="00CE3487">
              <w:rPr>
                <w:rFonts w:ascii="Montserrat" w:eastAsia="Times New Roman" w:hAnsi="Montserrat" w:cs="Calibri"/>
                <w:sz w:val="15"/>
                <w:szCs w:val="15"/>
                <w:lang w:eastAsia="es-MX"/>
              </w:rPr>
              <w:t xml:space="preserve"> </w:t>
            </w:r>
          </w:p>
        </w:tc>
        <w:tc>
          <w:tcPr>
            <w:tcW w:w="2098" w:type="dxa"/>
            <w:tcBorders>
              <w:top w:val="nil"/>
            </w:tcBorders>
            <w:shd w:val="clear" w:color="auto" w:fill="F2F2F2" w:themeFill="background1" w:themeFillShade="F2"/>
            <w:vAlign w:val="center"/>
          </w:tcPr>
          <w:p w14:paraId="30D6B9B8" w14:textId="0F958544" w:rsidR="00042DAE" w:rsidRPr="00CE3487" w:rsidRDefault="00042DAE" w:rsidP="00042DAE">
            <w:pPr>
              <w:spacing w:after="0" w:line="240" w:lineRule="auto"/>
              <w:jc w:val="right"/>
              <w:rPr>
                <w:rFonts w:ascii="Montserrat" w:eastAsia="Times New Roman" w:hAnsi="Montserrat" w:cs="Calibri"/>
                <w:sz w:val="15"/>
                <w:szCs w:val="15"/>
                <w:lang w:eastAsia="es-MX"/>
              </w:rPr>
            </w:pPr>
            <w:r w:rsidRPr="00CE3487">
              <w:rPr>
                <w:rFonts w:ascii="Montserrat" w:eastAsia="Times New Roman" w:hAnsi="Montserrat" w:cs="Calibri"/>
                <w:sz w:val="15"/>
                <w:szCs w:val="15"/>
                <w:lang w:eastAsia="es-MX"/>
              </w:rPr>
              <w:t>2,890,327,441,000</w:t>
            </w:r>
          </w:p>
        </w:tc>
      </w:tr>
      <w:tr w:rsidR="00042DAE" w:rsidRPr="00CE3487" w14:paraId="2DF9EFA0" w14:textId="77777777" w:rsidTr="000F0321">
        <w:trPr>
          <w:trHeight w:val="215"/>
          <w:jc w:val="center"/>
        </w:trPr>
        <w:tc>
          <w:tcPr>
            <w:tcW w:w="4084" w:type="dxa"/>
            <w:tcBorders>
              <w:top w:val="nil"/>
            </w:tcBorders>
            <w:shd w:val="clear" w:color="auto" w:fill="F2F2F2" w:themeFill="background1" w:themeFillShade="F2"/>
            <w:vAlign w:val="center"/>
            <w:hideMark/>
          </w:tcPr>
          <w:p w14:paraId="78C24B5E" w14:textId="77777777" w:rsidR="00042DAE" w:rsidRPr="00CE3487" w:rsidRDefault="00042DAE" w:rsidP="00042DAE">
            <w:pPr>
              <w:spacing w:after="0" w:line="240" w:lineRule="auto"/>
              <w:ind w:left="170"/>
              <w:rPr>
                <w:rFonts w:ascii="Montserrat" w:eastAsia="Times New Roman" w:hAnsi="Montserrat" w:cs="Calibri"/>
                <w:color w:val="000000"/>
                <w:sz w:val="15"/>
                <w:szCs w:val="15"/>
                <w:lang w:val="es-MX" w:eastAsia="es-MX"/>
              </w:rPr>
            </w:pPr>
            <w:r w:rsidRPr="00CE3487">
              <w:rPr>
                <w:rFonts w:ascii="Montserrat" w:eastAsia="Times New Roman" w:hAnsi="Montserrat" w:cs="Calibri"/>
                <w:color w:val="000000"/>
                <w:sz w:val="15"/>
                <w:szCs w:val="15"/>
                <w:lang w:eastAsia="es-MX"/>
              </w:rPr>
              <w:t>UDIBONOS</w:t>
            </w:r>
          </w:p>
        </w:tc>
        <w:tc>
          <w:tcPr>
            <w:tcW w:w="1440" w:type="dxa"/>
            <w:tcBorders>
              <w:top w:val="nil"/>
            </w:tcBorders>
            <w:shd w:val="clear" w:color="auto" w:fill="F2F2F2" w:themeFill="background1" w:themeFillShade="F2"/>
            <w:vAlign w:val="center"/>
            <w:hideMark/>
          </w:tcPr>
          <w:p w14:paraId="50D24F35" w14:textId="77777777" w:rsidR="00042DAE" w:rsidRPr="000F0321" w:rsidRDefault="00042DAE">
            <w:pPr>
              <w:spacing w:after="0" w:line="240" w:lineRule="auto"/>
              <w:jc w:val="center"/>
              <w:rPr>
                <w:rFonts w:ascii="Montserrat" w:eastAsia="Times New Roman" w:hAnsi="Montserrat" w:cs="Calibri"/>
                <w:color w:val="000000"/>
                <w:sz w:val="15"/>
                <w:szCs w:val="15"/>
                <w:lang w:val="es-MX" w:eastAsia="es-MX"/>
              </w:rPr>
            </w:pPr>
            <w:r w:rsidRPr="000F0321">
              <w:rPr>
                <w:rFonts w:ascii="Montserrat" w:eastAsia="Times New Roman" w:hAnsi="Montserrat" w:cs="Calibri"/>
                <w:color w:val="000000"/>
                <w:sz w:val="15"/>
                <w:szCs w:val="15"/>
                <w:lang w:eastAsia="es-MX"/>
              </w:rPr>
              <w:t>UDIBONOS</w:t>
            </w:r>
          </w:p>
        </w:tc>
        <w:tc>
          <w:tcPr>
            <w:tcW w:w="2098" w:type="dxa"/>
            <w:tcBorders>
              <w:top w:val="nil"/>
            </w:tcBorders>
            <w:shd w:val="clear" w:color="auto" w:fill="F2F2F2" w:themeFill="background1" w:themeFillShade="F2"/>
            <w:noWrap/>
            <w:vAlign w:val="center"/>
          </w:tcPr>
          <w:p w14:paraId="2F357A0C" w14:textId="64960017" w:rsidR="00042DAE" w:rsidRPr="00CE3487" w:rsidRDefault="00B247A2" w:rsidP="00042DAE">
            <w:pPr>
              <w:spacing w:after="0" w:line="240" w:lineRule="auto"/>
              <w:jc w:val="right"/>
              <w:rPr>
                <w:rFonts w:ascii="Montserrat" w:eastAsia="Times New Roman" w:hAnsi="Montserrat" w:cs="Calibri"/>
                <w:sz w:val="15"/>
                <w:szCs w:val="15"/>
                <w:lang w:eastAsia="es-MX"/>
              </w:rPr>
            </w:pPr>
            <w:r>
              <w:rPr>
                <w:rFonts w:ascii="Montserrat" w:eastAsia="Times New Roman" w:hAnsi="Montserrat" w:cs="Calibri"/>
                <w:sz w:val="15"/>
                <w:szCs w:val="15"/>
                <w:lang w:eastAsia="es-MX"/>
              </w:rPr>
              <w:t xml:space="preserve"> 1,551,755,138,361</w:t>
            </w:r>
            <w:r w:rsidR="00042DAE" w:rsidRPr="00CE3487">
              <w:rPr>
                <w:rFonts w:ascii="Montserrat" w:eastAsia="Times New Roman" w:hAnsi="Montserrat" w:cs="Calibri"/>
                <w:sz w:val="15"/>
                <w:szCs w:val="15"/>
                <w:lang w:eastAsia="es-MX"/>
              </w:rPr>
              <w:t xml:space="preserve"> </w:t>
            </w:r>
          </w:p>
        </w:tc>
        <w:tc>
          <w:tcPr>
            <w:tcW w:w="2098" w:type="dxa"/>
            <w:tcBorders>
              <w:top w:val="nil"/>
            </w:tcBorders>
            <w:shd w:val="clear" w:color="auto" w:fill="F2F2F2" w:themeFill="background1" w:themeFillShade="F2"/>
            <w:vAlign w:val="center"/>
            <w:hideMark/>
          </w:tcPr>
          <w:p w14:paraId="3197F760" w14:textId="77777777" w:rsidR="00042DAE" w:rsidRPr="00CE3487" w:rsidRDefault="00042DAE" w:rsidP="00042DAE">
            <w:pPr>
              <w:spacing w:after="0" w:line="240" w:lineRule="auto"/>
              <w:jc w:val="right"/>
              <w:rPr>
                <w:rFonts w:ascii="Montserrat" w:eastAsia="Times New Roman" w:hAnsi="Montserrat" w:cs="Calibri"/>
                <w:sz w:val="15"/>
                <w:szCs w:val="15"/>
                <w:lang w:eastAsia="es-MX"/>
              </w:rPr>
            </w:pPr>
            <w:r w:rsidRPr="00CE3487">
              <w:rPr>
                <w:rFonts w:ascii="Montserrat" w:eastAsia="Times New Roman" w:hAnsi="Montserrat" w:cs="Calibri"/>
                <w:sz w:val="15"/>
                <w:szCs w:val="15"/>
                <w:lang w:eastAsia="es-MX"/>
              </w:rPr>
              <w:t>1,656,001,692,443</w:t>
            </w:r>
          </w:p>
        </w:tc>
      </w:tr>
      <w:tr w:rsidR="00042DAE" w:rsidRPr="00CE3487" w14:paraId="49EE7387" w14:textId="77777777" w:rsidTr="000F0321">
        <w:trPr>
          <w:trHeight w:val="215"/>
          <w:jc w:val="center"/>
        </w:trPr>
        <w:tc>
          <w:tcPr>
            <w:tcW w:w="4084" w:type="dxa"/>
            <w:tcBorders>
              <w:top w:val="nil"/>
            </w:tcBorders>
            <w:shd w:val="clear" w:color="auto" w:fill="F2F2F2" w:themeFill="background1" w:themeFillShade="F2"/>
            <w:vAlign w:val="center"/>
            <w:hideMark/>
          </w:tcPr>
          <w:p w14:paraId="686A871E" w14:textId="77777777" w:rsidR="00042DAE" w:rsidRPr="00CE3487" w:rsidRDefault="00042DAE" w:rsidP="00042DAE">
            <w:pPr>
              <w:spacing w:after="0" w:line="240" w:lineRule="auto"/>
              <w:ind w:left="170"/>
              <w:rPr>
                <w:rFonts w:ascii="Montserrat" w:eastAsia="Times New Roman" w:hAnsi="Montserrat" w:cs="Calibri"/>
                <w:color w:val="000000"/>
                <w:sz w:val="15"/>
                <w:szCs w:val="15"/>
                <w:lang w:val="es-MX" w:eastAsia="es-MX"/>
              </w:rPr>
            </w:pPr>
            <w:r w:rsidRPr="00CE3487">
              <w:rPr>
                <w:rFonts w:ascii="Montserrat" w:eastAsia="Times New Roman" w:hAnsi="Montserrat" w:cs="Calibri"/>
                <w:color w:val="000000"/>
                <w:sz w:val="15"/>
                <w:szCs w:val="15"/>
                <w:lang w:eastAsia="es-MX"/>
              </w:rPr>
              <w:t>UDIBONOS SEGREGABLES</w:t>
            </w:r>
          </w:p>
        </w:tc>
        <w:tc>
          <w:tcPr>
            <w:tcW w:w="1440" w:type="dxa"/>
            <w:tcBorders>
              <w:top w:val="nil"/>
            </w:tcBorders>
            <w:shd w:val="clear" w:color="auto" w:fill="F2F2F2" w:themeFill="background1" w:themeFillShade="F2"/>
            <w:vAlign w:val="center"/>
            <w:hideMark/>
          </w:tcPr>
          <w:p w14:paraId="59CE7A5D" w14:textId="20363891" w:rsidR="00042DAE" w:rsidRPr="000F0321" w:rsidRDefault="00042DAE">
            <w:pPr>
              <w:spacing w:after="0" w:line="240" w:lineRule="auto"/>
              <w:jc w:val="center"/>
              <w:rPr>
                <w:rFonts w:ascii="Montserrat" w:eastAsia="Times New Roman" w:hAnsi="Montserrat" w:cs="Calibri"/>
                <w:color w:val="000000"/>
                <w:sz w:val="15"/>
                <w:szCs w:val="15"/>
                <w:lang w:val="es-MX" w:eastAsia="es-MX"/>
              </w:rPr>
            </w:pPr>
            <w:r w:rsidRPr="000F0321">
              <w:rPr>
                <w:rFonts w:ascii="Montserrat" w:eastAsia="Times New Roman" w:hAnsi="Montserrat" w:cs="Calibri"/>
                <w:color w:val="000000"/>
                <w:sz w:val="15"/>
                <w:szCs w:val="15"/>
                <w:lang w:eastAsia="es-MX"/>
              </w:rPr>
              <w:t>UDIBONOS S</w:t>
            </w:r>
          </w:p>
        </w:tc>
        <w:tc>
          <w:tcPr>
            <w:tcW w:w="2098" w:type="dxa"/>
            <w:tcBorders>
              <w:top w:val="nil"/>
            </w:tcBorders>
            <w:shd w:val="clear" w:color="auto" w:fill="F2F2F2" w:themeFill="background1" w:themeFillShade="F2"/>
            <w:noWrap/>
            <w:vAlign w:val="center"/>
          </w:tcPr>
          <w:p w14:paraId="61393446" w14:textId="2E8246B8" w:rsidR="00042DAE" w:rsidRPr="00CE3487" w:rsidRDefault="00B247A2" w:rsidP="00042DAE">
            <w:pPr>
              <w:spacing w:after="0" w:line="240" w:lineRule="auto"/>
              <w:jc w:val="right"/>
              <w:rPr>
                <w:rFonts w:ascii="Montserrat" w:eastAsia="Times New Roman" w:hAnsi="Montserrat" w:cs="Calibri"/>
                <w:sz w:val="15"/>
                <w:szCs w:val="15"/>
                <w:lang w:eastAsia="es-MX"/>
              </w:rPr>
            </w:pPr>
            <w:r>
              <w:rPr>
                <w:rFonts w:ascii="Montserrat" w:eastAsia="Times New Roman" w:hAnsi="Montserrat" w:cs="Calibri"/>
                <w:sz w:val="15"/>
                <w:szCs w:val="15"/>
                <w:lang w:eastAsia="es-MX"/>
              </w:rPr>
              <w:t xml:space="preserve"> 7,950,444,700</w:t>
            </w:r>
            <w:r w:rsidR="00042DAE" w:rsidRPr="00CE3487">
              <w:rPr>
                <w:rFonts w:ascii="Montserrat" w:eastAsia="Times New Roman" w:hAnsi="Montserrat" w:cs="Calibri"/>
                <w:sz w:val="15"/>
                <w:szCs w:val="15"/>
                <w:lang w:eastAsia="es-MX"/>
              </w:rPr>
              <w:t xml:space="preserve"> </w:t>
            </w:r>
          </w:p>
        </w:tc>
        <w:tc>
          <w:tcPr>
            <w:tcW w:w="2098" w:type="dxa"/>
            <w:tcBorders>
              <w:top w:val="nil"/>
            </w:tcBorders>
            <w:shd w:val="clear" w:color="auto" w:fill="F2F2F2" w:themeFill="background1" w:themeFillShade="F2"/>
            <w:vAlign w:val="center"/>
            <w:hideMark/>
          </w:tcPr>
          <w:p w14:paraId="6A97503F" w14:textId="77777777" w:rsidR="00042DAE" w:rsidRPr="00CE3487" w:rsidRDefault="00042DAE" w:rsidP="00042DAE">
            <w:pPr>
              <w:spacing w:after="0" w:line="240" w:lineRule="auto"/>
              <w:jc w:val="right"/>
              <w:rPr>
                <w:rFonts w:ascii="Montserrat" w:eastAsia="Times New Roman" w:hAnsi="Montserrat" w:cs="Calibri"/>
                <w:sz w:val="15"/>
                <w:szCs w:val="15"/>
                <w:lang w:eastAsia="es-MX"/>
              </w:rPr>
            </w:pPr>
            <w:r w:rsidRPr="00CE3487">
              <w:rPr>
                <w:rFonts w:ascii="Montserrat" w:eastAsia="Times New Roman" w:hAnsi="Montserrat" w:cs="Calibri"/>
                <w:sz w:val="15"/>
                <w:szCs w:val="15"/>
                <w:lang w:eastAsia="es-MX"/>
              </w:rPr>
              <w:t>7,897,150,247</w:t>
            </w:r>
          </w:p>
        </w:tc>
      </w:tr>
      <w:tr w:rsidR="00042DAE" w:rsidRPr="00CE3487" w14:paraId="5A4B0D3B" w14:textId="77777777" w:rsidTr="000F0321">
        <w:trPr>
          <w:trHeight w:val="215"/>
          <w:jc w:val="center"/>
        </w:trPr>
        <w:tc>
          <w:tcPr>
            <w:tcW w:w="4084" w:type="dxa"/>
            <w:tcBorders>
              <w:top w:val="nil"/>
            </w:tcBorders>
            <w:shd w:val="clear" w:color="auto" w:fill="F2F2F2" w:themeFill="background1" w:themeFillShade="F2"/>
            <w:vAlign w:val="center"/>
          </w:tcPr>
          <w:p w14:paraId="5BD2D86F" w14:textId="77777777" w:rsidR="00042DAE" w:rsidRPr="00CE3487" w:rsidRDefault="00042DAE" w:rsidP="00CE3487">
            <w:pPr>
              <w:spacing w:after="0" w:line="240" w:lineRule="auto"/>
              <w:ind w:left="1064"/>
              <w:rPr>
                <w:rFonts w:ascii="Montserrat" w:eastAsia="Times New Roman" w:hAnsi="Montserrat" w:cs="Calibri"/>
                <w:color w:val="000000"/>
                <w:sz w:val="15"/>
                <w:szCs w:val="15"/>
                <w:lang w:eastAsia="es-MX"/>
              </w:rPr>
            </w:pPr>
            <w:r w:rsidRPr="000F0321">
              <w:rPr>
                <w:rFonts w:ascii="Montserrat" w:eastAsia="Times New Roman" w:hAnsi="Montserrat" w:cs="Calibri"/>
                <w:b/>
                <w:bCs/>
                <w:color w:val="000000"/>
                <w:sz w:val="15"/>
                <w:szCs w:val="15"/>
                <w:lang w:eastAsia="es-MX"/>
              </w:rPr>
              <w:t>Subtotal de Títulos y Valores de la Deuda Pública Interna a LP</w:t>
            </w:r>
          </w:p>
        </w:tc>
        <w:tc>
          <w:tcPr>
            <w:tcW w:w="1440" w:type="dxa"/>
            <w:tcBorders>
              <w:top w:val="nil"/>
            </w:tcBorders>
            <w:shd w:val="clear" w:color="auto" w:fill="F2F2F2" w:themeFill="background1" w:themeFillShade="F2"/>
            <w:vAlign w:val="center"/>
          </w:tcPr>
          <w:p w14:paraId="42C604B9" w14:textId="5B24C9D2" w:rsidR="00042DAE" w:rsidRPr="000F0321" w:rsidRDefault="00042DAE">
            <w:pPr>
              <w:spacing w:after="0" w:line="240" w:lineRule="auto"/>
              <w:jc w:val="center"/>
              <w:rPr>
                <w:rFonts w:ascii="Montserrat" w:eastAsia="Times New Roman" w:hAnsi="Montserrat" w:cs="Calibri"/>
                <w:color w:val="000000"/>
                <w:sz w:val="15"/>
                <w:szCs w:val="15"/>
                <w:lang w:eastAsia="es-MX"/>
              </w:rPr>
            </w:pPr>
          </w:p>
        </w:tc>
        <w:tc>
          <w:tcPr>
            <w:tcW w:w="2098" w:type="dxa"/>
            <w:tcBorders>
              <w:top w:val="nil"/>
            </w:tcBorders>
            <w:shd w:val="clear" w:color="auto" w:fill="F2F2F2" w:themeFill="background1" w:themeFillShade="F2"/>
            <w:noWrap/>
            <w:vAlign w:val="center"/>
          </w:tcPr>
          <w:p w14:paraId="41B00459" w14:textId="77777777" w:rsidR="00042DAE" w:rsidRPr="000F0321" w:rsidRDefault="00042DAE" w:rsidP="00042DAE">
            <w:pPr>
              <w:spacing w:after="0" w:line="240" w:lineRule="auto"/>
              <w:jc w:val="right"/>
              <w:rPr>
                <w:rFonts w:ascii="Montserrat" w:eastAsia="Times New Roman" w:hAnsi="Montserrat" w:cs="Calibri"/>
                <w:sz w:val="15"/>
                <w:szCs w:val="15"/>
                <w:lang w:eastAsia="es-MX"/>
              </w:rPr>
            </w:pPr>
            <w:r w:rsidRPr="00CE3487">
              <w:rPr>
                <w:rFonts w:ascii="Montserrat" w:eastAsia="Times New Roman" w:hAnsi="Montserrat" w:cs="Calibri"/>
                <w:b/>
                <w:bCs/>
                <w:sz w:val="15"/>
                <w:szCs w:val="15"/>
                <w:lang w:eastAsia="es-MX"/>
              </w:rPr>
              <w:t>5,113,309,178,864</w:t>
            </w:r>
          </w:p>
        </w:tc>
        <w:tc>
          <w:tcPr>
            <w:tcW w:w="2098" w:type="dxa"/>
            <w:tcBorders>
              <w:top w:val="nil"/>
            </w:tcBorders>
            <w:shd w:val="clear" w:color="auto" w:fill="F2F2F2" w:themeFill="background1" w:themeFillShade="F2"/>
            <w:vAlign w:val="center"/>
          </w:tcPr>
          <w:p w14:paraId="18A3ADB1" w14:textId="77777777" w:rsidR="00042DAE" w:rsidRPr="00CE3487" w:rsidRDefault="00042DAE" w:rsidP="00042DAE">
            <w:pPr>
              <w:spacing w:after="0" w:line="240" w:lineRule="auto"/>
              <w:jc w:val="right"/>
              <w:rPr>
                <w:rFonts w:ascii="Montserrat" w:eastAsia="Times New Roman" w:hAnsi="Montserrat" w:cs="Calibri"/>
                <w:sz w:val="15"/>
                <w:szCs w:val="15"/>
                <w:lang w:eastAsia="es-MX"/>
              </w:rPr>
            </w:pPr>
            <w:r w:rsidRPr="000F0321">
              <w:rPr>
                <w:rFonts w:ascii="Montserrat" w:eastAsia="Times New Roman" w:hAnsi="Montserrat" w:cs="Calibri"/>
                <w:b/>
                <w:bCs/>
                <w:sz w:val="15"/>
                <w:szCs w:val="15"/>
                <w:lang w:eastAsia="es-MX"/>
              </w:rPr>
              <w:t>5,102,466,702,994</w:t>
            </w:r>
          </w:p>
        </w:tc>
      </w:tr>
      <w:tr w:rsidR="00042DAE" w:rsidRPr="00CE3487" w14:paraId="73592428" w14:textId="77777777" w:rsidTr="000F0321">
        <w:trPr>
          <w:trHeight w:val="215"/>
          <w:jc w:val="center"/>
        </w:trPr>
        <w:tc>
          <w:tcPr>
            <w:tcW w:w="4084" w:type="dxa"/>
            <w:tcBorders>
              <w:top w:val="nil"/>
            </w:tcBorders>
            <w:shd w:val="clear" w:color="auto" w:fill="F2F2F2" w:themeFill="background1" w:themeFillShade="F2"/>
            <w:vAlign w:val="center"/>
          </w:tcPr>
          <w:p w14:paraId="0C47778A" w14:textId="52060837" w:rsidR="00042DAE" w:rsidRPr="00CE3487" w:rsidRDefault="00042DAE" w:rsidP="00042DAE">
            <w:pPr>
              <w:spacing w:before="20" w:after="20" w:line="240" w:lineRule="auto"/>
              <w:ind w:left="170"/>
              <w:rPr>
                <w:rFonts w:ascii="Montserrat" w:eastAsia="Times New Roman" w:hAnsi="Montserrat" w:cs="Calibri"/>
                <w:color w:val="000000"/>
                <w:sz w:val="15"/>
                <w:szCs w:val="15"/>
                <w:lang w:val="es-MX" w:eastAsia="es-MX"/>
              </w:rPr>
            </w:pPr>
            <w:r w:rsidRPr="00CE3487">
              <w:rPr>
                <w:rFonts w:ascii="Montserrat" w:eastAsia="Times New Roman" w:hAnsi="Montserrat" w:cs="Calibri"/>
                <w:color w:val="000000"/>
                <w:sz w:val="15"/>
                <w:szCs w:val="15"/>
                <w:lang w:eastAsia="es-MX"/>
              </w:rPr>
              <w:t xml:space="preserve">Bonos de Desarrollo del Gobierno Federal </w:t>
            </w:r>
          </w:p>
        </w:tc>
        <w:tc>
          <w:tcPr>
            <w:tcW w:w="1440" w:type="dxa"/>
            <w:tcBorders>
              <w:top w:val="nil"/>
            </w:tcBorders>
            <w:shd w:val="clear" w:color="auto" w:fill="F2F2F2" w:themeFill="background1" w:themeFillShade="F2"/>
            <w:vAlign w:val="center"/>
          </w:tcPr>
          <w:p w14:paraId="2CC19A36" w14:textId="4C75F70E" w:rsidR="00042DAE" w:rsidRPr="00CE3487" w:rsidRDefault="00042DAE" w:rsidP="000F0321">
            <w:pPr>
              <w:spacing w:after="0" w:line="240" w:lineRule="auto"/>
              <w:jc w:val="center"/>
              <w:rPr>
                <w:rFonts w:ascii="Montserrat" w:eastAsia="Times New Roman" w:hAnsi="Montserrat" w:cs="Calibri"/>
                <w:color w:val="000000"/>
                <w:sz w:val="15"/>
                <w:szCs w:val="15"/>
                <w:lang w:val="es-MX" w:eastAsia="es-MX"/>
              </w:rPr>
            </w:pPr>
            <w:r w:rsidRPr="000F0321">
              <w:rPr>
                <w:rFonts w:ascii="Montserrat" w:eastAsia="Times New Roman" w:hAnsi="Montserrat" w:cs="Calibri"/>
                <w:color w:val="000000"/>
                <w:sz w:val="15"/>
                <w:szCs w:val="15"/>
                <w:lang w:eastAsia="es-MX"/>
              </w:rPr>
              <w:t>BONDES</w:t>
            </w:r>
          </w:p>
        </w:tc>
        <w:tc>
          <w:tcPr>
            <w:tcW w:w="2098" w:type="dxa"/>
            <w:tcBorders>
              <w:top w:val="nil"/>
            </w:tcBorders>
            <w:shd w:val="clear" w:color="auto" w:fill="F2F2F2" w:themeFill="background1" w:themeFillShade="F2"/>
            <w:vAlign w:val="center"/>
          </w:tcPr>
          <w:p w14:paraId="1A45E27C" w14:textId="1A3E34BD" w:rsidR="00042DAE" w:rsidRPr="00CE3487" w:rsidRDefault="00042DAE" w:rsidP="00042DAE">
            <w:pPr>
              <w:spacing w:after="0" w:line="240" w:lineRule="auto"/>
              <w:jc w:val="right"/>
              <w:rPr>
                <w:rFonts w:ascii="Montserrat" w:eastAsia="Times New Roman" w:hAnsi="Montserrat" w:cs="Calibri"/>
                <w:sz w:val="15"/>
                <w:szCs w:val="15"/>
                <w:lang w:eastAsia="es-MX"/>
              </w:rPr>
            </w:pPr>
            <w:r w:rsidRPr="00CE3487">
              <w:rPr>
                <w:rFonts w:ascii="Montserrat" w:eastAsia="Times New Roman" w:hAnsi="Montserrat" w:cs="Calibri"/>
                <w:sz w:val="15"/>
                <w:szCs w:val="15"/>
                <w:lang w:eastAsia="es-MX"/>
              </w:rPr>
              <w:t>642,088,857,004</w:t>
            </w:r>
          </w:p>
        </w:tc>
        <w:tc>
          <w:tcPr>
            <w:tcW w:w="2098" w:type="dxa"/>
            <w:tcBorders>
              <w:top w:val="nil"/>
            </w:tcBorders>
            <w:shd w:val="clear" w:color="auto" w:fill="F2F2F2" w:themeFill="background1" w:themeFillShade="F2"/>
            <w:vAlign w:val="center"/>
          </w:tcPr>
          <w:p w14:paraId="060E72DC" w14:textId="410BE96B" w:rsidR="00042DAE" w:rsidRPr="00CE3487" w:rsidRDefault="00042DAE" w:rsidP="00042DAE">
            <w:pPr>
              <w:spacing w:after="0" w:line="240" w:lineRule="auto"/>
              <w:jc w:val="right"/>
              <w:rPr>
                <w:rFonts w:ascii="Montserrat" w:eastAsia="Times New Roman" w:hAnsi="Montserrat" w:cs="Calibri"/>
                <w:sz w:val="15"/>
                <w:szCs w:val="15"/>
                <w:lang w:eastAsia="es-MX"/>
              </w:rPr>
            </w:pPr>
            <w:r w:rsidRPr="00CE3487">
              <w:rPr>
                <w:rFonts w:ascii="Montserrat" w:eastAsia="Times New Roman" w:hAnsi="Montserrat" w:cs="Calibri"/>
                <w:sz w:val="15"/>
                <w:szCs w:val="15"/>
                <w:lang w:eastAsia="es-MX"/>
              </w:rPr>
              <w:t>548,240,419,304</w:t>
            </w:r>
          </w:p>
        </w:tc>
      </w:tr>
      <w:tr w:rsidR="00042DAE" w:rsidRPr="00CE3487" w14:paraId="3DE338F3" w14:textId="77777777" w:rsidTr="000F0321">
        <w:trPr>
          <w:trHeight w:val="215"/>
          <w:jc w:val="center"/>
        </w:trPr>
        <w:tc>
          <w:tcPr>
            <w:tcW w:w="4084" w:type="dxa"/>
            <w:tcBorders>
              <w:top w:val="nil"/>
            </w:tcBorders>
            <w:shd w:val="clear" w:color="auto" w:fill="F2F2F2" w:themeFill="background1" w:themeFillShade="F2"/>
            <w:vAlign w:val="center"/>
          </w:tcPr>
          <w:p w14:paraId="3DCD0240" w14:textId="72FD9F69" w:rsidR="00042DAE" w:rsidRPr="00CE3487" w:rsidRDefault="00042DAE" w:rsidP="00042DAE">
            <w:pPr>
              <w:spacing w:after="0" w:line="240" w:lineRule="auto"/>
              <w:ind w:left="170"/>
              <w:rPr>
                <w:rFonts w:ascii="Montserrat" w:eastAsia="Times New Roman" w:hAnsi="Montserrat" w:cs="Calibri"/>
                <w:color w:val="000000"/>
                <w:sz w:val="15"/>
                <w:szCs w:val="15"/>
                <w:lang w:eastAsia="es-MX"/>
              </w:rPr>
            </w:pPr>
            <w:r w:rsidRPr="00CE3487">
              <w:rPr>
                <w:rFonts w:ascii="Montserrat" w:eastAsia="Times New Roman" w:hAnsi="Montserrat" w:cs="Calibri"/>
                <w:color w:val="000000"/>
                <w:sz w:val="15"/>
                <w:szCs w:val="15"/>
                <w:lang w:eastAsia="es-MX"/>
              </w:rPr>
              <w:t xml:space="preserve">Bonos Gubernamentales a Tasa Fija </w:t>
            </w:r>
          </w:p>
        </w:tc>
        <w:tc>
          <w:tcPr>
            <w:tcW w:w="1440" w:type="dxa"/>
            <w:tcBorders>
              <w:top w:val="nil"/>
            </w:tcBorders>
            <w:shd w:val="clear" w:color="auto" w:fill="F2F2F2" w:themeFill="background1" w:themeFillShade="F2"/>
            <w:vAlign w:val="center"/>
          </w:tcPr>
          <w:p w14:paraId="7CDC247E" w14:textId="06D96739" w:rsidR="00042DAE" w:rsidRPr="00CE3487" w:rsidRDefault="00042DAE" w:rsidP="000F0321">
            <w:pPr>
              <w:spacing w:after="0" w:line="240" w:lineRule="auto"/>
              <w:jc w:val="center"/>
              <w:rPr>
                <w:rFonts w:ascii="Montserrat" w:eastAsia="Times New Roman" w:hAnsi="Montserrat" w:cs="Calibri"/>
                <w:color w:val="000000"/>
                <w:sz w:val="15"/>
                <w:szCs w:val="15"/>
                <w:lang w:val="es-MX" w:eastAsia="es-MX"/>
              </w:rPr>
            </w:pPr>
            <w:r w:rsidRPr="000F0321">
              <w:rPr>
                <w:rFonts w:ascii="Montserrat" w:eastAsia="Times New Roman" w:hAnsi="Montserrat" w:cs="Calibri"/>
                <w:color w:val="000000"/>
                <w:sz w:val="15"/>
                <w:szCs w:val="15"/>
                <w:lang w:eastAsia="es-MX"/>
              </w:rPr>
              <w:t>BONOS M</w:t>
            </w:r>
          </w:p>
        </w:tc>
        <w:tc>
          <w:tcPr>
            <w:tcW w:w="2098" w:type="dxa"/>
            <w:tcBorders>
              <w:top w:val="nil"/>
            </w:tcBorders>
            <w:shd w:val="clear" w:color="auto" w:fill="F2F2F2" w:themeFill="background1" w:themeFillShade="F2"/>
            <w:vAlign w:val="center"/>
          </w:tcPr>
          <w:p w14:paraId="2470EE69" w14:textId="219FBE74" w:rsidR="00042DAE" w:rsidRPr="00CE3487" w:rsidRDefault="00B247A2" w:rsidP="00042DAE">
            <w:pPr>
              <w:spacing w:after="0" w:line="240" w:lineRule="auto"/>
              <w:jc w:val="right"/>
              <w:rPr>
                <w:rFonts w:ascii="Montserrat" w:eastAsia="Times New Roman" w:hAnsi="Montserrat" w:cs="Calibri"/>
                <w:sz w:val="15"/>
                <w:szCs w:val="15"/>
                <w:lang w:eastAsia="es-MX"/>
              </w:rPr>
            </w:pPr>
            <w:r>
              <w:rPr>
                <w:rFonts w:ascii="Montserrat" w:eastAsia="Times New Roman" w:hAnsi="Montserrat" w:cs="Calibri"/>
                <w:sz w:val="15"/>
                <w:szCs w:val="15"/>
                <w:lang w:eastAsia="es-MX"/>
              </w:rPr>
              <w:t>3,209,129,140,499</w:t>
            </w:r>
          </w:p>
        </w:tc>
        <w:tc>
          <w:tcPr>
            <w:tcW w:w="2098" w:type="dxa"/>
            <w:tcBorders>
              <w:top w:val="nil"/>
            </w:tcBorders>
            <w:shd w:val="clear" w:color="auto" w:fill="F2F2F2" w:themeFill="background1" w:themeFillShade="F2"/>
            <w:vAlign w:val="center"/>
          </w:tcPr>
          <w:p w14:paraId="1B76F6B5" w14:textId="7229A771" w:rsidR="00042DAE" w:rsidRPr="00CE3487" w:rsidRDefault="00042DAE" w:rsidP="00042DAE">
            <w:pPr>
              <w:spacing w:after="0" w:line="240" w:lineRule="auto"/>
              <w:jc w:val="right"/>
              <w:rPr>
                <w:rFonts w:ascii="Montserrat" w:eastAsia="Times New Roman" w:hAnsi="Montserrat" w:cs="Calibri"/>
                <w:sz w:val="15"/>
                <w:szCs w:val="15"/>
                <w:lang w:eastAsia="es-MX"/>
              </w:rPr>
            </w:pPr>
            <w:r w:rsidRPr="00CE3487">
              <w:rPr>
                <w:rFonts w:ascii="Montserrat" w:eastAsia="Times New Roman" w:hAnsi="Montserrat" w:cs="Calibri"/>
                <w:sz w:val="15"/>
                <w:szCs w:val="15"/>
                <w:lang w:eastAsia="es-MX"/>
              </w:rPr>
              <w:t>2,890,327,441,000</w:t>
            </w:r>
          </w:p>
        </w:tc>
      </w:tr>
      <w:tr w:rsidR="00042DAE" w:rsidRPr="00CE3487" w14:paraId="1316C7FE" w14:textId="77777777" w:rsidTr="000F0321">
        <w:trPr>
          <w:trHeight w:val="215"/>
          <w:jc w:val="center"/>
        </w:trPr>
        <w:tc>
          <w:tcPr>
            <w:tcW w:w="4084" w:type="dxa"/>
            <w:tcBorders>
              <w:top w:val="nil"/>
            </w:tcBorders>
            <w:shd w:val="clear" w:color="auto" w:fill="F2F2F2" w:themeFill="background1" w:themeFillShade="F2"/>
            <w:vAlign w:val="center"/>
          </w:tcPr>
          <w:p w14:paraId="510C88C9" w14:textId="4E8EC8F0" w:rsidR="00042DAE" w:rsidRPr="00CE3487" w:rsidRDefault="00042DAE" w:rsidP="00042DAE">
            <w:pPr>
              <w:spacing w:before="20" w:after="20" w:line="240" w:lineRule="auto"/>
              <w:ind w:left="170"/>
              <w:rPr>
                <w:rFonts w:ascii="Montserrat" w:eastAsia="Times New Roman" w:hAnsi="Montserrat" w:cs="Calibri"/>
                <w:color w:val="000000"/>
                <w:sz w:val="15"/>
                <w:szCs w:val="15"/>
                <w:lang w:eastAsia="es-MX"/>
              </w:rPr>
            </w:pPr>
            <w:r w:rsidRPr="00CE3487">
              <w:rPr>
                <w:rFonts w:ascii="Montserrat" w:eastAsia="Times New Roman" w:hAnsi="Montserrat" w:cs="Calibri"/>
                <w:color w:val="000000"/>
                <w:sz w:val="15"/>
                <w:szCs w:val="15"/>
                <w:lang w:eastAsia="es-MX"/>
              </w:rPr>
              <w:t>UDIBONOS</w:t>
            </w:r>
          </w:p>
        </w:tc>
        <w:tc>
          <w:tcPr>
            <w:tcW w:w="1440" w:type="dxa"/>
            <w:tcBorders>
              <w:top w:val="nil"/>
            </w:tcBorders>
            <w:shd w:val="clear" w:color="auto" w:fill="F2F2F2" w:themeFill="background1" w:themeFillShade="F2"/>
            <w:vAlign w:val="center"/>
          </w:tcPr>
          <w:p w14:paraId="68E85DEF" w14:textId="56BF80BE" w:rsidR="00042DAE" w:rsidRPr="00CE3487" w:rsidRDefault="00042DAE" w:rsidP="000F0321">
            <w:pPr>
              <w:spacing w:after="0" w:line="240" w:lineRule="auto"/>
              <w:jc w:val="center"/>
              <w:rPr>
                <w:rFonts w:ascii="Montserrat" w:eastAsia="Times New Roman" w:hAnsi="Montserrat" w:cs="Calibri"/>
                <w:color w:val="000000"/>
                <w:sz w:val="15"/>
                <w:szCs w:val="15"/>
                <w:lang w:eastAsia="es-MX"/>
              </w:rPr>
            </w:pPr>
            <w:r w:rsidRPr="000F0321">
              <w:rPr>
                <w:rFonts w:ascii="Montserrat" w:eastAsia="Times New Roman" w:hAnsi="Montserrat" w:cs="Calibri"/>
                <w:color w:val="000000"/>
                <w:sz w:val="15"/>
                <w:szCs w:val="15"/>
                <w:lang w:eastAsia="es-MX"/>
              </w:rPr>
              <w:t>UDIBONOS</w:t>
            </w:r>
          </w:p>
        </w:tc>
        <w:tc>
          <w:tcPr>
            <w:tcW w:w="2098" w:type="dxa"/>
            <w:tcBorders>
              <w:top w:val="nil"/>
            </w:tcBorders>
            <w:shd w:val="clear" w:color="auto" w:fill="F2F2F2" w:themeFill="background1" w:themeFillShade="F2"/>
            <w:vAlign w:val="center"/>
          </w:tcPr>
          <w:p w14:paraId="35688EA3" w14:textId="06800FF1" w:rsidR="00042DAE" w:rsidRPr="00CE3487" w:rsidRDefault="00042DAE" w:rsidP="00042DAE">
            <w:pPr>
              <w:spacing w:after="0" w:line="240" w:lineRule="auto"/>
              <w:jc w:val="right"/>
              <w:rPr>
                <w:rFonts w:ascii="Montserrat" w:eastAsia="Times New Roman" w:hAnsi="Montserrat" w:cs="Calibri"/>
                <w:sz w:val="15"/>
                <w:szCs w:val="15"/>
                <w:lang w:eastAsia="es-MX"/>
              </w:rPr>
            </w:pPr>
            <w:r w:rsidRPr="00CE3487">
              <w:rPr>
                <w:rFonts w:ascii="Montserrat" w:eastAsia="Times New Roman" w:hAnsi="Montserrat" w:cs="Calibri"/>
                <w:sz w:val="15"/>
                <w:szCs w:val="15"/>
                <w:lang w:eastAsia="es-MX"/>
              </w:rPr>
              <w:t>1,737,764,006,99</w:t>
            </w:r>
            <w:r w:rsidR="00B247A2">
              <w:rPr>
                <w:rFonts w:ascii="Montserrat" w:eastAsia="Times New Roman" w:hAnsi="Montserrat" w:cs="Calibri"/>
                <w:sz w:val="15"/>
                <w:szCs w:val="15"/>
                <w:lang w:eastAsia="es-MX"/>
              </w:rPr>
              <w:t>5</w:t>
            </w:r>
          </w:p>
        </w:tc>
        <w:tc>
          <w:tcPr>
            <w:tcW w:w="2098" w:type="dxa"/>
            <w:tcBorders>
              <w:top w:val="nil"/>
            </w:tcBorders>
            <w:shd w:val="clear" w:color="auto" w:fill="F2F2F2" w:themeFill="background1" w:themeFillShade="F2"/>
            <w:vAlign w:val="center"/>
          </w:tcPr>
          <w:p w14:paraId="0734E3E0" w14:textId="619AD678" w:rsidR="00042DAE" w:rsidRPr="00CE3487" w:rsidRDefault="00042DAE" w:rsidP="00042DAE">
            <w:pPr>
              <w:spacing w:after="0" w:line="240" w:lineRule="auto"/>
              <w:jc w:val="right"/>
              <w:rPr>
                <w:rFonts w:ascii="Montserrat" w:eastAsia="Times New Roman" w:hAnsi="Montserrat" w:cs="Calibri"/>
                <w:sz w:val="15"/>
                <w:szCs w:val="15"/>
                <w:lang w:eastAsia="es-MX"/>
              </w:rPr>
            </w:pPr>
            <w:r w:rsidRPr="00CE3487">
              <w:rPr>
                <w:rFonts w:ascii="Montserrat" w:eastAsia="Times New Roman" w:hAnsi="Montserrat" w:cs="Calibri"/>
                <w:sz w:val="15"/>
                <w:szCs w:val="15"/>
                <w:lang w:eastAsia="es-MX"/>
              </w:rPr>
              <w:t>1,656,001,692,443</w:t>
            </w:r>
          </w:p>
        </w:tc>
      </w:tr>
      <w:tr w:rsidR="00042DAE" w:rsidRPr="00CE3487" w14:paraId="2A16C1C5" w14:textId="77777777" w:rsidTr="000F0321">
        <w:trPr>
          <w:trHeight w:val="215"/>
          <w:jc w:val="center"/>
        </w:trPr>
        <w:tc>
          <w:tcPr>
            <w:tcW w:w="4084" w:type="dxa"/>
            <w:tcBorders>
              <w:top w:val="nil"/>
            </w:tcBorders>
            <w:shd w:val="clear" w:color="auto" w:fill="F2F2F2" w:themeFill="background1" w:themeFillShade="F2"/>
            <w:vAlign w:val="center"/>
          </w:tcPr>
          <w:p w14:paraId="4BE5C695" w14:textId="06F155A0" w:rsidR="00042DAE" w:rsidRPr="00CE3487" w:rsidRDefault="00042DAE" w:rsidP="00042DAE">
            <w:pPr>
              <w:spacing w:before="20" w:after="20" w:line="240" w:lineRule="auto"/>
              <w:ind w:left="170"/>
              <w:rPr>
                <w:rFonts w:ascii="Montserrat" w:eastAsia="Times New Roman" w:hAnsi="Montserrat" w:cs="Calibri"/>
                <w:color w:val="000000"/>
                <w:sz w:val="15"/>
                <w:szCs w:val="15"/>
                <w:lang w:eastAsia="es-MX"/>
              </w:rPr>
            </w:pPr>
            <w:r w:rsidRPr="00CE3487">
              <w:rPr>
                <w:rFonts w:ascii="Montserrat" w:eastAsia="Times New Roman" w:hAnsi="Montserrat" w:cs="Calibri"/>
                <w:color w:val="000000"/>
                <w:sz w:val="15"/>
                <w:szCs w:val="15"/>
                <w:lang w:eastAsia="es-MX"/>
              </w:rPr>
              <w:t>UDIBONOS SEGREGABLES</w:t>
            </w:r>
          </w:p>
        </w:tc>
        <w:tc>
          <w:tcPr>
            <w:tcW w:w="1440" w:type="dxa"/>
            <w:tcBorders>
              <w:top w:val="nil"/>
            </w:tcBorders>
            <w:shd w:val="clear" w:color="auto" w:fill="F2F2F2" w:themeFill="background1" w:themeFillShade="F2"/>
            <w:vAlign w:val="center"/>
          </w:tcPr>
          <w:p w14:paraId="490019DF" w14:textId="2D5F7181" w:rsidR="00042DAE" w:rsidRPr="00CE3487" w:rsidRDefault="00042DAE" w:rsidP="000F0321">
            <w:pPr>
              <w:spacing w:after="0" w:line="240" w:lineRule="auto"/>
              <w:jc w:val="center"/>
              <w:rPr>
                <w:rFonts w:ascii="Montserrat" w:eastAsia="Times New Roman" w:hAnsi="Montserrat" w:cs="Calibri"/>
                <w:color w:val="000000"/>
                <w:sz w:val="15"/>
                <w:szCs w:val="15"/>
                <w:lang w:eastAsia="es-MX"/>
              </w:rPr>
            </w:pPr>
            <w:r w:rsidRPr="000F0321">
              <w:rPr>
                <w:rFonts w:ascii="Montserrat" w:eastAsia="Times New Roman" w:hAnsi="Montserrat" w:cs="Calibri"/>
                <w:color w:val="000000"/>
                <w:sz w:val="15"/>
                <w:szCs w:val="15"/>
                <w:lang w:eastAsia="es-MX"/>
              </w:rPr>
              <w:t>UDIBONOS S</w:t>
            </w:r>
          </w:p>
        </w:tc>
        <w:tc>
          <w:tcPr>
            <w:tcW w:w="2098" w:type="dxa"/>
            <w:tcBorders>
              <w:top w:val="nil"/>
            </w:tcBorders>
            <w:shd w:val="clear" w:color="auto" w:fill="F2F2F2" w:themeFill="background1" w:themeFillShade="F2"/>
            <w:vAlign w:val="center"/>
          </w:tcPr>
          <w:p w14:paraId="23ED4E64" w14:textId="1E3E32CA" w:rsidR="00042DAE" w:rsidRPr="00CE3487" w:rsidRDefault="00042DAE" w:rsidP="00042DAE">
            <w:pPr>
              <w:spacing w:after="0" w:line="240" w:lineRule="auto"/>
              <w:jc w:val="right"/>
              <w:rPr>
                <w:rFonts w:ascii="Montserrat" w:eastAsia="Times New Roman" w:hAnsi="Montserrat" w:cs="Calibri"/>
                <w:sz w:val="15"/>
                <w:szCs w:val="15"/>
                <w:lang w:eastAsia="es-MX"/>
              </w:rPr>
            </w:pPr>
            <w:r w:rsidRPr="00CE3487">
              <w:rPr>
                <w:rFonts w:ascii="Montserrat" w:eastAsia="Times New Roman" w:hAnsi="Montserrat" w:cs="Calibri"/>
                <w:sz w:val="15"/>
                <w:szCs w:val="15"/>
                <w:lang w:eastAsia="es-MX"/>
              </w:rPr>
              <w:t>8,032,886,825</w:t>
            </w:r>
          </w:p>
        </w:tc>
        <w:tc>
          <w:tcPr>
            <w:tcW w:w="2098" w:type="dxa"/>
            <w:tcBorders>
              <w:top w:val="nil"/>
            </w:tcBorders>
            <w:shd w:val="clear" w:color="auto" w:fill="F2F2F2" w:themeFill="background1" w:themeFillShade="F2"/>
            <w:vAlign w:val="center"/>
          </w:tcPr>
          <w:p w14:paraId="61E505A7" w14:textId="2605F4EB" w:rsidR="00042DAE" w:rsidRPr="00CE3487" w:rsidRDefault="00042DAE" w:rsidP="00042DAE">
            <w:pPr>
              <w:spacing w:after="0" w:line="240" w:lineRule="auto"/>
              <w:jc w:val="right"/>
              <w:rPr>
                <w:rFonts w:ascii="Montserrat" w:eastAsia="Times New Roman" w:hAnsi="Montserrat" w:cs="Calibri"/>
                <w:sz w:val="15"/>
                <w:szCs w:val="15"/>
                <w:lang w:eastAsia="es-MX"/>
              </w:rPr>
            </w:pPr>
            <w:r w:rsidRPr="00CE3487">
              <w:rPr>
                <w:rFonts w:ascii="Montserrat" w:eastAsia="Times New Roman" w:hAnsi="Montserrat" w:cs="Calibri"/>
                <w:sz w:val="15"/>
                <w:szCs w:val="15"/>
                <w:lang w:eastAsia="es-MX"/>
              </w:rPr>
              <w:t>7,897,150,247</w:t>
            </w:r>
          </w:p>
        </w:tc>
      </w:tr>
      <w:tr w:rsidR="00042DAE" w:rsidRPr="00CE3487" w14:paraId="0284B690" w14:textId="77777777" w:rsidTr="000F0321">
        <w:trPr>
          <w:trHeight w:val="215"/>
          <w:jc w:val="center"/>
        </w:trPr>
        <w:tc>
          <w:tcPr>
            <w:tcW w:w="4084" w:type="dxa"/>
            <w:tcBorders>
              <w:bottom w:val="single" w:sz="12" w:space="0" w:color="808080" w:themeColor="background1" w:themeShade="80"/>
            </w:tcBorders>
            <w:shd w:val="clear" w:color="auto" w:fill="F2F2F2" w:themeFill="background1" w:themeFillShade="F2"/>
            <w:vAlign w:val="center"/>
            <w:hideMark/>
          </w:tcPr>
          <w:p w14:paraId="6C0316EA" w14:textId="756F9200" w:rsidR="00042DAE" w:rsidRPr="00CE3487" w:rsidRDefault="00042DAE" w:rsidP="000F0321">
            <w:pPr>
              <w:spacing w:before="20" w:after="20" w:line="240" w:lineRule="auto"/>
              <w:ind w:left="639"/>
              <w:jc w:val="right"/>
              <w:rPr>
                <w:rFonts w:ascii="Montserrat" w:eastAsia="Times New Roman" w:hAnsi="Montserrat" w:cs="Calibri"/>
                <w:b/>
                <w:bCs/>
                <w:color w:val="000000"/>
                <w:sz w:val="15"/>
                <w:szCs w:val="15"/>
                <w:lang w:val="es-MX" w:eastAsia="es-MX"/>
              </w:rPr>
            </w:pPr>
            <w:r w:rsidRPr="00CE3487">
              <w:rPr>
                <w:rFonts w:ascii="Montserrat" w:eastAsia="Times New Roman" w:hAnsi="Montserrat" w:cs="Calibri"/>
                <w:b/>
                <w:bCs/>
                <w:color w:val="000000"/>
                <w:sz w:val="15"/>
                <w:szCs w:val="15"/>
                <w:lang w:eastAsia="es-MX"/>
              </w:rPr>
              <w:t xml:space="preserve">Total de Títulos y Valores de la Deuda Pública Interna </w:t>
            </w:r>
          </w:p>
        </w:tc>
        <w:tc>
          <w:tcPr>
            <w:tcW w:w="1440" w:type="dxa"/>
            <w:tcBorders>
              <w:bottom w:val="single" w:sz="12" w:space="0" w:color="808080" w:themeColor="background1" w:themeShade="80"/>
            </w:tcBorders>
            <w:shd w:val="clear" w:color="auto" w:fill="F2F2F2" w:themeFill="background1" w:themeFillShade="F2"/>
            <w:vAlign w:val="center"/>
            <w:hideMark/>
          </w:tcPr>
          <w:p w14:paraId="4D92FF53" w14:textId="41923123" w:rsidR="00042DAE" w:rsidRPr="00CE3487" w:rsidRDefault="00042DAE" w:rsidP="000F0321">
            <w:pPr>
              <w:spacing w:after="0" w:line="240" w:lineRule="auto"/>
              <w:jc w:val="center"/>
              <w:rPr>
                <w:rFonts w:ascii="Montserrat" w:eastAsia="Times New Roman" w:hAnsi="Montserrat" w:cs="Calibri"/>
                <w:b/>
                <w:bCs/>
                <w:color w:val="000000"/>
                <w:sz w:val="15"/>
                <w:szCs w:val="15"/>
                <w:lang w:val="es-MX" w:eastAsia="es-MX"/>
              </w:rPr>
            </w:pPr>
          </w:p>
        </w:tc>
        <w:tc>
          <w:tcPr>
            <w:tcW w:w="2098" w:type="dxa"/>
            <w:tcBorders>
              <w:bottom w:val="single" w:sz="12" w:space="0" w:color="808080" w:themeColor="background1" w:themeShade="80"/>
            </w:tcBorders>
            <w:shd w:val="clear" w:color="auto" w:fill="F2F2F2" w:themeFill="background1" w:themeFillShade="F2"/>
            <w:vAlign w:val="center"/>
          </w:tcPr>
          <w:p w14:paraId="1B59F7C9" w14:textId="13D9EB08" w:rsidR="00042DAE" w:rsidRPr="000F0321" w:rsidRDefault="00042DAE" w:rsidP="00042DAE">
            <w:pPr>
              <w:spacing w:after="0" w:line="240" w:lineRule="auto"/>
              <w:jc w:val="right"/>
              <w:rPr>
                <w:rFonts w:ascii="Montserrat" w:eastAsia="Times New Roman" w:hAnsi="Montserrat" w:cs="Calibri"/>
                <w:b/>
                <w:sz w:val="15"/>
                <w:szCs w:val="15"/>
                <w:lang w:eastAsia="es-MX"/>
              </w:rPr>
            </w:pPr>
            <w:r w:rsidRPr="000F0321">
              <w:rPr>
                <w:rFonts w:ascii="Montserrat" w:eastAsia="Times New Roman" w:hAnsi="Montserrat" w:cs="Calibri"/>
                <w:b/>
                <w:sz w:val="15"/>
                <w:szCs w:val="15"/>
                <w:lang w:eastAsia="es-MX"/>
              </w:rPr>
              <w:t>5,597,014,891,323</w:t>
            </w:r>
          </w:p>
        </w:tc>
        <w:tc>
          <w:tcPr>
            <w:tcW w:w="2098" w:type="dxa"/>
            <w:tcBorders>
              <w:bottom w:val="single" w:sz="12" w:space="0" w:color="808080" w:themeColor="background1" w:themeShade="80"/>
            </w:tcBorders>
            <w:shd w:val="clear" w:color="auto" w:fill="F2F2F2" w:themeFill="background1" w:themeFillShade="F2"/>
            <w:vAlign w:val="center"/>
            <w:hideMark/>
          </w:tcPr>
          <w:p w14:paraId="65838B52" w14:textId="4D772BAD" w:rsidR="00042DAE" w:rsidRPr="000F0321" w:rsidRDefault="00042DAE" w:rsidP="00042DAE">
            <w:pPr>
              <w:spacing w:after="0" w:line="240" w:lineRule="auto"/>
              <w:jc w:val="right"/>
              <w:rPr>
                <w:rFonts w:ascii="Montserrat" w:eastAsia="Times New Roman" w:hAnsi="Montserrat" w:cs="Calibri"/>
                <w:b/>
                <w:sz w:val="15"/>
                <w:szCs w:val="15"/>
                <w:lang w:eastAsia="es-MX"/>
              </w:rPr>
            </w:pPr>
            <w:r w:rsidRPr="000F0321">
              <w:rPr>
                <w:rFonts w:ascii="Montserrat" w:eastAsia="Times New Roman" w:hAnsi="Montserrat" w:cs="Calibri"/>
                <w:b/>
                <w:sz w:val="15"/>
                <w:szCs w:val="15"/>
                <w:lang w:eastAsia="es-MX"/>
              </w:rPr>
              <w:t>5,102,466,702,994</w:t>
            </w:r>
          </w:p>
        </w:tc>
      </w:tr>
    </w:tbl>
    <w:p w14:paraId="52939B28" w14:textId="77777777" w:rsidR="009C3C24" w:rsidRDefault="009C3C24" w:rsidP="005C224C">
      <w:pPr>
        <w:pStyle w:val="Prrafodelista"/>
        <w:numPr>
          <w:ilvl w:val="0"/>
          <w:numId w:val="30"/>
        </w:numPr>
        <w:spacing w:after="120" w:line="250" w:lineRule="exact"/>
        <w:ind w:left="998" w:hanging="284"/>
        <w:contextualSpacing w:val="0"/>
        <w:jc w:val="both"/>
        <w:rPr>
          <w:rFonts w:ascii="Montserrat" w:hAnsi="Montserrat" w:cs="Arial"/>
          <w:spacing w:val="-1"/>
          <w:sz w:val="18"/>
          <w:szCs w:val="18"/>
        </w:rPr>
      </w:pPr>
      <w:r w:rsidRPr="006F0DF1">
        <w:rPr>
          <w:rFonts w:ascii="Montserrat" w:hAnsi="Montserrat" w:cs="Arial"/>
          <w:spacing w:val="-1"/>
          <w:sz w:val="18"/>
          <w:szCs w:val="18"/>
        </w:rPr>
        <w:lastRenderedPageBreak/>
        <w:t>Por lo que se refiere a Títulos y Valores de la Deuda Pública Externa a Largo Plazo, a continuación se presenta su comportamiento con respecto del ejercicio:</w:t>
      </w:r>
    </w:p>
    <w:p w14:paraId="03B427AD" w14:textId="77777777" w:rsidR="009C3C24" w:rsidRPr="00936371" w:rsidRDefault="009C3C24" w:rsidP="00E52592">
      <w:pPr>
        <w:spacing w:after="60" w:line="250" w:lineRule="exact"/>
        <w:jc w:val="center"/>
        <w:rPr>
          <w:rFonts w:ascii="Montserrat" w:hAnsi="Montserrat" w:cs="Arial"/>
          <w:spacing w:val="-1"/>
          <w:sz w:val="18"/>
          <w:szCs w:val="18"/>
        </w:rPr>
      </w:pPr>
      <w:r w:rsidRPr="00936371">
        <w:rPr>
          <w:rFonts w:ascii="Montserrat" w:eastAsia="Times New Roman" w:hAnsi="Montserrat" w:cs="Calibri"/>
          <w:bCs/>
          <w:sz w:val="16"/>
          <w:szCs w:val="16"/>
          <w:lang w:val="es-MX" w:eastAsia="es-MX"/>
        </w:rPr>
        <w:t>(Pesos)</w:t>
      </w:r>
    </w:p>
    <w:tbl>
      <w:tblPr>
        <w:tblW w:w="9597" w:type="dxa"/>
        <w:jc w:val="center"/>
        <w:tblCellMar>
          <w:left w:w="70" w:type="dxa"/>
          <w:right w:w="70" w:type="dxa"/>
        </w:tblCellMar>
        <w:tblLook w:val="04A0" w:firstRow="1" w:lastRow="0" w:firstColumn="1" w:lastColumn="0" w:noHBand="0" w:noVBand="1"/>
      </w:tblPr>
      <w:tblGrid>
        <w:gridCol w:w="5629"/>
        <w:gridCol w:w="1984"/>
        <w:gridCol w:w="1984"/>
      </w:tblGrid>
      <w:tr w:rsidR="00C4519E" w:rsidRPr="006F0DF1" w14:paraId="33534107" w14:textId="77777777" w:rsidTr="00CC40D5">
        <w:trPr>
          <w:trHeight w:val="57"/>
          <w:jc w:val="center"/>
        </w:trPr>
        <w:tc>
          <w:tcPr>
            <w:tcW w:w="9597" w:type="dxa"/>
            <w:gridSpan w:val="3"/>
            <w:tcBorders>
              <w:top w:val="single" w:sz="12" w:space="0" w:color="808080" w:themeColor="background1" w:themeShade="80"/>
            </w:tcBorders>
            <w:shd w:val="clear" w:color="auto" w:fill="auto"/>
            <w:vAlign w:val="center"/>
          </w:tcPr>
          <w:p w14:paraId="3162B8AB" w14:textId="77777777" w:rsidR="00C4519E" w:rsidRPr="00BC0F30" w:rsidRDefault="00C4519E" w:rsidP="002F797B">
            <w:pPr>
              <w:spacing w:after="0" w:line="240" w:lineRule="auto"/>
              <w:jc w:val="center"/>
              <w:rPr>
                <w:rFonts w:ascii="Montserrat" w:eastAsia="Times New Roman" w:hAnsi="Montserrat" w:cs="Calibri"/>
                <w:b/>
                <w:bCs/>
                <w:color w:val="FFFFFF"/>
                <w:sz w:val="4"/>
                <w:szCs w:val="4"/>
                <w:lang w:val="es-MX" w:eastAsia="es-MX"/>
              </w:rPr>
            </w:pPr>
          </w:p>
        </w:tc>
      </w:tr>
      <w:tr w:rsidR="009C3C24" w:rsidRPr="006F0DF1" w14:paraId="7D161123" w14:textId="77777777" w:rsidTr="00556DB3">
        <w:trPr>
          <w:trHeight w:val="378"/>
          <w:jc w:val="center"/>
        </w:trPr>
        <w:tc>
          <w:tcPr>
            <w:tcW w:w="5629" w:type="dxa"/>
            <w:tcBorders>
              <w:left w:val="single" w:sz="8" w:space="0" w:color="FFFFFF" w:themeColor="background1"/>
              <w:bottom w:val="double" w:sz="12" w:space="0" w:color="808080" w:themeColor="background1" w:themeShade="80"/>
              <w:right w:val="single" w:sz="8" w:space="0" w:color="FFFFFF" w:themeColor="background1"/>
            </w:tcBorders>
            <w:shd w:val="clear" w:color="auto" w:fill="D4C19C"/>
            <w:vAlign w:val="center"/>
            <w:hideMark/>
          </w:tcPr>
          <w:p w14:paraId="1BF27945" w14:textId="77777777" w:rsidR="009C3C24" w:rsidRPr="006F0DF1" w:rsidRDefault="009C3C24" w:rsidP="002F797B">
            <w:pPr>
              <w:spacing w:after="0" w:line="240" w:lineRule="auto"/>
              <w:jc w:val="center"/>
              <w:rPr>
                <w:rFonts w:ascii="Montserrat" w:eastAsia="Times New Roman" w:hAnsi="Montserrat" w:cs="Calibri"/>
                <w:b/>
                <w:bCs/>
                <w:color w:val="FFFFFF"/>
                <w:sz w:val="16"/>
                <w:szCs w:val="16"/>
                <w:lang w:val="es-MX" w:eastAsia="es-MX"/>
              </w:rPr>
            </w:pPr>
            <w:r w:rsidRPr="006F0DF1">
              <w:rPr>
                <w:rFonts w:ascii="Montserrat" w:eastAsia="Times New Roman" w:hAnsi="Montserrat" w:cs="Calibri"/>
                <w:b/>
                <w:bCs/>
                <w:color w:val="FFFFFF"/>
                <w:sz w:val="16"/>
                <w:szCs w:val="16"/>
                <w:lang w:val="es-MX" w:eastAsia="es-MX"/>
              </w:rPr>
              <w:t>Concepto</w:t>
            </w:r>
          </w:p>
        </w:tc>
        <w:tc>
          <w:tcPr>
            <w:tcW w:w="1984" w:type="dxa"/>
            <w:tcBorders>
              <w:left w:val="single" w:sz="8" w:space="0" w:color="FFFFFF" w:themeColor="background1"/>
              <w:bottom w:val="double" w:sz="12" w:space="0" w:color="808080" w:themeColor="background1" w:themeShade="80"/>
              <w:right w:val="single" w:sz="8" w:space="0" w:color="FFFFFF" w:themeColor="background1"/>
            </w:tcBorders>
            <w:shd w:val="clear" w:color="auto" w:fill="D4C19C"/>
            <w:noWrap/>
            <w:vAlign w:val="center"/>
            <w:hideMark/>
          </w:tcPr>
          <w:p w14:paraId="402309BC" w14:textId="77777777" w:rsidR="009C3C24" w:rsidRPr="006F0DF1" w:rsidRDefault="009C3C24" w:rsidP="002F797B">
            <w:pPr>
              <w:spacing w:after="0" w:line="240" w:lineRule="auto"/>
              <w:jc w:val="center"/>
              <w:rPr>
                <w:rFonts w:ascii="Montserrat" w:eastAsia="Times New Roman" w:hAnsi="Montserrat" w:cs="Calibri"/>
                <w:b/>
                <w:bCs/>
                <w:color w:val="FFFFFF"/>
                <w:sz w:val="16"/>
                <w:szCs w:val="16"/>
                <w:lang w:val="es-MX" w:eastAsia="es-MX"/>
              </w:rPr>
            </w:pPr>
            <w:r>
              <w:rPr>
                <w:rFonts w:ascii="Montserrat" w:eastAsia="Times New Roman" w:hAnsi="Montserrat" w:cs="Calibri"/>
                <w:b/>
                <w:bCs/>
                <w:color w:val="FFFFFF"/>
                <w:sz w:val="16"/>
                <w:szCs w:val="16"/>
                <w:lang w:val="es-MX" w:eastAsia="es-MX"/>
              </w:rPr>
              <w:t>201</w:t>
            </w:r>
            <w:r w:rsidR="002E04B7">
              <w:rPr>
                <w:rFonts w:ascii="Montserrat" w:eastAsia="Times New Roman" w:hAnsi="Montserrat" w:cs="Calibri"/>
                <w:b/>
                <w:bCs/>
                <w:color w:val="FFFFFF"/>
                <w:sz w:val="16"/>
                <w:szCs w:val="16"/>
                <w:lang w:val="es-MX" w:eastAsia="es-MX"/>
              </w:rPr>
              <w:t>9</w:t>
            </w:r>
          </w:p>
        </w:tc>
        <w:tc>
          <w:tcPr>
            <w:tcW w:w="1984" w:type="dxa"/>
            <w:tcBorders>
              <w:left w:val="single" w:sz="8" w:space="0" w:color="FFFFFF" w:themeColor="background1"/>
              <w:bottom w:val="double" w:sz="12" w:space="0" w:color="808080" w:themeColor="background1" w:themeShade="80"/>
              <w:right w:val="single" w:sz="8" w:space="0" w:color="FFFFFF" w:themeColor="background1"/>
            </w:tcBorders>
            <w:shd w:val="clear" w:color="auto" w:fill="D4C19C"/>
            <w:noWrap/>
            <w:vAlign w:val="center"/>
            <w:hideMark/>
          </w:tcPr>
          <w:p w14:paraId="1B393795" w14:textId="77777777" w:rsidR="009C3C24" w:rsidRPr="006F0DF1" w:rsidRDefault="009C3C24" w:rsidP="002F797B">
            <w:pPr>
              <w:spacing w:after="0" w:line="240" w:lineRule="auto"/>
              <w:jc w:val="center"/>
              <w:rPr>
                <w:rFonts w:ascii="Montserrat" w:eastAsia="Times New Roman" w:hAnsi="Montserrat" w:cs="Calibri"/>
                <w:b/>
                <w:bCs/>
                <w:color w:val="FFFFFF"/>
                <w:sz w:val="16"/>
                <w:szCs w:val="16"/>
                <w:lang w:val="es-MX" w:eastAsia="es-MX"/>
              </w:rPr>
            </w:pPr>
            <w:r>
              <w:rPr>
                <w:rFonts w:ascii="Montserrat" w:eastAsia="Times New Roman" w:hAnsi="Montserrat" w:cs="Calibri"/>
                <w:b/>
                <w:bCs/>
                <w:color w:val="FFFFFF"/>
                <w:sz w:val="16"/>
                <w:szCs w:val="16"/>
                <w:lang w:val="es-MX" w:eastAsia="es-MX"/>
              </w:rPr>
              <w:t>201</w:t>
            </w:r>
            <w:r w:rsidR="002E04B7">
              <w:rPr>
                <w:rFonts w:ascii="Montserrat" w:eastAsia="Times New Roman" w:hAnsi="Montserrat" w:cs="Calibri"/>
                <w:b/>
                <w:bCs/>
                <w:color w:val="FFFFFF"/>
                <w:sz w:val="16"/>
                <w:szCs w:val="16"/>
                <w:lang w:val="es-MX" w:eastAsia="es-MX"/>
              </w:rPr>
              <w:t>8</w:t>
            </w:r>
          </w:p>
        </w:tc>
      </w:tr>
      <w:tr w:rsidR="00D216BF" w:rsidRPr="006F0DF1" w14:paraId="491C01D3" w14:textId="77777777" w:rsidTr="00556DB3">
        <w:trPr>
          <w:trHeight w:val="215"/>
          <w:jc w:val="center"/>
        </w:trPr>
        <w:tc>
          <w:tcPr>
            <w:tcW w:w="5629" w:type="dxa"/>
            <w:tcBorders>
              <w:top w:val="double" w:sz="12" w:space="0" w:color="808080" w:themeColor="background1" w:themeShade="80"/>
            </w:tcBorders>
            <w:shd w:val="clear" w:color="auto" w:fill="F2F2F2" w:themeFill="background1" w:themeFillShade="F2"/>
            <w:vAlign w:val="center"/>
            <w:hideMark/>
          </w:tcPr>
          <w:p w14:paraId="529C6CE4" w14:textId="77777777" w:rsidR="00D216BF" w:rsidRPr="00255081" w:rsidRDefault="00D216BF" w:rsidP="00D216BF">
            <w:pPr>
              <w:spacing w:after="0" w:line="240" w:lineRule="auto"/>
              <w:jc w:val="both"/>
              <w:rPr>
                <w:rFonts w:ascii="Montserrat" w:eastAsia="Times New Roman" w:hAnsi="Montserrat" w:cs="Calibri"/>
                <w:color w:val="000000"/>
                <w:sz w:val="15"/>
                <w:szCs w:val="15"/>
                <w:lang w:val="es-MX" w:eastAsia="es-MX"/>
              </w:rPr>
            </w:pPr>
            <w:r w:rsidRPr="00255081">
              <w:rPr>
                <w:rFonts w:ascii="Montserrat" w:eastAsia="Times New Roman" w:hAnsi="Montserrat" w:cs="Calibri"/>
                <w:color w:val="000000"/>
                <w:sz w:val="15"/>
                <w:szCs w:val="15"/>
                <w:lang w:val="es-MX" w:eastAsia="es-MX"/>
              </w:rPr>
              <w:t>Títulos y Valores de la Deuda Pública Externa a Largo Plazo</w:t>
            </w:r>
          </w:p>
        </w:tc>
        <w:tc>
          <w:tcPr>
            <w:tcW w:w="1984" w:type="dxa"/>
            <w:tcBorders>
              <w:top w:val="double" w:sz="12" w:space="0" w:color="808080" w:themeColor="background1" w:themeShade="80"/>
            </w:tcBorders>
            <w:shd w:val="clear" w:color="auto" w:fill="F2F2F2" w:themeFill="background1" w:themeFillShade="F2"/>
            <w:vAlign w:val="center"/>
          </w:tcPr>
          <w:p w14:paraId="560A465C" w14:textId="6BA13FC2" w:rsidR="00D216BF" w:rsidRPr="00255081" w:rsidRDefault="00D216BF" w:rsidP="00D216BF">
            <w:pPr>
              <w:spacing w:after="0" w:line="240" w:lineRule="auto"/>
              <w:jc w:val="right"/>
              <w:rPr>
                <w:rFonts w:ascii="Montserrat" w:eastAsia="Times New Roman" w:hAnsi="Montserrat" w:cs="Calibri"/>
                <w:color w:val="000000"/>
                <w:sz w:val="15"/>
                <w:szCs w:val="15"/>
                <w:lang w:val="es-MX" w:eastAsia="es-MX"/>
              </w:rPr>
            </w:pPr>
            <w:r w:rsidRPr="000F0321">
              <w:rPr>
                <w:rFonts w:ascii="Montserrat" w:hAnsi="Montserrat" w:cs="Arial"/>
                <w:color w:val="000000"/>
                <w:sz w:val="15"/>
                <w:szCs w:val="15"/>
              </w:rPr>
              <w:t>2,350,011,190,970</w:t>
            </w:r>
          </w:p>
        </w:tc>
        <w:tc>
          <w:tcPr>
            <w:tcW w:w="1984" w:type="dxa"/>
            <w:tcBorders>
              <w:top w:val="double" w:sz="12" w:space="0" w:color="808080" w:themeColor="background1" w:themeShade="80"/>
            </w:tcBorders>
            <w:shd w:val="clear" w:color="auto" w:fill="F2F2F2" w:themeFill="background1" w:themeFillShade="F2"/>
            <w:vAlign w:val="center"/>
            <w:hideMark/>
          </w:tcPr>
          <w:p w14:paraId="633A27F6" w14:textId="77777777" w:rsidR="00D216BF" w:rsidRPr="00255081" w:rsidRDefault="00D216BF" w:rsidP="00D216BF">
            <w:pPr>
              <w:spacing w:after="0" w:line="240" w:lineRule="auto"/>
              <w:jc w:val="right"/>
              <w:rPr>
                <w:rFonts w:ascii="Montserrat" w:eastAsia="Times New Roman" w:hAnsi="Montserrat" w:cs="Calibri"/>
                <w:color w:val="000000"/>
                <w:sz w:val="15"/>
                <w:szCs w:val="15"/>
                <w:lang w:val="es-MX" w:eastAsia="es-MX"/>
              </w:rPr>
            </w:pPr>
            <w:r w:rsidRPr="00255081">
              <w:rPr>
                <w:rFonts w:ascii="Montserrat" w:hAnsi="Montserrat" w:cs="Calibri"/>
                <w:color w:val="000000"/>
                <w:sz w:val="15"/>
                <w:szCs w:val="15"/>
              </w:rPr>
              <w:t>2,496,303,743,330</w:t>
            </w:r>
          </w:p>
        </w:tc>
      </w:tr>
      <w:tr w:rsidR="00D216BF" w:rsidRPr="00AD3E3E" w14:paraId="4E5E54AF" w14:textId="77777777" w:rsidTr="00556DB3">
        <w:trPr>
          <w:trHeight w:val="215"/>
          <w:jc w:val="center"/>
        </w:trPr>
        <w:tc>
          <w:tcPr>
            <w:tcW w:w="5629" w:type="dxa"/>
            <w:tcBorders>
              <w:bottom w:val="single" w:sz="12" w:space="0" w:color="808080" w:themeColor="background1" w:themeShade="80"/>
            </w:tcBorders>
            <w:shd w:val="clear" w:color="auto" w:fill="F2F2F2" w:themeFill="background1" w:themeFillShade="F2"/>
            <w:vAlign w:val="center"/>
          </w:tcPr>
          <w:p w14:paraId="527EE659" w14:textId="77777777" w:rsidR="00D216BF" w:rsidRPr="00255081" w:rsidRDefault="00D216BF" w:rsidP="00D216BF">
            <w:pPr>
              <w:spacing w:after="0" w:line="240" w:lineRule="auto"/>
              <w:ind w:left="170"/>
              <w:jc w:val="right"/>
              <w:rPr>
                <w:rFonts w:ascii="Montserrat" w:eastAsia="Times New Roman" w:hAnsi="Montserrat" w:cs="Calibri"/>
                <w:b/>
                <w:color w:val="000000"/>
                <w:sz w:val="15"/>
                <w:szCs w:val="15"/>
                <w:lang w:val="es-MX" w:eastAsia="es-MX"/>
              </w:rPr>
            </w:pPr>
            <w:r w:rsidRPr="00255081">
              <w:rPr>
                <w:rFonts w:ascii="Montserrat" w:eastAsia="Times New Roman" w:hAnsi="Montserrat" w:cs="Calibri"/>
                <w:b/>
                <w:color w:val="000000"/>
                <w:sz w:val="15"/>
                <w:szCs w:val="15"/>
                <w:lang w:val="es-MX" w:eastAsia="es-MX"/>
              </w:rPr>
              <w:t>Total Títulos y Valores de la Deuda Pública Externa a Largo Plazo</w:t>
            </w:r>
          </w:p>
        </w:tc>
        <w:tc>
          <w:tcPr>
            <w:tcW w:w="1984" w:type="dxa"/>
            <w:tcBorders>
              <w:bottom w:val="single" w:sz="12" w:space="0" w:color="808080" w:themeColor="background1" w:themeShade="80"/>
            </w:tcBorders>
            <w:shd w:val="clear" w:color="auto" w:fill="F2F2F2" w:themeFill="background1" w:themeFillShade="F2"/>
            <w:vAlign w:val="center"/>
          </w:tcPr>
          <w:p w14:paraId="6957D758" w14:textId="4F44DEFD" w:rsidR="00D216BF" w:rsidRPr="00255081" w:rsidRDefault="00D216BF" w:rsidP="00D216BF">
            <w:pPr>
              <w:spacing w:after="0" w:line="240" w:lineRule="auto"/>
              <w:jc w:val="right"/>
              <w:rPr>
                <w:rFonts w:ascii="Montserrat" w:eastAsia="Times New Roman" w:hAnsi="Montserrat" w:cs="Calibri"/>
                <w:b/>
                <w:color w:val="000000"/>
                <w:sz w:val="15"/>
                <w:szCs w:val="15"/>
                <w:lang w:val="es-MX" w:eastAsia="es-MX"/>
              </w:rPr>
            </w:pPr>
            <w:r w:rsidRPr="000F0321">
              <w:rPr>
                <w:rFonts w:ascii="Montserrat" w:hAnsi="Montserrat" w:cs="Arial"/>
                <w:b/>
                <w:bCs/>
                <w:color w:val="000000"/>
                <w:sz w:val="15"/>
                <w:szCs w:val="15"/>
              </w:rPr>
              <w:t>2,350,011,190,970</w:t>
            </w:r>
          </w:p>
        </w:tc>
        <w:tc>
          <w:tcPr>
            <w:tcW w:w="1984" w:type="dxa"/>
            <w:tcBorders>
              <w:bottom w:val="single" w:sz="12" w:space="0" w:color="808080" w:themeColor="background1" w:themeShade="80"/>
            </w:tcBorders>
            <w:shd w:val="clear" w:color="auto" w:fill="F2F2F2" w:themeFill="background1" w:themeFillShade="F2"/>
            <w:vAlign w:val="center"/>
          </w:tcPr>
          <w:p w14:paraId="69ED4433" w14:textId="77777777" w:rsidR="00D216BF" w:rsidRPr="00255081" w:rsidRDefault="00D216BF" w:rsidP="00D216BF">
            <w:pPr>
              <w:spacing w:after="0" w:line="240" w:lineRule="auto"/>
              <w:jc w:val="right"/>
              <w:rPr>
                <w:rFonts w:ascii="Montserrat" w:eastAsia="Times New Roman" w:hAnsi="Montserrat" w:cs="Calibri"/>
                <w:b/>
                <w:color w:val="000000"/>
                <w:sz w:val="15"/>
                <w:szCs w:val="15"/>
                <w:lang w:val="es-MX" w:eastAsia="es-MX"/>
              </w:rPr>
            </w:pPr>
            <w:r w:rsidRPr="00255081">
              <w:rPr>
                <w:rFonts w:ascii="Montserrat" w:eastAsia="Times New Roman" w:hAnsi="Montserrat" w:cs="Calibri"/>
                <w:b/>
                <w:color w:val="000000"/>
                <w:sz w:val="15"/>
                <w:szCs w:val="15"/>
                <w:lang w:val="es-MX" w:eastAsia="es-MX"/>
              </w:rPr>
              <w:t>2,496,303,743,330</w:t>
            </w:r>
          </w:p>
        </w:tc>
      </w:tr>
    </w:tbl>
    <w:p w14:paraId="13E39698" w14:textId="77777777" w:rsidR="001278FD" w:rsidRDefault="001278FD" w:rsidP="005C224C">
      <w:pPr>
        <w:spacing w:after="0" w:line="240" w:lineRule="auto"/>
        <w:jc w:val="both"/>
        <w:rPr>
          <w:rFonts w:ascii="Montserrat" w:hAnsi="Montserrat" w:cs="Arial"/>
          <w:spacing w:val="-1"/>
          <w:sz w:val="18"/>
          <w:szCs w:val="18"/>
        </w:rPr>
      </w:pPr>
    </w:p>
    <w:p w14:paraId="38D9AFC2" w14:textId="32786BF5" w:rsidR="00636448" w:rsidRPr="000F0321" w:rsidRDefault="00636448" w:rsidP="00636448">
      <w:pPr>
        <w:pStyle w:val="Prrafodelista"/>
        <w:numPr>
          <w:ilvl w:val="0"/>
          <w:numId w:val="30"/>
        </w:numPr>
        <w:spacing w:before="240" w:after="120" w:line="250" w:lineRule="exact"/>
        <w:ind w:left="998" w:hanging="284"/>
        <w:jc w:val="both"/>
        <w:rPr>
          <w:rFonts w:ascii="Montserrat" w:hAnsi="Montserrat" w:cs="Arial"/>
          <w:spacing w:val="-1"/>
          <w:sz w:val="18"/>
          <w:szCs w:val="18"/>
        </w:rPr>
      </w:pPr>
      <w:r w:rsidRPr="000F0321">
        <w:rPr>
          <w:rFonts w:ascii="Montserrat" w:hAnsi="Montserrat" w:cs="Arial"/>
          <w:spacing w:val="-1"/>
          <w:sz w:val="18"/>
          <w:szCs w:val="18"/>
        </w:rPr>
        <w:t>En relación a Présta</w:t>
      </w:r>
      <w:r w:rsidR="0000636D">
        <w:rPr>
          <w:rFonts w:ascii="Montserrat" w:hAnsi="Montserrat" w:cs="Arial"/>
          <w:spacing w:val="-1"/>
          <w:sz w:val="18"/>
          <w:szCs w:val="18"/>
        </w:rPr>
        <w:t>mos de la Deuda Pública Interna</w:t>
      </w:r>
      <w:r w:rsidRPr="000F0321">
        <w:rPr>
          <w:rFonts w:ascii="Montserrat" w:hAnsi="Montserrat" w:cs="Arial"/>
          <w:spacing w:val="-1"/>
          <w:sz w:val="18"/>
          <w:szCs w:val="18"/>
        </w:rPr>
        <w:t xml:space="preserve"> por Pagar a Largo Plazo su comparación es la siguiente:</w:t>
      </w:r>
    </w:p>
    <w:p w14:paraId="1238780D" w14:textId="77777777" w:rsidR="00636448" w:rsidRPr="00936371" w:rsidRDefault="00636448" w:rsidP="00636448">
      <w:pPr>
        <w:spacing w:after="60" w:line="250" w:lineRule="exact"/>
        <w:jc w:val="center"/>
        <w:rPr>
          <w:rFonts w:ascii="Montserrat" w:hAnsi="Montserrat" w:cs="Arial"/>
          <w:spacing w:val="-1"/>
          <w:sz w:val="18"/>
          <w:szCs w:val="18"/>
        </w:rPr>
      </w:pPr>
      <w:r w:rsidRPr="00936371">
        <w:rPr>
          <w:rFonts w:ascii="Montserrat" w:eastAsia="Times New Roman" w:hAnsi="Montserrat" w:cs="Calibri"/>
          <w:bCs/>
          <w:sz w:val="16"/>
          <w:szCs w:val="16"/>
          <w:lang w:val="es-MX" w:eastAsia="es-MX"/>
        </w:rPr>
        <w:t>(Pesos)</w:t>
      </w:r>
    </w:p>
    <w:tbl>
      <w:tblPr>
        <w:tblW w:w="9297" w:type="dxa"/>
        <w:jc w:val="center"/>
        <w:tblCellMar>
          <w:left w:w="70" w:type="dxa"/>
          <w:right w:w="70" w:type="dxa"/>
        </w:tblCellMar>
        <w:tblLook w:val="04A0" w:firstRow="1" w:lastRow="0" w:firstColumn="1" w:lastColumn="0" w:noHBand="0" w:noVBand="1"/>
      </w:tblPr>
      <w:tblGrid>
        <w:gridCol w:w="5630"/>
        <w:gridCol w:w="1683"/>
        <w:gridCol w:w="1984"/>
      </w:tblGrid>
      <w:tr w:rsidR="00636448" w:rsidRPr="006F0DF1" w14:paraId="23F03114" w14:textId="77777777" w:rsidTr="00476315">
        <w:trPr>
          <w:trHeight w:val="57"/>
          <w:jc w:val="center"/>
        </w:trPr>
        <w:tc>
          <w:tcPr>
            <w:tcW w:w="9297" w:type="dxa"/>
            <w:gridSpan w:val="3"/>
            <w:tcBorders>
              <w:top w:val="single" w:sz="12" w:space="0" w:color="808080" w:themeColor="background1" w:themeShade="80"/>
            </w:tcBorders>
            <w:shd w:val="clear" w:color="auto" w:fill="auto"/>
            <w:vAlign w:val="center"/>
          </w:tcPr>
          <w:p w14:paraId="1B6244A5" w14:textId="77777777" w:rsidR="00636448" w:rsidRPr="00BC0F30" w:rsidRDefault="00636448" w:rsidP="00476315">
            <w:pPr>
              <w:spacing w:after="0" w:line="240" w:lineRule="auto"/>
              <w:jc w:val="center"/>
              <w:rPr>
                <w:rFonts w:ascii="Montserrat" w:eastAsia="Times New Roman" w:hAnsi="Montserrat" w:cs="Calibri"/>
                <w:b/>
                <w:bCs/>
                <w:color w:val="FFFFFF"/>
                <w:sz w:val="4"/>
                <w:szCs w:val="4"/>
                <w:lang w:val="es-MX" w:eastAsia="es-MX"/>
              </w:rPr>
            </w:pPr>
          </w:p>
        </w:tc>
      </w:tr>
      <w:tr w:rsidR="00636448" w:rsidRPr="006F0DF1" w14:paraId="6901782C" w14:textId="77777777" w:rsidTr="00476315">
        <w:trPr>
          <w:trHeight w:val="317"/>
          <w:jc w:val="center"/>
        </w:trPr>
        <w:tc>
          <w:tcPr>
            <w:tcW w:w="5630" w:type="dxa"/>
            <w:tcBorders>
              <w:left w:val="single" w:sz="8" w:space="0" w:color="FFFFFF" w:themeColor="background1"/>
              <w:bottom w:val="double" w:sz="12" w:space="0" w:color="808080" w:themeColor="background1" w:themeShade="80"/>
              <w:right w:val="single" w:sz="8" w:space="0" w:color="FFFFFF" w:themeColor="background1"/>
            </w:tcBorders>
            <w:shd w:val="clear" w:color="auto" w:fill="D4C19C"/>
            <w:vAlign w:val="center"/>
            <w:hideMark/>
          </w:tcPr>
          <w:p w14:paraId="50979C83" w14:textId="77777777" w:rsidR="00636448" w:rsidRPr="006F0DF1" w:rsidRDefault="00636448" w:rsidP="00476315">
            <w:pPr>
              <w:spacing w:after="0" w:line="240" w:lineRule="auto"/>
              <w:jc w:val="center"/>
              <w:rPr>
                <w:rFonts w:ascii="Montserrat" w:eastAsia="Times New Roman" w:hAnsi="Montserrat" w:cs="Calibri"/>
                <w:b/>
                <w:bCs/>
                <w:color w:val="FFFFFF"/>
                <w:sz w:val="16"/>
                <w:szCs w:val="16"/>
                <w:lang w:val="es-MX" w:eastAsia="es-MX"/>
              </w:rPr>
            </w:pPr>
            <w:r w:rsidRPr="006F0DF1">
              <w:rPr>
                <w:rFonts w:ascii="Montserrat" w:eastAsia="Times New Roman" w:hAnsi="Montserrat" w:cs="Calibri"/>
                <w:b/>
                <w:bCs/>
                <w:color w:val="FFFFFF"/>
                <w:sz w:val="16"/>
                <w:szCs w:val="16"/>
                <w:lang w:val="es-MX" w:eastAsia="es-MX"/>
              </w:rPr>
              <w:t>Concepto</w:t>
            </w:r>
          </w:p>
        </w:tc>
        <w:tc>
          <w:tcPr>
            <w:tcW w:w="1683" w:type="dxa"/>
            <w:tcBorders>
              <w:left w:val="single" w:sz="8" w:space="0" w:color="FFFFFF" w:themeColor="background1"/>
              <w:bottom w:val="double" w:sz="12" w:space="0" w:color="808080" w:themeColor="background1" w:themeShade="80"/>
              <w:right w:val="single" w:sz="8" w:space="0" w:color="FFFFFF" w:themeColor="background1"/>
            </w:tcBorders>
            <w:shd w:val="clear" w:color="auto" w:fill="D4C19C"/>
            <w:noWrap/>
            <w:vAlign w:val="center"/>
            <w:hideMark/>
          </w:tcPr>
          <w:p w14:paraId="635C3C08" w14:textId="77777777" w:rsidR="00636448" w:rsidRPr="006F0DF1" w:rsidRDefault="00636448" w:rsidP="00476315">
            <w:pPr>
              <w:spacing w:after="0" w:line="240" w:lineRule="auto"/>
              <w:jc w:val="center"/>
              <w:rPr>
                <w:rFonts w:ascii="Montserrat" w:eastAsia="Times New Roman" w:hAnsi="Montserrat" w:cs="Calibri"/>
                <w:b/>
                <w:bCs/>
                <w:color w:val="FFFFFF"/>
                <w:sz w:val="16"/>
                <w:szCs w:val="16"/>
                <w:lang w:val="es-MX" w:eastAsia="es-MX"/>
              </w:rPr>
            </w:pPr>
            <w:r w:rsidRPr="006F0DF1">
              <w:rPr>
                <w:rFonts w:ascii="Montserrat" w:eastAsia="Times New Roman" w:hAnsi="Montserrat" w:cs="Calibri"/>
                <w:b/>
                <w:bCs/>
                <w:color w:val="FFFFFF"/>
                <w:sz w:val="16"/>
                <w:szCs w:val="16"/>
                <w:lang w:val="es-MX" w:eastAsia="es-MX"/>
              </w:rPr>
              <w:t>201</w:t>
            </w:r>
            <w:r>
              <w:rPr>
                <w:rFonts w:ascii="Montserrat" w:eastAsia="Times New Roman" w:hAnsi="Montserrat" w:cs="Calibri"/>
                <w:b/>
                <w:bCs/>
                <w:color w:val="FFFFFF"/>
                <w:sz w:val="16"/>
                <w:szCs w:val="16"/>
                <w:lang w:val="es-MX" w:eastAsia="es-MX"/>
              </w:rPr>
              <w:t>9</w:t>
            </w:r>
          </w:p>
        </w:tc>
        <w:tc>
          <w:tcPr>
            <w:tcW w:w="1984" w:type="dxa"/>
            <w:tcBorders>
              <w:left w:val="single" w:sz="8" w:space="0" w:color="FFFFFF" w:themeColor="background1"/>
              <w:bottom w:val="double" w:sz="12" w:space="0" w:color="808080" w:themeColor="background1" w:themeShade="80"/>
              <w:right w:val="single" w:sz="8" w:space="0" w:color="FFFFFF" w:themeColor="background1"/>
            </w:tcBorders>
            <w:shd w:val="clear" w:color="auto" w:fill="D4C19C"/>
            <w:noWrap/>
            <w:vAlign w:val="center"/>
            <w:hideMark/>
          </w:tcPr>
          <w:p w14:paraId="6477F511" w14:textId="77777777" w:rsidR="00636448" w:rsidRPr="006F0DF1" w:rsidRDefault="00636448" w:rsidP="00476315">
            <w:pPr>
              <w:spacing w:after="0" w:line="240" w:lineRule="auto"/>
              <w:jc w:val="center"/>
              <w:rPr>
                <w:rFonts w:ascii="Montserrat" w:eastAsia="Times New Roman" w:hAnsi="Montserrat" w:cs="Calibri"/>
                <w:b/>
                <w:bCs/>
                <w:color w:val="FFFFFF"/>
                <w:sz w:val="16"/>
                <w:szCs w:val="16"/>
                <w:lang w:val="es-MX" w:eastAsia="es-MX"/>
              </w:rPr>
            </w:pPr>
            <w:r w:rsidRPr="006F0DF1">
              <w:rPr>
                <w:rFonts w:ascii="Montserrat" w:eastAsia="Times New Roman" w:hAnsi="Montserrat" w:cs="Calibri"/>
                <w:b/>
                <w:bCs/>
                <w:color w:val="FFFFFF"/>
                <w:sz w:val="16"/>
                <w:szCs w:val="16"/>
                <w:lang w:val="es-MX" w:eastAsia="es-MX"/>
              </w:rPr>
              <w:t>201</w:t>
            </w:r>
            <w:r>
              <w:rPr>
                <w:rFonts w:ascii="Montserrat" w:eastAsia="Times New Roman" w:hAnsi="Montserrat" w:cs="Calibri"/>
                <w:b/>
                <w:bCs/>
                <w:color w:val="FFFFFF"/>
                <w:sz w:val="16"/>
                <w:szCs w:val="16"/>
                <w:lang w:val="es-MX" w:eastAsia="es-MX"/>
              </w:rPr>
              <w:t>8</w:t>
            </w:r>
          </w:p>
        </w:tc>
      </w:tr>
      <w:tr w:rsidR="00636448" w:rsidRPr="006F0DF1" w14:paraId="1B526C35" w14:textId="77777777" w:rsidTr="00476315">
        <w:trPr>
          <w:trHeight w:val="215"/>
          <w:jc w:val="center"/>
        </w:trPr>
        <w:tc>
          <w:tcPr>
            <w:tcW w:w="5630" w:type="dxa"/>
            <w:tcBorders>
              <w:top w:val="double" w:sz="12" w:space="0" w:color="808080" w:themeColor="background1" w:themeShade="80"/>
            </w:tcBorders>
            <w:shd w:val="clear" w:color="auto" w:fill="F2F2F2" w:themeFill="background1" w:themeFillShade="F2"/>
            <w:vAlign w:val="center"/>
            <w:hideMark/>
          </w:tcPr>
          <w:p w14:paraId="786C1882" w14:textId="77777777" w:rsidR="00636448" w:rsidRPr="00255081" w:rsidRDefault="00636448" w:rsidP="00476315">
            <w:pPr>
              <w:spacing w:after="0" w:line="240" w:lineRule="auto"/>
              <w:rPr>
                <w:rFonts w:ascii="Montserrat" w:eastAsia="Times New Roman" w:hAnsi="Montserrat" w:cs="Calibri"/>
                <w:color w:val="000000"/>
                <w:sz w:val="15"/>
                <w:szCs w:val="15"/>
                <w:lang w:val="es-MX" w:eastAsia="es-MX"/>
              </w:rPr>
            </w:pPr>
            <w:r w:rsidRPr="00255081">
              <w:rPr>
                <w:rFonts w:ascii="Montserrat" w:eastAsia="Times New Roman" w:hAnsi="Montserrat" w:cs="Calibri"/>
                <w:color w:val="000000"/>
                <w:sz w:val="15"/>
                <w:szCs w:val="15"/>
                <w:lang w:val="es-MX" w:eastAsia="es-MX"/>
              </w:rPr>
              <w:t>Préstamos de la Deuda Pública Interna por Pagar a Largo Plazo</w:t>
            </w:r>
          </w:p>
        </w:tc>
        <w:tc>
          <w:tcPr>
            <w:tcW w:w="1683" w:type="dxa"/>
            <w:tcBorders>
              <w:top w:val="double" w:sz="12" w:space="0" w:color="808080" w:themeColor="background1" w:themeShade="80"/>
            </w:tcBorders>
            <w:shd w:val="clear" w:color="auto" w:fill="F2F2F2" w:themeFill="background1" w:themeFillShade="F2"/>
            <w:vAlign w:val="center"/>
          </w:tcPr>
          <w:p w14:paraId="65F51BF9" w14:textId="388F06D6" w:rsidR="00636448" w:rsidRPr="00255081" w:rsidRDefault="00220C11" w:rsidP="00476315">
            <w:pPr>
              <w:spacing w:after="0" w:line="240" w:lineRule="auto"/>
              <w:jc w:val="right"/>
              <w:rPr>
                <w:rFonts w:ascii="Montserrat" w:eastAsia="Times New Roman" w:hAnsi="Montserrat" w:cs="Calibri"/>
                <w:color w:val="000000"/>
                <w:sz w:val="15"/>
                <w:szCs w:val="15"/>
                <w:lang w:val="es-MX" w:eastAsia="es-MX"/>
              </w:rPr>
            </w:pPr>
            <w:r>
              <w:rPr>
                <w:rFonts w:ascii="Montserrat" w:hAnsi="Montserrat" w:cs="Arial"/>
                <w:color w:val="000000"/>
                <w:sz w:val="15"/>
                <w:szCs w:val="15"/>
              </w:rPr>
              <w:t>160,569,966,925</w:t>
            </w:r>
          </w:p>
        </w:tc>
        <w:tc>
          <w:tcPr>
            <w:tcW w:w="1984" w:type="dxa"/>
            <w:tcBorders>
              <w:top w:val="double" w:sz="12" w:space="0" w:color="808080" w:themeColor="background1" w:themeShade="80"/>
            </w:tcBorders>
            <w:shd w:val="clear" w:color="auto" w:fill="F2F2F2" w:themeFill="background1" w:themeFillShade="F2"/>
            <w:vAlign w:val="center"/>
            <w:hideMark/>
          </w:tcPr>
          <w:p w14:paraId="073F1D44" w14:textId="77777777" w:rsidR="00636448" w:rsidRPr="00255081" w:rsidRDefault="00636448" w:rsidP="00476315">
            <w:pPr>
              <w:spacing w:after="0" w:line="240" w:lineRule="auto"/>
              <w:jc w:val="right"/>
              <w:rPr>
                <w:rFonts w:ascii="Montserrat" w:eastAsia="Times New Roman" w:hAnsi="Montserrat" w:cs="Calibri"/>
                <w:color w:val="000000"/>
                <w:sz w:val="15"/>
                <w:szCs w:val="15"/>
                <w:lang w:val="es-MX" w:eastAsia="es-MX"/>
              </w:rPr>
            </w:pPr>
            <w:r w:rsidRPr="00255081">
              <w:rPr>
                <w:rFonts w:ascii="Montserrat" w:hAnsi="Montserrat" w:cs="Calibri"/>
                <w:sz w:val="15"/>
                <w:szCs w:val="15"/>
              </w:rPr>
              <w:t>156,585,126,070</w:t>
            </w:r>
          </w:p>
        </w:tc>
      </w:tr>
      <w:tr w:rsidR="00636448" w:rsidRPr="006F0DF1" w14:paraId="4F220374" w14:textId="77777777" w:rsidTr="00476315">
        <w:trPr>
          <w:trHeight w:val="215"/>
          <w:jc w:val="center"/>
        </w:trPr>
        <w:tc>
          <w:tcPr>
            <w:tcW w:w="5630" w:type="dxa"/>
            <w:tcBorders>
              <w:bottom w:val="single" w:sz="12" w:space="0" w:color="808080" w:themeColor="background1" w:themeShade="80"/>
            </w:tcBorders>
            <w:shd w:val="clear" w:color="auto" w:fill="F2F2F2" w:themeFill="background1" w:themeFillShade="F2"/>
            <w:vAlign w:val="center"/>
          </w:tcPr>
          <w:p w14:paraId="440DF110" w14:textId="77777777" w:rsidR="00636448" w:rsidRPr="00255081" w:rsidRDefault="00636448" w:rsidP="00476315">
            <w:pPr>
              <w:spacing w:after="0" w:line="240" w:lineRule="auto"/>
              <w:ind w:left="170"/>
              <w:jc w:val="right"/>
              <w:rPr>
                <w:rFonts w:ascii="Montserrat" w:eastAsia="Times New Roman" w:hAnsi="Montserrat" w:cs="Calibri"/>
                <w:b/>
                <w:color w:val="000000"/>
                <w:sz w:val="15"/>
                <w:szCs w:val="15"/>
                <w:lang w:val="es-MX" w:eastAsia="es-MX"/>
              </w:rPr>
            </w:pPr>
            <w:r w:rsidRPr="00255081">
              <w:rPr>
                <w:rFonts w:ascii="Montserrat" w:eastAsia="Times New Roman" w:hAnsi="Montserrat" w:cs="Calibri"/>
                <w:b/>
                <w:color w:val="000000"/>
                <w:sz w:val="15"/>
                <w:szCs w:val="15"/>
                <w:lang w:val="es-MX" w:eastAsia="es-MX"/>
              </w:rPr>
              <w:t>Total Préstamos de la Deuda Pública Interna por Pagar a Largo Plazo</w:t>
            </w:r>
          </w:p>
        </w:tc>
        <w:tc>
          <w:tcPr>
            <w:tcW w:w="1683" w:type="dxa"/>
            <w:tcBorders>
              <w:bottom w:val="single" w:sz="12" w:space="0" w:color="808080" w:themeColor="background1" w:themeShade="80"/>
            </w:tcBorders>
            <w:shd w:val="clear" w:color="auto" w:fill="F2F2F2" w:themeFill="background1" w:themeFillShade="F2"/>
            <w:vAlign w:val="center"/>
          </w:tcPr>
          <w:p w14:paraId="65E5DB69" w14:textId="62531F34" w:rsidR="00636448" w:rsidRPr="00255081" w:rsidRDefault="00220C11" w:rsidP="00476315">
            <w:pPr>
              <w:spacing w:after="0" w:line="240" w:lineRule="auto"/>
              <w:jc w:val="right"/>
              <w:rPr>
                <w:rFonts w:ascii="Montserrat" w:eastAsia="Times New Roman" w:hAnsi="Montserrat" w:cs="Calibri"/>
                <w:b/>
                <w:sz w:val="15"/>
                <w:szCs w:val="15"/>
                <w:lang w:val="es-MX" w:eastAsia="es-MX"/>
              </w:rPr>
            </w:pPr>
            <w:r>
              <w:rPr>
                <w:rFonts w:ascii="Montserrat" w:hAnsi="Montserrat" w:cs="Arial"/>
                <w:b/>
                <w:bCs/>
                <w:color w:val="000000"/>
                <w:sz w:val="15"/>
                <w:szCs w:val="15"/>
              </w:rPr>
              <w:t>160,569,966,925</w:t>
            </w:r>
          </w:p>
        </w:tc>
        <w:tc>
          <w:tcPr>
            <w:tcW w:w="1984" w:type="dxa"/>
            <w:tcBorders>
              <w:bottom w:val="single" w:sz="12" w:space="0" w:color="808080" w:themeColor="background1" w:themeShade="80"/>
            </w:tcBorders>
            <w:shd w:val="clear" w:color="auto" w:fill="F2F2F2" w:themeFill="background1" w:themeFillShade="F2"/>
            <w:vAlign w:val="center"/>
          </w:tcPr>
          <w:p w14:paraId="3E1F3ADD" w14:textId="77777777" w:rsidR="00636448" w:rsidRPr="00255081" w:rsidRDefault="00636448" w:rsidP="00476315">
            <w:pPr>
              <w:spacing w:after="0" w:line="240" w:lineRule="auto"/>
              <w:jc w:val="right"/>
              <w:rPr>
                <w:rFonts w:ascii="Montserrat" w:eastAsia="Times New Roman" w:hAnsi="Montserrat" w:cs="Calibri"/>
                <w:b/>
                <w:sz w:val="15"/>
                <w:szCs w:val="15"/>
                <w:lang w:val="es-MX" w:eastAsia="es-MX"/>
              </w:rPr>
            </w:pPr>
            <w:r w:rsidRPr="00255081">
              <w:rPr>
                <w:rFonts w:ascii="Montserrat" w:hAnsi="Montserrat" w:cs="Calibri"/>
                <w:b/>
                <w:sz w:val="15"/>
                <w:szCs w:val="15"/>
              </w:rPr>
              <w:t>156,585,126,070</w:t>
            </w:r>
          </w:p>
        </w:tc>
      </w:tr>
    </w:tbl>
    <w:p w14:paraId="4917E19B" w14:textId="77777777" w:rsidR="00636448" w:rsidRDefault="00636448" w:rsidP="005C224C">
      <w:pPr>
        <w:spacing w:after="0" w:line="240" w:lineRule="auto"/>
        <w:jc w:val="both"/>
        <w:rPr>
          <w:rFonts w:ascii="Montserrat" w:hAnsi="Montserrat" w:cs="Arial"/>
          <w:spacing w:val="-1"/>
          <w:sz w:val="18"/>
          <w:szCs w:val="18"/>
        </w:rPr>
      </w:pPr>
    </w:p>
    <w:p w14:paraId="50FE01BE" w14:textId="77777777" w:rsidR="00DF4FF6" w:rsidRDefault="00DF4FF6" w:rsidP="005C224C">
      <w:pPr>
        <w:spacing w:after="0" w:line="240" w:lineRule="auto"/>
        <w:jc w:val="both"/>
        <w:rPr>
          <w:rFonts w:ascii="Montserrat" w:hAnsi="Montserrat" w:cs="Arial"/>
          <w:spacing w:val="-1"/>
          <w:sz w:val="18"/>
          <w:szCs w:val="18"/>
        </w:rPr>
      </w:pPr>
    </w:p>
    <w:p w14:paraId="1D14F09B" w14:textId="50BA970D" w:rsidR="009C3C24" w:rsidRPr="00636448" w:rsidRDefault="009C3C24" w:rsidP="00F1379E">
      <w:pPr>
        <w:pStyle w:val="Prrafodelista"/>
        <w:numPr>
          <w:ilvl w:val="0"/>
          <w:numId w:val="30"/>
        </w:numPr>
        <w:spacing w:before="240" w:after="120" w:line="250" w:lineRule="exact"/>
        <w:ind w:left="998" w:hanging="284"/>
        <w:jc w:val="both"/>
        <w:rPr>
          <w:rFonts w:ascii="Montserrat" w:hAnsi="Montserrat" w:cs="Arial"/>
          <w:spacing w:val="-1"/>
          <w:sz w:val="18"/>
          <w:szCs w:val="18"/>
        </w:rPr>
      </w:pPr>
      <w:r w:rsidRPr="00636448">
        <w:rPr>
          <w:rFonts w:ascii="Montserrat" w:hAnsi="Montserrat" w:cs="Arial"/>
          <w:spacing w:val="-1"/>
          <w:sz w:val="18"/>
          <w:szCs w:val="18"/>
        </w:rPr>
        <w:t xml:space="preserve">La </w:t>
      </w:r>
      <w:r w:rsidR="00636448" w:rsidRPr="000F0321">
        <w:rPr>
          <w:rFonts w:ascii="Montserrat" w:hAnsi="Montserrat" w:cs="Arial"/>
          <w:spacing w:val="-1"/>
          <w:sz w:val="18"/>
          <w:szCs w:val="18"/>
        </w:rPr>
        <w:t>comparación entre ejercicios</w:t>
      </w:r>
      <w:r w:rsidR="00636448" w:rsidRPr="00636448">
        <w:rPr>
          <w:rFonts w:ascii="Montserrat" w:hAnsi="Montserrat" w:cs="Arial"/>
          <w:spacing w:val="-1"/>
          <w:sz w:val="18"/>
          <w:szCs w:val="18"/>
        </w:rPr>
        <w:t xml:space="preserve"> </w:t>
      </w:r>
      <w:r w:rsidR="00636448" w:rsidRPr="000F0321">
        <w:rPr>
          <w:rFonts w:ascii="Montserrat" w:hAnsi="Montserrat" w:cs="Arial"/>
          <w:spacing w:val="-1"/>
          <w:sz w:val="18"/>
          <w:szCs w:val="18"/>
        </w:rPr>
        <w:t>correspondiente a</w:t>
      </w:r>
      <w:r w:rsidR="00636448" w:rsidRPr="00636448">
        <w:rPr>
          <w:rFonts w:ascii="Montserrat" w:hAnsi="Montserrat" w:cs="Arial"/>
          <w:spacing w:val="-1"/>
          <w:sz w:val="18"/>
          <w:szCs w:val="18"/>
        </w:rPr>
        <w:t xml:space="preserve"> </w:t>
      </w:r>
      <w:r w:rsidRPr="00636448">
        <w:rPr>
          <w:rFonts w:ascii="Montserrat" w:hAnsi="Montserrat" w:cs="Arial"/>
          <w:spacing w:val="-1"/>
          <w:sz w:val="18"/>
          <w:szCs w:val="18"/>
        </w:rPr>
        <w:t>Préstamos de la Deuda Pública Externa por Pagar a Largo Plazo es la siguiente:</w:t>
      </w:r>
    </w:p>
    <w:tbl>
      <w:tblPr>
        <w:tblW w:w="9429" w:type="dxa"/>
        <w:jc w:val="center"/>
        <w:tblCellMar>
          <w:left w:w="70" w:type="dxa"/>
          <w:right w:w="70" w:type="dxa"/>
        </w:tblCellMar>
        <w:tblLook w:val="04A0" w:firstRow="1" w:lastRow="0" w:firstColumn="1" w:lastColumn="0" w:noHBand="0" w:noVBand="1"/>
      </w:tblPr>
      <w:tblGrid>
        <w:gridCol w:w="5630"/>
        <w:gridCol w:w="1815"/>
        <w:gridCol w:w="1984"/>
      </w:tblGrid>
      <w:tr w:rsidR="00C4519E" w:rsidRPr="006F0DF1" w14:paraId="3865512E" w14:textId="77777777" w:rsidTr="00D6124B">
        <w:trPr>
          <w:trHeight w:val="57"/>
          <w:jc w:val="center"/>
        </w:trPr>
        <w:tc>
          <w:tcPr>
            <w:tcW w:w="9429" w:type="dxa"/>
            <w:gridSpan w:val="3"/>
            <w:tcBorders>
              <w:bottom w:val="single" w:sz="12" w:space="0" w:color="808080" w:themeColor="background1" w:themeShade="80"/>
            </w:tcBorders>
            <w:shd w:val="clear" w:color="auto" w:fill="auto"/>
            <w:vAlign w:val="center"/>
          </w:tcPr>
          <w:p w14:paraId="475F244E" w14:textId="77777777" w:rsidR="00C4519E" w:rsidRPr="00936371" w:rsidRDefault="009C3C24" w:rsidP="00E52592">
            <w:pPr>
              <w:spacing w:after="60" w:line="250" w:lineRule="exact"/>
              <w:jc w:val="center"/>
              <w:rPr>
                <w:rFonts w:ascii="Montserrat" w:eastAsia="Times New Roman" w:hAnsi="Montserrat" w:cs="Calibri"/>
                <w:bCs/>
                <w:sz w:val="16"/>
                <w:szCs w:val="16"/>
                <w:lang w:val="es-MX" w:eastAsia="es-MX"/>
              </w:rPr>
            </w:pPr>
            <w:r w:rsidRPr="00936371">
              <w:rPr>
                <w:rFonts w:ascii="Montserrat" w:eastAsia="Times New Roman" w:hAnsi="Montserrat" w:cs="Calibri"/>
                <w:bCs/>
                <w:sz w:val="16"/>
                <w:szCs w:val="16"/>
                <w:lang w:val="es-MX" w:eastAsia="es-MX"/>
              </w:rPr>
              <w:t>(Pesos)</w:t>
            </w:r>
          </w:p>
          <w:p w14:paraId="28008E71" w14:textId="77777777" w:rsidR="00D6124B" w:rsidRPr="00BC0F30" w:rsidRDefault="00D6124B" w:rsidP="00D6124B">
            <w:pPr>
              <w:spacing w:after="0" w:line="240" w:lineRule="auto"/>
              <w:jc w:val="center"/>
              <w:rPr>
                <w:rFonts w:ascii="Montserrat" w:eastAsia="Times New Roman" w:hAnsi="Montserrat" w:cs="Calibri"/>
                <w:b/>
                <w:bCs/>
                <w:color w:val="FFFFFF"/>
                <w:sz w:val="4"/>
                <w:szCs w:val="4"/>
                <w:lang w:val="es-MX" w:eastAsia="es-MX"/>
              </w:rPr>
            </w:pPr>
          </w:p>
        </w:tc>
      </w:tr>
      <w:tr w:rsidR="00D6124B" w:rsidRPr="006F0DF1" w14:paraId="6040AFE5" w14:textId="77777777" w:rsidTr="00CC40D5">
        <w:trPr>
          <w:trHeight w:val="57"/>
          <w:jc w:val="center"/>
        </w:trPr>
        <w:tc>
          <w:tcPr>
            <w:tcW w:w="9429" w:type="dxa"/>
            <w:gridSpan w:val="3"/>
            <w:tcBorders>
              <w:top w:val="single" w:sz="12" w:space="0" w:color="808080" w:themeColor="background1" w:themeShade="80"/>
            </w:tcBorders>
            <w:shd w:val="clear" w:color="auto" w:fill="auto"/>
            <w:vAlign w:val="center"/>
          </w:tcPr>
          <w:p w14:paraId="21E81A2B" w14:textId="77777777" w:rsidR="00D6124B" w:rsidRPr="00D6124B" w:rsidRDefault="00D6124B" w:rsidP="002F797B">
            <w:pPr>
              <w:spacing w:after="0" w:line="240" w:lineRule="auto"/>
              <w:jc w:val="center"/>
              <w:rPr>
                <w:rFonts w:ascii="Montserrat" w:eastAsia="Times New Roman" w:hAnsi="Montserrat" w:cs="Calibri"/>
                <w:b/>
                <w:bCs/>
                <w:color w:val="FFFFFF"/>
                <w:sz w:val="4"/>
                <w:szCs w:val="4"/>
                <w:lang w:val="es-MX" w:eastAsia="es-MX"/>
              </w:rPr>
            </w:pPr>
          </w:p>
        </w:tc>
      </w:tr>
      <w:tr w:rsidR="009C3C24" w:rsidRPr="006F0DF1" w14:paraId="0B713040" w14:textId="77777777" w:rsidTr="00556DB3">
        <w:trPr>
          <w:trHeight w:val="332"/>
          <w:jc w:val="center"/>
        </w:trPr>
        <w:tc>
          <w:tcPr>
            <w:tcW w:w="5630" w:type="dxa"/>
            <w:tcBorders>
              <w:left w:val="single" w:sz="8" w:space="0" w:color="FFFFFF" w:themeColor="background1"/>
              <w:bottom w:val="double" w:sz="12" w:space="0" w:color="808080" w:themeColor="background1" w:themeShade="80"/>
              <w:right w:val="single" w:sz="8" w:space="0" w:color="FFFFFF" w:themeColor="background1"/>
            </w:tcBorders>
            <w:shd w:val="clear" w:color="auto" w:fill="D4C19C"/>
            <w:vAlign w:val="center"/>
            <w:hideMark/>
          </w:tcPr>
          <w:p w14:paraId="2CA8E0F3" w14:textId="77777777" w:rsidR="009C3C24" w:rsidRPr="006F0DF1" w:rsidRDefault="009C3C24" w:rsidP="002F797B">
            <w:pPr>
              <w:spacing w:after="0" w:line="240" w:lineRule="auto"/>
              <w:jc w:val="center"/>
              <w:rPr>
                <w:rFonts w:ascii="Montserrat" w:eastAsia="Times New Roman" w:hAnsi="Montserrat" w:cs="Calibri"/>
                <w:b/>
                <w:bCs/>
                <w:color w:val="FFFFFF"/>
                <w:sz w:val="16"/>
                <w:szCs w:val="16"/>
                <w:lang w:val="es-MX" w:eastAsia="es-MX"/>
              </w:rPr>
            </w:pPr>
            <w:r w:rsidRPr="006F0DF1">
              <w:rPr>
                <w:rFonts w:ascii="Montserrat" w:eastAsia="Times New Roman" w:hAnsi="Montserrat" w:cs="Calibri"/>
                <w:b/>
                <w:bCs/>
                <w:color w:val="FFFFFF"/>
                <w:sz w:val="16"/>
                <w:szCs w:val="16"/>
                <w:lang w:val="es-MX" w:eastAsia="es-MX"/>
              </w:rPr>
              <w:t>Concepto</w:t>
            </w:r>
          </w:p>
        </w:tc>
        <w:tc>
          <w:tcPr>
            <w:tcW w:w="1815" w:type="dxa"/>
            <w:tcBorders>
              <w:left w:val="single" w:sz="8" w:space="0" w:color="FFFFFF" w:themeColor="background1"/>
              <w:bottom w:val="double" w:sz="12" w:space="0" w:color="808080" w:themeColor="background1" w:themeShade="80"/>
              <w:right w:val="single" w:sz="8" w:space="0" w:color="FFFFFF" w:themeColor="background1"/>
            </w:tcBorders>
            <w:shd w:val="clear" w:color="auto" w:fill="D4C19C"/>
            <w:noWrap/>
            <w:vAlign w:val="center"/>
            <w:hideMark/>
          </w:tcPr>
          <w:p w14:paraId="65CA8E4F" w14:textId="77777777" w:rsidR="009C3C24" w:rsidRPr="006F0DF1" w:rsidRDefault="009C3C24" w:rsidP="008E2679">
            <w:pPr>
              <w:spacing w:after="0" w:line="240" w:lineRule="auto"/>
              <w:jc w:val="center"/>
              <w:rPr>
                <w:rFonts w:ascii="Montserrat" w:eastAsia="Times New Roman" w:hAnsi="Montserrat" w:cs="Calibri"/>
                <w:b/>
                <w:bCs/>
                <w:color w:val="FFFFFF"/>
                <w:sz w:val="16"/>
                <w:szCs w:val="16"/>
                <w:lang w:val="es-MX" w:eastAsia="es-MX"/>
              </w:rPr>
            </w:pPr>
            <w:r>
              <w:rPr>
                <w:rFonts w:ascii="Montserrat" w:eastAsia="Times New Roman" w:hAnsi="Montserrat" w:cs="Calibri"/>
                <w:b/>
                <w:bCs/>
                <w:color w:val="FFFFFF"/>
                <w:sz w:val="16"/>
                <w:szCs w:val="16"/>
                <w:lang w:val="es-MX" w:eastAsia="es-MX"/>
              </w:rPr>
              <w:t>201</w:t>
            </w:r>
            <w:r w:rsidR="002E04B7">
              <w:rPr>
                <w:rFonts w:ascii="Montserrat" w:eastAsia="Times New Roman" w:hAnsi="Montserrat" w:cs="Calibri"/>
                <w:b/>
                <w:bCs/>
                <w:color w:val="FFFFFF"/>
                <w:sz w:val="16"/>
                <w:szCs w:val="16"/>
                <w:lang w:val="es-MX" w:eastAsia="es-MX"/>
              </w:rPr>
              <w:t>9</w:t>
            </w:r>
          </w:p>
        </w:tc>
        <w:tc>
          <w:tcPr>
            <w:tcW w:w="1984" w:type="dxa"/>
            <w:tcBorders>
              <w:left w:val="single" w:sz="8" w:space="0" w:color="FFFFFF" w:themeColor="background1"/>
              <w:bottom w:val="double" w:sz="12" w:space="0" w:color="808080" w:themeColor="background1" w:themeShade="80"/>
              <w:right w:val="single" w:sz="8" w:space="0" w:color="FFFFFF" w:themeColor="background1"/>
            </w:tcBorders>
            <w:shd w:val="clear" w:color="auto" w:fill="D4C19C"/>
            <w:noWrap/>
            <w:vAlign w:val="center"/>
            <w:hideMark/>
          </w:tcPr>
          <w:p w14:paraId="26C26A35" w14:textId="77777777" w:rsidR="009C3C24" w:rsidRPr="006F0DF1" w:rsidRDefault="009C3C24" w:rsidP="002F797B">
            <w:pPr>
              <w:spacing w:after="0" w:line="240" w:lineRule="auto"/>
              <w:jc w:val="center"/>
              <w:rPr>
                <w:rFonts w:ascii="Montserrat" w:eastAsia="Times New Roman" w:hAnsi="Montserrat" w:cs="Calibri"/>
                <w:b/>
                <w:bCs/>
                <w:color w:val="FFFFFF"/>
                <w:sz w:val="16"/>
                <w:szCs w:val="16"/>
                <w:lang w:val="es-MX" w:eastAsia="es-MX"/>
              </w:rPr>
            </w:pPr>
            <w:r>
              <w:rPr>
                <w:rFonts w:ascii="Montserrat" w:eastAsia="Times New Roman" w:hAnsi="Montserrat" w:cs="Calibri"/>
                <w:b/>
                <w:bCs/>
                <w:color w:val="FFFFFF"/>
                <w:sz w:val="16"/>
                <w:szCs w:val="16"/>
                <w:lang w:val="es-MX" w:eastAsia="es-MX"/>
              </w:rPr>
              <w:t>201</w:t>
            </w:r>
            <w:r w:rsidR="002E04B7">
              <w:rPr>
                <w:rFonts w:ascii="Montserrat" w:eastAsia="Times New Roman" w:hAnsi="Montserrat" w:cs="Calibri"/>
                <w:b/>
                <w:bCs/>
                <w:color w:val="FFFFFF"/>
                <w:sz w:val="16"/>
                <w:szCs w:val="16"/>
                <w:lang w:val="es-MX" w:eastAsia="es-MX"/>
              </w:rPr>
              <w:t>8</w:t>
            </w:r>
          </w:p>
        </w:tc>
      </w:tr>
      <w:tr w:rsidR="00D216BF" w:rsidRPr="006F0DF1" w14:paraId="04F5023B" w14:textId="77777777" w:rsidTr="00556DB3">
        <w:trPr>
          <w:trHeight w:val="215"/>
          <w:jc w:val="center"/>
        </w:trPr>
        <w:tc>
          <w:tcPr>
            <w:tcW w:w="5630" w:type="dxa"/>
            <w:tcBorders>
              <w:top w:val="double" w:sz="12" w:space="0" w:color="808080" w:themeColor="background1" w:themeShade="80"/>
            </w:tcBorders>
            <w:shd w:val="clear" w:color="auto" w:fill="F2F2F2" w:themeFill="background1" w:themeFillShade="F2"/>
            <w:vAlign w:val="center"/>
            <w:hideMark/>
          </w:tcPr>
          <w:p w14:paraId="1054B52F" w14:textId="77777777" w:rsidR="00D216BF" w:rsidRPr="00255081" w:rsidRDefault="00D216BF" w:rsidP="00D216BF">
            <w:pPr>
              <w:spacing w:after="0" w:line="240" w:lineRule="auto"/>
              <w:jc w:val="both"/>
              <w:rPr>
                <w:rFonts w:ascii="Montserrat" w:eastAsia="Times New Roman" w:hAnsi="Montserrat" w:cs="Calibri"/>
                <w:color w:val="000000"/>
                <w:sz w:val="15"/>
                <w:szCs w:val="15"/>
                <w:lang w:val="es-MX" w:eastAsia="es-MX"/>
              </w:rPr>
            </w:pPr>
            <w:r w:rsidRPr="00255081">
              <w:rPr>
                <w:rFonts w:ascii="Montserrat" w:eastAsia="Times New Roman" w:hAnsi="Montserrat" w:cs="Calibri"/>
                <w:color w:val="000000"/>
                <w:sz w:val="15"/>
                <w:szCs w:val="15"/>
                <w:lang w:val="es-MX" w:eastAsia="es-MX"/>
              </w:rPr>
              <w:t>Préstamos de la Deuda Pública Externa por Pagar a Largo Plazo</w:t>
            </w:r>
          </w:p>
        </w:tc>
        <w:tc>
          <w:tcPr>
            <w:tcW w:w="1815" w:type="dxa"/>
            <w:tcBorders>
              <w:top w:val="double" w:sz="12" w:space="0" w:color="808080" w:themeColor="background1" w:themeShade="80"/>
            </w:tcBorders>
            <w:shd w:val="clear" w:color="000000" w:fill="F2F2F2"/>
            <w:vAlign w:val="center"/>
          </w:tcPr>
          <w:p w14:paraId="1CB78CD1" w14:textId="0276A164" w:rsidR="00D216BF" w:rsidRPr="00255081" w:rsidRDefault="00220C11" w:rsidP="00D216BF">
            <w:pPr>
              <w:spacing w:after="0" w:line="240" w:lineRule="auto"/>
              <w:jc w:val="right"/>
              <w:rPr>
                <w:rFonts w:ascii="Montserrat" w:hAnsi="Montserrat" w:cs="Calibri"/>
                <w:color w:val="000000"/>
                <w:sz w:val="15"/>
                <w:szCs w:val="15"/>
                <w:lang w:val="es-MX" w:eastAsia="es-MX"/>
              </w:rPr>
            </w:pPr>
            <w:r>
              <w:rPr>
                <w:rFonts w:ascii="Montserrat" w:hAnsi="Montserrat" w:cs="Arial"/>
                <w:color w:val="000000"/>
                <w:sz w:val="15"/>
                <w:szCs w:val="15"/>
              </w:rPr>
              <w:t>546,601,519,149</w:t>
            </w:r>
          </w:p>
        </w:tc>
        <w:tc>
          <w:tcPr>
            <w:tcW w:w="1984" w:type="dxa"/>
            <w:tcBorders>
              <w:top w:val="double" w:sz="12" w:space="0" w:color="808080" w:themeColor="background1" w:themeShade="80"/>
            </w:tcBorders>
            <w:shd w:val="clear" w:color="auto" w:fill="F2F2F2" w:themeFill="background1" w:themeFillShade="F2"/>
            <w:vAlign w:val="center"/>
            <w:hideMark/>
          </w:tcPr>
          <w:p w14:paraId="48A1DF01" w14:textId="77777777" w:rsidR="00D216BF" w:rsidRPr="00255081" w:rsidRDefault="00D216BF" w:rsidP="00D216BF">
            <w:pPr>
              <w:spacing w:after="0" w:line="240" w:lineRule="auto"/>
              <w:jc w:val="right"/>
              <w:rPr>
                <w:rFonts w:ascii="Montserrat" w:hAnsi="Montserrat" w:cs="Calibri"/>
                <w:color w:val="000000"/>
                <w:sz w:val="15"/>
                <w:szCs w:val="15"/>
                <w:lang w:val="es-MX" w:eastAsia="es-MX"/>
              </w:rPr>
            </w:pPr>
            <w:r w:rsidRPr="00255081">
              <w:rPr>
                <w:rFonts w:ascii="Montserrat" w:hAnsi="Montserrat" w:cs="Calibri"/>
                <w:sz w:val="15"/>
                <w:szCs w:val="15"/>
              </w:rPr>
              <w:t>551,666,936,621</w:t>
            </w:r>
          </w:p>
        </w:tc>
      </w:tr>
      <w:tr w:rsidR="00D216BF" w:rsidRPr="006F0DF1" w14:paraId="4AFAE86E" w14:textId="77777777" w:rsidTr="00556DB3">
        <w:trPr>
          <w:trHeight w:val="435"/>
          <w:jc w:val="center"/>
        </w:trPr>
        <w:tc>
          <w:tcPr>
            <w:tcW w:w="5630" w:type="dxa"/>
            <w:tcBorders>
              <w:bottom w:val="single" w:sz="12" w:space="0" w:color="808080" w:themeColor="background1" w:themeShade="80"/>
            </w:tcBorders>
            <w:shd w:val="clear" w:color="auto" w:fill="F2F2F2" w:themeFill="background1" w:themeFillShade="F2"/>
            <w:vAlign w:val="center"/>
          </w:tcPr>
          <w:p w14:paraId="4663553E" w14:textId="77777777" w:rsidR="00D216BF" w:rsidRPr="00255081" w:rsidRDefault="00D216BF" w:rsidP="00D216BF">
            <w:pPr>
              <w:spacing w:after="0" w:line="240" w:lineRule="auto"/>
              <w:ind w:left="170"/>
              <w:jc w:val="right"/>
              <w:rPr>
                <w:rFonts w:ascii="Montserrat" w:eastAsia="Times New Roman" w:hAnsi="Montserrat" w:cs="Calibri"/>
                <w:b/>
                <w:color w:val="000000"/>
                <w:sz w:val="15"/>
                <w:szCs w:val="15"/>
                <w:lang w:val="es-MX" w:eastAsia="es-MX"/>
              </w:rPr>
            </w:pPr>
            <w:r w:rsidRPr="00255081">
              <w:rPr>
                <w:rFonts w:ascii="Montserrat" w:eastAsia="Times New Roman" w:hAnsi="Montserrat" w:cs="Calibri"/>
                <w:b/>
                <w:color w:val="000000"/>
                <w:sz w:val="15"/>
                <w:szCs w:val="15"/>
                <w:lang w:val="es-MX" w:eastAsia="es-MX"/>
              </w:rPr>
              <w:t>Total Préstamos de la Deuda Pública Externa por Pagar a Largo Plazo</w:t>
            </w:r>
          </w:p>
        </w:tc>
        <w:tc>
          <w:tcPr>
            <w:tcW w:w="1815" w:type="dxa"/>
            <w:tcBorders>
              <w:bottom w:val="single" w:sz="12" w:space="0" w:color="808080" w:themeColor="background1" w:themeShade="80"/>
            </w:tcBorders>
            <w:shd w:val="clear" w:color="000000" w:fill="F2F2F2"/>
            <w:vAlign w:val="center"/>
          </w:tcPr>
          <w:p w14:paraId="6BCA141F" w14:textId="3B710CEC" w:rsidR="00D216BF" w:rsidRPr="00255081" w:rsidRDefault="00220C11" w:rsidP="00D216BF">
            <w:pPr>
              <w:spacing w:after="0" w:line="240" w:lineRule="auto"/>
              <w:jc w:val="right"/>
              <w:rPr>
                <w:rFonts w:ascii="Montserrat" w:eastAsia="Times New Roman" w:hAnsi="Montserrat" w:cs="Calibri"/>
                <w:b/>
                <w:sz w:val="15"/>
                <w:szCs w:val="15"/>
                <w:lang w:val="es-MX" w:eastAsia="es-MX"/>
              </w:rPr>
            </w:pPr>
            <w:r>
              <w:rPr>
                <w:rFonts w:ascii="Montserrat" w:hAnsi="Montserrat" w:cs="Arial"/>
                <w:b/>
                <w:bCs/>
                <w:color w:val="000000"/>
                <w:sz w:val="15"/>
                <w:szCs w:val="15"/>
              </w:rPr>
              <w:t>546,601,519,149</w:t>
            </w:r>
          </w:p>
        </w:tc>
        <w:tc>
          <w:tcPr>
            <w:tcW w:w="1984" w:type="dxa"/>
            <w:tcBorders>
              <w:bottom w:val="single" w:sz="12" w:space="0" w:color="808080" w:themeColor="background1" w:themeShade="80"/>
            </w:tcBorders>
            <w:shd w:val="clear" w:color="auto" w:fill="F2F2F2" w:themeFill="background1" w:themeFillShade="F2"/>
            <w:vAlign w:val="center"/>
          </w:tcPr>
          <w:p w14:paraId="4272D8FB" w14:textId="77777777" w:rsidR="00D216BF" w:rsidRPr="00255081" w:rsidRDefault="00D216BF" w:rsidP="00D216BF">
            <w:pPr>
              <w:spacing w:after="0" w:line="240" w:lineRule="auto"/>
              <w:jc w:val="right"/>
              <w:rPr>
                <w:rFonts w:ascii="Montserrat" w:eastAsia="Times New Roman" w:hAnsi="Montserrat" w:cs="Calibri"/>
                <w:b/>
                <w:sz w:val="15"/>
                <w:szCs w:val="15"/>
                <w:lang w:val="es-MX" w:eastAsia="es-MX"/>
              </w:rPr>
            </w:pPr>
            <w:r w:rsidRPr="00255081">
              <w:rPr>
                <w:rFonts w:ascii="Montserrat" w:eastAsia="Times New Roman" w:hAnsi="Montserrat" w:cs="Calibri"/>
                <w:b/>
                <w:sz w:val="15"/>
                <w:szCs w:val="15"/>
                <w:lang w:val="es-MX" w:eastAsia="es-MX"/>
              </w:rPr>
              <w:t>551,666,936,621</w:t>
            </w:r>
          </w:p>
        </w:tc>
      </w:tr>
    </w:tbl>
    <w:p w14:paraId="640C1E35" w14:textId="77777777" w:rsidR="001278FD" w:rsidRDefault="001278FD" w:rsidP="00B9210C">
      <w:pPr>
        <w:spacing w:after="0" w:line="240" w:lineRule="auto"/>
        <w:jc w:val="both"/>
        <w:rPr>
          <w:rFonts w:ascii="Montserrat" w:hAnsi="Montserrat" w:cs="Arial"/>
          <w:spacing w:val="-1"/>
          <w:sz w:val="18"/>
          <w:szCs w:val="18"/>
        </w:rPr>
      </w:pPr>
    </w:p>
    <w:p w14:paraId="3FEFB8A9" w14:textId="77777777" w:rsidR="009C3C24" w:rsidRDefault="009C3C24" w:rsidP="00F1379E">
      <w:pPr>
        <w:pStyle w:val="Prrafodelista"/>
        <w:numPr>
          <w:ilvl w:val="0"/>
          <w:numId w:val="30"/>
        </w:numPr>
        <w:spacing w:before="240" w:after="120" w:line="250" w:lineRule="exact"/>
        <w:ind w:left="998" w:hanging="284"/>
        <w:jc w:val="both"/>
        <w:rPr>
          <w:rFonts w:ascii="Montserrat" w:hAnsi="Montserrat" w:cs="Arial"/>
          <w:spacing w:val="-1"/>
          <w:sz w:val="18"/>
          <w:szCs w:val="18"/>
        </w:rPr>
      </w:pPr>
      <w:r w:rsidRPr="006F0DF1">
        <w:rPr>
          <w:rFonts w:ascii="Montserrat" w:hAnsi="Montserrat" w:cs="Arial"/>
          <w:spacing w:val="-1"/>
          <w:sz w:val="18"/>
          <w:szCs w:val="18"/>
        </w:rPr>
        <w:t>Por lo que se refiere al Arrendamiento Financiero por Pagar a Largo Plazo, se presenta su integración:</w:t>
      </w:r>
    </w:p>
    <w:p w14:paraId="6A8C0A54" w14:textId="77777777" w:rsidR="009C3C24" w:rsidRPr="00936371" w:rsidRDefault="009C3C24" w:rsidP="00E52592">
      <w:pPr>
        <w:spacing w:after="60" w:line="250" w:lineRule="exact"/>
        <w:jc w:val="center"/>
        <w:rPr>
          <w:rFonts w:ascii="Montserrat" w:hAnsi="Montserrat" w:cs="Arial"/>
          <w:spacing w:val="-1"/>
          <w:sz w:val="18"/>
          <w:szCs w:val="18"/>
        </w:rPr>
      </w:pPr>
      <w:r w:rsidRPr="00936371">
        <w:rPr>
          <w:rFonts w:ascii="Montserrat" w:eastAsia="Times New Roman" w:hAnsi="Montserrat" w:cs="Calibri"/>
          <w:bCs/>
          <w:sz w:val="16"/>
          <w:szCs w:val="16"/>
          <w:lang w:val="es-MX" w:eastAsia="es-MX"/>
        </w:rPr>
        <w:t>(Pesos)</w:t>
      </w:r>
    </w:p>
    <w:tbl>
      <w:tblPr>
        <w:tblW w:w="8325" w:type="dxa"/>
        <w:jc w:val="center"/>
        <w:tblCellMar>
          <w:left w:w="70" w:type="dxa"/>
          <w:right w:w="70" w:type="dxa"/>
        </w:tblCellMar>
        <w:tblLook w:val="04A0" w:firstRow="1" w:lastRow="0" w:firstColumn="1" w:lastColumn="0" w:noHBand="0" w:noVBand="1"/>
      </w:tblPr>
      <w:tblGrid>
        <w:gridCol w:w="4243"/>
        <w:gridCol w:w="2098"/>
        <w:gridCol w:w="1984"/>
      </w:tblGrid>
      <w:tr w:rsidR="00C4519E" w:rsidRPr="006F0DF1" w14:paraId="3C1A158D" w14:textId="77777777" w:rsidTr="00CC40D5">
        <w:trPr>
          <w:trHeight w:val="57"/>
          <w:jc w:val="center"/>
        </w:trPr>
        <w:tc>
          <w:tcPr>
            <w:tcW w:w="8325" w:type="dxa"/>
            <w:gridSpan w:val="3"/>
            <w:tcBorders>
              <w:top w:val="single" w:sz="12" w:space="0" w:color="808080" w:themeColor="background1" w:themeShade="80"/>
            </w:tcBorders>
            <w:shd w:val="clear" w:color="auto" w:fill="auto"/>
            <w:noWrap/>
            <w:vAlign w:val="center"/>
          </w:tcPr>
          <w:p w14:paraId="197517AD" w14:textId="77777777" w:rsidR="00C4519E" w:rsidRPr="00BC0F30" w:rsidRDefault="00C4519E" w:rsidP="002F797B">
            <w:pPr>
              <w:spacing w:after="0" w:line="240" w:lineRule="auto"/>
              <w:jc w:val="center"/>
              <w:rPr>
                <w:rFonts w:ascii="Montserrat" w:eastAsia="Times New Roman" w:hAnsi="Montserrat" w:cs="Calibri"/>
                <w:b/>
                <w:bCs/>
                <w:color w:val="FFFFFF"/>
                <w:sz w:val="4"/>
                <w:szCs w:val="4"/>
                <w:lang w:val="es-MX" w:eastAsia="es-MX"/>
              </w:rPr>
            </w:pPr>
          </w:p>
        </w:tc>
      </w:tr>
      <w:tr w:rsidR="009C3C24" w:rsidRPr="006F0DF1" w14:paraId="116F559C" w14:textId="77777777" w:rsidTr="00B9210C">
        <w:trPr>
          <w:trHeight w:val="317"/>
          <w:jc w:val="center"/>
        </w:trPr>
        <w:tc>
          <w:tcPr>
            <w:tcW w:w="4243" w:type="dxa"/>
            <w:tcBorders>
              <w:left w:val="single" w:sz="8" w:space="0" w:color="FFFFFF" w:themeColor="background1"/>
              <w:bottom w:val="double" w:sz="12" w:space="0" w:color="808080" w:themeColor="background1" w:themeShade="80"/>
              <w:right w:val="single" w:sz="8" w:space="0" w:color="FFFFFF" w:themeColor="background1"/>
            </w:tcBorders>
            <w:shd w:val="clear" w:color="auto" w:fill="D4C19C"/>
            <w:noWrap/>
            <w:vAlign w:val="center"/>
            <w:hideMark/>
          </w:tcPr>
          <w:p w14:paraId="4FB9838F" w14:textId="77777777" w:rsidR="009C3C24" w:rsidRPr="006F0DF1" w:rsidRDefault="009C3C24" w:rsidP="002F797B">
            <w:pPr>
              <w:spacing w:after="0" w:line="240" w:lineRule="auto"/>
              <w:jc w:val="center"/>
              <w:rPr>
                <w:rFonts w:ascii="Montserrat" w:eastAsia="Times New Roman" w:hAnsi="Montserrat" w:cs="Calibri"/>
                <w:b/>
                <w:bCs/>
                <w:color w:val="FFFFFF"/>
                <w:sz w:val="16"/>
                <w:szCs w:val="16"/>
                <w:lang w:val="es-MX" w:eastAsia="es-MX"/>
              </w:rPr>
            </w:pPr>
            <w:r w:rsidRPr="006F0DF1">
              <w:rPr>
                <w:rFonts w:ascii="Montserrat" w:eastAsia="Times New Roman" w:hAnsi="Montserrat" w:cs="Calibri"/>
                <w:b/>
                <w:bCs/>
                <w:color w:val="FFFFFF"/>
                <w:sz w:val="16"/>
                <w:szCs w:val="16"/>
                <w:lang w:val="es-MX" w:eastAsia="es-MX"/>
              </w:rPr>
              <w:t>Concepto</w:t>
            </w:r>
          </w:p>
        </w:tc>
        <w:tc>
          <w:tcPr>
            <w:tcW w:w="2098" w:type="dxa"/>
            <w:tcBorders>
              <w:left w:val="single" w:sz="8" w:space="0" w:color="FFFFFF" w:themeColor="background1"/>
              <w:bottom w:val="double" w:sz="12" w:space="0" w:color="808080" w:themeColor="background1" w:themeShade="80"/>
              <w:right w:val="single" w:sz="8" w:space="0" w:color="FFFFFF" w:themeColor="background1"/>
            </w:tcBorders>
            <w:shd w:val="clear" w:color="auto" w:fill="D4C19C"/>
            <w:vAlign w:val="center"/>
            <w:hideMark/>
          </w:tcPr>
          <w:p w14:paraId="1AF8EDC7" w14:textId="77777777" w:rsidR="009C3C24" w:rsidRPr="006F0DF1" w:rsidRDefault="009C3C24" w:rsidP="002F797B">
            <w:pPr>
              <w:spacing w:after="0" w:line="240" w:lineRule="auto"/>
              <w:jc w:val="center"/>
              <w:rPr>
                <w:rFonts w:ascii="Montserrat" w:eastAsia="Times New Roman" w:hAnsi="Montserrat" w:cs="Calibri"/>
                <w:b/>
                <w:bCs/>
                <w:color w:val="FFFFFF"/>
                <w:sz w:val="16"/>
                <w:szCs w:val="16"/>
                <w:lang w:val="es-MX" w:eastAsia="es-MX"/>
              </w:rPr>
            </w:pPr>
            <w:r>
              <w:rPr>
                <w:rFonts w:ascii="Montserrat" w:eastAsia="Times New Roman" w:hAnsi="Montserrat" w:cs="Calibri"/>
                <w:b/>
                <w:bCs/>
                <w:color w:val="FFFFFF"/>
                <w:sz w:val="16"/>
                <w:szCs w:val="16"/>
                <w:lang w:val="es-MX" w:eastAsia="es-MX"/>
              </w:rPr>
              <w:t>201</w:t>
            </w:r>
            <w:r w:rsidR="002E04B7">
              <w:rPr>
                <w:rFonts w:ascii="Montserrat" w:eastAsia="Times New Roman" w:hAnsi="Montserrat" w:cs="Calibri"/>
                <w:b/>
                <w:bCs/>
                <w:color w:val="FFFFFF"/>
                <w:sz w:val="16"/>
                <w:szCs w:val="16"/>
                <w:lang w:val="es-MX" w:eastAsia="es-MX"/>
              </w:rPr>
              <w:t>9</w:t>
            </w:r>
          </w:p>
        </w:tc>
        <w:tc>
          <w:tcPr>
            <w:tcW w:w="1984" w:type="dxa"/>
            <w:tcBorders>
              <w:left w:val="single" w:sz="8" w:space="0" w:color="FFFFFF" w:themeColor="background1"/>
              <w:bottom w:val="double" w:sz="12" w:space="0" w:color="808080" w:themeColor="background1" w:themeShade="80"/>
              <w:right w:val="single" w:sz="8" w:space="0" w:color="FFFFFF" w:themeColor="background1"/>
            </w:tcBorders>
            <w:shd w:val="clear" w:color="auto" w:fill="D4C19C"/>
            <w:noWrap/>
            <w:vAlign w:val="center"/>
            <w:hideMark/>
          </w:tcPr>
          <w:p w14:paraId="5AC6A330" w14:textId="77777777" w:rsidR="009C3C24" w:rsidRPr="006F0DF1" w:rsidRDefault="009C3C24" w:rsidP="002F797B">
            <w:pPr>
              <w:spacing w:after="0" w:line="240" w:lineRule="auto"/>
              <w:jc w:val="center"/>
              <w:rPr>
                <w:rFonts w:ascii="Montserrat" w:eastAsia="Times New Roman" w:hAnsi="Montserrat" w:cs="Calibri"/>
                <w:b/>
                <w:bCs/>
                <w:color w:val="FFFFFF"/>
                <w:sz w:val="16"/>
                <w:szCs w:val="16"/>
                <w:lang w:val="es-MX" w:eastAsia="es-MX"/>
              </w:rPr>
            </w:pPr>
            <w:r>
              <w:rPr>
                <w:rFonts w:ascii="Montserrat" w:eastAsia="Times New Roman" w:hAnsi="Montserrat" w:cs="Calibri"/>
                <w:b/>
                <w:bCs/>
                <w:color w:val="FFFFFF"/>
                <w:sz w:val="16"/>
                <w:szCs w:val="16"/>
                <w:lang w:val="es-MX" w:eastAsia="es-MX"/>
              </w:rPr>
              <w:t>201</w:t>
            </w:r>
            <w:r w:rsidR="002E04B7">
              <w:rPr>
                <w:rFonts w:ascii="Montserrat" w:eastAsia="Times New Roman" w:hAnsi="Montserrat" w:cs="Calibri"/>
                <w:b/>
                <w:bCs/>
                <w:color w:val="FFFFFF"/>
                <w:sz w:val="16"/>
                <w:szCs w:val="16"/>
                <w:lang w:val="es-MX" w:eastAsia="es-MX"/>
              </w:rPr>
              <w:t>8</w:t>
            </w:r>
          </w:p>
        </w:tc>
      </w:tr>
      <w:tr w:rsidR="00A96974" w:rsidRPr="006F0DF1" w14:paraId="624FE8BC" w14:textId="77777777" w:rsidTr="00A96974">
        <w:trPr>
          <w:trHeight w:val="215"/>
          <w:jc w:val="center"/>
        </w:trPr>
        <w:tc>
          <w:tcPr>
            <w:tcW w:w="4243" w:type="dxa"/>
            <w:tcBorders>
              <w:top w:val="double" w:sz="12" w:space="0" w:color="808080" w:themeColor="background1" w:themeShade="80"/>
            </w:tcBorders>
            <w:shd w:val="clear" w:color="auto" w:fill="F2F2F2" w:themeFill="background1" w:themeFillShade="F2"/>
            <w:vAlign w:val="center"/>
          </w:tcPr>
          <w:p w14:paraId="77340E18" w14:textId="2DA1DF3D" w:rsidR="00A96974" w:rsidRPr="00255081" w:rsidRDefault="00A96974" w:rsidP="00A96974">
            <w:pPr>
              <w:spacing w:after="0" w:line="240" w:lineRule="auto"/>
              <w:ind w:left="170"/>
              <w:rPr>
                <w:rFonts w:ascii="Montserrat" w:eastAsia="Times New Roman" w:hAnsi="Montserrat" w:cs="Calibri"/>
                <w:color w:val="000000"/>
                <w:sz w:val="15"/>
                <w:szCs w:val="15"/>
                <w:lang w:val="es-MX" w:eastAsia="es-MX"/>
              </w:rPr>
            </w:pPr>
            <w:r>
              <w:rPr>
                <w:rFonts w:ascii="Montserrat" w:eastAsia="Times New Roman" w:hAnsi="Montserrat" w:cs="Calibri"/>
                <w:color w:val="000000"/>
                <w:sz w:val="15"/>
                <w:szCs w:val="15"/>
                <w:lang w:val="es-MX" w:eastAsia="es-MX"/>
              </w:rPr>
              <w:t>Arrendamiento Financiero Nacional por Pagar a LP</w:t>
            </w:r>
          </w:p>
        </w:tc>
        <w:tc>
          <w:tcPr>
            <w:tcW w:w="2098" w:type="dxa"/>
            <w:tcBorders>
              <w:top w:val="double" w:sz="12" w:space="0" w:color="808080" w:themeColor="background1" w:themeShade="80"/>
            </w:tcBorders>
            <w:shd w:val="clear" w:color="auto" w:fill="F2F2F2" w:themeFill="background1" w:themeFillShade="F2"/>
            <w:vAlign w:val="center"/>
          </w:tcPr>
          <w:p w14:paraId="230DB96A" w14:textId="35FDE846" w:rsidR="00A96974" w:rsidRPr="00255081" w:rsidRDefault="00A96974" w:rsidP="00A96974">
            <w:pPr>
              <w:spacing w:after="0" w:line="240" w:lineRule="auto"/>
              <w:jc w:val="right"/>
              <w:rPr>
                <w:rFonts w:ascii="Montserrat" w:eastAsia="Times New Roman" w:hAnsi="Montserrat" w:cs="Calibri"/>
                <w:sz w:val="15"/>
                <w:szCs w:val="15"/>
                <w:lang w:val="es-MX" w:eastAsia="es-MX"/>
              </w:rPr>
            </w:pPr>
            <w:r>
              <w:rPr>
                <w:rFonts w:ascii="Montserrat" w:hAnsi="Montserrat" w:cs="Calibri"/>
                <w:sz w:val="15"/>
                <w:szCs w:val="15"/>
              </w:rPr>
              <w:t>-11,934,451</w:t>
            </w:r>
          </w:p>
        </w:tc>
        <w:tc>
          <w:tcPr>
            <w:tcW w:w="1984" w:type="dxa"/>
            <w:tcBorders>
              <w:top w:val="double" w:sz="12" w:space="0" w:color="808080" w:themeColor="background1" w:themeShade="80"/>
            </w:tcBorders>
            <w:shd w:val="clear" w:color="auto" w:fill="F2F2F2" w:themeFill="background1" w:themeFillShade="F2"/>
            <w:vAlign w:val="center"/>
          </w:tcPr>
          <w:p w14:paraId="608ED360" w14:textId="68C49959" w:rsidR="00A96974" w:rsidRPr="00255081" w:rsidRDefault="00A96974" w:rsidP="00A96974">
            <w:pPr>
              <w:spacing w:after="0" w:line="240" w:lineRule="auto"/>
              <w:jc w:val="right"/>
              <w:rPr>
                <w:rFonts w:ascii="Montserrat" w:eastAsia="Times New Roman" w:hAnsi="Montserrat" w:cs="Calibri"/>
                <w:sz w:val="15"/>
                <w:szCs w:val="15"/>
                <w:lang w:val="es-MX" w:eastAsia="es-MX"/>
              </w:rPr>
            </w:pPr>
            <w:r>
              <w:rPr>
                <w:rFonts w:ascii="Montserrat" w:hAnsi="Montserrat" w:cs="Calibri"/>
                <w:sz w:val="15"/>
                <w:szCs w:val="15"/>
              </w:rPr>
              <w:t>0</w:t>
            </w:r>
          </w:p>
        </w:tc>
      </w:tr>
      <w:tr w:rsidR="00A96974" w:rsidRPr="006F0DF1" w14:paraId="3EA435D3" w14:textId="77777777" w:rsidTr="00A96974">
        <w:trPr>
          <w:trHeight w:val="215"/>
          <w:jc w:val="center"/>
        </w:trPr>
        <w:tc>
          <w:tcPr>
            <w:tcW w:w="4243" w:type="dxa"/>
            <w:tcBorders>
              <w:top w:val="nil"/>
            </w:tcBorders>
            <w:shd w:val="clear" w:color="auto" w:fill="F2F2F2" w:themeFill="background1" w:themeFillShade="F2"/>
            <w:vAlign w:val="center"/>
          </w:tcPr>
          <w:p w14:paraId="2EA04C7D" w14:textId="61AB420C" w:rsidR="00A96974" w:rsidRPr="00255081" w:rsidRDefault="00A96974" w:rsidP="00A96974">
            <w:pPr>
              <w:spacing w:after="0" w:line="240" w:lineRule="auto"/>
              <w:ind w:left="170"/>
              <w:rPr>
                <w:rFonts w:ascii="Montserrat" w:eastAsia="Times New Roman" w:hAnsi="Montserrat" w:cs="Calibri"/>
                <w:color w:val="000000"/>
                <w:sz w:val="15"/>
                <w:szCs w:val="15"/>
                <w:lang w:val="es-MX" w:eastAsia="es-MX"/>
              </w:rPr>
            </w:pPr>
            <w:r w:rsidRPr="00255081">
              <w:rPr>
                <w:rFonts w:ascii="Montserrat" w:eastAsia="Times New Roman" w:hAnsi="Montserrat" w:cs="Calibri"/>
                <w:color w:val="000000"/>
                <w:sz w:val="15"/>
                <w:szCs w:val="15"/>
                <w:lang w:val="es-MX" w:eastAsia="es-MX"/>
              </w:rPr>
              <w:t>Intereses por Pagar Arrendamiento Financiero a LP</w:t>
            </w:r>
          </w:p>
        </w:tc>
        <w:tc>
          <w:tcPr>
            <w:tcW w:w="2098" w:type="dxa"/>
            <w:tcBorders>
              <w:top w:val="nil"/>
            </w:tcBorders>
            <w:shd w:val="clear" w:color="auto" w:fill="F2F2F2" w:themeFill="background1" w:themeFillShade="F2"/>
            <w:vAlign w:val="center"/>
          </w:tcPr>
          <w:p w14:paraId="56A3293B" w14:textId="0211BB7A" w:rsidR="00A96974" w:rsidRPr="00255081" w:rsidRDefault="00A96974" w:rsidP="00A96974">
            <w:pPr>
              <w:spacing w:after="0" w:line="240" w:lineRule="auto"/>
              <w:jc w:val="right"/>
              <w:rPr>
                <w:rFonts w:ascii="Montserrat" w:eastAsia="Times New Roman" w:hAnsi="Montserrat" w:cs="Calibri"/>
                <w:sz w:val="15"/>
                <w:szCs w:val="15"/>
                <w:lang w:val="es-MX" w:eastAsia="es-MX"/>
              </w:rPr>
            </w:pPr>
            <w:r w:rsidRPr="000F0321">
              <w:rPr>
                <w:rFonts w:ascii="Montserrat" w:hAnsi="Montserrat" w:cs="Arial"/>
                <w:color w:val="000000"/>
                <w:sz w:val="15"/>
                <w:szCs w:val="15"/>
              </w:rPr>
              <w:t>10,415,340,570</w:t>
            </w:r>
          </w:p>
        </w:tc>
        <w:tc>
          <w:tcPr>
            <w:tcW w:w="1984" w:type="dxa"/>
            <w:tcBorders>
              <w:top w:val="nil"/>
            </w:tcBorders>
            <w:shd w:val="clear" w:color="auto" w:fill="F2F2F2" w:themeFill="background1" w:themeFillShade="F2"/>
            <w:vAlign w:val="center"/>
          </w:tcPr>
          <w:p w14:paraId="4C71A3C2" w14:textId="7D51E71F" w:rsidR="00A96974" w:rsidRPr="00255081" w:rsidRDefault="00A96974" w:rsidP="00A96974">
            <w:pPr>
              <w:spacing w:after="0" w:line="240" w:lineRule="auto"/>
              <w:jc w:val="right"/>
              <w:rPr>
                <w:rFonts w:ascii="Montserrat" w:eastAsia="Times New Roman" w:hAnsi="Montserrat" w:cs="Calibri"/>
                <w:sz w:val="15"/>
                <w:szCs w:val="15"/>
                <w:lang w:val="es-MX" w:eastAsia="es-MX"/>
              </w:rPr>
            </w:pPr>
            <w:r w:rsidRPr="00255081">
              <w:rPr>
                <w:rFonts w:ascii="Montserrat" w:hAnsi="Montserrat" w:cs="Calibri"/>
                <w:sz w:val="15"/>
                <w:szCs w:val="15"/>
              </w:rPr>
              <w:t>13,247,177,254</w:t>
            </w:r>
          </w:p>
        </w:tc>
      </w:tr>
      <w:tr w:rsidR="00A96974" w:rsidRPr="006F0DF1" w14:paraId="2CE563B5" w14:textId="77777777" w:rsidTr="00556DB3">
        <w:trPr>
          <w:trHeight w:val="215"/>
          <w:jc w:val="center"/>
        </w:trPr>
        <w:tc>
          <w:tcPr>
            <w:tcW w:w="4243" w:type="dxa"/>
            <w:tcBorders>
              <w:top w:val="nil"/>
            </w:tcBorders>
            <w:shd w:val="clear" w:color="auto" w:fill="F2F2F2" w:themeFill="background1" w:themeFillShade="F2"/>
            <w:vAlign w:val="center"/>
          </w:tcPr>
          <w:p w14:paraId="78013098" w14:textId="4A1C8C1F" w:rsidR="00A96974" w:rsidRPr="00255081" w:rsidRDefault="00A96974" w:rsidP="00A96974">
            <w:pPr>
              <w:spacing w:after="0" w:line="240" w:lineRule="auto"/>
              <w:ind w:left="170"/>
              <w:rPr>
                <w:rFonts w:ascii="Montserrat" w:eastAsia="Times New Roman" w:hAnsi="Montserrat" w:cs="Calibri"/>
                <w:color w:val="000000"/>
                <w:sz w:val="15"/>
                <w:szCs w:val="15"/>
                <w:lang w:val="es-MX" w:eastAsia="es-MX"/>
              </w:rPr>
            </w:pPr>
            <w:r w:rsidRPr="00255081">
              <w:rPr>
                <w:rFonts w:ascii="Montserrat" w:eastAsia="Times New Roman" w:hAnsi="Montserrat" w:cs="Calibri"/>
                <w:color w:val="000000"/>
                <w:sz w:val="15"/>
                <w:szCs w:val="15"/>
                <w:lang w:val="es-MX" w:eastAsia="es-MX"/>
              </w:rPr>
              <w:t>Arrendamiento Financiero Nacional y Especial a LP</w:t>
            </w:r>
          </w:p>
        </w:tc>
        <w:tc>
          <w:tcPr>
            <w:tcW w:w="2098" w:type="dxa"/>
            <w:tcBorders>
              <w:top w:val="nil"/>
            </w:tcBorders>
            <w:shd w:val="clear" w:color="auto" w:fill="F2F2F2" w:themeFill="background1" w:themeFillShade="F2"/>
            <w:vAlign w:val="center"/>
          </w:tcPr>
          <w:p w14:paraId="60B2310D" w14:textId="44385568" w:rsidR="00A96974" w:rsidRPr="000F0321" w:rsidRDefault="00A96974" w:rsidP="00A96974">
            <w:pPr>
              <w:spacing w:after="0" w:line="240" w:lineRule="auto"/>
              <w:jc w:val="right"/>
              <w:rPr>
                <w:rFonts w:ascii="Montserrat" w:hAnsi="Montserrat" w:cs="Arial"/>
                <w:color w:val="000000"/>
                <w:sz w:val="15"/>
                <w:szCs w:val="15"/>
              </w:rPr>
            </w:pPr>
            <w:r w:rsidRPr="000F0321">
              <w:rPr>
                <w:rFonts w:ascii="Montserrat" w:hAnsi="Montserrat" w:cs="Arial"/>
                <w:color w:val="000000"/>
                <w:sz w:val="15"/>
                <w:szCs w:val="15"/>
              </w:rPr>
              <w:t>33,548,714,053</w:t>
            </w:r>
          </w:p>
        </w:tc>
        <w:tc>
          <w:tcPr>
            <w:tcW w:w="1984" w:type="dxa"/>
            <w:tcBorders>
              <w:top w:val="nil"/>
            </w:tcBorders>
            <w:shd w:val="clear" w:color="auto" w:fill="F2F2F2" w:themeFill="background1" w:themeFillShade="F2"/>
            <w:vAlign w:val="center"/>
          </w:tcPr>
          <w:p w14:paraId="2F10A70D" w14:textId="40314FF2" w:rsidR="00A96974" w:rsidRPr="00255081" w:rsidRDefault="00A96974" w:rsidP="00A96974">
            <w:pPr>
              <w:spacing w:after="0" w:line="240" w:lineRule="auto"/>
              <w:jc w:val="right"/>
              <w:rPr>
                <w:rFonts w:ascii="Montserrat" w:hAnsi="Montserrat" w:cs="Calibri"/>
                <w:sz w:val="15"/>
                <w:szCs w:val="15"/>
              </w:rPr>
            </w:pPr>
            <w:r w:rsidRPr="00255081">
              <w:rPr>
                <w:rFonts w:ascii="Montserrat" w:hAnsi="Montserrat" w:cs="Calibri"/>
                <w:sz w:val="15"/>
                <w:szCs w:val="15"/>
              </w:rPr>
              <w:t>37,482,938,103</w:t>
            </w:r>
          </w:p>
        </w:tc>
      </w:tr>
      <w:tr w:rsidR="00A96974" w:rsidRPr="006F0DF1" w14:paraId="5E5A86F8" w14:textId="77777777" w:rsidTr="00556DB3">
        <w:trPr>
          <w:trHeight w:val="215"/>
          <w:jc w:val="center"/>
        </w:trPr>
        <w:tc>
          <w:tcPr>
            <w:tcW w:w="4243" w:type="dxa"/>
            <w:tcBorders>
              <w:bottom w:val="single" w:sz="12" w:space="0" w:color="808080" w:themeColor="background1" w:themeShade="80"/>
            </w:tcBorders>
            <w:shd w:val="clear" w:color="auto" w:fill="F2F2F2" w:themeFill="background1" w:themeFillShade="F2"/>
            <w:vAlign w:val="center"/>
            <w:hideMark/>
          </w:tcPr>
          <w:p w14:paraId="3CB1AC28" w14:textId="77777777" w:rsidR="00A96974" w:rsidRPr="00255081" w:rsidRDefault="00A96974" w:rsidP="00A96974">
            <w:pPr>
              <w:spacing w:after="0" w:line="240" w:lineRule="auto"/>
              <w:ind w:left="170"/>
              <w:jc w:val="right"/>
              <w:rPr>
                <w:rFonts w:ascii="Montserrat" w:eastAsia="Times New Roman" w:hAnsi="Montserrat" w:cs="Calibri"/>
                <w:b/>
                <w:bCs/>
                <w:sz w:val="15"/>
                <w:szCs w:val="15"/>
                <w:lang w:val="es-MX" w:eastAsia="es-MX"/>
              </w:rPr>
            </w:pPr>
            <w:r w:rsidRPr="00255081">
              <w:rPr>
                <w:rFonts w:ascii="Montserrat" w:eastAsia="Times New Roman" w:hAnsi="Montserrat" w:cs="Calibri"/>
                <w:b/>
                <w:bCs/>
                <w:sz w:val="15"/>
                <w:szCs w:val="15"/>
                <w:lang w:val="es-MX" w:eastAsia="es-MX"/>
              </w:rPr>
              <w:t>Total Arrendamiento Financiero por Pagar a Largo Plazo</w:t>
            </w:r>
          </w:p>
        </w:tc>
        <w:tc>
          <w:tcPr>
            <w:tcW w:w="2098" w:type="dxa"/>
            <w:tcBorders>
              <w:bottom w:val="single" w:sz="12" w:space="0" w:color="808080" w:themeColor="background1" w:themeShade="80"/>
            </w:tcBorders>
            <w:shd w:val="clear" w:color="auto" w:fill="F2F2F2" w:themeFill="background1" w:themeFillShade="F2"/>
            <w:vAlign w:val="center"/>
          </w:tcPr>
          <w:p w14:paraId="07263F78" w14:textId="2C93F7D0" w:rsidR="00A96974" w:rsidRPr="00255081" w:rsidRDefault="00A96974" w:rsidP="00A96974">
            <w:pPr>
              <w:spacing w:after="0" w:line="240" w:lineRule="auto"/>
              <w:jc w:val="right"/>
              <w:rPr>
                <w:rFonts w:ascii="Montserrat" w:eastAsia="Times New Roman" w:hAnsi="Montserrat" w:cs="Calibri"/>
                <w:b/>
                <w:bCs/>
                <w:color w:val="000000"/>
                <w:sz w:val="15"/>
                <w:szCs w:val="15"/>
                <w:lang w:val="es-MX" w:eastAsia="es-MX"/>
              </w:rPr>
            </w:pPr>
            <w:r>
              <w:rPr>
                <w:rFonts w:ascii="Montserrat" w:hAnsi="Montserrat" w:cs="Arial"/>
                <w:b/>
                <w:bCs/>
                <w:color w:val="000000"/>
                <w:sz w:val="15"/>
                <w:szCs w:val="15"/>
              </w:rPr>
              <w:t>43,952,120,172</w:t>
            </w:r>
          </w:p>
        </w:tc>
        <w:tc>
          <w:tcPr>
            <w:tcW w:w="1984" w:type="dxa"/>
            <w:tcBorders>
              <w:bottom w:val="single" w:sz="12" w:space="0" w:color="808080" w:themeColor="background1" w:themeShade="80"/>
            </w:tcBorders>
            <w:shd w:val="clear" w:color="auto" w:fill="F2F2F2" w:themeFill="background1" w:themeFillShade="F2"/>
            <w:vAlign w:val="center"/>
            <w:hideMark/>
          </w:tcPr>
          <w:p w14:paraId="615D9644" w14:textId="77777777" w:rsidR="00A96974" w:rsidRPr="00255081" w:rsidRDefault="00A96974" w:rsidP="00A96974">
            <w:pPr>
              <w:spacing w:after="0" w:line="240" w:lineRule="auto"/>
              <w:jc w:val="right"/>
              <w:rPr>
                <w:rFonts w:ascii="Montserrat" w:eastAsia="Times New Roman" w:hAnsi="Montserrat" w:cs="Calibri"/>
                <w:b/>
                <w:bCs/>
                <w:color w:val="000000"/>
                <w:sz w:val="15"/>
                <w:szCs w:val="15"/>
                <w:lang w:val="es-MX" w:eastAsia="es-MX"/>
              </w:rPr>
            </w:pPr>
            <w:r w:rsidRPr="00255081">
              <w:rPr>
                <w:rFonts w:ascii="Montserrat" w:eastAsia="Times New Roman" w:hAnsi="Montserrat" w:cs="Calibri"/>
                <w:b/>
                <w:bCs/>
                <w:color w:val="000000"/>
                <w:sz w:val="15"/>
                <w:szCs w:val="15"/>
                <w:lang w:val="es-MX" w:eastAsia="es-MX"/>
              </w:rPr>
              <w:t>50,730,115,357</w:t>
            </w:r>
          </w:p>
        </w:tc>
      </w:tr>
    </w:tbl>
    <w:p w14:paraId="51F8B0E2" w14:textId="77777777" w:rsidR="001278FD" w:rsidRDefault="001278FD" w:rsidP="00B9210C">
      <w:pPr>
        <w:spacing w:after="0" w:line="240" w:lineRule="auto"/>
        <w:jc w:val="both"/>
        <w:rPr>
          <w:rFonts w:ascii="Montserrat" w:hAnsi="Montserrat" w:cs="Arial"/>
          <w:spacing w:val="-1"/>
          <w:sz w:val="18"/>
          <w:szCs w:val="18"/>
        </w:rPr>
      </w:pPr>
    </w:p>
    <w:p w14:paraId="4CA6B14E" w14:textId="77777777" w:rsidR="009C3C24" w:rsidRDefault="009C3C24" w:rsidP="00B9210C">
      <w:pPr>
        <w:pStyle w:val="Prrafodelista"/>
        <w:numPr>
          <w:ilvl w:val="0"/>
          <w:numId w:val="14"/>
        </w:numPr>
        <w:spacing w:before="120" w:after="120" w:line="250" w:lineRule="exact"/>
        <w:ind w:left="714" w:hanging="357"/>
        <w:contextualSpacing w:val="0"/>
        <w:jc w:val="both"/>
        <w:rPr>
          <w:rFonts w:ascii="Montserrat" w:hAnsi="Montserrat" w:cs="Arial"/>
          <w:spacing w:val="-1"/>
          <w:sz w:val="18"/>
          <w:szCs w:val="18"/>
        </w:rPr>
      </w:pPr>
      <w:r w:rsidRPr="00D17520">
        <w:rPr>
          <w:rFonts w:ascii="Montserrat" w:hAnsi="Montserrat" w:cs="Arial"/>
          <w:spacing w:val="-1"/>
          <w:sz w:val="18"/>
          <w:szCs w:val="18"/>
        </w:rPr>
        <w:lastRenderedPageBreak/>
        <w:t>Pasivos Diferidos a Largo Plazo y Fondos y Bienes de Terceros en Garantía y/o en Administración a Largo Plazo</w:t>
      </w:r>
    </w:p>
    <w:p w14:paraId="31ECEA0F" w14:textId="2CC82563" w:rsidR="009C3C24" w:rsidRDefault="009C3C24" w:rsidP="00063579">
      <w:pPr>
        <w:spacing w:after="120" w:line="250" w:lineRule="exact"/>
        <w:jc w:val="both"/>
        <w:rPr>
          <w:rFonts w:ascii="Montserrat" w:hAnsi="Montserrat" w:cs="Arial"/>
          <w:spacing w:val="-1"/>
          <w:sz w:val="18"/>
          <w:szCs w:val="18"/>
        </w:rPr>
      </w:pPr>
      <w:r w:rsidRPr="00063579">
        <w:rPr>
          <w:rFonts w:ascii="Montserrat" w:hAnsi="Montserrat" w:cs="Arial"/>
          <w:spacing w:val="-1"/>
          <w:sz w:val="18"/>
          <w:szCs w:val="18"/>
        </w:rPr>
        <w:t xml:space="preserve">Este rubro corresponde a cuentas en proceso de depuración, fondos y bienes propiedad de terceros en garantía del cumplimiento de obligaciones contractuales o legales o para su administración que eventualmente se tendrán que devolver a su titular en un plazo mayor o igual a doce meses, tales como los Fondos en Banco de México </w:t>
      </w:r>
      <w:r w:rsidR="00BF6E75">
        <w:rPr>
          <w:rFonts w:ascii="Montserrat" w:hAnsi="Montserrat" w:cs="Arial"/>
          <w:spacing w:val="-1"/>
          <w:sz w:val="18"/>
          <w:szCs w:val="18"/>
        </w:rPr>
        <w:t>pensiónissste</w:t>
      </w:r>
      <w:r w:rsidRPr="00063579">
        <w:rPr>
          <w:rFonts w:ascii="Montserrat" w:hAnsi="Montserrat" w:cs="Arial"/>
          <w:spacing w:val="-1"/>
          <w:sz w:val="18"/>
          <w:szCs w:val="18"/>
        </w:rPr>
        <w:t xml:space="preserve"> a Largo Plazo y los Fideicomisos por Programas para Apoyos Crediticios a Largo Plazo.</w:t>
      </w:r>
    </w:p>
    <w:p w14:paraId="68DC0A6D" w14:textId="77777777" w:rsidR="009C3C24" w:rsidRPr="00936371" w:rsidRDefault="009C3C24" w:rsidP="00E52592">
      <w:pPr>
        <w:spacing w:after="60" w:line="250" w:lineRule="exact"/>
        <w:jc w:val="center"/>
        <w:rPr>
          <w:rFonts w:ascii="Montserrat" w:hAnsi="Montserrat" w:cs="Arial"/>
          <w:spacing w:val="-1"/>
          <w:sz w:val="18"/>
          <w:szCs w:val="18"/>
        </w:rPr>
      </w:pPr>
      <w:r w:rsidRPr="00936371">
        <w:rPr>
          <w:rFonts w:ascii="Montserrat" w:eastAsia="Times New Roman" w:hAnsi="Montserrat" w:cs="Calibri"/>
          <w:bCs/>
          <w:sz w:val="16"/>
          <w:szCs w:val="16"/>
          <w:lang w:val="es-MX" w:eastAsia="es-MX"/>
        </w:rPr>
        <w:t>(Pesos)</w:t>
      </w:r>
    </w:p>
    <w:tbl>
      <w:tblPr>
        <w:tblW w:w="9598" w:type="dxa"/>
        <w:jc w:val="center"/>
        <w:tblCellMar>
          <w:left w:w="70" w:type="dxa"/>
          <w:right w:w="70" w:type="dxa"/>
        </w:tblCellMar>
        <w:tblLook w:val="04A0" w:firstRow="1" w:lastRow="0" w:firstColumn="1" w:lastColumn="0" w:noHBand="0" w:noVBand="1"/>
      </w:tblPr>
      <w:tblGrid>
        <w:gridCol w:w="5630"/>
        <w:gridCol w:w="1984"/>
        <w:gridCol w:w="1984"/>
      </w:tblGrid>
      <w:tr w:rsidR="00C4519E" w:rsidRPr="006F0DF1" w14:paraId="0D1E8A94" w14:textId="77777777" w:rsidTr="00CC40D5">
        <w:trPr>
          <w:trHeight w:val="57"/>
          <w:jc w:val="center"/>
        </w:trPr>
        <w:tc>
          <w:tcPr>
            <w:tcW w:w="9598" w:type="dxa"/>
            <w:gridSpan w:val="3"/>
            <w:tcBorders>
              <w:top w:val="single" w:sz="12" w:space="0" w:color="808080" w:themeColor="background1" w:themeShade="80"/>
            </w:tcBorders>
            <w:shd w:val="clear" w:color="auto" w:fill="auto"/>
            <w:noWrap/>
            <w:vAlign w:val="center"/>
          </w:tcPr>
          <w:p w14:paraId="5C88F4A7" w14:textId="77777777" w:rsidR="00C4519E" w:rsidRPr="00BC0F30" w:rsidRDefault="00C4519E" w:rsidP="002F797B">
            <w:pPr>
              <w:spacing w:after="0" w:line="240" w:lineRule="auto"/>
              <w:jc w:val="center"/>
              <w:rPr>
                <w:rFonts w:ascii="Montserrat" w:eastAsia="Times New Roman" w:hAnsi="Montserrat" w:cs="Calibri"/>
                <w:b/>
                <w:bCs/>
                <w:color w:val="FFFFFF"/>
                <w:sz w:val="4"/>
                <w:szCs w:val="4"/>
                <w:lang w:val="es-MX" w:eastAsia="es-MX"/>
              </w:rPr>
            </w:pPr>
          </w:p>
        </w:tc>
      </w:tr>
      <w:tr w:rsidR="009C3C24" w:rsidRPr="006F0DF1" w14:paraId="37B2EFCC" w14:textId="77777777" w:rsidTr="00B9210C">
        <w:trPr>
          <w:trHeight w:val="317"/>
          <w:jc w:val="center"/>
        </w:trPr>
        <w:tc>
          <w:tcPr>
            <w:tcW w:w="5630" w:type="dxa"/>
            <w:tcBorders>
              <w:left w:val="single" w:sz="8" w:space="0" w:color="FFFFFF" w:themeColor="background1"/>
              <w:bottom w:val="double" w:sz="12" w:space="0" w:color="808080" w:themeColor="background1" w:themeShade="80"/>
              <w:right w:val="single" w:sz="8" w:space="0" w:color="FFFFFF" w:themeColor="background1"/>
            </w:tcBorders>
            <w:shd w:val="clear" w:color="auto" w:fill="D4C19C"/>
            <w:noWrap/>
            <w:vAlign w:val="center"/>
            <w:hideMark/>
          </w:tcPr>
          <w:p w14:paraId="67B7166C" w14:textId="77777777" w:rsidR="009C3C24" w:rsidRPr="006F0DF1" w:rsidRDefault="009C3C24" w:rsidP="002F797B">
            <w:pPr>
              <w:spacing w:after="0" w:line="240" w:lineRule="auto"/>
              <w:jc w:val="center"/>
              <w:rPr>
                <w:rFonts w:ascii="Montserrat" w:eastAsia="Times New Roman" w:hAnsi="Montserrat" w:cs="Calibri"/>
                <w:b/>
                <w:bCs/>
                <w:color w:val="FFFFFF"/>
                <w:sz w:val="16"/>
                <w:szCs w:val="16"/>
                <w:lang w:val="es-MX" w:eastAsia="es-MX"/>
              </w:rPr>
            </w:pPr>
            <w:r w:rsidRPr="006F0DF1">
              <w:rPr>
                <w:rFonts w:ascii="Montserrat" w:eastAsia="Times New Roman" w:hAnsi="Montserrat" w:cs="Calibri"/>
                <w:b/>
                <w:bCs/>
                <w:color w:val="FFFFFF"/>
                <w:sz w:val="16"/>
                <w:szCs w:val="16"/>
                <w:lang w:val="es-MX" w:eastAsia="es-MX"/>
              </w:rPr>
              <w:t>Concepto</w:t>
            </w:r>
          </w:p>
        </w:tc>
        <w:tc>
          <w:tcPr>
            <w:tcW w:w="1984" w:type="dxa"/>
            <w:tcBorders>
              <w:left w:val="single" w:sz="8" w:space="0" w:color="FFFFFF" w:themeColor="background1"/>
              <w:bottom w:val="double" w:sz="12" w:space="0" w:color="808080" w:themeColor="background1" w:themeShade="80"/>
              <w:right w:val="single" w:sz="8" w:space="0" w:color="FFFFFF" w:themeColor="background1"/>
            </w:tcBorders>
            <w:shd w:val="clear" w:color="auto" w:fill="D4C19C"/>
            <w:vAlign w:val="center"/>
            <w:hideMark/>
          </w:tcPr>
          <w:p w14:paraId="75E41216" w14:textId="77777777" w:rsidR="009C3C24" w:rsidRPr="006F0DF1" w:rsidRDefault="009C3C24" w:rsidP="002F797B">
            <w:pPr>
              <w:spacing w:after="0" w:line="240" w:lineRule="auto"/>
              <w:jc w:val="center"/>
              <w:rPr>
                <w:rFonts w:ascii="Montserrat" w:eastAsia="Times New Roman" w:hAnsi="Montserrat" w:cs="Calibri"/>
                <w:b/>
                <w:bCs/>
                <w:color w:val="FFFFFF"/>
                <w:sz w:val="16"/>
                <w:szCs w:val="16"/>
                <w:lang w:val="es-MX" w:eastAsia="es-MX"/>
              </w:rPr>
            </w:pPr>
            <w:r>
              <w:rPr>
                <w:rFonts w:ascii="Montserrat" w:eastAsia="Times New Roman" w:hAnsi="Montserrat" w:cs="Calibri"/>
                <w:b/>
                <w:bCs/>
                <w:color w:val="FFFFFF"/>
                <w:sz w:val="16"/>
                <w:szCs w:val="16"/>
                <w:lang w:val="es-MX" w:eastAsia="es-MX"/>
              </w:rPr>
              <w:t>201</w:t>
            </w:r>
            <w:r w:rsidR="00595FC2">
              <w:rPr>
                <w:rFonts w:ascii="Montserrat" w:eastAsia="Times New Roman" w:hAnsi="Montserrat" w:cs="Calibri"/>
                <w:b/>
                <w:bCs/>
                <w:color w:val="FFFFFF"/>
                <w:sz w:val="16"/>
                <w:szCs w:val="16"/>
                <w:lang w:val="es-MX" w:eastAsia="es-MX"/>
              </w:rPr>
              <w:t>9</w:t>
            </w:r>
          </w:p>
        </w:tc>
        <w:tc>
          <w:tcPr>
            <w:tcW w:w="1984" w:type="dxa"/>
            <w:tcBorders>
              <w:left w:val="single" w:sz="8" w:space="0" w:color="FFFFFF" w:themeColor="background1"/>
              <w:bottom w:val="double" w:sz="12" w:space="0" w:color="808080" w:themeColor="background1" w:themeShade="80"/>
              <w:right w:val="single" w:sz="8" w:space="0" w:color="FFFFFF" w:themeColor="background1"/>
            </w:tcBorders>
            <w:shd w:val="clear" w:color="auto" w:fill="D4C19C"/>
            <w:noWrap/>
            <w:vAlign w:val="center"/>
            <w:hideMark/>
          </w:tcPr>
          <w:p w14:paraId="4996C290" w14:textId="77777777" w:rsidR="009C3C24" w:rsidRPr="006F0DF1" w:rsidRDefault="009C3C24" w:rsidP="002F797B">
            <w:pPr>
              <w:spacing w:after="0" w:line="240" w:lineRule="auto"/>
              <w:jc w:val="center"/>
              <w:rPr>
                <w:rFonts w:ascii="Montserrat" w:eastAsia="Times New Roman" w:hAnsi="Montserrat" w:cs="Calibri"/>
                <w:b/>
                <w:bCs/>
                <w:color w:val="FFFFFF"/>
                <w:sz w:val="16"/>
                <w:szCs w:val="16"/>
                <w:lang w:val="es-MX" w:eastAsia="es-MX"/>
              </w:rPr>
            </w:pPr>
            <w:r>
              <w:rPr>
                <w:rFonts w:ascii="Montserrat" w:eastAsia="Times New Roman" w:hAnsi="Montserrat" w:cs="Calibri"/>
                <w:b/>
                <w:bCs/>
                <w:color w:val="FFFFFF"/>
                <w:sz w:val="16"/>
                <w:szCs w:val="16"/>
                <w:lang w:val="es-MX" w:eastAsia="es-MX"/>
              </w:rPr>
              <w:t>201</w:t>
            </w:r>
            <w:r w:rsidR="00595FC2">
              <w:rPr>
                <w:rFonts w:ascii="Montserrat" w:eastAsia="Times New Roman" w:hAnsi="Montserrat" w:cs="Calibri"/>
                <w:b/>
                <w:bCs/>
                <w:color w:val="FFFFFF"/>
                <w:sz w:val="16"/>
                <w:szCs w:val="16"/>
                <w:lang w:val="es-MX" w:eastAsia="es-MX"/>
              </w:rPr>
              <w:t>8</w:t>
            </w:r>
          </w:p>
        </w:tc>
      </w:tr>
      <w:tr w:rsidR="00D216BF" w:rsidRPr="006F0DF1" w14:paraId="7941572C" w14:textId="77777777" w:rsidTr="00556DB3">
        <w:trPr>
          <w:trHeight w:val="170"/>
          <w:jc w:val="center"/>
        </w:trPr>
        <w:tc>
          <w:tcPr>
            <w:tcW w:w="5630" w:type="dxa"/>
            <w:tcBorders>
              <w:top w:val="double" w:sz="12" w:space="0" w:color="808080" w:themeColor="background1" w:themeShade="80"/>
            </w:tcBorders>
            <w:shd w:val="clear" w:color="auto" w:fill="F2F2F2" w:themeFill="background1" w:themeFillShade="F2"/>
            <w:noWrap/>
            <w:vAlign w:val="center"/>
            <w:hideMark/>
          </w:tcPr>
          <w:p w14:paraId="66A624A6" w14:textId="77777777" w:rsidR="00D216BF" w:rsidRPr="00255081" w:rsidRDefault="00D216BF" w:rsidP="00D216BF">
            <w:pPr>
              <w:spacing w:after="0" w:line="240" w:lineRule="auto"/>
              <w:jc w:val="both"/>
              <w:rPr>
                <w:rFonts w:ascii="Montserrat" w:eastAsia="Times New Roman" w:hAnsi="Montserrat" w:cs="Calibri"/>
                <w:color w:val="000000"/>
                <w:sz w:val="15"/>
                <w:szCs w:val="15"/>
                <w:lang w:val="es-MX" w:eastAsia="es-MX"/>
              </w:rPr>
            </w:pPr>
            <w:r w:rsidRPr="00255081">
              <w:rPr>
                <w:rFonts w:ascii="Montserrat" w:eastAsia="Times New Roman" w:hAnsi="Montserrat" w:cs="Calibri"/>
                <w:color w:val="000000"/>
                <w:sz w:val="15"/>
                <w:szCs w:val="15"/>
                <w:lang w:val="es-MX" w:eastAsia="es-MX"/>
              </w:rPr>
              <w:t>Pasivos Diferidos a Largo Plazo y Fondos y Bienes de Terceros en Garantía y/o en Administración a Largo Plazo</w:t>
            </w:r>
          </w:p>
        </w:tc>
        <w:tc>
          <w:tcPr>
            <w:tcW w:w="1984" w:type="dxa"/>
            <w:tcBorders>
              <w:top w:val="double" w:sz="12" w:space="0" w:color="808080" w:themeColor="background1" w:themeShade="80"/>
            </w:tcBorders>
            <w:shd w:val="clear" w:color="auto" w:fill="F2F2F2" w:themeFill="background1" w:themeFillShade="F2"/>
            <w:vAlign w:val="center"/>
          </w:tcPr>
          <w:p w14:paraId="0ED8CF59" w14:textId="6580628E" w:rsidR="00D216BF" w:rsidRPr="00255081" w:rsidRDefault="00D216BF" w:rsidP="00D216BF">
            <w:pPr>
              <w:spacing w:after="0" w:line="240" w:lineRule="auto"/>
              <w:jc w:val="right"/>
              <w:rPr>
                <w:rFonts w:ascii="Montserrat" w:eastAsia="Times New Roman" w:hAnsi="Montserrat" w:cs="Calibri"/>
                <w:sz w:val="15"/>
                <w:szCs w:val="15"/>
                <w:lang w:val="es-MX" w:eastAsia="es-MX"/>
              </w:rPr>
            </w:pPr>
            <w:r w:rsidRPr="000F0321">
              <w:rPr>
                <w:rFonts w:ascii="Montserrat" w:hAnsi="Montserrat" w:cs="Arial"/>
                <w:color w:val="000000"/>
                <w:sz w:val="15"/>
                <w:szCs w:val="15"/>
              </w:rPr>
              <w:t>10,089,171,384</w:t>
            </w:r>
          </w:p>
        </w:tc>
        <w:tc>
          <w:tcPr>
            <w:tcW w:w="1984" w:type="dxa"/>
            <w:tcBorders>
              <w:top w:val="double" w:sz="12" w:space="0" w:color="808080" w:themeColor="background1" w:themeShade="80"/>
            </w:tcBorders>
            <w:shd w:val="clear" w:color="auto" w:fill="F2F2F2" w:themeFill="background1" w:themeFillShade="F2"/>
            <w:noWrap/>
            <w:vAlign w:val="center"/>
            <w:hideMark/>
          </w:tcPr>
          <w:p w14:paraId="2E97310C" w14:textId="77777777" w:rsidR="00D216BF" w:rsidRPr="00255081" w:rsidRDefault="00D216BF" w:rsidP="00D216BF">
            <w:pPr>
              <w:spacing w:after="0" w:line="240" w:lineRule="auto"/>
              <w:jc w:val="right"/>
              <w:rPr>
                <w:rFonts w:ascii="Montserrat" w:eastAsia="Times New Roman" w:hAnsi="Montserrat" w:cs="Calibri"/>
                <w:sz w:val="15"/>
                <w:szCs w:val="15"/>
                <w:lang w:val="es-MX" w:eastAsia="es-MX"/>
              </w:rPr>
            </w:pPr>
            <w:r w:rsidRPr="00255081">
              <w:rPr>
                <w:rFonts w:ascii="Montserrat" w:eastAsia="Times New Roman" w:hAnsi="Montserrat" w:cs="Calibri"/>
                <w:sz w:val="15"/>
                <w:szCs w:val="15"/>
                <w:lang w:val="es-MX" w:eastAsia="es-MX"/>
              </w:rPr>
              <w:t>10,089,171,383</w:t>
            </w:r>
          </w:p>
        </w:tc>
      </w:tr>
      <w:tr w:rsidR="00D216BF" w:rsidRPr="006F0DF1" w14:paraId="0D023C55" w14:textId="77777777" w:rsidTr="00556DB3">
        <w:trPr>
          <w:trHeight w:val="170"/>
          <w:jc w:val="center"/>
        </w:trPr>
        <w:tc>
          <w:tcPr>
            <w:tcW w:w="5630" w:type="dxa"/>
            <w:tcBorders>
              <w:bottom w:val="single" w:sz="12" w:space="0" w:color="808080" w:themeColor="background1" w:themeShade="80"/>
            </w:tcBorders>
            <w:shd w:val="clear" w:color="auto" w:fill="F2F2F2" w:themeFill="background1" w:themeFillShade="F2"/>
            <w:noWrap/>
            <w:vAlign w:val="center"/>
          </w:tcPr>
          <w:p w14:paraId="5ABA2D91" w14:textId="77777777" w:rsidR="00D216BF" w:rsidRPr="00255081" w:rsidRDefault="00D216BF" w:rsidP="00D216BF">
            <w:pPr>
              <w:spacing w:after="0" w:line="240" w:lineRule="auto"/>
              <w:ind w:left="170"/>
              <w:jc w:val="right"/>
              <w:rPr>
                <w:rFonts w:ascii="Montserrat" w:eastAsia="Times New Roman" w:hAnsi="Montserrat" w:cs="Calibri"/>
                <w:b/>
                <w:color w:val="000000"/>
                <w:sz w:val="15"/>
                <w:szCs w:val="15"/>
                <w:lang w:val="es-MX" w:eastAsia="es-MX"/>
              </w:rPr>
            </w:pPr>
            <w:r w:rsidRPr="00255081">
              <w:rPr>
                <w:rFonts w:ascii="Montserrat" w:eastAsia="Times New Roman" w:hAnsi="Montserrat" w:cs="Calibri"/>
                <w:b/>
                <w:color w:val="000000"/>
                <w:sz w:val="15"/>
                <w:szCs w:val="15"/>
                <w:lang w:val="es-MX" w:eastAsia="es-MX"/>
              </w:rPr>
              <w:t>Total Pasivos Diferidos a Largo Plazo y Fondos y Bienes de Terceros en Garantía y/o en Administración a Largo Plazo</w:t>
            </w:r>
          </w:p>
        </w:tc>
        <w:tc>
          <w:tcPr>
            <w:tcW w:w="1984" w:type="dxa"/>
            <w:tcBorders>
              <w:bottom w:val="single" w:sz="12" w:space="0" w:color="808080" w:themeColor="background1" w:themeShade="80"/>
            </w:tcBorders>
            <w:shd w:val="clear" w:color="auto" w:fill="F2F2F2" w:themeFill="background1" w:themeFillShade="F2"/>
            <w:vAlign w:val="center"/>
          </w:tcPr>
          <w:p w14:paraId="3372F3CF" w14:textId="73A97FEF" w:rsidR="00D216BF" w:rsidRPr="00255081" w:rsidRDefault="00D216BF" w:rsidP="00D216BF">
            <w:pPr>
              <w:spacing w:after="0" w:line="240" w:lineRule="auto"/>
              <w:jc w:val="right"/>
              <w:rPr>
                <w:rFonts w:ascii="Montserrat" w:eastAsia="Times New Roman" w:hAnsi="Montserrat" w:cs="Calibri"/>
                <w:b/>
                <w:sz w:val="15"/>
                <w:szCs w:val="15"/>
                <w:lang w:val="es-MX" w:eastAsia="es-MX"/>
              </w:rPr>
            </w:pPr>
            <w:r w:rsidRPr="000F0321">
              <w:rPr>
                <w:rFonts w:ascii="Montserrat" w:hAnsi="Montserrat" w:cs="Arial"/>
                <w:b/>
                <w:bCs/>
                <w:color w:val="000000"/>
                <w:sz w:val="15"/>
                <w:szCs w:val="15"/>
              </w:rPr>
              <w:t>10,089,171,384</w:t>
            </w:r>
          </w:p>
        </w:tc>
        <w:tc>
          <w:tcPr>
            <w:tcW w:w="1984" w:type="dxa"/>
            <w:tcBorders>
              <w:bottom w:val="single" w:sz="12" w:space="0" w:color="808080" w:themeColor="background1" w:themeShade="80"/>
            </w:tcBorders>
            <w:shd w:val="clear" w:color="auto" w:fill="F2F2F2" w:themeFill="background1" w:themeFillShade="F2"/>
            <w:noWrap/>
            <w:vAlign w:val="center"/>
          </w:tcPr>
          <w:p w14:paraId="5C0027C3" w14:textId="77777777" w:rsidR="00D216BF" w:rsidRPr="00255081" w:rsidRDefault="00D216BF" w:rsidP="00D216BF">
            <w:pPr>
              <w:spacing w:after="0" w:line="240" w:lineRule="auto"/>
              <w:jc w:val="right"/>
              <w:rPr>
                <w:rFonts w:ascii="Montserrat" w:eastAsia="Times New Roman" w:hAnsi="Montserrat" w:cs="Calibri"/>
                <w:b/>
                <w:sz w:val="15"/>
                <w:szCs w:val="15"/>
                <w:lang w:val="es-MX" w:eastAsia="es-MX"/>
              </w:rPr>
            </w:pPr>
            <w:r w:rsidRPr="00255081">
              <w:rPr>
                <w:rFonts w:ascii="Montserrat" w:eastAsia="Times New Roman" w:hAnsi="Montserrat" w:cs="Calibri"/>
                <w:b/>
                <w:sz w:val="15"/>
                <w:szCs w:val="15"/>
                <w:lang w:val="es-MX" w:eastAsia="es-MX"/>
              </w:rPr>
              <w:t>10,089,171,383</w:t>
            </w:r>
          </w:p>
        </w:tc>
      </w:tr>
    </w:tbl>
    <w:p w14:paraId="1A74BC5A" w14:textId="457B7E62" w:rsidR="005E508C" w:rsidRDefault="005E508C" w:rsidP="00B9210C">
      <w:pPr>
        <w:spacing w:after="120" w:line="250" w:lineRule="exact"/>
        <w:jc w:val="both"/>
        <w:rPr>
          <w:rFonts w:ascii="Montserrat" w:hAnsi="Montserrat"/>
          <w:b/>
          <w:caps/>
          <w:sz w:val="18"/>
          <w:szCs w:val="18"/>
          <w:lang w:val="es-MX" w:eastAsia="es-MX"/>
        </w:rPr>
      </w:pPr>
    </w:p>
    <w:p w14:paraId="732545DA" w14:textId="77777777" w:rsidR="005E508C" w:rsidRPr="005E508C" w:rsidRDefault="005E508C" w:rsidP="005E508C">
      <w:pPr>
        <w:rPr>
          <w:rFonts w:ascii="Montserrat" w:hAnsi="Montserrat"/>
          <w:sz w:val="18"/>
          <w:szCs w:val="18"/>
          <w:lang w:val="es-MX" w:eastAsia="es-MX"/>
        </w:rPr>
      </w:pPr>
    </w:p>
    <w:p w14:paraId="2DAC42EE" w14:textId="77F5BEF1" w:rsidR="005E508C" w:rsidRDefault="005E508C" w:rsidP="00B9210C">
      <w:pPr>
        <w:spacing w:after="120" w:line="250" w:lineRule="exact"/>
        <w:jc w:val="both"/>
        <w:rPr>
          <w:rFonts w:ascii="Montserrat" w:hAnsi="Montserrat"/>
          <w:sz w:val="18"/>
          <w:szCs w:val="18"/>
          <w:lang w:val="es-MX" w:eastAsia="es-MX"/>
        </w:rPr>
      </w:pPr>
    </w:p>
    <w:p w14:paraId="40DC4C84" w14:textId="77777777" w:rsidR="005E508C" w:rsidRDefault="005E508C" w:rsidP="005E508C">
      <w:pPr>
        <w:tabs>
          <w:tab w:val="left" w:pos="3480"/>
        </w:tabs>
        <w:spacing w:after="120" w:line="250" w:lineRule="exact"/>
        <w:jc w:val="both"/>
        <w:rPr>
          <w:rFonts w:ascii="Montserrat" w:hAnsi="Montserrat"/>
          <w:sz w:val="18"/>
          <w:szCs w:val="18"/>
          <w:lang w:val="es-MX" w:eastAsia="es-MX"/>
        </w:rPr>
      </w:pPr>
      <w:r>
        <w:rPr>
          <w:rFonts w:ascii="Montserrat" w:hAnsi="Montserrat"/>
          <w:sz w:val="18"/>
          <w:szCs w:val="18"/>
          <w:lang w:val="es-MX" w:eastAsia="es-MX"/>
        </w:rPr>
        <w:tab/>
      </w:r>
    </w:p>
    <w:p w14:paraId="29AB2268" w14:textId="46C2F921" w:rsidR="005E508C" w:rsidRDefault="005E508C" w:rsidP="005E508C">
      <w:pPr>
        <w:tabs>
          <w:tab w:val="left" w:pos="3480"/>
        </w:tabs>
        <w:spacing w:after="120" w:line="250" w:lineRule="exact"/>
        <w:jc w:val="both"/>
        <w:rPr>
          <w:rFonts w:ascii="Montserrat" w:hAnsi="Montserrat"/>
          <w:sz w:val="18"/>
          <w:szCs w:val="18"/>
          <w:lang w:val="es-MX" w:eastAsia="es-MX"/>
        </w:rPr>
      </w:pPr>
    </w:p>
    <w:p w14:paraId="17A78A40" w14:textId="77777777" w:rsidR="009C3C24" w:rsidRPr="001F53E4" w:rsidRDefault="009B3837" w:rsidP="00B9210C">
      <w:pPr>
        <w:spacing w:after="120" w:line="250" w:lineRule="exact"/>
        <w:jc w:val="both"/>
        <w:rPr>
          <w:rFonts w:ascii="Montserrat" w:hAnsi="Montserrat"/>
          <w:b/>
          <w:caps/>
          <w:sz w:val="18"/>
          <w:szCs w:val="18"/>
          <w:lang w:val="es-MX" w:eastAsia="es-MX"/>
        </w:rPr>
      </w:pPr>
      <w:r w:rsidRPr="005E508C">
        <w:rPr>
          <w:rFonts w:ascii="Montserrat" w:hAnsi="Montserrat"/>
          <w:sz w:val="18"/>
          <w:szCs w:val="18"/>
          <w:lang w:val="es-MX" w:eastAsia="es-MX"/>
        </w:rPr>
        <w:br w:type="page"/>
      </w:r>
      <w:r w:rsidR="009C3C24" w:rsidRPr="001F53E4">
        <w:rPr>
          <w:rFonts w:ascii="Montserrat" w:hAnsi="Montserrat"/>
          <w:b/>
          <w:caps/>
          <w:sz w:val="18"/>
          <w:szCs w:val="18"/>
          <w:lang w:val="es-MX" w:eastAsia="es-MX"/>
        </w:rPr>
        <w:lastRenderedPageBreak/>
        <w:t>Notas al Estado de Actividades</w:t>
      </w:r>
    </w:p>
    <w:p w14:paraId="0B6A871D" w14:textId="1D423158" w:rsidR="009C3C24" w:rsidRPr="006F0DF1" w:rsidRDefault="00F174D8" w:rsidP="009C3C24">
      <w:pPr>
        <w:spacing w:after="120" w:line="250" w:lineRule="exact"/>
        <w:jc w:val="both"/>
        <w:rPr>
          <w:rFonts w:ascii="Montserrat" w:hAnsi="Montserrat" w:cs="Arial"/>
          <w:spacing w:val="-1"/>
          <w:sz w:val="18"/>
          <w:szCs w:val="18"/>
        </w:rPr>
      </w:pPr>
      <w:r>
        <w:rPr>
          <w:rFonts w:ascii="Montserrat" w:hAnsi="Montserrat" w:cs="Arial"/>
          <w:spacing w:val="-1"/>
          <w:sz w:val="18"/>
          <w:szCs w:val="18"/>
        </w:rPr>
        <w:t>S</w:t>
      </w:r>
      <w:r w:rsidR="009C3C24" w:rsidRPr="006F0DF1">
        <w:rPr>
          <w:rFonts w:ascii="Montserrat" w:hAnsi="Montserrat" w:cs="Arial"/>
          <w:spacing w:val="-1"/>
          <w:sz w:val="18"/>
          <w:szCs w:val="18"/>
        </w:rPr>
        <w:t xml:space="preserve">e integra por dos grandes agregados representados por los Ingresos de Gestión y Otros Beneficios, así como los Gastos y Otras Pérdidas, mostrando los </w:t>
      </w:r>
      <w:r w:rsidR="009C3C24" w:rsidRPr="00063579">
        <w:rPr>
          <w:rFonts w:ascii="Montserrat" w:hAnsi="Montserrat" w:cs="Arial"/>
          <w:spacing w:val="-1"/>
          <w:sz w:val="18"/>
          <w:szCs w:val="18"/>
        </w:rPr>
        <w:t>conceptos</w:t>
      </w:r>
      <w:r w:rsidR="009C3C24" w:rsidRPr="006F0DF1">
        <w:rPr>
          <w:rFonts w:ascii="Montserrat" w:hAnsi="Montserrat" w:cs="Arial"/>
          <w:spacing w:val="-1"/>
          <w:sz w:val="18"/>
          <w:szCs w:val="18"/>
        </w:rPr>
        <w:t xml:space="preserve"> del ingreso de acuerdo a la contribución de la Ley de Ingresos </w:t>
      </w:r>
      <w:r w:rsidR="000321AA">
        <w:rPr>
          <w:rFonts w:ascii="Montserrat" w:hAnsi="Montserrat" w:cs="Arial"/>
          <w:spacing w:val="-1"/>
          <w:sz w:val="18"/>
          <w:szCs w:val="18"/>
        </w:rPr>
        <w:t xml:space="preserve">de la Federación </w:t>
      </w:r>
      <w:r w:rsidR="009C3C24" w:rsidRPr="006F0DF1">
        <w:rPr>
          <w:rFonts w:ascii="Montserrat" w:hAnsi="Montserrat" w:cs="Arial"/>
          <w:spacing w:val="-1"/>
          <w:sz w:val="18"/>
          <w:szCs w:val="18"/>
        </w:rPr>
        <w:t>y los Gastos con los conceptos del Cl</w:t>
      </w:r>
      <w:r>
        <w:rPr>
          <w:rFonts w:ascii="Montserrat" w:hAnsi="Montserrat" w:cs="Arial"/>
          <w:spacing w:val="-1"/>
          <w:sz w:val="18"/>
          <w:szCs w:val="18"/>
        </w:rPr>
        <w:t>asificador por Objeto del Gasto. A</w:t>
      </w:r>
      <w:r w:rsidR="009C3C24" w:rsidRPr="006F0DF1">
        <w:rPr>
          <w:rFonts w:ascii="Montserrat" w:hAnsi="Montserrat" w:cs="Arial"/>
          <w:spacing w:val="-1"/>
          <w:sz w:val="18"/>
          <w:szCs w:val="18"/>
        </w:rPr>
        <w:t>simismo</w:t>
      </w:r>
      <w:r>
        <w:rPr>
          <w:rFonts w:ascii="Montserrat" w:hAnsi="Montserrat" w:cs="Arial"/>
          <w:spacing w:val="-1"/>
          <w:sz w:val="18"/>
          <w:szCs w:val="18"/>
        </w:rPr>
        <w:t>,</w:t>
      </w:r>
      <w:r w:rsidR="009C3C24" w:rsidRPr="006F0DF1">
        <w:rPr>
          <w:rFonts w:ascii="Montserrat" w:hAnsi="Montserrat" w:cs="Arial"/>
          <w:spacing w:val="-1"/>
          <w:sz w:val="18"/>
          <w:szCs w:val="18"/>
        </w:rPr>
        <w:t xml:space="preserve"> permite determinar el resultado</w:t>
      </w:r>
      <w:r>
        <w:rPr>
          <w:rFonts w:ascii="Montserrat" w:hAnsi="Montserrat" w:cs="Arial"/>
          <w:spacing w:val="-1"/>
          <w:sz w:val="18"/>
          <w:szCs w:val="18"/>
        </w:rPr>
        <w:t xml:space="preserve"> que</w:t>
      </w:r>
      <w:r w:rsidR="009C3C24" w:rsidRPr="006F0DF1">
        <w:rPr>
          <w:rFonts w:ascii="Montserrat" w:hAnsi="Montserrat" w:cs="Arial"/>
          <w:spacing w:val="-1"/>
          <w:sz w:val="18"/>
          <w:szCs w:val="18"/>
        </w:rPr>
        <w:t xml:space="preserve"> para e</w:t>
      </w:r>
      <w:r w:rsidR="001578FB">
        <w:rPr>
          <w:rFonts w:ascii="Montserrat" w:hAnsi="Montserrat" w:cs="Arial"/>
          <w:spacing w:val="-1"/>
          <w:sz w:val="18"/>
          <w:szCs w:val="18"/>
        </w:rPr>
        <w:t xml:space="preserve">l periodo que se reporta, es de </w:t>
      </w:r>
      <w:r w:rsidR="004F3BA2">
        <w:rPr>
          <w:rFonts w:ascii="Montserrat" w:hAnsi="Montserrat" w:cs="Arial"/>
          <w:spacing w:val="-1"/>
          <w:sz w:val="18"/>
          <w:szCs w:val="18"/>
        </w:rPr>
        <w:t xml:space="preserve">-346,040,338,429 </w:t>
      </w:r>
      <w:r w:rsidR="009C3C24" w:rsidRPr="00063579">
        <w:rPr>
          <w:rFonts w:ascii="Montserrat" w:hAnsi="Montserrat" w:cs="Arial"/>
          <w:spacing w:val="-1"/>
          <w:sz w:val="18"/>
          <w:szCs w:val="18"/>
        </w:rPr>
        <w:t>pesos</w:t>
      </w:r>
      <w:r w:rsidR="009C3C24" w:rsidRPr="006F0DF1">
        <w:rPr>
          <w:rFonts w:ascii="Montserrat" w:hAnsi="Montserrat" w:cs="Arial"/>
          <w:spacing w:val="-1"/>
          <w:sz w:val="18"/>
          <w:szCs w:val="18"/>
        </w:rPr>
        <w:t>.</w:t>
      </w:r>
    </w:p>
    <w:p w14:paraId="10CE22C7" w14:textId="77777777" w:rsidR="009C3C24" w:rsidRPr="004E44CE" w:rsidRDefault="009C3C24" w:rsidP="005A5AC5">
      <w:pPr>
        <w:pStyle w:val="VIETAFLECHA"/>
        <w:numPr>
          <w:ilvl w:val="0"/>
          <w:numId w:val="13"/>
        </w:numPr>
        <w:ind w:left="357" w:hanging="357"/>
        <w:rPr>
          <w:rFonts w:cs="Arial"/>
          <w:spacing w:val="-1"/>
        </w:rPr>
      </w:pPr>
      <w:r w:rsidRPr="004E44CE">
        <w:rPr>
          <w:rFonts w:cs="Arial"/>
          <w:spacing w:val="-1"/>
        </w:rPr>
        <w:t xml:space="preserve">Ingresos de Gestión y Transferencias </w:t>
      </w:r>
    </w:p>
    <w:p w14:paraId="4F18EB75" w14:textId="77777777" w:rsidR="009C3C24" w:rsidRPr="006F0DF1" w:rsidRDefault="009C3C24" w:rsidP="00063579">
      <w:pPr>
        <w:spacing w:after="120" w:line="250" w:lineRule="exact"/>
        <w:jc w:val="both"/>
        <w:rPr>
          <w:rFonts w:ascii="Montserrat" w:hAnsi="Montserrat" w:cs="Arial"/>
          <w:spacing w:val="-1"/>
          <w:sz w:val="18"/>
          <w:szCs w:val="18"/>
        </w:rPr>
      </w:pPr>
      <w:r w:rsidRPr="006F0DF1">
        <w:rPr>
          <w:rFonts w:ascii="Montserrat" w:hAnsi="Montserrat" w:cs="Arial"/>
          <w:spacing w:val="-1"/>
          <w:sz w:val="18"/>
          <w:szCs w:val="18"/>
        </w:rPr>
        <w:t>Los Ingresos de gestión son resultado de la política de recaudación aplicada por el Ejecutivo Federal, los cuales se integran principalmente por los impuestos, Aprovechamientos y Transferencias, dichos ingresos se conforman de la siguiente manera:</w:t>
      </w:r>
    </w:p>
    <w:p w14:paraId="0A0DC611" w14:textId="77777777" w:rsidR="009C3C24" w:rsidRPr="00936371" w:rsidRDefault="009C3C24" w:rsidP="00E52592">
      <w:pPr>
        <w:spacing w:after="60" w:line="250" w:lineRule="exact"/>
        <w:jc w:val="center"/>
        <w:rPr>
          <w:rFonts w:ascii="Montserrat" w:hAnsi="Montserrat" w:cs="Arial"/>
          <w:spacing w:val="-1"/>
          <w:sz w:val="18"/>
          <w:szCs w:val="18"/>
        </w:rPr>
      </w:pPr>
      <w:r w:rsidRPr="00936371">
        <w:rPr>
          <w:rFonts w:ascii="Montserrat" w:eastAsia="Times New Roman" w:hAnsi="Montserrat" w:cs="Calibri"/>
          <w:bCs/>
          <w:sz w:val="16"/>
          <w:szCs w:val="16"/>
          <w:lang w:val="es-MX" w:eastAsia="es-MX"/>
        </w:rPr>
        <w:t>(Pesos)</w:t>
      </w:r>
    </w:p>
    <w:tbl>
      <w:tblPr>
        <w:tblW w:w="8031" w:type="dxa"/>
        <w:jc w:val="center"/>
        <w:tblCellMar>
          <w:left w:w="70" w:type="dxa"/>
          <w:right w:w="70" w:type="dxa"/>
        </w:tblCellMar>
        <w:tblLook w:val="04A0" w:firstRow="1" w:lastRow="0" w:firstColumn="1" w:lastColumn="0" w:noHBand="0" w:noVBand="1"/>
      </w:tblPr>
      <w:tblGrid>
        <w:gridCol w:w="4063"/>
        <w:gridCol w:w="1984"/>
        <w:gridCol w:w="1984"/>
      </w:tblGrid>
      <w:tr w:rsidR="00C4519E" w:rsidRPr="006F0DF1" w14:paraId="7E5B6213" w14:textId="77777777" w:rsidTr="00CC40D5">
        <w:trPr>
          <w:trHeight w:val="57"/>
          <w:jc w:val="center"/>
        </w:trPr>
        <w:tc>
          <w:tcPr>
            <w:tcW w:w="8031" w:type="dxa"/>
            <w:gridSpan w:val="3"/>
            <w:tcBorders>
              <w:top w:val="single" w:sz="12" w:space="0" w:color="808080" w:themeColor="background1" w:themeShade="80"/>
            </w:tcBorders>
            <w:shd w:val="clear" w:color="auto" w:fill="auto"/>
            <w:vAlign w:val="center"/>
          </w:tcPr>
          <w:p w14:paraId="4D74367E" w14:textId="77777777" w:rsidR="00C4519E" w:rsidRPr="00BC0F30" w:rsidRDefault="00C4519E" w:rsidP="002F797B">
            <w:pPr>
              <w:spacing w:after="0" w:line="240" w:lineRule="auto"/>
              <w:jc w:val="center"/>
              <w:rPr>
                <w:rFonts w:ascii="Montserrat" w:eastAsia="Times New Roman" w:hAnsi="Montserrat" w:cs="Calibri"/>
                <w:b/>
                <w:bCs/>
                <w:color w:val="FFFFFF"/>
                <w:sz w:val="4"/>
                <w:szCs w:val="4"/>
                <w:lang w:val="es-MX" w:eastAsia="es-MX"/>
              </w:rPr>
            </w:pPr>
          </w:p>
        </w:tc>
      </w:tr>
      <w:tr w:rsidR="009C3C24" w:rsidRPr="006F0DF1" w14:paraId="1F5C1D77" w14:textId="77777777" w:rsidTr="00B9210C">
        <w:trPr>
          <w:trHeight w:val="317"/>
          <w:jc w:val="center"/>
        </w:trPr>
        <w:tc>
          <w:tcPr>
            <w:tcW w:w="4063" w:type="dxa"/>
            <w:tcBorders>
              <w:left w:val="single" w:sz="8" w:space="0" w:color="FFFFFF" w:themeColor="background1"/>
              <w:bottom w:val="double" w:sz="12" w:space="0" w:color="808080" w:themeColor="background1" w:themeShade="80"/>
              <w:right w:val="single" w:sz="8" w:space="0" w:color="FFFFFF" w:themeColor="background1"/>
            </w:tcBorders>
            <w:shd w:val="clear" w:color="auto" w:fill="D4C19C"/>
            <w:vAlign w:val="center"/>
            <w:hideMark/>
          </w:tcPr>
          <w:p w14:paraId="12CE7F19" w14:textId="77777777" w:rsidR="009C3C24" w:rsidRPr="006F0DF1" w:rsidRDefault="009C3C24" w:rsidP="002F797B">
            <w:pPr>
              <w:spacing w:after="0" w:line="240" w:lineRule="auto"/>
              <w:jc w:val="center"/>
              <w:rPr>
                <w:rFonts w:ascii="Montserrat" w:eastAsia="Times New Roman" w:hAnsi="Montserrat" w:cs="Calibri"/>
                <w:b/>
                <w:bCs/>
                <w:color w:val="FFFFFF"/>
                <w:sz w:val="16"/>
                <w:szCs w:val="16"/>
                <w:lang w:val="es-MX" w:eastAsia="es-MX"/>
              </w:rPr>
            </w:pPr>
            <w:r w:rsidRPr="006F0DF1">
              <w:rPr>
                <w:rFonts w:ascii="Montserrat" w:eastAsia="Times New Roman" w:hAnsi="Montserrat" w:cs="Calibri"/>
                <w:b/>
                <w:bCs/>
                <w:color w:val="FFFFFF"/>
                <w:sz w:val="16"/>
                <w:szCs w:val="16"/>
                <w:lang w:val="es-MX" w:eastAsia="es-MX"/>
              </w:rPr>
              <w:t>Concepto</w:t>
            </w:r>
          </w:p>
        </w:tc>
        <w:tc>
          <w:tcPr>
            <w:tcW w:w="1984" w:type="dxa"/>
            <w:tcBorders>
              <w:left w:val="single" w:sz="8" w:space="0" w:color="FFFFFF" w:themeColor="background1"/>
              <w:bottom w:val="double" w:sz="12" w:space="0" w:color="808080" w:themeColor="background1" w:themeShade="80"/>
              <w:right w:val="single" w:sz="8" w:space="0" w:color="FFFFFF" w:themeColor="background1"/>
            </w:tcBorders>
            <w:shd w:val="clear" w:color="auto" w:fill="D4C19C"/>
            <w:vAlign w:val="center"/>
            <w:hideMark/>
          </w:tcPr>
          <w:p w14:paraId="16EE8FDE" w14:textId="77777777" w:rsidR="009C3C24" w:rsidRPr="006F0DF1" w:rsidRDefault="009C3C24" w:rsidP="002F797B">
            <w:pPr>
              <w:spacing w:after="0" w:line="240" w:lineRule="auto"/>
              <w:jc w:val="center"/>
              <w:rPr>
                <w:rFonts w:ascii="Montserrat" w:eastAsia="Times New Roman" w:hAnsi="Montserrat" w:cs="Calibri"/>
                <w:b/>
                <w:bCs/>
                <w:color w:val="FFFFFF"/>
                <w:sz w:val="16"/>
                <w:szCs w:val="16"/>
                <w:lang w:val="es-MX" w:eastAsia="es-MX"/>
              </w:rPr>
            </w:pPr>
            <w:r w:rsidRPr="006F0DF1">
              <w:rPr>
                <w:rFonts w:ascii="Montserrat" w:eastAsia="Times New Roman" w:hAnsi="Montserrat" w:cs="Calibri"/>
                <w:b/>
                <w:bCs/>
                <w:color w:val="FFFFFF"/>
                <w:sz w:val="16"/>
                <w:szCs w:val="16"/>
                <w:lang w:val="es-MX" w:eastAsia="es-MX"/>
              </w:rPr>
              <w:t>201</w:t>
            </w:r>
            <w:r w:rsidR="004E5F4A">
              <w:rPr>
                <w:rFonts w:ascii="Montserrat" w:eastAsia="Times New Roman" w:hAnsi="Montserrat" w:cs="Calibri"/>
                <w:b/>
                <w:bCs/>
                <w:color w:val="FFFFFF"/>
                <w:sz w:val="16"/>
                <w:szCs w:val="16"/>
                <w:lang w:val="es-MX" w:eastAsia="es-MX"/>
              </w:rPr>
              <w:t>9</w:t>
            </w:r>
          </w:p>
        </w:tc>
        <w:tc>
          <w:tcPr>
            <w:tcW w:w="1984" w:type="dxa"/>
            <w:tcBorders>
              <w:left w:val="single" w:sz="8" w:space="0" w:color="FFFFFF" w:themeColor="background1"/>
              <w:bottom w:val="double" w:sz="12" w:space="0" w:color="808080" w:themeColor="background1" w:themeShade="80"/>
              <w:right w:val="single" w:sz="8" w:space="0" w:color="FFFFFF" w:themeColor="background1"/>
            </w:tcBorders>
            <w:shd w:val="clear" w:color="auto" w:fill="D4C19C"/>
            <w:vAlign w:val="center"/>
            <w:hideMark/>
          </w:tcPr>
          <w:p w14:paraId="5911EA73" w14:textId="77777777" w:rsidR="004E5F4A" w:rsidRPr="006F0DF1" w:rsidRDefault="009C3C24" w:rsidP="004E5F4A">
            <w:pPr>
              <w:spacing w:after="0" w:line="240" w:lineRule="auto"/>
              <w:jc w:val="center"/>
              <w:rPr>
                <w:rFonts w:ascii="Montserrat" w:eastAsia="Times New Roman" w:hAnsi="Montserrat" w:cs="Calibri"/>
                <w:b/>
                <w:bCs/>
                <w:color w:val="FFFFFF"/>
                <w:sz w:val="16"/>
                <w:szCs w:val="16"/>
                <w:lang w:val="es-MX" w:eastAsia="es-MX"/>
              </w:rPr>
            </w:pPr>
            <w:r>
              <w:rPr>
                <w:rFonts w:ascii="Montserrat" w:eastAsia="Times New Roman" w:hAnsi="Montserrat" w:cs="Calibri"/>
                <w:b/>
                <w:bCs/>
                <w:color w:val="FFFFFF"/>
                <w:sz w:val="16"/>
                <w:szCs w:val="16"/>
                <w:lang w:val="es-MX" w:eastAsia="es-MX"/>
              </w:rPr>
              <w:t>201</w:t>
            </w:r>
            <w:r w:rsidR="004E5F4A">
              <w:rPr>
                <w:rFonts w:ascii="Montserrat" w:eastAsia="Times New Roman" w:hAnsi="Montserrat" w:cs="Calibri"/>
                <w:b/>
                <w:bCs/>
                <w:color w:val="FFFFFF"/>
                <w:sz w:val="16"/>
                <w:szCs w:val="16"/>
                <w:lang w:val="es-MX" w:eastAsia="es-MX"/>
              </w:rPr>
              <w:t>8</w:t>
            </w:r>
          </w:p>
        </w:tc>
      </w:tr>
      <w:tr w:rsidR="00D216BF" w:rsidRPr="006F0DF1" w14:paraId="5FC5C778" w14:textId="77777777" w:rsidTr="00556DB3">
        <w:trPr>
          <w:trHeight w:val="215"/>
          <w:jc w:val="center"/>
        </w:trPr>
        <w:tc>
          <w:tcPr>
            <w:tcW w:w="4063" w:type="dxa"/>
            <w:tcBorders>
              <w:top w:val="double" w:sz="12" w:space="0" w:color="808080" w:themeColor="background1" w:themeShade="80"/>
            </w:tcBorders>
            <w:shd w:val="clear" w:color="auto" w:fill="F2F2F2" w:themeFill="background1" w:themeFillShade="F2"/>
            <w:vAlign w:val="center"/>
            <w:hideMark/>
          </w:tcPr>
          <w:p w14:paraId="2BE30FFC" w14:textId="77777777" w:rsidR="00D216BF" w:rsidRPr="00255081" w:rsidRDefault="00D216BF" w:rsidP="00D216BF">
            <w:pPr>
              <w:spacing w:after="0" w:line="240" w:lineRule="auto"/>
              <w:ind w:left="170"/>
              <w:jc w:val="both"/>
              <w:rPr>
                <w:rFonts w:ascii="Montserrat" w:eastAsia="Times New Roman" w:hAnsi="Montserrat" w:cs="Calibri"/>
                <w:b/>
                <w:color w:val="000000"/>
                <w:sz w:val="15"/>
                <w:szCs w:val="15"/>
                <w:lang w:val="es-MX" w:eastAsia="es-MX"/>
              </w:rPr>
            </w:pPr>
            <w:r w:rsidRPr="00255081">
              <w:rPr>
                <w:rFonts w:ascii="Montserrat" w:eastAsia="Times New Roman" w:hAnsi="Montserrat" w:cs="Calibri"/>
                <w:b/>
                <w:color w:val="000000"/>
                <w:sz w:val="15"/>
                <w:szCs w:val="15"/>
                <w:lang w:val="es-MX" w:eastAsia="es-MX"/>
              </w:rPr>
              <w:t>Impuestos</w:t>
            </w:r>
          </w:p>
        </w:tc>
        <w:tc>
          <w:tcPr>
            <w:tcW w:w="1984" w:type="dxa"/>
            <w:tcBorders>
              <w:top w:val="double" w:sz="12" w:space="0" w:color="808080" w:themeColor="background1" w:themeShade="80"/>
            </w:tcBorders>
            <w:shd w:val="clear" w:color="auto" w:fill="F2F2F2" w:themeFill="background1" w:themeFillShade="F2"/>
            <w:vAlign w:val="center"/>
          </w:tcPr>
          <w:p w14:paraId="40E90167" w14:textId="3BE7524B" w:rsidR="00D216BF" w:rsidRPr="00255081" w:rsidRDefault="00D216BF" w:rsidP="00D216BF">
            <w:pPr>
              <w:spacing w:after="0" w:line="240" w:lineRule="auto"/>
              <w:jc w:val="right"/>
              <w:rPr>
                <w:rFonts w:ascii="Montserrat" w:eastAsia="Times New Roman" w:hAnsi="Montserrat" w:cs="Calibri"/>
                <w:b/>
                <w:bCs/>
                <w:color w:val="000000"/>
                <w:sz w:val="15"/>
                <w:szCs w:val="15"/>
                <w:lang w:val="es-MX" w:eastAsia="es-MX"/>
              </w:rPr>
            </w:pPr>
            <w:r w:rsidRPr="000F0321">
              <w:rPr>
                <w:rFonts w:ascii="Montserrat" w:hAnsi="Montserrat" w:cs="Arial"/>
                <w:b/>
                <w:color w:val="000000"/>
                <w:sz w:val="15"/>
                <w:szCs w:val="15"/>
              </w:rPr>
              <w:t>3,202,650,721,264</w:t>
            </w:r>
          </w:p>
        </w:tc>
        <w:tc>
          <w:tcPr>
            <w:tcW w:w="1984" w:type="dxa"/>
            <w:tcBorders>
              <w:top w:val="double" w:sz="12" w:space="0" w:color="808080" w:themeColor="background1" w:themeShade="80"/>
            </w:tcBorders>
            <w:shd w:val="clear" w:color="auto" w:fill="F2F2F2" w:themeFill="background1" w:themeFillShade="F2"/>
            <w:vAlign w:val="center"/>
            <w:hideMark/>
          </w:tcPr>
          <w:p w14:paraId="45E79180" w14:textId="77777777" w:rsidR="00D216BF" w:rsidRPr="00255081" w:rsidRDefault="00D216BF" w:rsidP="00D216BF">
            <w:pPr>
              <w:spacing w:after="0" w:line="240" w:lineRule="auto"/>
              <w:jc w:val="right"/>
              <w:rPr>
                <w:rFonts w:ascii="Montserrat" w:eastAsia="Times New Roman" w:hAnsi="Montserrat" w:cs="Calibri"/>
                <w:b/>
                <w:bCs/>
                <w:color w:val="000000"/>
                <w:sz w:val="15"/>
                <w:szCs w:val="15"/>
                <w:lang w:val="es-MX" w:eastAsia="es-MX"/>
              </w:rPr>
            </w:pPr>
            <w:r w:rsidRPr="00255081">
              <w:rPr>
                <w:rFonts w:ascii="Montserrat" w:eastAsia="Times New Roman" w:hAnsi="Montserrat" w:cs="Calibri"/>
                <w:b/>
                <w:bCs/>
                <w:color w:val="000000"/>
                <w:sz w:val="15"/>
                <w:szCs w:val="15"/>
                <w:lang w:val="es-MX" w:eastAsia="es-MX"/>
              </w:rPr>
              <w:t>3,062,640,310,165</w:t>
            </w:r>
          </w:p>
        </w:tc>
      </w:tr>
      <w:tr w:rsidR="00D216BF" w:rsidRPr="006F0DF1" w14:paraId="1F1EF306" w14:textId="77777777" w:rsidTr="00556DB3">
        <w:trPr>
          <w:trHeight w:val="215"/>
          <w:jc w:val="center"/>
        </w:trPr>
        <w:tc>
          <w:tcPr>
            <w:tcW w:w="4063" w:type="dxa"/>
            <w:tcBorders>
              <w:top w:val="nil"/>
            </w:tcBorders>
            <w:shd w:val="clear" w:color="auto" w:fill="F2F2F2" w:themeFill="background1" w:themeFillShade="F2"/>
            <w:vAlign w:val="center"/>
            <w:hideMark/>
          </w:tcPr>
          <w:p w14:paraId="41823CFB" w14:textId="77777777" w:rsidR="00D216BF" w:rsidRPr="00255081" w:rsidRDefault="00D216BF" w:rsidP="00D216BF">
            <w:pPr>
              <w:spacing w:after="0" w:line="240" w:lineRule="auto"/>
              <w:ind w:firstLineChars="248" w:firstLine="372"/>
              <w:jc w:val="both"/>
              <w:rPr>
                <w:rFonts w:ascii="Montserrat" w:eastAsia="Times New Roman" w:hAnsi="Montserrat" w:cs="Calibri"/>
                <w:color w:val="000000"/>
                <w:sz w:val="15"/>
                <w:szCs w:val="15"/>
                <w:lang w:val="es-MX" w:eastAsia="es-MX"/>
              </w:rPr>
            </w:pPr>
            <w:r w:rsidRPr="00255081">
              <w:rPr>
                <w:rFonts w:ascii="Montserrat" w:eastAsia="Times New Roman" w:hAnsi="Montserrat" w:cs="Calibri"/>
                <w:color w:val="000000"/>
                <w:sz w:val="15"/>
                <w:szCs w:val="15"/>
                <w:lang w:val="es-MX" w:eastAsia="es-MX"/>
              </w:rPr>
              <w:t>Sobre los Ingresos</w:t>
            </w:r>
          </w:p>
        </w:tc>
        <w:tc>
          <w:tcPr>
            <w:tcW w:w="1984" w:type="dxa"/>
            <w:tcBorders>
              <w:top w:val="nil"/>
            </w:tcBorders>
            <w:shd w:val="clear" w:color="auto" w:fill="F2F2F2" w:themeFill="background1" w:themeFillShade="F2"/>
            <w:vAlign w:val="center"/>
          </w:tcPr>
          <w:p w14:paraId="3C6A42B9" w14:textId="6A6D5D9C" w:rsidR="00D216BF" w:rsidRPr="00255081" w:rsidRDefault="00D216BF" w:rsidP="00D216BF">
            <w:pPr>
              <w:spacing w:after="0" w:line="240" w:lineRule="auto"/>
              <w:jc w:val="right"/>
              <w:rPr>
                <w:rFonts w:ascii="Montserrat" w:eastAsia="Times New Roman" w:hAnsi="Montserrat" w:cs="Calibri"/>
                <w:color w:val="000000"/>
                <w:sz w:val="15"/>
                <w:szCs w:val="15"/>
                <w:lang w:val="es-MX" w:eastAsia="es-MX"/>
              </w:rPr>
            </w:pPr>
            <w:r w:rsidRPr="000F0321">
              <w:rPr>
                <w:rFonts w:ascii="Montserrat" w:hAnsi="Montserrat" w:cs="Arial"/>
                <w:color w:val="000000"/>
                <w:sz w:val="15"/>
                <w:szCs w:val="15"/>
              </w:rPr>
              <w:t>1,687,830,086,656</w:t>
            </w:r>
          </w:p>
        </w:tc>
        <w:tc>
          <w:tcPr>
            <w:tcW w:w="1984" w:type="dxa"/>
            <w:tcBorders>
              <w:top w:val="nil"/>
            </w:tcBorders>
            <w:shd w:val="clear" w:color="auto" w:fill="F2F2F2" w:themeFill="background1" w:themeFillShade="F2"/>
            <w:vAlign w:val="center"/>
            <w:hideMark/>
          </w:tcPr>
          <w:p w14:paraId="538E8F5E" w14:textId="77777777" w:rsidR="00D216BF" w:rsidRPr="00255081" w:rsidRDefault="00D216BF" w:rsidP="00D216BF">
            <w:pPr>
              <w:spacing w:after="0" w:line="240" w:lineRule="auto"/>
              <w:jc w:val="right"/>
              <w:rPr>
                <w:rFonts w:ascii="Montserrat" w:eastAsia="Times New Roman" w:hAnsi="Montserrat" w:cs="Calibri"/>
                <w:color w:val="000000"/>
                <w:sz w:val="15"/>
                <w:szCs w:val="15"/>
                <w:lang w:val="es-MX" w:eastAsia="es-MX"/>
              </w:rPr>
            </w:pPr>
            <w:r w:rsidRPr="00255081">
              <w:rPr>
                <w:rFonts w:ascii="Montserrat" w:eastAsia="Times New Roman" w:hAnsi="Montserrat" w:cs="Calibri"/>
                <w:color w:val="000000"/>
                <w:sz w:val="15"/>
                <w:szCs w:val="15"/>
                <w:lang w:val="es-MX" w:eastAsia="es-MX"/>
              </w:rPr>
              <w:t>1,664,947,864,515</w:t>
            </w:r>
          </w:p>
        </w:tc>
      </w:tr>
      <w:tr w:rsidR="00D216BF" w:rsidRPr="006F0DF1" w14:paraId="16737EB8" w14:textId="77777777" w:rsidTr="00556DB3">
        <w:trPr>
          <w:trHeight w:val="215"/>
          <w:jc w:val="center"/>
        </w:trPr>
        <w:tc>
          <w:tcPr>
            <w:tcW w:w="4063" w:type="dxa"/>
            <w:tcBorders>
              <w:top w:val="nil"/>
            </w:tcBorders>
            <w:shd w:val="clear" w:color="auto" w:fill="F2F2F2" w:themeFill="background1" w:themeFillShade="F2"/>
            <w:vAlign w:val="center"/>
            <w:hideMark/>
          </w:tcPr>
          <w:p w14:paraId="015DF9E9" w14:textId="77777777" w:rsidR="00D216BF" w:rsidRPr="00255081" w:rsidRDefault="00D216BF" w:rsidP="00D216BF">
            <w:pPr>
              <w:spacing w:after="0" w:line="240" w:lineRule="auto"/>
              <w:ind w:firstLineChars="248" w:firstLine="372"/>
              <w:jc w:val="both"/>
              <w:rPr>
                <w:rFonts w:ascii="Montserrat" w:eastAsia="Times New Roman" w:hAnsi="Montserrat" w:cs="Calibri"/>
                <w:color w:val="000000"/>
                <w:sz w:val="15"/>
                <w:szCs w:val="15"/>
                <w:lang w:val="es-MX" w:eastAsia="es-MX"/>
              </w:rPr>
            </w:pPr>
            <w:r w:rsidRPr="00255081">
              <w:rPr>
                <w:rFonts w:ascii="Montserrat" w:eastAsia="Times New Roman" w:hAnsi="Montserrat" w:cs="Calibri"/>
                <w:color w:val="000000"/>
                <w:sz w:val="15"/>
                <w:szCs w:val="15"/>
                <w:lang w:val="es-MX" w:eastAsia="es-MX"/>
              </w:rPr>
              <w:t xml:space="preserve">Sobre el Patrimonio </w:t>
            </w:r>
          </w:p>
        </w:tc>
        <w:tc>
          <w:tcPr>
            <w:tcW w:w="1984" w:type="dxa"/>
            <w:tcBorders>
              <w:top w:val="nil"/>
            </w:tcBorders>
            <w:shd w:val="clear" w:color="auto" w:fill="F2F2F2" w:themeFill="background1" w:themeFillShade="F2"/>
            <w:vAlign w:val="center"/>
          </w:tcPr>
          <w:p w14:paraId="0D491320" w14:textId="0F5B815E" w:rsidR="00D216BF" w:rsidRPr="00255081" w:rsidRDefault="004917A0">
            <w:pPr>
              <w:spacing w:after="0" w:line="240" w:lineRule="auto"/>
              <w:jc w:val="right"/>
              <w:rPr>
                <w:rFonts w:ascii="Montserrat" w:eastAsia="Times New Roman" w:hAnsi="Montserrat" w:cs="Calibri"/>
                <w:color w:val="000000"/>
                <w:sz w:val="15"/>
                <w:szCs w:val="15"/>
                <w:lang w:val="es-MX" w:eastAsia="es-MX"/>
              </w:rPr>
            </w:pPr>
            <w:r w:rsidRPr="00255081">
              <w:rPr>
                <w:rFonts w:ascii="Montserrat" w:eastAsia="Times New Roman" w:hAnsi="Montserrat" w:cs="Calibri"/>
                <w:color w:val="000000"/>
                <w:sz w:val="15"/>
                <w:szCs w:val="15"/>
                <w:lang w:val="es-MX" w:eastAsia="es-MX"/>
              </w:rPr>
              <w:t>0</w:t>
            </w:r>
          </w:p>
        </w:tc>
        <w:tc>
          <w:tcPr>
            <w:tcW w:w="1984" w:type="dxa"/>
            <w:tcBorders>
              <w:top w:val="nil"/>
            </w:tcBorders>
            <w:shd w:val="clear" w:color="auto" w:fill="F2F2F2" w:themeFill="background1" w:themeFillShade="F2"/>
            <w:vAlign w:val="center"/>
            <w:hideMark/>
          </w:tcPr>
          <w:p w14:paraId="476F5DEF" w14:textId="77777777" w:rsidR="00D216BF" w:rsidRPr="00255081" w:rsidRDefault="00D216BF" w:rsidP="00D216BF">
            <w:pPr>
              <w:spacing w:after="0" w:line="240" w:lineRule="auto"/>
              <w:jc w:val="right"/>
              <w:rPr>
                <w:rFonts w:ascii="Montserrat" w:eastAsia="Times New Roman" w:hAnsi="Montserrat" w:cs="Calibri"/>
                <w:color w:val="000000"/>
                <w:sz w:val="15"/>
                <w:szCs w:val="15"/>
                <w:lang w:val="es-MX" w:eastAsia="es-MX"/>
              </w:rPr>
            </w:pPr>
            <w:r w:rsidRPr="00255081">
              <w:rPr>
                <w:rFonts w:ascii="Montserrat" w:eastAsia="Times New Roman" w:hAnsi="Montserrat" w:cs="Calibri"/>
                <w:color w:val="000000"/>
                <w:sz w:val="15"/>
                <w:szCs w:val="15"/>
                <w:lang w:val="es-MX" w:eastAsia="es-MX"/>
              </w:rPr>
              <w:t>0</w:t>
            </w:r>
          </w:p>
        </w:tc>
      </w:tr>
      <w:tr w:rsidR="00D216BF" w:rsidRPr="006F0DF1" w14:paraId="35B16184" w14:textId="77777777" w:rsidTr="00556DB3">
        <w:trPr>
          <w:trHeight w:val="215"/>
          <w:jc w:val="center"/>
        </w:trPr>
        <w:tc>
          <w:tcPr>
            <w:tcW w:w="4063" w:type="dxa"/>
            <w:tcBorders>
              <w:top w:val="nil"/>
            </w:tcBorders>
            <w:shd w:val="clear" w:color="auto" w:fill="F2F2F2" w:themeFill="background1" w:themeFillShade="F2"/>
            <w:vAlign w:val="center"/>
            <w:hideMark/>
          </w:tcPr>
          <w:p w14:paraId="67D10F64" w14:textId="77777777" w:rsidR="00D216BF" w:rsidRPr="00255081" w:rsidRDefault="00D216BF" w:rsidP="00D216BF">
            <w:pPr>
              <w:spacing w:after="0" w:line="240" w:lineRule="auto"/>
              <w:ind w:left="324" w:firstLineChars="32" w:firstLine="48"/>
              <w:jc w:val="both"/>
              <w:rPr>
                <w:rFonts w:ascii="Montserrat" w:eastAsia="Times New Roman" w:hAnsi="Montserrat" w:cs="Calibri"/>
                <w:color w:val="000000"/>
                <w:sz w:val="15"/>
                <w:szCs w:val="15"/>
                <w:lang w:val="es-MX" w:eastAsia="es-MX"/>
              </w:rPr>
            </w:pPr>
            <w:r w:rsidRPr="00255081">
              <w:rPr>
                <w:rFonts w:ascii="Montserrat" w:eastAsia="Times New Roman" w:hAnsi="Montserrat" w:cs="Calibri"/>
                <w:color w:val="000000"/>
                <w:sz w:val="15"/>
                <w:szCs w:val="15"/>
                <w:lang w:val="es-MX" w:eastAsia="es-MX"/>
              </w:rPr>
              <w:t>Sobre la Producción, el Consumo y las Transacciones</w:t>
            </w:r>
          </w:p>
        </w:tc>
        <w:tc>
          <w:tcPr>
            <w:tcW w:w="1984" w:type="dxa"/>
            <w:tcBorders>
              <w:top w:val="nil"/>
            </w:tcBorders>
            <w:shd w:val="clear" w:color="auto" w:fill="F2F2F2" w:themeFill="background1" w:themeFillShade="F2"/>
            <w:vAlign w:val="center"/>
          </w:tcPr>
          <w:p w14:paraId="5A485228" w14:textId="25D859B9" w:rsidR="00D216BF" w:rsidRPr="00255081" w:rsidRDefault="00D216BF" w:rsidP="00D216BF">
            <w:pPr>
              <w:spacing w:after="0" w:line="240" w:lineRule="auto"/>
              <w:jc w:val="right"/>
              <w:rPr>
                <w:rFonts w:ascii="Montserrat" w:eastAsia="Times New Roman" w:hAnsi="Montserrat" w:cs="Calibri"/>
                <w:color w:val="000000"/>
                <w:sz w:val="15"/>
                <w:szCs w:val="15"/>
                <w:lang w:val="es-MX" w:eastAsia="es-MX"/>
              </w:rPr>
            </w:pPr>
            <w:r w:rsidRPr="000F0321">
              <w:rPr>
                <w:rFonts w:ascii="Montserrat" w:hAnsi="Montserrat" w:cs="Arial"/>
                <w:color w:val="000000"/>
                <w:sz w:val="15"/>
                <w:szCs w:val="15"/>
              </w:rPr>
              <w:t>1,404,319,746,292</w:t>
            </w:r>
          </w:p>
        </w:tc>
        <w:tc>
          <w:tcPr>
            <w:tcW w:w="1984" w:type="dxa"/>
            <w:tcBorders>
              <w:top w:val="nil"/>
            </w:tcBorders>
            <w:shd w:val="clear" w:color="auto" w:fill="F2F2F2" w:themeFill="background1" w:themeFillShade="F2"/>
            <w:vAlign w:val="center"/>
            <w:hideMark/>
          </w:tcPr>
          <w:p w14:paraId="2384B8C7" w14:textId="77777777" w:rsidR="00D216BF" w:rsidRPr="00255081" w:rsidRDefault="00D216BF" w:rsidP="00D216BF">
            <w:pPr>
              <w:spacing w:after="0" w:line="240" w:lineRule="auto"/>
              <w:jc w:val="right"/>
              <w:rPr>
                <w:rFonts w:ascii="Montserrat" w:eastAsia="Times New Roman" w:hAnsi="Montserrat" w:cs="Calibri"/>
                <w:color w:val="000000"/>
                <w:sz w:val="15"/>
                <w:szCs w:val="15"/>
                <w:lang w:val="es-MX" w:eastAsia="es-MX"/>
              </w:rPr>
            </w:pPr>
            <w:r w:rsidRPr="00255081">
              <w:rPr>
                <w:rFonts w:ascii="Montserrat" w:eastAsia="Times New Roman" w:hAnsi="Montserrat" w:cs="Calibri"/>
                <w:color w:val="000000"/>
                <w:sz w:val="15"/>
                <w:szCs w:val="15"/>
                <w:lang w:val="es-MX" w:eastAsia="es-MX"/>
              </w:rPr>
              <w:t>1,280,815,276,070</w:t>
            </w:r>
          </w:p>
        </w:tc>
      </w:tr>
      <w:tr w:rsidR="00D216BF" w:rsidRPr="006F0DF1" w14:paraId="31690FDA" w14:textId="77777777" w:rsidTr="00556DB3">
        <w:trPr>
          <w:trHeight w:val="320"/>
          <w:jc w:val="center"/>
        </w:trPr>
        <w:tc>
          <w:tcPr>
            <w:tcW w:w="4063" w:type="dxa"/>
            <w:tcBorders>
              <w:top w:val="nil"/>
            </w:tcBorders>
            <w:shd w:val="clear" w:color="auto" w:fill="F2F2F2" w:themeFill="background1" w:themeFillShade="F2"/>
            <w:vAlign w:val="center"/>
            <w:hideMark/>
          </w:tcPr>
          <w:p w14:paraId="70F6D9C5" w14:textId="77777777" w:rsidR="00D216BF" w:rsidRPr="00255081" w:rsidRDefault="00D216BF" w:rsidP="00D216BF">
            <w:pPr>
              <w:spacing w:after="0" w:line="240" w:lineRule="auto"/>
              <w:ind w:firstLineChars="248" w:firstLine="372"/>
              <w:jc w:val="both"/>
              <w:rPr>
                <w:rFonts w:ascii="Montserrat" w:eastAsia="Times New Roman" w:hAnsi="Montserrat" w:cs="Calibri"/>
                <w:color w:val="000000"/>
                <w:sz w:val="15"/>
                <w:szCs w:val="15"/>
                <w:lang w:val="es-MX" w:eastAsia="es-MX"/>
              </w:rPr>
            </w:pPr>
            <w:r w:rsidRPr="00255081">
              <w:rPr>
                <w:rFonts w:ascii="Montserrat" w:eastAsia="Times New Roman" w:hAnsi="Montserrat" w:cs="Calibri"/>
                <w:color w:val="000000"/>
                <w:sz w:val="15"/>
                <w:szCs w:val="15"/>
                <w:lang w:val="es-MX" w:eastAsia="es-MX"/>
              </w:rPr>
              <w:t>Al Comercio Exterior</w:t>
            </w:r>
          </w:p>
        </w:tc>
        <w:tc>
          <w:tcPr>
            <w:tcW w:w="1984" w:type="dxa"/>
            <w:tcBorders>
              <w:top w:val="nil"/>
            </w:tcBorders>
            <w:shd w:val="clear" w:color="auto" w:fill="F2F2F2" w:themeFill="background1" w:themeFillShade="F2"/>
            <w:vAlign w:val="center"/>
          </w:tcPr>
          <w:p w14:paraId="490D4C15" w14:textId="54C291A9" w:rsidR="00D216BF" w:rsidRPr="00255081" w:rsidRDefault="00D216BF" w:rsidP="00D216BF">
            <w:pPr>
              <w:spacing w:after="0" w:line="240" w:lineRule="auto"/>
              <w:jc w:val="right"/>
              <w:rPr>
                <w:rFonts w:ascii="Montserrat" w:eastAsia="Times New Roman" w:hAnsi="Montserrat" w:cs="Calibri"/>
                <w:color w:val="000000"/>
                <w:sz w:val="15"/>
                <w:szCs w:val="15"/>
                <w:lang w:val="es-MX" w:eastAsia="es-MX"/>
              </w:rPr>
            </w:pPr>
            <w:r w:rsidRPr="000F0321">
              <w:rPr>
                <w:rFonts w:ascii="Montserrat" w:hAnsi="Montserrat" w:cs="Arial"/>
                <w:color w:val="000000"/>
                <w:sz w:val="15"/>
                <w:szCs w:val="15"/>
              </w:rPr>
              <w:t>64,741,072,080</w:t>
            </w:r>
          </w:p>
        </w:tc>
        <w:tc>
          <w:tcPr>
            <w:tcW w:w="1984" w:type="dxa"/>
            <w:tcBorders>
              <w:top w:val="nil"/>
            </w:tcBorders>
            <w:shd w:val="clear" w:color="auto" w:fill="F2F2F2" w:themeFill="background1" w:themeFillShade="F2"/>
            <w:vAlign w:val="center"/>
            <w:hideMark/>
          </w:tcPr>
          <w:p w14:paraId="1E2CA2AA" w14:textId="77777777" w:rsidR="00D216BF" w:rsidRPr="00255081" w:rsidRDefault="00D216BF" w:rsidP="00D216BF">
            <w:pPr>
              <w:spacing w:after="0" w:line="240" w:lineRule="auto"/>
              <w:jc w:val="right"/>
              <w:rPr>
                <w:rFonts w:ascii="Montserrat" w:eastAsia="Times New Roman" w:hAnsi="Montserrat" w:cs="Calibri"/>
                <w:color w:val="000000"/>
                <w:sz w:val="15"/>
                <w:szCs w:val="15"/>
                <w:lang w:val="es-MX" w:eastAsia="es-MX"/>
              </w:rPr>
            </w:pPr>
            <w:r w:rsidRPr="00255081">
              <w:rPr>
                <w:rFonts w:ascii="Montserrat" w:eastAsia="Times New Roman" w:hAnsi="Montserrat" w:cs="Calibri"/>
                <w:color w:val="000000"/>
                <w:sz w:val="15"/>
                <w:szCs w:val="15"/>
                <w:lang w:val="es-MX" w:eastAsia="es-MX"/>
              </w:rPr>
              <w:t>65,542,820,707</w:t>
            </w:r>
          </w:p>
        </w:tc>
      </w:tr>
      <w:tr w:rsidR="00D216BF" w:rsidRPr="006F0DF1" w14:paraId="58BD1A1E" w14:textId="77777777" w:rsidTr="00556DB3">
        <w:trPr>
          <w:trHeight w:val="215"/>
          <w:jc w:val="center"/>
        </w:trPr>
        <w:tc>
          <w:tcPr>
            <w:tcW w:w="4063" w:type="dxa"/>
            <w:tcBorders>
              <w:top w:val="nil"/>
            </w:tcBorders>
            <w:shd w:val="clear" w:color="auto" w:fill="F2F2F2" w:themeFill="background1" w:themeFillShade="F2"/>
            <w:vAlign w:val="center"/>
            <w:hideMark/>
          </w:tcPr>
          <w:p w14:paraId="2691EB99" w14:textId="77777777" w:rsidR="00D216BF" w:rsidRPr="00255081" w:rsidRDefault="00D216BF" w:rsidP="00D216BF">
            <w:pPr>
              <w:spacing w:after="0" w:line="240" w:lineRule="auto"/>
              <w:ind w:firstLineChars="248" w:firstLine="372"/>
              <w:jc w:val="both"/>
              <w:rPr>
                <w:rFonts w:ascii="Montserrat" w:eastAsia="Times New Roman" w:hAnsi="Montserrat" w:cs="Calibri"/>
                <w:color w:val="000000"/>
                <w:sz w:val="15"/>
                <w:szCs w:val="15"/>
                <w:lang w:val="es-MX" w:eastAsia="es-MX"/>
              </w:rPr>
            </w:pPr>
            <w:r w:rsidRPr="00255081">
              <w:rPr>
                <w:rFonts w:ascii="Montserrat" w:eastAsia="Times New Roman" w:hAnsi="Montserrat" w:cs="Calibri"/>
                <w:color w:val="000000"/>
                <w:sz w:val="15"/>
                <w:szCs w:val="15"/>
                <w:lang w:val="es-MX" w:eastAsia="es-MX"/>
              </w:rPr>
              <w:t>Accesorios</w:t>
            </w:r>
          </w:p>
        </w:tc>
        <w:tc>
          <w:tcPr>
            <w:tcW w:w="1984" w:type="dxa"/>
            <w:tcBorders>
              <w:top w:val="nil"/>
            </w:tcBorders>
            <w:shd w:val="clear" w:color="auto" w:fill="F2F2F2" w:themeFill="background1" w:themeFillShade="F2"/>
            <w:vAlign w:val="center"/>
          </w:tcPr>
          <w:p w14:paraId="47081869" w14:textId="58469988" w:rsidR="00D216BF" w:rsidRPr="00255081" w:rsidRDefault="00D216BF" w:rsidP="00D216BF">
            <w:pPr>
              <w:spacing w:after="0" w:line="240" w:lineRule="auto"/>
              <w:jc w:val="right"/>
              <w:rPr>
                <w:rFonts w:ascii="Montserrat" w:eastAsia="Times New Roman" w:hAnsi="Montserrat" w:cs="Calibri"/>
                <w:color w:val="000000"/>
                <w:sz w:val="15"/>
                <w:szCs w:val="15"/>
                <w:lang w:val="es-MX" w:eastAsia="es-MX"/>
              </w:rPr>
            </w:pPr>
            <w:r w:rsidRPr="000F0321">
              <w:rPr>
                <w:rFonts w:ascii="Montserrat" w:hAnsi="Montserrat" w:cs="Arial"/>
                <w:color w:val="000000"/>
                <w:sz w:val="15"/>
                <w:szCs w:val="15"/>
              </w:rPr>
              <w:t>41,062,635,058</w:t>
            </w:r>
          </w:p>
        </w:tc>
        <w:tc>
          <w:tcPr>
            <w:tcW w:w="1984" w:type="dxa"/>
            <w:tcBorders>
              <w:top w:val="nil"/>
            </w:tcBorders>
            <w:shd w:val="clear" w:color="auto" w:fill="F2F2F2" w:themeFill="background1" w:themeFillShade="F2"/>
            <w:vAlign w:val="center"/>
            <w:hideMark/>
          </w:tcPr>
          <w:p w14:paraId="1C9D4718" w14:textId="77777777" w:rsidR="00D216BF" w:rsidRPr="00255081" w:rsidRDefault="00D216BF" w:rsidP="00D216BF">
            <w:pPr>
              <w:spacing w:after="0" w:line="240" w:lineRule="auto"/>
              <w:jc w:val="right"/>
              <w:rPr>
                <w:rFonts w:ascii="Montserrat" w:eastAsia="Times New Roman" w:hAnsi="Montserrat" w:cs="Calibri"/>
                <w:color w:val="000000"/>
                <w:sz w:val="15"/>
                <w:szCs w:val="15"/>
                <w:lang w:val="es-MX" w:eastAsia="es-MX"/>
              </w:rPr>
            </w:pPr>
            <w:r w:rsidRPr="00255081">
              <w:rPr>
                <w:rFonts w:ascii="Montserrat" w:eastAsia="Times New Roman" w:hAnsi="Montserrat" w:cs="Calibri"/>
                <w:color w:val="000000"/>
                <w:sz w:val="15"/>
                <w:szCs w:val="15"/>
                <w:lang w:val="es-MX" w:eastAsia="es-MX"/>
              </w:rPr>
              <w:t>45,863,960,294</w:t>
            </w:r>
          </w:p>
        </w:tc>
      </w:tr>
      <w:tr w:rsidR="00D216BF" w:rsidRPr="006F0DF1" w14:paraId="58CA2BE8" w14:textId="77777777" w:rsidTr="00556DB3">
        <w:trPr>
          <w:trHeight w:val="215"/>
          <w:jc w:val="center"/>
        </w:trPr>
        <w:tc>
          <w:tcPr>
            <w:tcW w:w="4063" w:type="dxa"/>
            <w:tcBorders>
              <w:top w:val="nil"/>
            </w:tcBorders>
            <w:shd w:val="clear" w:color="auto" w:fill="F2F2F2" w:themeFill="background1" w:themeFillShade="F2"/>
            <w:vAlign w:val="center"/>
            <w:hideMark/>
          </w:tcPr>
          <w:p w14:paraId="699FC5CA" w14:textId="77777777" w:rsidR="00D216BF" w:rsidRPr="00255081" w:rsidRDefault="00D216BF" w:rsidP="00D216BF">
            <w:pPr>
              <w:spacing w:after="0" w:line="240" w:lineRule="auto"/>
              <w:ind w:firstLineChars="248" w:firstLine="372"/>
              <w:jc w:val="both"/>
              <w:rPr>
                <w:rFonts w:ascii="Montserrat" w:eastAsia="Times New Roman" w:hAnsi="Montserrat" w:cs="Calibri"/>
                <w:color w:val="000000"/>
                <w:sz w:val="15"/>
                <w:szCs w:val="15"/>
                <w:lang w:val="es-MX" w:eastAsia="es-MX"/>
              </w:rPr>
            </w:pPr>
            <w:r w:rsidRPr="00255081">
              <w:rPr>
                <w:rFonts w:ascii="Montserrat" w:eastAsia="Times New Roman" w:hAnsi="Montserrat" w:cs="Calibri"/>
                <w:color w:val="000000"/>
                <w:sz w:val="15"/>
                <w:szCs w:val="15"/>
                <w:lang w:val="es-MX" w:eastAsia="es-MX"/>
              </w:rPr>
              <w:t>Otros Impuestos</w:t>
            </w:r>
          </w:p>
        </w:tc>
        <w:tc>
          <w:tcPr>
            <w:tcW w:w="1984" w:type="dxa"/>
            <w:tcBorders>
              <w:top w:val="nil"/>
            </w:tcBorders>
            <w:shd w:val="clear" w:color="auto" w:fill="F2F2F2" w:themeFill="background1" w:themeFillShade="F2"/>
            <w:vAlign w:val="center"/>
          </w:tcPr>
          <w:p w14:paraId="3173CEDE" w14:textId="65157A08" w:rsidR="00D216BF" w:rsidRPr="00255081" w:rsidRDefault="00D216BF" w:rsidP="00D216BF">
            <w:pPr>
              <w:spacing w:after="0" w:line="240" w:lineRule="auto"/>
              <w:jc w:val="right"/>
              <w:rPr>
                <w:rFonts w:ascii="Montserrat" w:eastAsia="Times New Roman" w:hAnsi="Montserrat" w:cs="Calibri"/>
                <w:color w:val="000000"/>
                <w:sz w:val="15"/>
                <w:szCs w:val="15"/>
                <w:lang w:val="es-MX" w:eastAsia="es-MX"/>
              </w:rPr>
            </w:pPr>
            <w:r w:rsidRPr="000F0321">
              <w:rPr>
                <w:rFonts w:ascii="Montserrat" w:hAnsi="Montserrat" w:cs="Arial"/>
                <w:color w:val="000000"/>
                <w:sz w:val="15"/>
                <w:szCs w:val="15"/>
              </w:rPr>
              <w:t>5,803,080,138</w:t>
            </w:r>
          </w:p>
        </w:tc>
        <w:tc>
          <w:tcPr>
            <w:tcW w:w="1984" w:type="dxa"/>
            <w:tcBorders>
              <w:top w:val="nil"/>
            </w:tcBorders>
            <w:shd w:val="clear" w:color="auto" w:fill="F2F2F2" w:themeFill="background1" w:themeFillShade="F2"/>
            <w:vAlign w:val="center"/>
            <w:hideMark/>
          </w:tcPr>
          <w:p w14:paraId="42D3F77C" w14:textId="77777777" w:rsidR="00D216BF" w:rsidRPr="00255081" w:rsidRDefault="00D216BF" w:rsidP="00D216BF">
            <w:pPr>
              <w:spacing w:after="0" w:line="240" w:lineRule="auto"/>
              <w:jc w:val="right"/>
              <w:rPr>
                <w:rFonts w:ascii="Montserrat" w:eastAsia="Times New Roman" w:hAnsi="Montserrat" w:cs="Calibri"/>
                <w:color w:val="000000"/>
                <w:sz w:val="15"/>
                <w:szCs w:val="15"/>
                <w:lang w:val="es-MX" w:eastAsia="es-MX"/>
              </w:rPr>
            </w:pPr>
            <w:r w:rsidRPr="00255081">
              <w:rPr>
                <w:rFonts w:ascii="Montserrat" w:eastAsia="Times New Roman" w:hAnsi="Montserrat" w:cs="Calibri"/>
                <w:color w:val="000000"/>
                <w:sz w:val="15"/>
                <w:szCs w:val="15"/>
                <w:lang w:val="es-MX" w:eastAsia="es-MX"/>
              </w:rPr>
              <w:t>5,470,388,579</w:t>
            </w:r>
          </w:p>
        </w:tc>
      </w:tr>
      <w:tr w:rsidR="00B247A2" w:rsidRPr="006F0DF1" w14:paraId="33229EEE" w14:textId="77777777" w:rsidTr="00556DB3">
        <w:trPr>
          <w:trHeight w:val="215"/>
          <w:jc w:val="center"/>
        </w:trPr>
        <w:tc>
          <w:tcPr>
            <w:tcW w:w="4063" w:type="dxa"/>
            <w:tcBorders>
              <w:top w:val="nil"/>
            </w:tcBorders>
            <w:shd w:val="clear" w:color="auto" w:fill="F2F2F2" w:themeFill="background1" w:themeFillShade="F2"/>
            <w:vAlign w:val="center"/>
          </w:tcPr>
          <w:p w14:paraId="3195794F" w14:textId="157C0C15" w:rsidR="00B247A2" w:rsidRPr="00255081" w:rsidRDefault="00B247A2" w:rsidP="00B247A2">
            <w:pPr>
              <w:spacing w:after="0" w:line="240" w:lineRule="auto"/>
              <w:ind w:left="356"/>
              <w:jc w:val="both"/>
              <w:rPr>
                <w:rFonts w:ascii="Montserrat" w:eastAsia="Times New Roman" w:hAnsi="Montserrat" w:cs="Calibri"/>
                <w:color w:val="000000"/>
                <w:sz w:val="15"/>
                <w:szCs w:val="15"/>
                <w:lang w:val="es-MX" w:eastAsia="es-MX"/>
              </w:rPr>
            </w:pPr>
            <w:r w:rsidRPr="00255081">
              <w:rPr>
                <w:rFonts w:ascii="Montserrat" w:eastAsia="Times New Roman" w:hAnsi="Montserrat" w:cs="Calibri"/>
                <w:color w:val="000000"/>
                <w:sz w:val="15"/>
                <w:szCs w:val="15"/>
                <w:lang w:val="es-MX" w:eastAsia="es-MX"/>
              </w:rPr>
              <w:t>Impuestos no Comprendidos en las Fracciones de la Ley de Ingresos</w:t>
            </w:r>
          </w:p>
        </w:tc>
        <w:tc>
          <w:tcPr>
            <w:tcW w:w="1984" w:type="dxa"/>
            <w:tcBorders>
              <w:top w:val="nil"/>
            </w:tcBorders>
            <w:shd w:val="clear" w:color="auto" w:fill="F2F2F2" w:themeFill="background1" w:themeFillShade="F2"/>
            <w:vAlign w:val="center"/>
          </w:tcPr>
          <w:p w14:paraId="4E5BA251" w14:textId="5237CE93" w:rsidR="00B247A2" w:rsidRPr="000F0321" w:rsidRDefault="00B247A2" w:rsidP="00D216BF">
            <w:pPr>
              <w:spacing w:after="0" w:line="240" w:lineRule="auto"/>
              <w:jc w:val="right"/>
              <w:rPr>
                <w:rFonts w:ascii="Montserrat" w:hAnsi="Montserrat" w:cs="Arial"/>
                <w:color w:val="000000"/>
                <w:sz w:val="15"/>
                <w:szCs w:val="15"/>
              </w:rPr>
            </w:pPr>
            <w:r w:rsidRPr="00255081">
              <w:rPr>
                <w:rFonts w:ascii="Montserrat" w:eastAsia="Times New Roman" w:hAnsi="Montserrat" w:cs="Calibri"/>
                <w:color w:val="000000"/>
                <w:sz w:val="15"/>
                <w:szCs w:val="15"/>
                <w:lang w:val="es-MX" w:eastAsia="es-MX"/>
              </w:rPr>
              <w:t>-1,105,898,960</w:t>
            </w:r>
          </w:p>
        </w:tc>
        <w:tc>
          <w:tcPr>
            <w:tcW w:w="1984" w:type="dxa"/>
            <w:tcBorders>
              <w:top w:val="nil"/>
            </w:tcBorders>
            <w:shd w:val="clear" w:color="auto" w:fill="F2F2F2" w:themeFill="background1" w:themeFillShade="F2"/>
            <w:vAlign w:val="center"/>
          </w:tcPr>
          <w:p w14:paraId="2C6ED65E" w14:textId="3108C12F" w:rsidR="00B247A2" w:rsidRPr="00255081" w:rsidRDefault="00B247A2" w:rsidP="00D216BF">
            <w:pPr>
              <w:spacing w:after="0" w:line="240" w:lineRule="auto"/>
              <w:jc w:val="right"/>
              <w:rPr>
                <w:rFonts w:ascii="Montserrat" w:eastAsia="Times New Roman" w:hAnsi="Montserrat" w:cs="Calibri"/>
                <w:color w:val="000000"/>
                <w:sz w:val="15"/>
                <w:szCs w:val="15"/>
                <w:lang w:val="es-MX" w:eastAsia="es-MX"/>
              </w:rPr>
            </w:pPr>
            <w:r>
              <w:rPr>
                <w:rFonts w:ascii="Montserrat" w:eastAsia="Times New Roman" w:hAnsi="Montserrat" w:cs="Calibri"/>
                <w:color w:val="000000"/>
                <w:sz w:val="15"/>
                <w:szCs w:val="15"/>
                <w:lang w:val="es-MX" w:eastAsia="es-MX"/>
              </w:rPr>
              <w:t>0</w:t>
            </w:r>
          </w:p>
        </w:tc>
      </w:tr>
      <w:tr w:rsidR="00D216BF" w:rsidRPr="006F0DF1" w14:paraId="1D118CFD" w14:textId="77777777" w:rsidTr="00B30C16">
        <w:trPr>
          <w:trHeight w:val="215"/>
          <w:jc w:val="center"/>
        </w:trPr>
        <w:tc>
          <w:tcPr>
            <w:tcW w:w="4063" w:type="dxa"/>
            <w:tcBorders>
              <w:top w:val="nil"/>
            </w:tcBorders>
            <w:shd w:val="clear" w:color="auto" w:fill="F2F2F2" w:themeFill="background1" w:themeFillShade="F2"/>
            <w:vAlign w:val="center"/>
            <w:hideMark/>
          </w:tcPr>
          <w:p w14:paraId="5F0357A5" w14:textId="77777777" w:rsidR="00D216BF" w:rsidRPr="00255081" w:rsidRDefault="00D216BF" w:rsidP="00D216BF">
            <w:pPr>
              <w:spacing w:after="0" w:line="240" w:lineRule="auto"/>
              <w:ind w:left="170"/>
              <w:jc w:val="both"/>
              <w:rPr>
                <w:rFonts w:ascii="Montserrat" w:eastAsia="Times New Roman" w:hAnsi="Montserrat" w:cs="Calibri"/>
                <w:b/>
                <w:color w:val="000000"/>
                <w:sz w:val="15"/>
                <w:szCs w:val="15"/>
                <w:lang w:val="es-MX" w:eastAsia="es-MX"/>
              </w:rPr>
            </w:pPr>
            <w:r w:rsidRPr="00255081">
              <w:rPr>
                <w:rFonts w:ascii="Montserrat" w:eastAsia="Times New Roman" w:hAnsi="Montserrat" w:cs="Calibri"/>
                <w:b/>
                <w:color w:val="000000"/>
                <w:sz w:val="15"/>
                <w:szCs w:val="15"/>
                <w:lang w:val="es-MX" w:eastAsia="es-MX"/>
              </w:rPr>
              <w:t>Contribuciones de Mejoras</w:t>
            </w:r>
          </w:p>
        </w:tc>
        <w:tc>
          <w:tcPr>
            <w:tcW w:w="1984" w:type="dxa"/>
            <w:tcBorders>
              <w:top w:val="nil"/>
            </w:tcBorders>
            <w:shd w:val="clear" w:color="auto" w:fill="F2F2F2" w:themeFill="background1" w:themeFillShade="F2"/>
            <w:vAlign w:val="center"/>
          </w:tcPr>
          <w:p w14:paraId="1E463228" w14:textId="24DC0420" w:rsidR="00D216BF" w:rsidRPr="00255081" w:rsidRDefault="00D216BF" w:rsidP="00D216BF">
            <w:pPr>
              <w:spacing w:after="0" w:line="240" w:lineRule="auto"/>
              <w:jc w:val="right"/>
              <w:rPr>
                <w:rFonts w:ascii="Montserrat" w:eastAsia="Times New Roman" w:hAnsi="Montserrat" w:cs="Calibri"/>
                <w:b/>
                <w:color w:val="000000"/>
                <w:sz w:val="15"/>
                <w:szCs w:val="15"/>
                <w:lang w:val="es-MX" w:eastAsia="es-MX"/>
              </w:rPr>
            </w:pPr>
            <w:r w:rsidRPr="000F0321">
              <w:rPr>
                <w:rFonts w:ascii="Montserrat" w:hAnsi="Montserrat" w:cs="Arial"/>
                <w:b/>
                <w:color w:val="000000"/>
                <w:sz w:val="15"/>
                <w:szCs w:val="15"/>
              </w:rPr>
              <w:t>54,844,450</w:t>
            </w:r>
          </w:p>
        </w:tc>
        <w:tc>
          <w:tcPr>
            <w:tcW w:w="1984" w:type="dxa"/>
            <w:tcBorders>
              <w:top w:val="nil"/>
            </w:tcBorders>
            <w:shd w:val="clear" w:color="auto" w:fill="F2F2F2" w:themeFill="background1" w:themeFillShade="F2"/>
            <w:vAlign w:val="center"/>
            <w:hideMark/>
          </w:tcPr>
          <w:p w14:paraId="05FEDA83" w14:textId="77777777" w:rsidR="00D216BF" w:rsidRPr="00255081" w:rsidRDefault="00D216BF" w:rsidP="00D216BF">
            <w:pPr>
              <w:spacing w:after="0" w:line="240" w:lineRule="auto"/>
              <w:jc w:val="right"/>
              <w:rPr>
                <w:rFonts w:ascii="Montserrat" w:eastAsia="Times New Roman" w:hAnsi="Montserrat" w:cs="Calibri"/>
                <w:b/>
                <w:color w:val="000000"/>
                <w:sz w:val="15"/>
                <w:szCs w:val="15"/>
                <w:lang w:val="es-MX" w:eastAsia="es-MX"/>
              </w:rPr>
            </w:pPr>
            <w:r w:rsidRPr="00255081">
              <w:rPr>
                <w:rFonts w:ascii="Montserrat" w:eastAsia="Times New Roman" w:hAnsi="Montserrat" w:cs="Calibri"/>
                <w:b/>
                <w:color w:val="000000"/>
                <w:sz w:val="15"/>
                <w:szCs w:val="15"/>
                <w:lang w:val="es-MX" w:eastAsia="es-MX"/>
              </w:rPr>
              <w:t>79,412,649</w:t>
            </w:r>
          </w:p>
        </w:tc>
      </w:tr>
      <w:tr w:rsidR="00D216BF" w:rsidRPr="006F0DF1" w14:paraId="773DE0B9" w14:textId="77777777" w:rsidTr="00556DB3">
        <w:trPr>
          <w:trHeight w:val="215"/>
          <w:jc w:val="center"/>
        </w:trPr>
        <w:tc>
          <w:tcPr>
            <w:tcW w:w="4063" w:type="dxa"/>
            <w:tcBorders>
              <w:top w:val="nil"/>
            </w:tcBorders>
            <w:shd w:val="clear" w:color="auto" w:fill="F2F2F2" w:themeFill="background1" w:themeFillShade="F2"/>
            <w:vAlign w:val="center"/>
            <w:hideMark/>
          </w:tcPr>
          <w:p w14:paraId="455A7EA2" w14:textId="77777777" w:rsidR="00D216BF" w:rsidRPr="00255081" w:rsidRDefault="00D216BF" w:rsidP="00D216BF">
            <w:pPr>
              <w:spacing w:after="0" w:line="240" w:lineRule="auto"/>
              <w:ind w:left="170"/>
              <w:jc w:val="both"/>
              <w:rPr>
                <w:rFonts w:ascii="Montserrat" w:eastAsia="Times New Roman" w:hAnsi="Montserrat" w:cs="Calibri"/>
                <w:b/>
                <w:color w:val="000000"/>
                <w:sz w:val="15"/>
                <w:szCs w:val="15"/>
                <w:lang w:val="es-MX" w:eastAsia="es-MX"/>
              </w:rPr>
            </w:pPr>
            <w:r w:rsidRPr="00255081">
              <w:rPr>
                <w:rFonts w:ascii="Montserrat" w:eastAsia="Times New Roman" w:hAnsi="Montserrat" w:cs="Calibri"/>
                <w:b/>
                <w:color w:val="000000"/>
                <w:sz w:val="15"/>
                <w:szCs w:val="15"/>
                <w:lang w:val="es-MX" w:eastAsia="es-MX"/>
              </w:rPr>
              <w:t>Derechos</w:t>
            </w:r>
          </w:p>
        </w:tc>
        <w:tc>
          <w:tcPr>
            <w:tcW w:w="1984" w:type="dxa"/>
            <w:tcBorders>
              <w:top w:val="nil"/>
            </w:tcBorders>
            <w:shd w:val="clear" w:color="auto" w:fill="F2F2F2" w:themeFill="background1" w:themeFillShade="F2"/>
            <w:vAlign w:val="center"/>
          </w:tcPr>
          <w:p w14:paraId="3BB8D396" w14:textId="3559D2A6" w:rsidR="00D216BF" w:rsidRPr="00255081" w:rsidRDefault="00D216BF" w:rsidP="00D216BF">
            <w:pPr>
              <w:spacing w:after="0" w:line="240" w:lineRule="auto"/>
              <w:jc w:val="right"/>
              <w:rPr>
                <w:rFonts w:ascii="Montserrat" w:eastAsia="Times New Roman" w:hAnsi="Montserrat" w:cs="Calibri"/>
                <w:b/>
                <w:color w:val="000000"/>
                <w:sz w:val="15"/>
                <w:szCs w:val="15"/>
                <w:lang w:val="es-MX" w:eastAsia="es-MX"/>
              </w:rPr>
            </w:pPr>
            <w:r w:rsidRPr="000F0321">
              <w:rPr>
                <w:rFonts w:ascii="Montserrat" w:hAnsi="Montserrat" w:cs="Arial"/>
                <w:b/>
                <w:color w:val="000000"/>
                <w:sz w:val="15"/>
                <w:szCs w:val="15"/>
              </w:rPr>
              <w:t>82,996,735,859</w:t>
            </w:r>
          </w:p>
        </w:tc>
        <w:tc>
          <w:tcPr>
            <w:tcW w:w="1984" w:type="dxa"/>
            <w:tcBorders>
              <w:top w:val="nil"/>
            </w:tcBorders>
            <w:shd w:val="clear" w:color="auto" w:fill="F2F2F2" w:themeFill="background1" w:themeFillShade="F2"/>
            <w:vAlign w:val="center"/>
            <w:hideMark/>
          </w:tcPr>
          <w:p w14:paraId="3C99E6F4" w14:textId="77777777" w:rsidR="00D216BF" w:rsidRPr="00255081" w:rsidRDefault="00D216BF" w:rsidP="00D216BF">
            <w:pPr>
              <w:spacing w:after="0" w:line="240" w:lineRule="auto"/>
              <w:jc w:val="right"/>
              <w:rPr>
                <w:rFonts w:ascii="Montserrat" w:eastAsia="Times New Roman" w:hAnsi="Montserrat" w:cs="Calibri"/>
                <w:b/>
                <w:color w:val="000000"/>
                <w:sz w:val="15"/>
                <w:szCs w:val="15"/>
                <w:lang w:val="es-MX" w:eastAsia="es-MX"/>
              </w:rPr>
            </w:pPr>
            <w:r w:rsidRPr="00255081">
              <w:rPr>
                <w:rFonts w:ascii="Montserrat" w:eastAsia="Times New Roman" w:hAnsi="Montserrat" w:cs="Calibri"/>
                <w:b/>
                <w:color w:val="000000"/>
                <w:sz w:val="15"/>
                <w:szCs w:val="15"/>
                <w:lang w:val="es-MX" w:eastAsia="es-MX"/>
              </w:rPr>
              <w:t>70,414,498,256</w:t>
            </w:r>
          </w:p>
        </w:tc>
      </w:tr>
      <w:tr w:rsidR="00D216BF" w:rsidRPr="006F0DF1" w14:paraId="76E16208" w14:textId="77777777" w:rsidTr="00556DB3">
        <w:trPr>
          <w:trHeight w:val="215"/>
          <w:jc w:val="center"/>
        </w:trPr>
        <w:tc>
          <w:tcPr>
            <w:tcW w:w="4063" w:type="dxa"/>
            <w:tcBorders>
              <w:top w:val="nil"/>
            </w:tcBorders>
            <w:shd w:val="clear" w:color="auto" w:fill="F2F2F2" w:themeFill="background1" w:themeFillShade="F2"/>
            <w:vAlign w:val="center"/>
            <w:hideMark/>
          </w:tcPr>
          <w:p w14:paraId="1BE3215B" w14:textId="61BEC25D" w:rsidR="00D216BF" w:rsidRPr="00255081" w:rsidRDefault="00D216BF">
            <w:pPr>
              <w:spacing w:after="0" w:line="240" w:lineRule="auto"/>
              <w:ind w:left="170"/>
              <w:jc w:val="both"/>
              <w:rPr>
                <w:rFonts w:ascii="Montserrat" w:eastAsia="Times New Roman" w:hAnsi="Montserrat" w:cs="Calibri"/>
                <w:b/>
                <w:color w:val="000000"/>
                <w:sz w:val="15"/>
                <w:szCs w:val="15"/>
                <w:lang w:val="es-MX" w:eastAsia="es-MX"/>
              </w:rPr>
            </w:pPr>
            <w:r w:rsidRPr="00255081">
              <w:rPr>
                <w:rFonts w:ascii="Montserrat" w:eastAsia="Times New Roman" w:hAnsi="Montserrat" w:cs="Calibri"/>
                <w:b/>
                <w:color w:val="000000"/>
                <w:sz w:val="15"/>
                <w:szCs w:val="15"/>
                <w:lang w:val="es-MX" w:eastAsia="es-MX"/>
              </w:rPr>
              <w:t xml:space="preserve">Productos </w:t>
            </w:r>
          </w:p>
        </w:tc>
        <w:tc>
          <w:tcPr>
            <w:tcW w:w="1984" w:type="dxa"/>
            <w:tcBorders>
              <w:top w:val="nil"/>
            </w:tcBorders>
            <w:shd w:val="clear" w:color="auto" w:fill="F2F2F2" w:themeFill="background1" w:themeFillShade="F2"/>
            <w:vAlign w:val="center"/>
          </w:tcPr>
          <w:p w14:paraId="7383552E" w14:textId="724C07AB" w:rsidR="00D216BF" w:rsidRPr="00255081" w:rsidRDefault="00D216BF" w:rsidP="00D216BF">
            <w:pPr>
              <w:spacing w:after="0" w:line="240" w:lineRule="auto"/>
              <w:jc w:val="right"/>
              <w:rPr>
                <w:rFonts w:ascii="Montserrat" w:eastAsia="Times New Roman" w:hAnsi="Montserrat" w:cs="Calibri"/>
                <w:b/>
                <w:color w:val="000000"/>
                <w:sz w:val="15"/>
                <w:szCs w:val="15"/>
                <w:lang w:val="es-MX" w:eastAsia="es-MX"/>
              </w:rPr>
            </w:pPr>
            <w:r w:rsidRPr="000F0321">
              <w:rPr>
                <w:rFonts w:ascii="Montserrat" w:hAnsi="Montserrat" w:cs="Arial"/>
                <w:b/>
                <w:color w:val="000000"/>
                <w:sz w:val="15"/>
                <w:szCs w:val="15"/>
              </w:rPr>
              <w:t>36,892,107,157</w:t>
            </w:r>
          </w:p>
        </w:tc>
        <w:tc>
          <w:tcPr>
            <w:tcW w:w="1984" w:type="dxa"/>
            <w:tcBorders>
              <w:top w:val="nil"/>
            </w:tcBorders>
            <w:shd w:val="clear" w:color="auto" w:fill="F2F2F2" w:themeFill="background1" w:themeFillShade="F2"/>
            <w:vAlign w:val="center"/>
            <w:hideMark/>
          </w:tcPr>
          <w:p w14:paraId="1067BD99" w14:textId="77777777" w:rsidR="00D216BF" w:rsidRPr="00255081" w:rsidRDefault="00D216BF" w:rsidP="00D216BF">
            <w:pPr>
              <w:spacing w:after="0" w:line="240" w:lineRule="auto"/>
              <w:jc w:val="right"/>
              <w:rPr>
                <w:rFonts w:ascii="Montserrat" w:eastAsia="Times New Roman" w:hAnsi="Montserrat" w:cs="Calibri"/>
                <w:b/>
                <w:color w:val="000000"/>
                <w:sz w:val="15"/>
                <w:szCs w:val="15"/>
                <w:lang w:val="es-MX" w:eastAsia="es-MX"/>
              </w:rPr>
            </w:pPr>
            <w:r w:rsidRPr="00255081">
              <w:rPr>
                <w:rFonts w:ascii="Montserrat" w:eastAsia="Times New Roman" w:hAnsi="Montserrat" w:cs="Calibri"/>
                <w:b/>
                <w:color w:val="000000"/>
                <w:sz w:val="15"/>
                <w:szCs w:val="15"/>
                <w:lang w:val="es-MX" w:eastAsia="es-MX"/>
              </w:rPr>
              <w:t>33,567,211,938</w:t>
            </w:r>
          </w:p>
        </w:tc>
      </w:tr>
      <w:tr w:rsidR="00D216BF" w:rsidRPr="006F0DF1" w14:paraId="2A07D7CE" w14:textId="77777777" w:rsidTr="00556DB3">
        <w:trPr>
          <w:trHeight w:val="215"/>
          <w:jc w:val="center"/>
        </w:trPr>
        <w:tc>
          <w:tcPr>
            <w:tcW w:w="4063" w:type="dxa"/>
            <w:tcBorders>
              <w:top w:val="nil"/>
            </w:tcBorders>
            <w:shd w:val="clear" w:color="auto" w:fill="F2F2F2" w:themeFill="background1" w:themeFillShade="F2"/>
            <w:vAlign w:val="center"/>
            <w:hideMark/>
          </w:tcPr>
          <w:p w14:paraId="3F7AC9BD" w14:textId="6E335694" w:rsidR="00D216BF" w:rsidRPr="00255081" w:rsidRDefault="00D216BF">
            <w:pPr>
              <w:spacing w:after="0" w:line="240" w:lineRule="auto"/>
              <w:ind w:left="170"/>
              <w:jc w:val="both"/>
              <w:rPr>
                <w:rFonts w:ascii="Montserrat" w:eastAsia="Times New Roman" w:hAnsi="Montserrat" w:cs="Calibri"/>
                <w:b/>
                <w:color w:val="000000"/>
                <w:sz w:val="15"/>
                <w:szCs w:val="15"/>
                <w:lang w:val="es-MX" w:eastAsia="es-MX"/>
              </w:rPr>
            </w:pPr>
            <w:r w:rsidRPr="00255081">
              <w:rPr>
                <w:rFonts w:ascii="Montserrat" w:eastAsia="Times New Roman" w:hAnsi="Montserrat" w:cs="Calibri"/>
                <w:b/>
                <w:color w:val="000000"/>
                <w:sz w:val="15"/>
                <w:szCs w:val="15"/>
                <w:lang w:val="es-MX" w:eastAsia="es-MX"/>
              </w:rPr>
              <w:t xml:space="preserve">Aprovechamientos </w:t>
            </w:r>
          </w:p>
        </w:tc>
        <w:tc>
          <w:tcPr>
            <w:tcW w:w="1984" w:type="dxa"/>
            <w:tcBorders>
              <w:top w:val="nil"/>
            </w:tcBorders>
            <w:shd w:val="clear" w:color="auto" w:fill="F2F2F2" w:themeFill="background1" w:themeFillShade="F2"/>
            <w:vAlign w:val="center"/>
          </w:tcPr>
          <w:p w14:paraId="649A22D0" w14:textId="36DC5881" w:rsidR="00D216BF" w:rsidRPr="00255081" w:rsidRDefault="00D216BF" w:rsidP="00D216BF">
            <w:pPr>
              <w:spacing w:after="0" w:line="240" w:lineRule="auto"/>
              <w:jc w:val="right"/>
              <w:rPr>
                <w:rFonts w:ascii="Montserrat" w:eastAsia="Times New Roman" w:hAnsi="Montserrat" w:cs="Calibri"/>
                <w:b/>
                <w:color w:val="000000"/>
                <w:sz w:val="15"/>
                <w:szCs w:val="15"/>
                <w:lang w:val="es-MX" w:eastAsia="es-MX"/>
              </w:rPr>
            </w:pPr>
            <w:r w:rsidRPr="000F0321">
              <w:rPr>
                <w:rFonts w:ascii="Montserrat" w:hAnsi="Montserrat" w:cs="Arial"/>
                <w:b/>
                <w:color w:val="000000"/>
                <w:sz w:val="15"/>
                <w:szCs w:val="15"/>
              </w:rPr>
              <w:t>143,306,090,811</w:t>
            </w:r>
          </w:p>
        </w:tc>
        <w:tc>
          <w:tcPr>
            <w:tcW w:w="1984" w:type="dxa"/>
            <w:tcBorders>
              <w:top w:val="nil"/>
            </w:tcBorders>
            <w:shd w:val="clear" w:color="auto" w:fill="F2F2F2" w:themeFill="background1" w:themeFillShade="F2"/>
            <w:vAlign w:val="center"/>
            <w:hideMark/>
          </w:tcPr>
          <w:p w14:paraId="08366686" w14:textId="77777777" w:rsidR="00D216BF" w:rsidRPr="00255081" w:rsidRDefault="00D216BF" w:rsidP="00D216BF">
            <w:pPr>
              <w:spacing w:after="0" w:line="240" w:lineRule="auto"/>
              <w:jc w:val="right"/>
              <w:rPr>
                <w:rFonts w:ascii="Montserrat" w:eastAsia="Times New Roman" w:hAnsi="Montserrat" w:cs="Calibri"/>
                <w:b/>
                <w:color w:val="000000"/>
                <w:sz w:val="15"/>
                <w:szCs w:val="15"/>
                <w:lang w:val="es-MX" w:eastAsia="es-MX"/>
              </w:rPr>
            </w:pPr>
            <w:r w:rsidRPr="00255081">
              <w:rPr>
                <w:rFonts w:ascii="Montserrat" w:hAnsi="Montserrat" w:cs="Calibri"/>
                <w:b/>
                <w:bCs/>
                <w:color w:val="000000"/>
                <w:sz w:val="15"/>
                <w:szCs w:val="15"/>
              </w:rPr>
              <w:t>178,913,243,187</w:t>
            </w:r>
          </w:p>
        </w:tc>
      </w:tr>
      <w:tr w:rsidR="00D216BF" w:rsidRPr="006F0DF1" w14:paraId="42B6BF79" w14:textId="77777777" w:rsidTr="00556DB3">
        <w:trPr>
          <w:trHeight w:val="215"/>
          <w:jc w:val="center"/>
        </w:trPr>
        <w:tc>
          <w:tcPr>
            <w:tcW w:w="4063" w:type="dxa"/>
            <w:tcBorders>
              <w:top w:val="nil"/>
            </w:tcBorders>
            <w:shd w:val="clear" w:color="auto" w:fill="F2F2F2" w:themeFill="background1" w:themeFillShade="F2"/>
            <w:vAlign w:val="center"/>
            <w:hideMark/>
          </w:tcPr>
          <w:p w14:paraId="09EECB5D" w14:textId="77777777" w:rsidR="00D216BF" w:rsidRPr="00255081" w:rsidRDefault="00D216BF" w:rsidP="00D216BF">
            <w:pPr>
              <w:spacing w:after="0" w:line="240" w:lineRule="auto"/>
              <w:ind w:left="170"/>
              <w:jc w:val="both"/>
              <w:rPr>
                <w:rFonts w:ascii="Montserrat" w:eastAsia="Times New Roman" w:hAnsi="Montserrat" w:cs="Calibri"/>
                <w:b/>
                <w:color w:val="000000"/>
                <w:sz w:val="15"/>
                <w:szCs w:val="15"/>
                <w:lang w:val="es-MX" w:eastAsia="es-MX"/>
              </w:rPr>
            </w:pPr>
            <w:r w:rsidRPr="00255081">
              <w:rPr>
                <w:rFonts w:ascii="Montserrat" w:eastAsia="Times New Roman" w:hAnsi="Montserrat" w:cs="Calibri"/>
                <w:b/>
                <w:color w:val="000000"/>
                <w:sz w:val="15"/>
                <w:szCs w:val="15"/>
                <w:lang w:val="es-MX" w:eastAsia="es-MX"/>
              </w:rPr>
              <w:t>Ingresos no Comprendidos en las Fracciones de Ley de Ingresos Causados en Ejercicios Fiscales Anteriores Pendientes de Liquidación o Pago</w:t>
            </w:r>
          </w:p>
        </w:tc>
        <w:tc>
          <w:tcPr>
            <w:tcW w:w="1984" w:type="dxa"/>
            <w:tcBorders>
              <w:top w:val="nil"/>
            </w:tcBorders>
            <w:shd w:val="clear" w:color="auto" w:fill="F2F2F2" w:themeFill="background1" w:themeFillShade="F2"/>
            <w:vAlign w:val="center"/>
          </w:tcPr>
          <w:p w14:paraId="28FC53E0" w14:textId="213BE225" w:rsidR="00D216BF" w:rsidRPr="00255081" w:rsidRDefault="00D216BF" w:rsidP="00D216BF">
            <w:pPr>
              <w:spacing w:after="0" w:line="240" w:lineRule="auto"/>
              <w:jc w:val="right"/>
              <w:rPr>
                <w:rFonts w:ascii="Montserrat" w:eastAsia="Times New Roman" w:hAnsi="Montserrat" w:cs="Calibri"/>
                <w:b/>
                <w:color w:val="000000"/>
                <w:sz w:val="15"/>
                <w:szCs w:val="15"/>
                <w:lang w:val="es-MX" w:eastAsia="es-MX"/>
              </w:rPr>
            </w:pPr>
            <w:r w:rsidRPr="000F0321">
              <w:rPr>
                <w:rFonts w:ascii="Montserrat" w:hAnsi="Montserrat" w:cs="Arial"/>
                <w:b/>
                <w:color w:val="000000"/>
                <w:sz w:val="15"/>
                <w:szCs w:val="15"/>
              </w:rPr>
              <w:t>0</w:t>
            </w:r>
          </w:p>
        </w:tc>
        <w:tc>
          <w:tcPr>
            <w:tcW w:w="1984" w:type="dxa"/>
            <w:tcBorders>
              <w:top w:val="nil"/>
            </w:tcBorders>
            <w:shd w:val="clear" w:color="auto" w:fill="F2F2F2" w:themeFill="background1" w:themeFillShade="F2"/>
            <w:vAlign w:val="center"/>
            <w:hideMark/>
          </w:tcPr>
          <w:p w14:paraId="732A8ED7" w14:textId="77777777" w:rsidR="00D216BF" w:rsidRPr="00255081" w:rsidRDefault="00D216BF" w:rsidP="00D216BF">
            <w:pPr>
              <w:spacing w:after="0" w:line="240" w:lineRule="auto"/>
              <w:jc w:val="right"/>
              <w:rPr>
                <w:rFonts w:ascii="Montserrat" w:eastAsia="Times New Roman" w:hAnsi="Montserrat" w:cs="Calibri"/>
                <w:b/>
                <w:color w:val="000000"/>
                <w:sz w:val="15"/>
                <w:szCs w:val="15"/>
                <w:lang w:val="es-MX" w:eastAsia="es-MX"/>
              </w:rPr>
            </w:pPr>
            <w:r w:rsidRPr="00255081">
              <w:rPr>
                <w:rFonts w:ascii="Montserrat" w:eastAsia="Times New Roman" w:hAnsi="Montserrat" w:cs="Calibri"/>
                <w:b/>
                <w:color w:val="000000"/>
                <w:sz w:val="15"/>
                <w:szCs w:val="15"/>
                <w:lang w:val="es-MX" w:eastAsia="es-MX"/>
              </w:rPr>
              <w:t>-6,414,556,223</w:t>
            </w:r>
          </w:p>
        </w:tc>
      </w:tr>
      <w:tr w:rsidR="00D216BF" w:rsidRPr="006F0DF1" w14:paraId="60DA4355" w14:textId="77777777" w:rsidTr="00556DB3">
        <w:trPr>
          <w:trHeight w:val="215"/>
          <w:jc w:val="center"/>
        </w:trPr>
        <w:tc>
          <w:tcPr>
            <w:tcW w:w="4063" w:type="dxa"/>
            <w:tcBorders>
              <w:top w:val="nil"/>
            </w:tcBorders>
            <w:shd w:val="clear" w:color="auto" w:fill="F2F2F2" w:themeFill="background1" w:themeFillShade="F2"/>
            <w:vAlign w:val="center"/>
            <w:hideMark/>
          </w:tcPr>
          <w:p w14:paraId="77DC580D" w14:textId="36F0D67B" w:rsidR="00D216BF" w:rsidRPr="00255081" w:rsidRDefault="00AE526C" w:rsidP="00D216BF">
            <w:pPr>
              <w:spacing w:after="0" w:line="240" w:lineRule="auto"/>
              <w:ind w:left="170"/>
              <w:jc w:val="both"/>
              <w:rPr>
                <w:rFonts w:ascii="Montserrat" w:eastAsia="Times New Roman" w:hAnsi="Montserrat" w:cs="Calibri"/>
                <w:b/>
                <w:color w:val="000000"/>
                <w:sz w:val="15"/>
                <w:szCs w:val="15"/>
                <w:lang w:val="es-MX" w:eastAsia="es-MX"/>
              </w:rPr>
            </w:pPr>
            <w:r w:rsidRPr="00AE526C">
              <w:rPr>
                <w:rFonts w:ascii="Montserrat" w:eastAsia="Times New Roman" w:hAnsi="Montserrat" w:cs="Calibri"/>
                <w:b/>
                <w:color w:val="000000"/>
                <w:sz w:val="15"/>
                <w:szCs w:val="15"/>
                <w:lang w:val="es-MX" w:eastAsia="es-MX"/>
              </w:rPr>
              <w:t>Participaciones, Aportaciones, Convenios, Incentivos Derivados de la Colaboración Fiscal, Fondos Distintos de Aportaciones, Transferencias, Asignaciones, Subsidios y Subvenciones, y Pensiones y Jubilaciones</w:t>
            </w:r>
          </w:p>
        </w:tc>
        <w:tc>
          <w:tcPr>
            <w:tcW w:w="1984" w:type="dxa"/>
            <w:tcBorders>
              <w:top w:val="nil"/>
            </w:tcBorders>
            <w:shd w:val="clear" w:color="auto" w:fill="F2F2F2" w:themeFill="background1" w:themeFillShade="F2"/>
            <w:vAlign w:val="center"/>
          </w:tcPr>
          <w:p w14:paraId="5B2AD56B" w14:textId="2E90050A" w:rsidR="00D216BF" w:rsidRPr="00255081" w:rsidRDefault="00D216BF" w:rsidP="00D216BF">
            <w:pPr>
              <w:spacing w:after="0" w:line="240" w:lineRule="auto"/>
              <w:jc w:val="right"/>
              <w:rPr>
                <w:rFonts w:ascii="Montserrat" w:eastAsia="Times New Roman" w:hAnsi="Montserrat" w:cs="Calibri"/>
                <w:b/>
                <w:color w:val="000000"/>
                <w:sz w:val="15"/>
                <w:szCs w:val="15"/>
                <w:lang w:val="es-MX" w:eastAsia="es-MX"/>
              </w:rPr>
            </w:pPr>
            <w:r w:rsidRPr="000F0321">
              <w:rPr>
                <w:rFonts w:ascii="Montserrat" w:hAnsi="Montserrat" w:cs="Arial"/>
                <w:b/>
                <w:color w:val="000000"/>
                <w:sz w:val="15"/>
                <w:szCs w:val="15"/>
              </w:rPr>
              <w:t>431,895,759,401</w:t>
            </w:r>
          </w:p>
        </w:tc>
        <w:tc>
          <w:tcPr>
            <w:tcW w:w="1984" w:type="dxa"/>
            <w:tcBorders>
              <w:top w:val="nil"/>
            </w:tcBorders>
            <w:shd w:val="clear" w:color="auto" w:fill="F2F2F2" w:themeFill="background1" w:themeFillShade="F2"/>
            <w:vAlign w:val="center"/>
            <w:hideMark/>
          </w:tcPr>
          <w:p w14:paraId="154A5CE4" w14:textId="77777777" w:rsidR="00D216BF" w:rsidRPr="00255081" w:rsidRDefault="00D216BF" w:rsidP="00D216BF">
            <w:pPr>
              <w:spacing w:after="0" w:line="240" w:lineRule="auto"/>
              <w:jc w:val="right"/>
              <w:rPr>
                <w:rFonts w:ascii="Montserrat" w:eastAsia="Times New Roman" w:hAnsi="Montserrat" w:cs="Calibri"/>
                <w:b/>
                <w:color w:val="000000"/>
                <w:sz w:val="15"/>
                <w:szCs w:val="15"/>
                <w:lang w:val="es-MX" w:eastAsia="es-MX"/>
              </w:rPr>
            </w:pPr>
            <w:r w:rsidRPr="00255081">
              <w:rPr>
                <w:rFonts w:ascii="Montserrat" w:eastAsia="Times New Roman" w:hAnsi="Montserrat" w:cs="Calibri"/>
                <w:b/>
                <w:color w:val="000000"/>
                <w:sz w:val="15"/>
                <w:szCs w:val="15"/>
                <w:lang w:val="es-MX" w:eastAsia="es-MX"/>
              </w:rPr>
              <w:t>541,747,431,165</w:t>
            </w:r>
          </w:p>
        </w:tc>
      </w:tr>
      <w:tr w:rsidR="00D216BF" w:rsidRPr="006F0DF1" w14:paraId="5EC21D22" w14:textId="77777777" w:rsidTr="00556DB3">
        <w:trPr>
          <w:trHeight w:val="215"/>
          <w:jc w:val="center"/>
        </w:trPr>
        <w:tc>
          <w:tcPr>
            <w:tcW w:w="4063" w:type="dxa"/>
            <w:tcBorders>
              <w:bottom w:val="single" w:sz="12" w:space="0" w:color="808080" w:themeColor="background1" w:themeShade="80"/>
            </w:tcBorders>
            <w:shd w:val="clear" w:color="auto" w:fill="F2F2F2" w:themeFill="background1" w:themeFillShade="F2"/>
            <w:vAlign w:val="center"/>
            <w:hideMark/>
          </w:tcPr>
          <w:p w14:paraId="30561009" w14:textId="77777777" w:rsidR="00D216BF" w:rsidRPr="00255081" w:rsidRDefault="00D216BF" w:rsidP="00D216BF">
            <w:pPr>
              <w:spacing w:after="0" w:line="240" w:lineRule="auto"/>
              <w:ind w:left="170"/>
              <w:jc w:val="right"/>
              <w:rPr>
                <w:rFonts w:ascii="Montserrat" w:eastAsia="Times New Roman" w:hAnsi="Montserrat" w:cs="Calibri"/>
                <w:b/>
                <w:bCs/>
                <w:color w:val="000000"/>
                <w:sz w:val="15"/>
                <w:szCs w:val="15"/>
                <w:lang w:val="es-MX" w:eastAsia="es-MX"/>
              </w:rPr>
            </w:pPr>
            <w:r w:rsidRPr="00255081">
              <w:rPr>
                <w:rFonts w:ascii="Montserrat" w:eastAsia="Times New Roman" w:hAnsi="Montserrat" w:cs="Calibri"/>
                <w:b/>
                <w:bCs/>
                <w:color w:val="000000"/>
                <w:sz w:val="15"/>
                <w:szCs w:val="15"/>
                <w:lang w:val="es-MX" w:eastAsia="es-MX"/>
              </w:rPr>
              <w:t>Total Ingresos de Gestión y Transferencias</w:t>
            </w:r>
          </w:p>
        </w:tc>
        <w:tc>
          <w:tcPr>
            <w:tcW w:w="1984" w:type="dxa"/>
            <w:tcBorders>
              <w:bottom w:val="single" w:sz="12" w:space="0" w:color="808080" w:themeColor="background1" w:themeShade="80"/>
            </w:tcBorders>
            <w:shd w:val="clear" w:color="auto" w:fill="F2F2F2" w:themeFill="background1" w:themeFillShade="F2"/>
            <w:vAlign w:val="center"/>
          </w:tcPr>
          <w:p w14:paraId="70B20248" w14:textId="547D9107" w:rsidR="00D216BF" w:rsidRPr="00255081" w:rsidRDefault="00D216BF" w:rsidP="00D216BF">
            <w:pPr>
              <w:spacing w:after="0" w:line="240" w:lineRule="auto"/>
              <w:jc w:val="right"/>
              <w:rPr>
                <w:rFonts w:ascii="Montserrat" w:eastAsia="Times New Roman" w:hAnsi="Montserrat" w:cs="Calibri"/>
                <w:b/>
                <w:bCs/>
                <w:color w:val="000000"/>
                <w:sz w:val="15"/>
                <w:szCs w:val="15"/>
                <w:lang w:val="es-MX" w:eastAsia="es-MX"/>
              </w:rPr>
            </w:pPr>
            <w:r w:rsidRPr="000F0321">
              <w:rPr>
                <w:rFonts w:ascii="Montserrat" w:hAnsi="Montserrat" w:cs="Arial"/>
                <w:b/>
                <w:bCs/>
                <w:color w:val="000000"/>
                <w:sz w:val="15"/>
                <w:szCs w:val="15"/>
              </w:rPr>
              <w:t>3,897,796,258,942</w:t>
            </w:r>
          </w:p>
        </w:tc>
        <w:tc>
          <w:tcPr>
            <w:tcW w:w="1984" w:type="dxa"/>
            <w:tcBorders>
              <w:bottom w:val="single" w:sz="12" w:space="0" w:color="808080" w:themeColor="background1" w:themeShade="80"/>
            </w:tcBorders>
            <w:shd w:val="clear" w:color="auto" w:fill="F2F2F2" w:themeFill="background1" w:themeFillShade="F2"/>
            <w:vAlign w:val="center"/>
            <w:hideMark/>
          </w:tcPr>
          <w:p w14:paraId="780E7C43" w14:textId="77777777" w:rsidR="00D216BF" w:rsidRPr="00255081" w:rsidRDefault="00D216BF" w:rsidP="00D216BF">
            <w:pPr>
              <w:spacing w:after="0" w:line="240" w:lineRule="auto"/>
              <w:jc w:val="right"/>
              <w:rPr>
                <w:rFonts w:ascii="Montserrat" w:eastAsia="Times New Roman" w:hAnsi="Montserrat" w:cs="Calibri"/>
                <w:b/>
                <w:bCs/>
                <w:color w:val="000000"/>
                <w:sz w:val="15"/>
                <w:szCs w:val="15"/>
                <w:lang w:val="es-MX" w:eastAsia="es-MX"/>
              </w:rPr>
            </w:pPr>
            <w:r w:rsidRPr="00255081">
              <w:rPr>
                <w:rFonts w:ascii="Montserrat" w:hAnsi="Montserrat" w:cs="Calibri"/>
                <w:b/>
                <w:bCs/>
                <w:color w:val="000000"/>
                <w:sz w:val="15"/>
                <w:szCs w:val="15"/>
              </w:rPr>
              <w:t>3,880,947,551,137</w:t>
            </w:r>
          </w:p>
        </w:tc>
      </w:tr>
    </w:tbl>
    <w:p w14:paraId="57E498DC" w14:textId="77777777" w:rsidR="00176A19" w:rsidRDefault="00176A19" w:rsidP="001E1A82">
      <w:pPr>
        <w:spacing w:after="0" w:line="240" w:lineRule="auto"/>
        <w:jc w:val="both"/>
        <w:rPr>
          <w:rFonts w:ascii="Montserrat" w:hAnsi="Montserrat" w:cs="Arial"/>
          <w:spacing w:val="-1"/>
          <w:sz w:val="18"/>
          <w:szCs w:val="18"/>
        </w:rPr>
      </w:pPr>
    </w:p>
    <w:p w14:paraId="77C92542" w14:textId="1BEF3C24" w:rsidR="001578FB" w:rsidRDefault="00F174D8" w:rsidP="00176A19">
      <w:pPr>
        <w:spacing w:after="120" w:line="250" w:lineRule="exact"/>
        <w:jc w:val="both"/>
        <w:rPr>
          <w:rFonts w:ascii="Montserrat" w:hAnsi="Montserrat" w:cs="Arial"/>
          <w:spacing w:val="-1"/>
          <w:sz w:val="18"/>
          <w:szCs w:val="18"/>
        </w:rPr>
      </w:pPr>
      <w:r>
        <w:rPr>
          <w:rFonts w:ascii="Montserrat" w:hAnsi="Montserrat" w:cs="Arial"/>
          <w:spacing w:val="-1"/>
          <w:sz w:val="18"/>
          <w:szCs w:val="18"/>
        </w:rPr>
        <w:t>L</w:t>
      </w:r>
      <w:r w:rsidR="001578FB" w:rsidRPr="00176A19">
        <w:rPr>
          <w:rFonts w:ascii="Montserrat" w:hAnsi="Montserrat" w:cs="Arial"/>
          <w:spacing w:val="-1"/>
          <w:sz w:val="18"/>
          <w:szCs w:val="18"/>
        </w:rPr>
        <w:t xml:space="preserve">a recaudación </w:t>
      </w:r>
      <w:r w:rsidR="001578FB" w:rsidRPr="00481DD3">
        <w:rPr>
          <w:rFonts w:ascii="Montserrat" w:hAnsi="Montserrat" w:cs="Arial"/>
          <w:spacing w:val="-1"/>
          <w:sz w:val="18"/>
          <w:szCs w:val="18"/>
        </w:rPr>
        <w:t xml:space="preserve">del </w:t>
      </w:r>
      <w:r w:rsidR="001578FB" w:rsidRPr="000F0321">
        <w:rPr>
          <w:rFonts w:ascii="Montserrat" w:hAnsi="Montserrat" w:cs="Arial"/>
          <w:spacing w:val="-1"/>
          <w:sz w:val="18"/>
          <w:szCs w:val="18"/>
        </w:rPr>
        <w:t>ejercicio fiscal 201</w:t>
      </w:r>
      <w:r w:rsidR="00104F5A" w:rsidRPr="000F0321">
        <w:rPr>
          <w:rFonts w:ascii="Montserrat" w:hAnsi="Montserrat" w:cs="Arial"/>
          <w:spacing w:val="-1"/>
          <w:sz w:val="18"/>
          <w:szCs w:val="18"/>
        </w:rPr>
        <w:t>9</w:t>
      </w:r>
      <w:r w:rsidR="001578FB" w:rsidRPr="000F0321">
        <w:rPr>
          <w:rFonts w:ascii="Montserrat" w:hAnsi="Montserrat" w:cs="Arial"/>
          <w:spacing w:val="-1"/>
          <w:sz w:val="18"/>
          <w:szCs w:val="18"/>
        </w:rPr>
        <w:t xml:space="preserve"> tuvo un incremento </w:t>
      </w:r>
      <w:r>
        <w:rPr>
          <w:rFonts w:ascii="Montserrat" w:hAnsi="Montserrat" w:cs="Arial"/>
          <w:spacing w:val="-1"/>
          <w:sz w:val="18"/>
          <w:szCs w:val="18"/>
        </w:rPr>
        <w:t>de</w:t>
      </w:r>
      <w:r w:rsidR="001578FB" w:rsidRPr="000F0321">
        <w:rPr>
          <w:rFonts w:ascii="Montserrat" w:hAnsi="Montserrat" w:cs="Arial"/>
          <w:spacing w:val="-1"/>
          <w:sz w:val="18"/>
          <w:szCs w:val="18"/>
        </w:rPr>
        <w:t xml:space="preserve"> </w:t>
      </w:r>
      <w:r w:rsidR="004917A0" w:rsidRPr="000F0321">
        <w:rPr>
          <w:rFonts w:ascii="Montserrat" w:hAnsi="Montserrat" w:cs="Arial"/>
          <w:spacing w:val="-1"/>
          <w:sz w:val="18"/>
          <w:szCs w:val="18"/>
        </w:rPr>
        <w:t>0.43</w:t>
      </w:r>
      <w:r w:rsidR="001578FB" w:rsidRPr="000F0321">
        <w:rPr>
          <w:rFonts w:ascii="Montserrat" w:hAnsi="Montserrat" w:cs="Arial"/>
          <w:spacing w:val="-1"/>
          <w:sz w:val="18"/>
          <w:szCs w:val="18"/>
        </w:rPr>
        <w:t>% aproximadamente con respecto al ejercicio fiscal 201</w:t>
      </w:r>
      <w:r w:rsidR="00104F5A" w:rsidRPr="000F0321">
        <w:rPr>
          <w:rFonts w:ascii="Montserrat" w:hAnsi="Montserrat" w:cs="Arial"/>
          <w:spacing w:val="-1"/>
          <w:sz w:val="18"/>
          <w:szCs w:val="18"/>
        </w:rPr>
        <w:t>8</w:t>
      </w:r>
      <w:r w:rsidR="001578FB" w:rsidRPr="000F0321">
        <w:rPr>
          <w:rFonts w:ascii="Montserrat" w:hAnsi="Montserrat" w:cs="Arial"/>
          <w:spacing w:val="-1"/>
          <w:sz w:val="18"/>
          <w:szCs w:val="18"/>
        </w:rPr>
        <w:t>;</w:t>
      </w:r>
      <w:r w:rsidR="001578FB" w:rsidRPr="00481DD3">
        <w:rPr>
          <w:rFonts w:ascii="Montserrat" w:hAnsi="Montserrat" w:cs="Arial"/>
          <w:spacing w:val="-1"/>
          <w:sz w:val="18"/>
          <w:szCs w:val="18"/>
        </w:rPr>
        <w:t xml:space="preserve"> </w:t>
      </w:r>
      <w:r w:rsidR="004917A0" w:rsidRPr="00481DD3">
        <w:rPr>
          <w:rFonts w:ascii="Montserrat" w:hAnsi="Montserrat" w:cs="Arial"/>
          <w:spacing w:val="-1"/>
          <w:sz w:val="18"/>
          <w:szCs w:val="18"/>
        </w:rPr>
        <w:t>el rubro de impuestos presenta un aumento derivado principalmente de aquellos sobre la producción, el consumo y las transacciones</w:t>
      </w:r>
      <w:r w:rsidR="00481DD3" w:rsidRPr="00481DD3">
        <w:rPr>
          <w:rFonts w:ascii="Montserrat" w:hAnsi="Montserrat" w:cs="Arial"/>
          <w:spacing w:val="-1"/>
          <w:sz w:val="18"/>
          <w:szCs w:val="18"/>
        </w:rPr>
        <w:t>, específicamente de la importación de bienes tangibles</w:t>
      </w:r>
      <w:r w:rsidR="007D7323">
        <w:rPr>
          <w:rFonts w:ascii="Montserrat" w:hAnsi="Montserrat" w:cs="Arial"/>
          <w:spacing w:val="-1"/>
          <w:sz w:val="18"/>
          <w:szCs w:val="18"/>
        </w:rPr>
        <w:t xml:space="preserve">, </w:t>
      </w:r>
      <w:r w:rsidR="007D7323" w:rsidRPr="00176A19">
        <w:rPr>
          <w:rFonts w:ascii="Montserrat" w:hAnsi="Montserrat" w:cs="Arial"/>
          <w:spacing w:val="-1"/>
          <w:sz w:val="18"/>
          <w:szCs w:val="18"/>
        </w:rPr>
        <w:t>así como también l</w:t>
      </w:r>
      <w:r w:rsidR="007D7323">
        <w:rPr>
          <w:rFonts w:ascii="Montserrat" w:hAnsi="Montserrat" w:cs="Arial"/>
          <w:spacing w:val="-1"/>
          <w:sz w:val="18"/>
          <w:szCs w:val="18"/>
        </w:rPr>
        <w:t>o</w:t>
      </w:r>
      <w:r w:rsidR="007D7323" w:rsidRPr="00176A19">
        <w:rPr>
          <w:rFonts w:ascii="Montserrat" w:hAnsi="Montserrat" w:cs="Arial"/>
          <w:spacing w:val="-1"/>
          <w:sz w:val="18"/>
          <w:szCs w:val="18"/>
        </w:rPr>
        <w:t xml:space="preserve">s </w:t>
      </w:r>
      <w:r w:rsidR="007D7323">
        <w:rPr>
          <w:rFonts w:ascii="Montserrat" w:hAnsi="Montserrat" w:cs="Arial"/>
          <w:spacing w:val="-1"/>
          <w:sz w:val="18"/>
          <w:szCs w:val="18"/>
        </w:rPr>
        <w:t>derechos</w:t>
      </w:r>
      <w:r w:rsidR="007D7323" w:rsidRPr="00176A19">
        <w:rPr>
          <w:rFonts w:ascii="Montserrat" w:hAnsi="Montserrat" w:cs="Arial"/>
          <w:spacing w:val="-1"/>
          <w:sz w:val="18"/>
          <w:szCs w:val="18"/>
        </w:rPr>
        <w:t>.</w:t>
      </w:r>
    </w:p>
    <w:p w14:paraId="7AA7400C" w14:textId="77777777" w:rsidR="001E1A82" w:rsidRDefault="001E1A82" w:rsidP="001E1A82">
      <w:pPr>
        <w:spacing w:after="0" w:line="240" w:lineRule="auto"/>
        <w:jc w:val="both"/>
        <w:rPr>
          <w:rFonts w:ascii="Montserrat" w:hAnsi="Montserrat" w:cs="Arial"/>
          <w:spacing w:val="-1"/>
          <w:sz w:val="18"/>
          <w:szCs w:val="18"/>
        </w:rPr>
      </w:pPr>
    </w:p>
    <w:p w14:paraId="7802E666" w14:textId="77777777" w:rsidR="00AE526C" w:rsidRDefault="00AE526C" w:rsidP="001E1A82">
      <w:pPr>
        <w:spacing w:after="0" w:line="240" w:lineRule="auto"/>
        <w:jc w:val="both"/>
        <w:rPr>
          <w:rFonts w:ascii="Montserrat" w:hAnsi="Montserrat" w:cs="Arial"/>
          <w:spacing w:val="-1"/>
          <w:sz w:val="18"/>
          <w:szCs w:val="18"/>
        </w:rPr>
      </w:pPr>
    </w:p>
    <w:p w14:paraId="224DD7B5" w14:textId="77777777" w:rsidR="00AE526C" w:rsidRPr="00176A19" w:rsidRDefault="00AE526C" w:rsidP="001E1A82">
      <w:pPr>
        <w:spacing w:after="0" w:line="240" w:lineRule="auto"/>
        <w:jc w:val="both"/>
        <w:rPr>
          <w:rFonts w:ascii="Montserrat" w:hAnsi="Montserrat" w:cs="Arial"/>
          <w:spacing w:val="-1"/>
          <w:sz w:val="18"/>
          <w:szCs w:val="18"/>
        </w:rPr>
      </w:pPr>
    </w:p>
    <w:p w14:paraId="7D50FBED" w14:textId="77777777" w:rsidR="009C3C24" w:rsidRPr="00C03C59" w:rsidRDefault="009C3C24" w:rsidP="00C03C59">
      <w:pPr>
        <w:pStyle w:val="Prrafodelista"/>
        <w:numPr>
          <w:ilvl w:val="0"/>
          <w:numId w:val="14"/>
        </w:numPr>
        <w:spacing w:before="120" w:after="120" w:line="250" w:lineRule="exact"/>
        <w:ind w:left="714" w:hanging="357"/>
        <w:jc w:val="both"/>
        <w:rPr>
          <w:rFonts w:ascii="Montserrat" w:hAnsi="Montserrat" w:cs="Arial"/>
          <w:spacing w:val="-1"/>
          <w:sz w:val="18"/>
          <w:szCs w:val="18"/>
        </w:rPr>
      </w:pPr>
      <w:r w:rsidRPr="00C03C59">
        <w:rPr>
          <w:rFonts w:ascii="Montserrat" w:hAnsi="Montserrat" w:cs="Arial"/>
          <w:spacing w:val="-1"/>
          <w:sz w:val="18"/>
          <w:szCs w:val="18"/>
        </w:rPr>
        <w:lastRenderedPageBreak/>
        <w:t>Ingresos No Comprendidos en la Ley Vigente</w:t>
      </w:r>
    </w:p>
    <w:p w14:paraId="6B593121" w14:textId="5EF3B414" w:rsidR="00481DD3" w:rsidRDefault="00481DD3" w:rsidP="000F0321">
      <w:pPr>
        <w:pStyle w:val="TEXTONORMAL"/>
      </w:pPr>
      <w:r>
        <w:t xml:space="preserve">Derivado de las mejoras a la estructura de codificación aprobadas por el CONAC el 27 de septiembre de 2018; se consideró que la Clasificación por Rubro de Ingresos de los no comprendidos, se incluya a partir del ejercicio fiscal 2019 en cada rubro correspondiente, en este sentido los </w:t>
      </w:r>
      <w:r w:rsidRPr="00AE68BA">
        <w:t>Ingresos no Comprendidos en la Ley de Ingresos Vigente, Causados en Ejercicios Fiscales Anteriores Pendientes de Liquidación o Pago</w:t>
      </w:r>
      <w:r>
        <w:t xml:space="preserve"> para este año se refleja</w:t>
      </w:r>
      <w:r w:rsidR="000321AA">
        <w:t>n</w:t>
      </w:r>
      <w:r>
        <w:t xml:space="preserve"> en la presentaci</w:t>
      </w:r>
      <w:r w:rsidR="004B170A">
        <w:t>ón del cuadro anterior en ceros</w:t>
      </w:r>
      <w:r w:rsidR="007D7323">
        <w:t xml:space="preserve"> </w:t>
      </w:r>
      <w:r w:rsidR="000321AA">
        <w:t>en virtud de que</w:t>
      </w:r>
      <w:r w:rsidR="007D7323">
        <w:t xml:space="preserve"> éstos </w:t>
      </w:r>
      <w:r w:rsidR="007D7323" w:rsidRPr="009E5D15">
        <w:rPr>
          <w:rFonts w:cs="Arial"/>
          <w:spacing w:val="-1"/>
        </w:rPr>
        <w:t>ha</w:t>
      </w:r>
      <w:r w:rsidR="007D7323">
        <w:rPr>
          <w:rFonts w:cs="Arial"/>
          <w:spacing w:val="-1"/>
        </w:rPr>
        <w:t>n</w:t>
      </w:r>
      <w:r w:rsidR="007D7323" w:rsidRPr="009E5D15">
        <w:rPr>
          <w:rFonts w:cs="Arial"/>
          <w:spacing w:val="-1"/>
        </w:rPr>
        <w:t xml:space="preserve"> sido incluidos en </w:t>
      </w:r>
      <w:r w:rsidR="000321AA">
        <w:rPr>
          <w:rFonts w:cs="Arial"/>
          <w:spacing w:val="-1"/>
        </w:rPr>
        <w:t>el</w:t>
      </w:r>
      <w:r w:rsidR="007D7323" w:rsidRPr="009E5D15">
        <w:rPr>
          <w:rFonts w:cs="Arial"/>
          <w:spacing w:val="-1"/>
        </w:rPr>
        <w:t xml:space="preserve"> rubro correspondiente</w:t>
      </w:r>
      <w:r w:rsidR="007D7323">
        <w:rPr>
          <w:rFonts w:cs="Arial"/>
          <w:spacing w:val="-1"/>
        </w:rPr>
        <w:t>.</w:t>
      </w:r>
    </w:p>
    <w:tbl>
      <w:tblPr>
        <w:tblW w:w="10544" w:type="dxa"/>
        <w:jc w:val="center"/>
        <w:tblCellMar>
          <w:left w:w="70" w:type="dxa"/>
          <w:right w:w="70" w:type="dxa"/>
        </w:tblCellMar>
        <w:tblLook w:val="04A0" w:firstRow="1" w:lastRow="0" w:firstColumn="1" w:lastColumn="0" w:noHBand="0" w:noVBand="1"/>
      </w:tblPr>
      <w:tblGrid>
        <w:gridCol w:w="7044"/>
        <w:gridCol w:w="1780"/>
        <w:gridCol w:w="1720"/>
      </w:tblGrid>
      <w:tr w:rsidR="009C3C24" w:rsidRPr="006F0DF1" w14:paraId="17A57671" w14:textId="77777777" w:rsidTr="00D6124B">
        <w:trPr>
          <w:trHeight w:val="215"/>
          <w:jc w:val="center"/>
        </w:trPr>
        <w:tc>
          <w:tcPr>
            <w:tcW w:w="10544" w:type="dxa"/>
            <w:gridSpan w:val="3"/>
            <w:tcBorders>
              <w:top w:val="nil"/>
              <w:left w:val="nil"/>
              <w:bottom w:val="single" w:sz="12" w:space="0" w:color="808080" w:themeColor="background1" w:themeShade="80"/>
              <w:right w:val="nil"/>
            </w:tcBorders>
            <w:shd w:val="clear" w:color="auto" w:fill="auto"/>
            <w:vAlign w:val="center"/>
            <w:hideMark/>
          </w:tcPr>
          <w:p w14:paraId="475EB729" w14:textId="77777777" w:rsidR="009C3C24" w:rsidRPr="00936371" w:rsidRDefault="009C3C24" w:rsidP="00E52592">
            <w:pPr>
              <w:spacing w:after="60" w:line="250" w:lineRule="exact"/>
              <w:jc w:val="center"/>
              <w:rPr>
                <w:rFonts w:ascii="Montserrat" w:eastAsia="Times New Roman" w:hAnsi="Montserrat" w:cs="Calibri"/>
                <w:bCs/>
                <w:sz w:val="16"/>
                <w:szCs w:val="16"/>
                <w:lang w:val="es-MX" w:eastAsia="es-MX"/>
              </w:rPr>
            </w:pPr>
            <w:r w:rsidRPr="00936371">
              <w:rPr>
                <w:rFonts w:ascii="Montserrat" w:eastAsia="Times New Roman" w:hAnsi="Montserrat" w:cs="Calibri"/>
                <w:bCs/>
                <w:sz w:val="16"/>
                <w:szCs w:val="16"/>
                <w:lang w:val="es-MX" w:eastAsia="es-MX"/>
              </w:rPr>
              <w:t>(Pesos)</w:t>
            </w:r>
          </w:p>
        </w:tc>
      </w:tr>
      <w:tr w:rsidR="00C4519E" w:rsidRPr="006F0DF1" w14:paraId="1CCABA4C" w14:textId="77777777" w:rsidTr="00CC40D5">
        <w:trPr>
          <w:trHeight w:val="57"/>
          <w:jc w:val="center"/>
        </w:trPr>
        <w:tc>
          <w:tcPr>
            <w:tcW w:w="10544" w:type="dxa"/>
            <w:gridSpan w:val="3"/>
            <w:tcBorders>
              <w:top w:val="single" w:sz="12" w:space="0" w:color="808080" w:themeColor="background1" w:themeShade="80"/>
            </w:tcBorders>
            <w:shd w:val="clear" w:color="auto" w:fill="auto"/>
            <w:vAlign w:val="center"/>
          </w:tcPr>
          <w:p w14:paraId="41BD78A9" w14:textId="77777777" w:rsidR="00C4519E" w:rsidRPr="00BC0F30" w:rsidRDefault="00C4519E" w:rsidP="002F797B">
            <w:pPr>
              <w:spacing w:after="0" w:line="240" w:lineRule="auto"/>
              <w:jc w:val="center"/>
              <w:rPr>
                <w:rFonts w:ascii="Montserrat" w:eastAsia="Times New Roman" w:hAnsi="Montserrat" w:cs="Calibri"/>
                <w:b/>
                <w:bCs/>
                <w:color w:val="FFFFFF"/>
                <w:sz w:val="4"/>
                <w:szCs w:val="4"/>
                <w:lang w:val="es-MX" w:eastAsia="es-MX"/>
              </w:rPr>
            </w:pPr>
          </w:p>
        </w:tc>
      </w:tr>
      <w:tr w:rsidR="009C3C24" w:rsidRPr="006F0DF1" w14:paraId="54FFA4CF" w14:textId="77777777" w:rsidTr="001E1A82">
        <w:trPr>
          <w:trHeight w:val="317"/>
          <w:jc w:val="center"/>
        </w:trPr>
        <w:tc>
          <w:tcPr>
            <w:tcW w:w="7044" w:type="dxa"/>
            <w:tcBorders>
              <w:left w:val="single" w:sz="8" w:space="0" w:color="FFFFFF" w:themeColor="background1"/>
              <w:bottom w:val="double" w:sz="12" w:space="0" w:color="808080" w:themeColor="background1" w:themeShade="80"/>
              <w:right w:val="single" w:sz="8" w:space="0" w:color="FFFFFF" w:themeColor="background1"/>
            </w:tcBorders>
            <w:shd w:val="clear" w:color="auto" w:fill="D4C19C"/>
            <w:vAlign w:val="center"/>
            <w:hideMark/>
          </w:tcPr>
          <w:p w14:paraId="2859B35A" w14:textId="77777777" w:rsidR="009C3C24" w:rsidRPr="006F0DF1" w:rsidRDefault="009C3C24" w:rsidP="002F797B">
            <w:pPr>
              <w:spacing w:after="0" w:line="240" w:lineRule="auto"/>
              <w:jc w:val="center"/>
              <w:rPr>
                <w:rFonts w:ascii="Montserrat" w:eastAsia="Times New Roman" w:hAnsi="Montserrat" w:cs="Calibri"/>
                <w:b/>
                <w:bCs/>
                <w:color w:val="FFFFFF"/>
                <w:sz w:val="16"/>
                <w:szCs w:val="16"/>
                <w:lang w:val="es-MX" w:eastAsia="es-MX"/>
              </w:rPr>
            </w:pPr>
            <w:r w:rsidRPr="006F0DF1">
              <w:rPr>
                <w:rFonts w:ascii="Montserrat" w:eastAsia="Times New Roman" w:hAnsi="Montserrat" w:cs="Calibri"/>
                <w:b/>
                <w:bCs/>
                <w:color w:val="FFFFFF"/>
                <w:sz w:val="16"/>
                <w:szCs w:val="16"/>
                <w:lang w:val="es-MX" w:eastAsia="es-MX"/>
              </w:rPr>
              <w:t>Concepto</w:t>
            </w:r>
          </w:p>
        </w:tc>
        <w:tc>
          <w:tcPr>
            <w:tcW w:w="1780" w:type="dxa"/>
            <w:tcBorders>
              <w:left w:val="single" w:sz="8" w:space="0" w:color="FFFFFF" w:themeColor="background1"/>
              <w:bottom w:val="double" w:sz="12" w:space="0" w:color="808080" w:themeColor="background1" w:themeShade="80"/>
              <w:right w:val="single" w:sz="8" w:space="0" w:color="FFFFFF" w:themeColor="background1"/>
            </w:tcBorders>
            <w:shd w:val="clear" w:color="auto" w:fill="D4C19C"/>
            <w:vAlign w:val="center"/>
            <w:hideMark/>
          </w:tcPr>
          <w:p w14:paraId="144250F3" w14:textId="77777777" w:rsidR="009C3C24" w:rsidRPr="006F0DF1" w:rsidRDefault="009C3C24" w:rsidP="002F797B">
            <w:pPr>
              <w:spacing w:after="0" w:line="240" w:lineRule="auto"/>
              <w:jc w:val="center"/>
              <w:rPr>
                <w:rFonts w:ascii="Montserrat" w:eastAsia="Times New Roman" w:hAnsi="Montserrat" w:cs="Calibri"/>
                <w:b/>
                <w:bCs/>
                <w:color w:val="FFFFFF"/>
                <w:sz w:val="16"/>
                <w:szCs w:val="16"/>
                <w:lang w:val="es-MX" w:eastAsia="es-MX"/>
              </w:rPr>
            </w:pPr>
            <w:r>
              <w:rPr>
                <w:rFonts w:ascii="Montserrat" w:eastAsia="Times New Roman" w:hAnsi="Montserrat" w:cs="Calibri"/>
                <w:b/>
                <w:bCs/>
                <w:color w:val="FFFFFF"/>
                <w:sz w:val="16"/>
                <w:szCs w:val="16"/>
                <w:lang w:val="es-MX" w:eastAsia="es-MX"/>
              </w:rPr>
              <w:t>201</w:t>
            </w:r>
            <w:r w:rsidR="004E5F4A">
              <w:rPr>
                <w:rFonts w:ascii="Montserrat" w:eastAsia="Times New Roman" w:hAnsi="Montserrat" w:cs="Calibri"/>
                <w:b/>
                <w:bCs/>
                <w:color w:val="FFFFFF"/>
                <w:sz w:val="16"/>
                <w:szCs w:val="16"/>
                <w:lang w:val="es-MX" w:eastAsia="es-MX"/>
              </w:rPr>
              <w:t>9</w:t>
            </w:r>
          </w:p>
        </w:tc>
        <w:tc>
          <w:tcPr>
            <w:tcW w:w="1720" w:type="dxa"/>
            <w:tcBorders>
              <w:left w:val="single" w:sz="8" w:space="0" w:color="FFFFFF" w:themeColor="background1"/>
              <w:bottom w:val="double" w:sz="12" w:space="0" w:color="808080" w:themeColor="background1" w:themeShade="80"/>
              <w:right w:val="single" w:sz="8" w:space="0" w:color="FFFFFF" w:themeColor="background1"/>
            </w:tcBorders>
            <w:shd w:val="clear" w:color="auto" w:fill="D4C19C"/>
            <w:vAlign w:val="center"/>
            <w:hideMark/>
          </w:tcPr>
          <w:p w14:paraId="4F28382B" w14:textId="77777777" w:rsidR="009C3C24" w:rsidRPr="006F0DF1" w:rsidRDefault="009C3C24" w:rsidP="002F797B">
            <w:pPr>
              <w:spacing w:after="0" w:line="240" w:lineRule="auto"/>
              <w:jc w:val="center"/>
              <w:rPr>
                <w:rFonts w:ascii="Montserrat" w:eastAsia="Times New Roman" w:hAnsi="Montserrat" w:cs="Calibri"/>
                <w:b/>
                <w:bCs/>
                <w:color w:val="FFFFFF"/>
                <w:sz w:val="16"/>
                <w:szCs w:val="16"/>
                <w:lang w:val="es-MX" w:eastAsia="es-MX"/>
              </w:rPr>
            </w:pPr>
            <w:r>
              <w:rPr>
                <w:rFonts w:ascii="Montserrat" w:eastAsia="Times New Roman" w:hAnsi="Montserrat" w:cs="Calibri"/>
                <w:b/>
                <w:bCs/>
                <w:color w:val="FFFFFF"/>
                <w:sz w:val="16"/>
                <w:szCs w:val="16"/>
                <w:lang w:val="es-MX" w:eastAsia="es-MX"/>
              </w:rPr>
              <w:t>201</w:t>
            </w:r>
            <w:r w:rsidR="004E5F4A">
              <w:rPr>
                <w:rFonts w:ascii="Montserrat" w:eastAsia="Times New Roman" w:hAnsi="Montserrat" w:cs="Calibri"/>
                <w:b/>
                <w:bCs/>
                <w:color w:val="FFFFFF"/>
                <w:sz w:val="16"/>
                <w:szCs w:val="16"/>
                <w:lang w:val="es-MX" w:eastAsia="es-MX"/>
              </w:rPr>
              <w:t>8</w:t>
            </w:r>
          </w:p>
        </w:tc>
      </w:tr>
      <w:tr w:rsidR="00D216BF" w:rsidRPr="006F0DF1" w14:paraId="10DF408D" w14:textId="77777777" w:rsidTr="001E1A82">
        <w:trPr>
          <w:trHeight w:val="215"/>
          <w:jc w:val="center"/>
        </w:trPr>
        <w:tc>
          <w:tcPr>
            <w:tcW w:w="7044" w:type="dxa"/>
            <w:tcBorders>
              <w:top w:val="double" w:sz="12" w:space="0" w:color="808080" w:themeColor="background1" w:themeShade="80"/>
            </w:tcBorders>
            <w:shd w:val="clear" w:color="auto" w:fill="F2F2F2" w:themeFill="background1" w:themeFillShade="F2"/>
            <w:vAlign w:val="center"/>
            <w:hideMark/>
          </w:tcPr>
          <w:p w14:paraId="6E627535" w14:textId="77777777" w:rsidR="00D216BF" w:rsidRPr="00255081" w:rsidRDefault="00D216BF" w:rsidP="00D216BF">
            <w:pPr>
              <w:spacing w:after="0" w:line="240" w:lineRule="auto"/>
              <w:ind w:left="170"/>
              <w:jc w:val="both"/>
              <w:rPr>
                <w:rFonts w:ascii="Montserrat" w:eastAsia="Times New Roman" w:hAnsi="Montserrat" w:cs="Calibri"/>
                <w:color w:val="000000"/>
                <w:sz w:val="15"/>
                <w:szCs w:val="15"/>
                <w:lang w:val="es-MX" w:eastAsia="es-MX"/>
              </w:rPr>
            </w:pPr>
            <w:r w:rsidRPr="00255081">
              <w:rPr>
                <w:rFonts w:ascii="Montserrat" w:eastAsia="Times New Roman" w:hAnsi="Montserrat" w:cs="Calibri"/>
                <w:color w:val="000000"/>
                <w:sz w:val="15"/>
                <w:szCs w:val="15"/>
                <w:lang w:val="es-MX" w:eastAsia="es-MX"/>
              </w:rPr>
              <w:t>Impuestos no Comprendidos en las Fracciones de la Ley de Ingresos Causados en Ejercicios Fiscales Anteriores pendientes de Liquidación o Pago</w:t>
            </w:r>
          </w:p>
        </w:tc>
        <w:tc>
          <w:tcPr>
            <w:tcW w:w="1780" w:type="dxa"/>
            <w:tcBorders>
              <w:top w:val="double" w:sz="12" w:space="0" w:color="808080" w:themeColor="background1" w:themeShade="80"/>
            </w:tcBorders>
            <w:shd w:val="clear" w:color="auto" w:fill="F2F2F2" w:themeFill="background1" w:themeFillShade="F2"/>
            <w:vAlign w:val="center"/>
          </w:tcPr>
          <w:p w14:paraId="5237748E" w14:textId="35EFC9D0" w:rsidR="00D216BF" w:rsidRPr="00255081" w:rsidRDefault="00D216BF" w:rsidP="00D216BF">
            <w:pPr>
              <w:spacing w:after="0" w:line="240" w:lineRule="auto"/>
              <w:jc w:val="right"/>
              <w:rPr>
                <w:rFonts w:ascii="Montserrat" w:eastAsia="Times New Roman" w:hAnsi="Montserrat" w:cs="Calibri"/>
                <w:color w:val="000000"/>
                <w:sz w:val="15"/>
                <w:szCs w:val="15"/>
                <w:lang w:val="es-MX" w:eastAsia="es-MX"/>
              </w:rPr>
            </w:pPr>
            <w:r w:rsidRPr="000F0321">
              <w:rPr>
                <w:rFonts w:ascii="Montserrat" w:hAnsi="Montserrat" w:cs="Arial"/>
                <w:color w:val="000000"/>
                <w:sz w:val="15"/>
                <w:szCs w:val="15"/>
              </w:rPr>
              <w:t>0.00</w:t>
            </w:r>
          </w:p>
        </w:tc>
        <w:tc>
          <w:tcPr>
            <w:tcW w:w="1720" w:type="dxa"/>
            <w:tcBorders>
              <w:top w:val="double" w:sz="12" w:space="0" w:color="808080" w:themeColor="background1" w:themeShade="80"/>
            </w:tcBorders>
            <w:shd w:val="clear" w:color="auto" w:fill="F2F2F2" w:themeFill="background1" w:themeFillShade="F2"/>
            <w:vAlign w:val="center"/>
            <w:hideMark/>
          </w:tcPr>
          <w:p w14:paraId="347F40A1" w14:textId="77777777" w:rsidR="00D216BF" w:rsidRPr="00255081" w:rsidRDefault="00D216BF" w:rsidP="00D216BF">
            <w:pPr>
              <w:spacing w:after="0" w:line="240" w:lineRule="auto"/>
              <w:jc w:val="right"/>
              <w:rPr>
                <w:rFonts w:ascii="Montserrat" w:eastAsia="Times New Roman" w:hAnsi="Montserrat" w:cs="Calibri"/>
                <w:color w:val="000000"/>
                <w:sz w:val="15"/>
                <w:szCs w:val="15"/>
                <w:lang w:val="es-MX" w:eastAsia="es-MX"/>
              </w:rPr>
            </w:pPr>
            <w:r w:rsidRPr="00255081">
              <w:rPr>
                <w:rFonts w:ascii="Montserrat" w:eastAsia="Times New Roman" w:hAnsi="Montserrat" w:cs="Calibri"/>
                <w:color w:val="000000"/>
                <w:sz w:val="15"/>
                <w:szCs w:val="15"/>
                <w:lang w:val="es-MX" w:eastAsia="es-MX"/>
              </w:rPr>
              <w:t>-306,297,281</w:t>
            </w:r>
          </w:p>
        </w:tc>
      </w:tr>
      <w:tr w:rsidR="00D216BF" w:rsidRPr="006F0DF1" w14:paraId="31B08CE7" w14:textId="77777777" w:rsidTr="001E1A82">
        <w:trPr>
          <w:trHeight w:val="215"/>
          <w:jc w:val="center"/>
        </w:trPr>
        <w:tc>
          <w:tcPr>
            <w:tcW w:w="7044" w:type="dxa"/>
            <w:tcBorders>
              <w:top w:val="nil"/>
            </w:tcBorders>
            <w:shd w:val="clear" w:color="auto" w:fill="F2F2F2" w:themeFill="background1" w:themeFillShade="F2"/>
            <w:vAlign w:val="center"/>
            <w:hideMark/>
          </w:tcPr>
          <w:p w14:paraId="5FBC0F74" w14:textId="77777777" w:rsidR="00D216BF" w:rsidRPr="00255081" w:rsidRDefault="00D216BF" w:rsidP="00D216BF">
            <w:pPr>
              <w:spacing w:after="0" w:line="240" w:lineRule="auto"/>
              <w:ind w:left="170"/>
              <w:jc w:val="both"/>
              <w:rPr>
                <w:rFonts w:ascii="Montserrat" w:eastAsia="Times New Roman" w:hAnsi="Montserrat" w:cs="Calibri"/>
                <w:color w:val="000000"/>
                <w:sz w:val="15"/>
                <w:szCs w:val="15"/>
                <w:lang w:val="es-MX" w:eastAsia="es-MX"/>
              </w:rPr>
            </w:pPr>
            <w:r w:rsidRPr="00255081">
              <w:rPr>
                <w:rFonts w:ascii="Montserrat" w:eastAsia="Times New Roman" w:hAnsi="Montserrat" w:cs="Calibri"/>
                <w:color w:val="000000"/>
                <w:sz w:val="15"/>
                <w:szCs w:val="15"/>
                <w:lang w:val="es-MX" w:eastAsia="es-MX"/>
              </w:rPr>
              <w:t>Contribuciones de Mejoras, Derechos, Productos y Aprovechamientos no Comprendidos en las Fracciones en las Fracciones de la Ley de Ingresos Pendientes de Liquidación o Pago</w:t>
            </w:r>
          </w:p>
        </w:tc>
        <w:tc>
          <w:tcPr>
            <w:tcW w:w="1780" w:type="dxa"/>
            <w:tcBorders>
              <w:top w:val="nil"/>
            </w:tcBorders>
            <w:shd w:val="clear" w:color="auto" w:fill="F2F2F2" w:themeFill="background1" w:themeFillShade="F2"/>
            <w:vAlign w:val="center"/>
          </w:tcPr>
          <w:p w14:paraId="4CA9B1C0" w14:textId="4B1DFA37" w:rsidR="00D216BF" w:rsidRPr="00255081" w:rsidRDefault="00D216BF" w:rsidP="00D216BF">
            <w:pPr>
              <w:spacing w:after="0" w:line="240" w:lineRule="auto"/>
              <w:jc w:val="right"/>
              <w:rPr>
                <w:rFonts w:ascii="Montserrat" w:eastAsia="Times New Roman" w:hAnsi="Montserrat" w:cs="Calibri"/>
                <w:color w:val="000000"/>
                <w:sz w:val="15"/>
                <w:szCs w:val="15"/>
                <w:lang w:val="es-MX" w:eastAsia="es-MX"/>
              </w:rPr>
            </w:pPr>
            <w:r w:rsidRPr="000F0321">
              <w:rPr>
                <w:rFonts w:ascii="Montserrat" w:hAnsi="Montserrat" w:cs="Arial"/>
                <w:color w:val="000000"/>
                <w:sz w:val="15"/>
                <w:szCs w:val="15"/>
              </w:rPr>
              <w:t>0.00</w:t>
            </w:r>
          </w:p>
        </w:tc>
        <w:tc>
          <w:tcPr>
            <w:tcW w:w="1720" w:type="dxa"/>
            <w:tcBorders>
              <w:top w:val="nil"/>
            </w:tcBorders>
            <w:shd w:val="clear" w:color="auto" w:fill="F2F2F2" w:themeFill="background1" w:themeFillShade="F2"/>
            <w:vAlign w:val="center"/>
            <w:hideMark/>
          </w:tcPr>
          <w:p w14:paraId="25150013" w14:textId="77777777" w:rsidR="00D216BF" w:rsidRPr="00255081" w:rsidRDefault="00D216BF" w:rsidP="00D216BF">
            <w:pPr>
              <w:spacing w:after="0" w:line="240" w:lineRule="auto"/>
              <w:jc w:val="right"/>
              <w:rPr>
                <w:rFonts w:ascii="Montserrat" w:eastAsia="Times New Roman" w:hAnsi="Montserrat" w:cs="Calibri"/>
                <w:color w:val="000000"/>
                <w:sz w:val="15"/>
                <w:szCs w:val="15"/>
                <w:lang w:val="es-MX" w:eastAsia="es-MX"/>
              </w:rPr>
            </w:pPr>
            <w:r w:rsidRPr="00255081">
              <w:rPr>
                <w:rFonts w:ascii="Montserrat" w:eastAsia="Times New Roman" w:hAnsi="Montserrat" w:cs="Calibri"/>
                <w:color w:val="000000"/>
                <w:sz w:val="15"/>
                <w:szCs w:val="15"/>
                <w:lang w:val="es-MX" w:eastAsia="es-MX"/>
              </w:rPr>
              <w:t>-6,108,258,942</w:t>
            </w:r>
          </w:p>
        </w:tc>
      </w:tr>
      <w:tr w:rsidR="00D216BF" w:rsidRPr="006F0DF1" w14:paraId="3CF7D479" w14:textId="77777777" w:rsidTr="001E1A82">
        <w:trPr>
          <w:trHeight w:val="215"/>
          <w:jc w:val="center"/>
        </w:trPr>
        <w:tc>
          <w:tcPr>
            <w:tcW w:w="7044" w:type="dxa"/>
            <w:tcBorders>
              <w:bottom w:val="single" w:sz="12" w:space="0" w:color="808080" w:themeColor="background1" w:themeShade="80"/>
            </w:tcBorders>
            <w:shd w:val="clear" w:color="auto" w:fill="F2F2F2" w:themeFill="background1" w:themeFillShade="F2"/>
            <w:vAlign w:val="center"/>
            <w:hideMark/>
          </w:tcPr>
          <w:p w14:paraId="5D1A5601" w14:textId="77777777" w:rsidR="00D216BF" w:rsidRPr="00255081" w:rsidRDefault="00D216BF" w:rsidP="00D216BF">
            <w:pPr>
              <w:spacing w:after="0" w:line="240" w:lineRule="auto"/>
              <w:ind w:left="170"/>
              <w:jc w:val="right"/>
              <w:rPr>
                <w:rFonts w:ascii="Montserrat" w:eastAsia="Times New Roman" w:hAnsi="Montserrat" w:cs="Calibri"/>
                <w:b/>
                <w:bCs/>
                <w:color w:val="000000"/>
                <w:sz w:val="15"/>
                <w:szCs w:val="15"/>
                <w:lang w:val="es-MX" w:eastAsia="es-MX"/>
              </w:rPr>
            </w:pPr>
            <w:r w:rsidRPr="00255081">
              <w:rPr>
                <w:rFonts w:ascii="Montserrat" w:eastAsia="Times New Roman" w:hAnsi="Montserrat" w:cs="Calibri"/>
                <w:b/>
                <w:bCs/>
                <w:color w:val="000000"/>
                <w:sz w:val="15"/>
                <w:szCs w:val="15"/>
                <w:lang w:val="es-MX" w:eastAsia="es-MX"/>
              </w:rPr>
              <w:t>Total Ingresos No Comprendidos en la Ley Vigente</w:t>
            </w:r>
          </w:p>
        </w:tc>
        <w:tc>
          <w:tcPr>
            <w:tcW w:w="1780" w:type="dxa"/>
            <w:tcBorders>
              <w:bottom w:val="single" w:sz="12" w:space="0" w:color="808080" w:themeColor="background1" w:themeShade="80"/>
            </w:tcBorders>
            <w:shd w:val="clear" w:color="auto" w:fill="F2F2F2" w:themeFill="background1" w:themeFillShade="F2"/>
            <w:vAlign w:val="center"/>
          </w:tcPr>
          <w:p w14:paraId="56624745" w14:textId="5814FF06" w:rsidR="00D216BF" w:rsidRPr="00255081" w:rsidRDefault="00D216BF" w:rsidP="00D216BF">
            <w:pPr>
              <w:spacing w:after="0" w:line="240" w:lineRule="auto"/>
              <w:jc w:val="right"/>
              <w:rPr>
                <w:rFonts w:ascii="Montserrat" w:eastAsia="Times New Roman" w:hAnsi="Montserrat" w:cs="Calibri"/>
                <w:b/>
                <w:bCs/>
                <w:color w:val="000000"/>
                <w:sz w:val="15"/>
                <w:szCs w:val="15"/>
                <w:lang w:val="es-MX" w:eastAsia="es-MX"/>
              </w:rPr>
            </w:pPr>
            <w:r w:rsidRPr="000F0321">
              <w:rPr>
                <w:rFonts w:ascii="Montserrat" w:hAnsi="Montserrat" w:cs="Arial"/>
                <w:b/>
                <w:bCs/>
                <w:color w:val="000000"/>
                <w:sz w:val="15"/>
                <w:szCs w:val="15"/>
              </w:rPr>
              <w:t>0.00</w:t>
            </w:r>
          </w:p>
        </w:tc>
        <w:tc>
          <w:tcPr>
            <w:tcW w:w="1720" w:type="dxa"/>
            <w:tcBorders>
              <w:bottom w:val="single" w:sz="12" w:space="0" w:color="808080" w:themeColor="background1" w:themeShade="80"/>
            </w:tcBorders>
            <w:shd w:val="clear" w:color="auto" w:fill="F2F2F2" w:themeFill="background1" w:themeFillShade="F2"/>
            <w:vAlign w:val="center"/>
            <w:hideMark/>
          </w:tcPr>
          <w:p w14:paraId="1354F2EB" w14:textId="77777777" w:rsidR="00D216BF" w:rsidRPr="00255081" w:rsidRDefault="00D216BF" w:rsidP="00D216BF">
            <w:pPr>
              <w:spacing w:after="0" w:line="240" w:lineRule="auto"/>
              <w:jc w:val="right"/>
              <w:rPr>
                <w:rFonts w:ascii="Montserrat" w:eastAsia="Times New Roman" w:hAnsi="Montserrat" w:cs="Calibri"/>
                <w:b/>
                <w:bCs/>
                <w:color w:val="000000"/>
                <w:sz w:val="15"/>
                <w:szCs w:val="15"/>
                <w:lang w:val="es-MX" w:eastAsia="es-MX"/>
              </w:rPr>
            </w:pPr>
            <w:r w:rsidRPr="00255081">
              <w:rPr>
                <w:rFonts w:ascii="Montserrat" w:eastAsia="Times New Roman" w:hAnsi="Montserrat" w:cs="Calibri"/>
                <w:b/>
                <w:bCs/>
                <w:color w:val="000000"/>
                <w:sz w:val="15"/>
                <w:szCs w:val="15"/>
                <w:lang w:val="es-MX" w:eastAsia="es-MX"/>
              </w:rPr>
              <w:t>-6,414,556,223</w:t>
            </w:r>
          </w:p>
        </w:tc>
      </w:tr>
    </w:tbl>
    <w:p w14:paraId="0A9EFB27" w14:textId="77777777" w:rsidR="00176A19" w:rsidRDefault="00176A19" w:rsidP="001E1A82">
      <w:pPr>
        <w:spacing w:after="0" w:line="240" w:lineRule="auto"/>
        <w:jc w:val="both"/>
        <w:rPr>
          <w:rFonts w:ascii="Montserrat" w:hAnsi="Montserrat" w:cs="Arial"/>
          <w:spacing w:val="-1"/>
          <w:sz w:val="18"/>
          <w:szCs w:val="18"/>
        </w:rPr>
      </w:pPr>
    </w:p>
    <w:p w14:paraId="5F840B9D" w14:textId="4734FA54" w:rsidR="007D7323" w:rsidRDefault="007D7323" w:rsidP="007D7323">
      <w:pPr>
        <w:pStyle w:val="TEXTONORMAL"/>
      </w:pPr>
      <w:r>
        <w:rPr>
          <w:rFonts w:cs="Arial"/>
          <w:spacing w:val="-1"/>
        </w:rPr>
        <w:t>P</w:t>
      </w:r>
      <w:r w:rsidRPr="009E5D15">
        <w:rPr>
          <w:rFonts w:cs="Arial"/>
          <w:spacing w:val="-1"/>
        </w:rPr>
        <w:t>ara efectos informativos, a conti</w:t>
      </w:r>
      <w:r>
        <w:rPr>
          <w:rFonts w:cs="Arial"/>
          <w:spacing w:val="-1"/>
        </w:rPr>
        <w:t>nuación se presenta su desglose en el ejercicio fiscal 2019:</w:t>
      </w:r>
    </w:p>
    <w:tbl>
      <w:tblPr>
        <w:tblW w:w="8647" w:type="dxa"/>
        <w:jc w:val="center"/>
        <w:tblCellMar>
          <w:left w:w="70" w:type="dxa"/>
          <w:right w:w="70" w:type="dxa"/>
        </w:tblCellMar>
        <w:tblLook w:val="04A0" w:firstRow="1" w:lastRow="0" w:firstColumn="1" w:lastColumn="0" w:noHBand="0" w:noVBand="1"/>
      </w:tblPr>
      <w:tblGrid>
        <w:gridCol w:w="7088"/>
        <w:gridCol w:w="1559"/>
      </w:tblGrid>
      <w:tr w:rsidR="007D7323" w:rsidRPr="006F0DF1" w14:paraId="5F22BE27" w14:textId="77777777" w:rsidTr="000F0321">
        <w:trPr>
          <w:trHeight w:val="215"/>
          <w:jc w:val="center"/>
        </w:trPr>
        <w:tc>
          <w:tcPr>
            <w:tcW w:w="8647" w:type="dxa"/>
            <w:gridSpan w:val="2"/>
            <w:tcBorders>
              <w:top w:val="nil"/>
              <w:left w:val="nil"/>
              <w:bottom w:val="single" w:sz="12" w:space="0" w:color="808080" w:themeColor="background1" w:themeShade="80"/>
              <w:right w:val="nil"/>
            </w:tcBorders>
            <w:shd w:val="clear" w:color="auto" w:fill="auto"/>
            <w:vAlign w:val="center"/>
            <w:hideMark/>
          </w:tcPr>
          <w:p w14:paraId="2BE3D9AE" w14:textId="77777777" w:rsidR="007D7323" w:rsidRPr="00936371" w:rsidRDefault="007D7323" w:rsidP="00476315">
            <w:pPr>
              <w:spacing w:after="60" w:line="250" w:lineRule="exact"/>
              <w:jc w:val="center"/>
              <w:rPr>
                <w:rFonts w:ascii="Montserrat" w:eastAsia="Times New Roman" w:hAnsi="Montserrat" w:cs="Calibri"/>
                <w:bCs/>
                <w:sz w:val="16"/>
                <w:szCs w:val="16"/>
                <w:lang w:val="es-MX" w:eastAsia="es-MX"/>
              </w:rPr>
            </w:pPr>
            <w:r w:rsidRPr="00936371">
              <w:rPr>
                <w:rFonts w:ascii="Montserrat" w:eastAsia="Times New Roman" w:hAnsi="Montserrat" w:cs="Calibri"/>
                <w:bCs/>
                <w:sz w:val="16"/>
                <w:szCs w:val="16"/>
                <w:lang w:val="es-MX" w:eastAsia="es-MX"/>
              </w:rPr>
              <w:t>(Pesos)</w:t>
            </w:r>
          </w:p>
        </w:tc>
      </w:tr>
      <w:tr w:rsidR="007D7323" w:rsidRPr="006F0DF1" w14:paraId="53C7FFC4" w14:textId="77777777" w:rsidTr="000F0321">
        <w:trPr>
          <w:trHeight w:val="57"/>
          <w:jc w:val="center"/>
        </w:trPr>
        <w:tc>
          <w:tcPr>
            <w:tcW w:w="8647" w:type="dxa"/>
            <w:gridSpan w:val="2"/>
            <w:tcBorders>
              <w:top w:val="single" w:sz="12" w:space="0" w:color="808080" w:themeColor="background1" w:themeShade="80"/>
            </w:tcBorders>
            <w:shd w:val="clear" w:color="auto" w:fill="auto"/>
            <w:vAlign w:val="center"/>
          </w:tcPr>
          <w:p w14:paraId="52E5C51E" w14:textId="77777777" w:rsidR="007D7323" w:rsidRPr="00BC0F30" w:rsidRDefault="007D7323" w:rsidP="00476315">
            <w:pPr>
              <w:spacing w:after="0" w:line="240" w:lineRule="auto"/>
              <w:jc w:val="center"/>
              <w:rPr>
                <w:rFonts w:ascii="Montserrat" w:eastAsia="Times New Roman" w:hAnsi="Montserrat" w:cs="Calibri"/>
                <w:b/>
                <w:bCs/>
                <w:color w:val="FFFFFF"/>
                <w:sz w:val="4"/>
                <w:szCs w:val="4"/>
                <w:lang w:val="es-MX" w:eastAsia="es-MX"/>
              </w:rPr>
            </w:pPr>
          </w:p>
        </w:tc>
      </w:tr>
      <w:tr w:rsidR="007D7323" w:rsidRPr="006F0DF1" w14:paraId="606C83A2" w14:textId="77777777" w:rsidTr="000F0321">
        <w:trPr>
          <w:trHeight w:val="317"/>
          <w:jc w:val="center"/>
        </w:trPr>
        <w:tc>
          <w:tcPr>
            <w:tcW w:w="7088" w:type="dxa"/>
            <w:tcBorders>
              <w:left w:val="single" w:sz="8" w:space="0" w:color="FFFFFF" w:themeColor="background1"/>
              <w:bottom w:val="double" w:sz="12" w:space="0" w:color="808080" w:themeColor="background1" w:themeShade="80"/>
              <w:right w:val="single" w:sz="8" w:space="0" w:color="FFFFFF" w:themeColor="background1"/>
            </w:tcBorders>
            <w:shd w:val="clear" w:color="auto" w:fill="D4C19C"/>
            <w:vAlign w:val="center"/>
            <w:hideMark/>
          </w:tcPr>
          <w:p w14:paraId="3AABE350" w14:textId="77777777" w:rsidR="007D7323" w:rsidRPr="006F0DF1" w:rsidRDefault="007D7323" w:rsidP="00476315">
            <w:pPr>
              <w:spacing w:after="0" w:line="240" w:lineRule="auto"/>
              <w:jc w:val="center"/>
              <w:rPr>
                <w:rFonts w:ascii="Montserrat" w:eastAsia="Times New Roman" w:hAnsi="Montserrat" w:cs="Calibri"/>
                <w:b/>
                <w:bCs/>
                <w:color w:val="FFFFFF"/>
                <w:sz w:val="16"/>
                <w:szCs w:val="16"/>
                <w:lang w:val="es-MX" w:eastAsia="es-MX"/>
              </w:rPr>
            </w:pPr>
            <w:r w:rsidRPr="006F0DF1">
              <w:rPr>
                <w:rFonts w:ascii="Montserrat" w:eastAsia="Times New Roman" w:hAnsi="Montserrat" w:cs="Calibri"/>
                <w:b/>
                <w:bCs/>
                <w:color w:val="FFFFFF"/>
                <w:sz w:val="16"/>
                <w:szCs w:val="16"/>
                <w:lang w:val="es-MX" w:eastAsia="es-MX"/>
              </w:rPr>
              <w:t>Concepto</w:t>
            </w:r>
          </w:p>
        </w:tc>
        <w:tc>
          <w:tcPr>
            <w:tcW w:w="1559" w:type="dxa"/>
            <w:tcBorders>
              <w:left w:val="single" w:sz="8" w:space="0" w:color="FFFFFF" w:themeColor="background1"/>
              <w:bottom w:val="double" w:sz="12" w:space="0" w:color="808080" w:themeColor="background1" w:themeShade="80"/>
              <w:right w:val="single" w:sz="8" w:space="0" w:color="FFFFFF" w:themeColor="background1"/>
            </w:tcBorders>
            <w:shd w:val="clear" w:color="auto" w:fill="D4C19C"/>
            <w:vAlign w:val="center"/>
            <w:hideMark/>
          </w:tcPr>
          <w:p w14:paraId="741B8FE7" w14:textId="4DB6567A" w:rsidR="007D7323" w:rsidRPr="006F0DF1" w:rsidRDefault="007D7323" w:rsidP="00476315">
            <w:pPr>
              <w:spacing w:after="0" w:line="240" w:lineRule="auto"/>
              <w:jc w:val="center"/>
              <w:rPr>
                <w:rFonts w:ascii="Montserrat" w:eastAsia="Times New Roman" w:hAnsi="Montserrat" w:cs="Calibri"/>
                <w:b/>
                <w:bCs/>
                <w:color w:val="FFFFFF"/>
                <w:sz w:val="16"/>
                <w:szCs w:val="16"/>
                <w:lang w:val="es-MX" w:eastAsia="es-MX"/>
              </w:rPr>
            </w:pPr>
            <w:r>
              <w:rPr>
                <w:rFonts w:ascii="Montserrat" w:eastAsia="Times New Roman" w:hAnsi="Montserrat" w:cs="Calibri"/>
                <w:b/>
                <w:bCs/>
                <w:color w:val="FFFFFF"/>
                <w:sz w:val="16"/>
                <w:szCs w:val="16"/>
                <w:lang w:val="es-MX" w:eastAsia="es-MX"/>
              </w:rPr>
              <w:t>2019</w:t>
            </w:r>
          </w:p>
        </w:tc>
      </w:tr>
      <w:tr w:rsidR="007D7323" w:rsidRPr="006F0DF1" w14:paraId="7CEF23C9" w14:textId="77777777" w:rsidTr="000F0321">
        <w:trPr>
          <w:trHeight w:val="215"/>
          <w:jc w:val="center"/>
        </w:trPr>
        <w:tc>
          <w:tcPr>
            <w:tcW w:w="7088" w:type="dxa"/>
            <w:tcBorders>
              <w:top w:val="double" w:sz="12" w:space="0" w:color="808080" w:themeColor="background1" w:themeShade="80"/>
            </w:tcBorders>
            <w:shd w:val="clear" w:color="auto" w:fill="F2F2F2" w:themeFill="background1" w:themeFillShade="F2"/>
            <w:vAlign w:val="center"/>
            <w:hideMark/>
          </w:tcPr>
          <w:p w14:paraId="3E02BB4A" w14:textId="77777777" w:rsidR="007D7323" w:rsidRPr="00255081" w:rsidRDefault="007D7323" w:rsidP="00476315">
            <w:pPr>
              <w:spacing w:after="0" w:line="240" w:lineRule="auto"/>
              <w:ind w:left="170"/>
              <w:jc w:val="both"/>
              <w:rPr>
                <w:rFonts w:ascii="Montserrat" w:eastAsia="Times New Roman" w:hAnsi="Montserrat" w:cs="Calibri"/>
                <w:color w:val="000000"/>
                <w:sz w:val="15"/>
                <w:szCs w:val="15"/>
                <w:lang w:val="es-MX" w:eastAsia="es-MX"/>
              </w:rPr>
            </w:pPr>
            <w:r w:rsidRPr="00255081">
              <w:rPr>
                <w:rFonts w:ascii="Montserrat" w:eastAsia="Times New Roman" w:hAnsi="Montserrat" w:cs="Calibri"/>
                <w:color w:val="000000"/>
                <w:sz w:val="15"/>
                <w:szCs w:val="15"/>
                <w:lang w:val="es-MX" w:eastAsia="es-MX"/>
              </w:rPr>
              <w:t>Impuestos no Comprendidos en las Fracciones de la Ley de Ingresos Causados en Ejercicios Fiscales Anteriores pendientes de Liquidación o Pago</w:t>
            </w:r>
          </w:p>
        </w:tc>
        <w:tc>
          <w:tcPr>
            <w:tcW w:w="1559" w:type="dxa"/>
            <w:tcBorders>
              <w:top w:val="double" w:sz="12" w:space="0" w:color="808080" w:themeColor="background1" w:themeShade="80"/>
            </w:tcBorders>
            <w:shd w:val="clear" w:color="auto" w:fill="F2F2F2" w:themeFill="background1" w:themeFillShade="F2"/>
            <w:vAlign w:val="center"/>
          </w:tcPr>
          <w:p w14:paraId="36D74E99" w14:textId="2FB3E6B7" w:rsidR="007D7323" w:rsidRPr="00255081" w:rsidRDefault="007D7323" w:rsidP="00476315">
            <w:pPr>
              <w:spacing w:after="0" w:line="240" w:lineRule="auto"/>
              <w:jc w:val="right"/>
              <w:rPr>
                <w:rFonts w:ascii="Montserrat" w:eastAsia="Times New Roman" w:hAnsi="Montserrat" w:cs="Calibri"/>
                <w:color w:val="000000"/>
                <w:sz w:val="15"/>
                <w:szCs w:val="15"/>
                <w:lang w:val="es-MX" w:eastAsia="es-MX"/>
              </w:rPr>
            </w:pPr>
            <w:r w:rsidRPr="00255081">
              <w:rPr>
                <w:rFonts w:ascii="Montserrat" w:eastAsia="Times New Roman" w:hAnsi="Montserrat" w:cs="Calibri"/>
                <w:color w:val="000000"/>
                <w:sz w:val="15"/>
                <w:szCs w:val="15"/>
                <w:lang w:val="es-MX" w:eastAsia="es-MX"/>
              </w:rPr>
              <w:t>-1,105,898,960</w:t>
            </w:r>
          </w:p>
        </w:tc>
      </w:tr>
      <w:tr w:rsidR="007D7323" w:rsidRPr="006F0DF1" w14:paraId="5EFDBF84" w14:textId="77777777" w:rsidTr="000F0321">
        <w:trPr>
          <w:trHeight w:val="215"/>
          <w:jc w:val="center"/>
        </w:trPr>
        <w:tc>
          <w:tcPr>
            <w:tcW w:w="7088" w:type="dxa"/>
            <w:tcBorders>
              <w:top w:val="nil"/>
            </w:tcBorders>
            <w:shd w:val="clear" w:color="auto" w:fill="F2F2F2" w:themeFill="background1" w:themeFillShade="F2"/>
            <w:vAlign w:val="center"/>
          </w:tcPr>
          <w:p w14:paraId="07447349" w14:textId="77777777" w:rsidR="007D7323" w:rsidRPr="00255081" w:rsidRDefault="007D7323" w:rsidP="00476315">
            <w:pPr>
              <w:spacing w:after="0" w:line="240" w:lineRule="auto"/>
              <w:ind w:left="170"/>
              <w:jc w:val="both"/>
              <w:rPr>
                <w:rFonts w:ascii="Montserrat" w:eastAsia="Times New Roman" w:hAnsi="Montserrat" w:cs="Calibri"/>
                <w:color w:val="000000"/>
                <w:sz w:val="15"/>
                <w:szCs w:val="15"/>
                <w:lang w:val="es-MX" w:eastAsia="es-MX"/>
              </w:rPr>
            </w:pPr>
            <w:r w:rsidRPr="00255081">
              <w:rPr>
                <w:rFonts w:ascii="Montserrat" w:eastAsia="Times New Roman" w:hAnsi="Montserrat" w:cs="Calibri"/>
                <w:color w:val="000000"/>
                <w:sz w:val="15"/>
                <w:szCs w:val="15"/>
                <w:lang w:val="es-MX" w:eastAsia="es-MX"/>
              </w:rPr>
              <w:t>Derechos no Comprendidos en la Ley de Ingresos Vigente, Causados en Ejercicios Fiscales Anteriores Pendientes de Liquidación o Pago</w:t>
            </w:r>
          </w:p>
        </w:tc>
        <w:tc>
          <w:tcPr>
            <w:tcW w:w="1559" w:type="dxa"/>
            <w:tcBorders>
              <w:top w:val="nil"/>
            </w:tcBorders>
            <w:shd w:val="clear" w:color="auto" w:fill="F2F2F2" w:themeFill="background1" w:themeFillShade="F2"/>
            <w:vAlign w:val="center"/>
          </w:tcPr>
          <w:p w14:paraId="7D6D23A7" w14:textId="5C673DB2" w:rsidR="007D7323" w:rsidRPr="00255081" w:rsidRDefault="007D7323" w:rsidP="00476315">
            <w:pPr>
              <w:spacing w:after="0" w:line="240" w:lineRule="auto"/>
              <w:jc w:val="right"/>
              <w:rPr>
                <w:rFonts w:ascii="Montserrat" w:eastAsia="Times New Roman" w:hAnsi="Montserrat" w:cs="Calibri"/>
                <w:color w:val="000000"/>
                <w:sz w:val="15"/>
                <w:szCs w:val="15"/>
                <w:lang w:val="es-MX" w:eastAsia="es-MX"/>
              </w:rPr>
            </w:pPr>
            <w:r w:rsidRPr="00255081">
              <w:rPr>
                <w:rFonts w:ascii="Montserrat" w:eastAsia="Times New Roman" w:hAnsi="Montserrat" w:cs="Calibri"/>
                <w:color w:val="000000"/>
                <w:sz w:val="15"/>
                <w:szCs w:val="15"/>
                <w:lang w:val="es-MX" w:eastAsia="es-MX"/>
              </w:rPr>
              <w:t>-6,033,855</w:t>
            </w:r>
          </w:p>
        </w:tc>
      </w:tr>
      <w:tr w:rsidR="007D7323" w:rsidRPr="006F0DF1" w14:paraId="18AC2C0A" w14:textId="77777777" w:rsidTr="000F0321">
        <w:trPr>
          <w:trHeight w:val="215"/>
          <w:jc w:val="center"/>
        </w:trPr>
        <w:tc>
          <w:tcPr>
            <w:tcW w:w="7088" w:type="dxa"/>
            <w:tcBorders>
              <w:top w:val="nil"/>
            </w:tcBorders>
            <w:shd w:val="clear" w:color="auto" w:fill="F2F2F2" w:themeFill="background1" w:themeFillShade="F2"/>
            <w:vAlign w:val="center"/>
          </w:tcPr>
          <w:p w14:paraId="11B117C5" w14:textId="77777777" w:rsidR="007D7323" w:rsidRPr="00255081" w:rsidRDefault="007D7323" w:rsidP="00476315">
            <w:pPr>
              <w:spacing w:after="0" w:line="240" w:lineRule="auto"/>
              <w:ind w:left="170"/>
              <w:jc w:val="both"/>
              <w:rPr>
                <w:rFonts w:ascii="Montserrat" w:eastAsia="Times New Roman" w:hAnsi="Montserrat" w:cs="Calibri"/>
                <w:color w:val="000000"/>
                <w:sz w:val="15"/>
                <w:szCs w:val="15"/>
                <w:lang w:val="es-MX" w:eastAsia="es-MX"/>
              </w:rPr>
            </w:pPr>
            <w:r w:rsidRPr="00255081">
              <w:rPr>
                <w:rFonts w:ascii="Montserrat" w:eastAsia="Times New Roman" w:hAnsi="Montserrat" w:cs="Calibri"/>
                <w:color w:val="000000"/>
                <w:sz w:val="15"/>
                <w:szCs w:val="15"/>
                <w:lang w:val="es-MX" w:eastAsia="es-MX"/>
              </w:rPr>
              <w:t>Aprovechamientos no Comprendidos en la Ley de Ingresos Vigente, Causados en Ejercicios Fiscales Anteriores Pendientes de Liquidación o Pago</w:t>
            </w:r>
          </w:p>
        </w:tc>
        <w:tc>
          <w:tcPr>
            <w:tcW w:w="1559" w:type="dxa"/>
            <w:tcBorders>
              <w:top w:val="nil"/>
            </w:tcBorders>
            <w:shd w:val="clear" w:color="auto" w:fill="F2F2F2" w:themeFill="background1" w:themeFillShade="F2"/>
            <w:vAlign w:val="center"/>
          </w:tcPr>
          <w:p w14:paraId="07490E09" w14:textId="4EF39EDE" w:rsidR="007D7323" w:rsidRPr="00255081" w:rsidRDefault="007D7323" w:rsidP="00476315">
            <w:pPr>
              <w:spacing w:after="0" w:line="240" w:lineRule="auto"/>
              <w:jc w:val="right"/>
              <w:rPr>
                <w:rFonts w:ascii="Montserrat" w:eastAsia="Times New Roman" w:hAnsi="Montserrat" w:cs="Calibri"/>
                <w:color w:val="000000"/>
                <w:sz w:val="15"/>
                <w:szCs w:val="15"/>
                <w:lang w:val="es-MX" w:eastAsia="es-MX"/>
              </w:rPr>
            </w:pPr>
            <w:r w:rsidRPr="00255081">
              <w:rPr>
                <w:rFonts w:ascii="Montserrat" w:eastAsia="Times New Roman" w:hAnsi="Montserrat" w:cs="Calibri"/>
                <w:color w:val="000000"/>
                <w:sz w:val="15"/>
                <w:szCs w:val="15"/>
                <w:lang w:val="es-MX" w:eastAsia="es-MX"/>
              </w:rPr>
              <w:t>1,276,072</w:t>
            </w:r>
          </w:p>
        </w:tc>
      </w:tr>
      <w:tr w:rsidR="007D7323" w:rsidRPr="006F0DF1" w14:paraId="355065AE" w14:textId="77777777" w:rsidTr="000F0321">
        <w:trPr>
          <w:trHeight w:val="215"/>
          <w:jc w:val="center"/>
        </w:trPr>
        <w:tc>
          <w:tcPr>
            <w:tcW w:w="7088" w:type="dxa"/>
            <w:tcBorders>
              <w:bottom w:val="single" w:sz="12" w:space="0" w:color="808080" w:themeColor="background1" w:themeShade="80"/>
            </w:tcBorders>
            <w:shd w:val="clear" w:color="auto" w:fill="F2F2F2" w:themeFill="background1" w:themeFillShade="F2"/>
            <w:vAlign w:val="center"/>
            <w:hideMark/>
          </w:tcPr>
          <w:p w14:paraId="4C96CC4D" w14:textId="77777777" w:rsidR="007D7323" w:rsidRPr="00255081" w:rsidRDefault="007D7323" w:rsidP="00476315">
            <w:pPr>
              <w:spacing w:after="0" w:line="240" w:lineRule="auto"/>
              <w:ind w:left="170"/>
              <w:jc w:val="right"/>
              <w:rPr>
                <w:rFonts w:ascii="Montserrat" w:eastAsia="Times New Roman" w:hAnsi="Montserrat" w:cs="Calibri"/>
                <w:b/>
                <w:bCs/>
                <w:color w:val="000000"/>
                <w:sz w:val="15"/>
                <w:szCs w:val="15"/>
                <w:lang w:val="es-MX" w:eastAsia="es-MX"/>
              </w:rPr>
            </w:pPr>
            <w:r w:rsidRPr="00255081">
              <w:rPr>
                <w:rFonts w:ascii="Montserrat" w:eastAsia="Times New Roman" w:hAnsi="Montserrat" w:cs="Calibri"/>
                <w:b/>
                <w:bCs/>
                <w:color w:val="000000"/>
                <w:sz w:val="15"/>
                <w:szCs w:val="15"/>
                <w:lang w:val="es-MX" w:eastAsia="es-MX"/>
              </w:rPr>
              <w:t>Total Ingresos No Comprendidos en la Ley Vigente</w:t>
            </w:r>
          </w:p>
        </w:tc>
        <w:tc>
          <w:tcPr>
            <w:tcW w:w="1559" w:type="dxa"/>
            <w:tcBorders>
              <w:bottom w:val="single" w:sz="12" w:space="0" w:color="808080" w:themeColor="background1" w:themeShade="80"/>
            </w:tcBorders>
            <w:shd w:val="clear" w:color="auto" w:fill="F2F2F2" w:themeFill="background1" w:themeFillShade="F2"/>
            <w:vAlign w:val="center"/>
          </w:tcPr>
          <w:p w14:paraId="3F26246E" w14:textId="68564650" w:rsidR="007D7323" w:rsidRPr="00255081" w:rsidRDefault="007D7323" w:rsidP="00476315">
            <w:pPr>
              <w:spacing w:after="0" w:line="240" w:lineRule="auto"/>
              <w:ind w:left="170"/>
              <w:jc w:val="right"/>
              <w:rPr>
                <w:rFonts w:ascii="Montserrat" w:eastAsia="Times New Roman" w:hAnsi="Montserrat" w:cs="Calibri"/>
                <w:b/>
                <w:bCs/>
                <w:color w:val="000000"/>
                <w:sz w:val="15"/>
                <w:szCs w:val="15"/>
                <w:lang w:val="es-MX" w:eastAsia="es-MX"/>
              </w:rPr>
            </w:pPr>
            <w:r w:rsidRPr="00255081">
              <w:rPr>
                <w:rFonts w:ascii="Montserrat" w:eastAsia="Times New Roman" w:hAnsi="Montserrat" w:cs="Calibri"/>
                <w:b/>
                <w:bCs/>
                <w:color w:val="000000"/>
                <w:sz w:val="15"/>
                <w:szCs w:val="15"/>
                <w:lang w:val="es-MX" w:eastAsia="es-MX"/>
              </w:rPr>
              <w:t>-1,110,656,743</w:t>
            </w:r>
          </w:p>
        </w:tc>
      </w:tr>
    </w:tbl>
    <w:p w14:paraId="71FA7167" w14:textId="77777777" w:rsidR="007D7323" w:rsidRDefault="007D7323" w:rsidP="001E1A82">
      <w:pPr>
        <w:spacing w:after="0" w:line="240" w:lineRule="auto"/>
        <w:jc w:val="both"/>
        <w:rPr>
          <w:rFonts w:ascii="Montserrat" w:hAnsi="Montserrat" w:cs="Arial"/>
          <w:spacing w:val="-1"/>
          <w:sz w:val="18"/>
          <w:szCs w:val="18"/>
        </w:rPr>
      </w:pPr>
    </w:p>
    <w:p w14:paraId="1015CECD" w14:textId="77777777" w:rsidR="009C3C24" w:rsidRDefault="009C3C24" w:rsidP="00AD4885">
      <w:pPr>
        <w:pStyle w:val="VIETAFLECHA"/>
        <w:numPr>
          <w:ilvl w:val="0"/>
          <w:numId w:val="13"/>
        </w:numPr>
        <w:spacing w:before="240"/>
        <w:ind w:left="357" w:hanging="357"/>
        <w:rPr>
          <w:rFonts w:cs="Arial"/>
          <w:spacing w:val="-1"/>
        </w:rPr>
      </w:pPr>
      <w:r w:rsidRPr="004E44CE">
        <w:rPr>
          <w:rFonts w:cs="Arial"/>
          <w:spacing w:val="-1"/>
        </w:rPr>
        <w:t>Otros Ingresos y Beneficios</w:t>
      </w:r>
    </w:p>
    <w:p w14:paraId="2FAB5AD3" w14:textId="77777777" w:rsidR="009C3C24" w:rsidRPr="006F0DF1" w:rsidRDefault="009C3C24" w:rsidP="00063579">
      <w:pPr>
        <w:spacing w:after="120" w:line="250" w:lineRule="exact"/>
        <w:jc w:val="both"/>
        <w:rPr>
          <w:rFonts w:ascii="Montserrat" w:hAnsi="Montserrat" w:cs="Arial"/>
          <w:spacing w:val="-1"/>
          <w:sz w:val="18"/>
          <w:szCs w:val="18"/>
        </w:rPr>
      </w:pPr>
      <w:r w:rsidRPr="006F0DF1">
        <w:rPr>
          <w:rFonts w:ascii="Montserrat" w:hAnsi="Montserrat" w:cs="Arial"/>
          <w:spacing w:val="-1"/>
          <w:sz w:val="18"/>
          <w:szCs w:val="18"/>
        </w:rPr>
        <w:t>Por lo que se refiere a otros ingresos y beneficios, se integran de la siguiente manera:</w:t>
      </w:r>
    </w:p>
    <w:p w14:paraId="5BC82E03" w14:textId="77777777" w:rsidR="009C3C24" w:rsidRPr="00936371" w:rsidRDefault="009C3C24" w:rsidP="00E52592">
      <w:pPr>
        <w:spacing w:after="60" w:line="250" w:lineRule="exact"/>
        <w:jc w:val="center"/>
        <w:rPr>
          <w:rFonts w:ascii="Montserrat" w:hAnsi="Montserrat" w:cs="Arial"/>
          <w:spacing w:val="-1"/>
          <w:sz w:val="18"/>
          <w:szCs w:val="18"/>
        </w:rPr>
      </w:pPr>
      <w:r w:rsidRPr="00936371">
        <w:rPr>
          <w:rFonts w:ascii="Montserrat" w:eastAsia="Times New Roman" w:hAnsi="Montserrat" w:cs="Calibri"/>
          <w:bCs/>
          <w:sz w:val="16"/>
          <w:szCs w:val="16"/>
          <w:lang w:val="es-MX" w:eastAsia="es-MX"/>
        </w:rPr>
        <w:t>(Pesos)</w:t>
      </w:r>
    </w:p>
    <w:tbl>
      <w:tblPr>
        <w:tblW w:w="8041" w:type="dxa"/>
        <w:jc w:val="center"/>
        <w:tblCellMar>
          <w:left w:w="70" w:type="dxa"/>
          <w:right w:w="70" w:type="dxa"/>
        </w:tblCellMar>
        <w:tblLook w:val="04A0" w:firstRow="1" w:lastRow="0" w:firstColumn="1" w:lastColumn="0" w:noHBand="0" w:noVBand="1"/>
      </w:tblPr>
      <w:tblGrid>
        <w:gridCol w:w="10"/>
        <w:gridCol w:w="4063"/>
        <w:gridCol w:w="1984"/>
        <w:gridCol w:w="1974"/>
        <w:gridCol w:w="10"/>
      </w:tblGrid>
      <w:tr w:rsidR="00C4519E" w:rsidRPr="00D6124B" w14:paraId="164C60AB" w14:textId="77777777" w:rsidTr="00D6124B">
        <w:trPr>
          <w:gridAfter w:val="1"/>
          <w:wAfter w:w="10" w:type="dxa"/>
          <w:trHeight w:val="57"/>
          <w:jc w:val="center"/>
        </w:trPr>
        <w:tc>
          <w:tcPr>
            <w:tcW w:w="8031" w:type="dxa"/>
            <w:gridSpan w:val="4"/>
            <w:tcBorders>
              <w:top w:val="single" w:sz="12" w:space="0" w:color="808080" w:themeColor="background1" w:themeShade="80"/>
            </w:tcBorders>
            <w:shd w:val="clear" w:color="auto" w:fill="auto"/>
            <w:vAlign w:val="center"/>
          </w:tcPr>
          <w:p w14:paraId="299A0F5E" w14:textId="77777777" w:rsidR="00C4519E" w:rsidRPr="00BC0F30" w:rsidRDefault="00C4519E" w:rsidP="002F797B">
            <w:pPr>
              <w:spacing w:after="0" w:line="240" w:lineRule="auto"/>
              <w:jc w:val="center"/>
              <w:rPr>
                <w:rFonts w:ascii="Montserrat" w:eastAsia="Times New Roman" w:hAnsi="Montserrat" w:cs="Calibri"/>
                <w:b/>
                <w:bCs/>
                <w:color w:val="FFFFFF"/>
                <w:sz w:val="4"/>
                <w:szCs w:val="4"/>
                <w:lang w:val="es-MX" w:eastAsia="es-MX"/>
              </w:rPr>
            </w:pPr>
          </w:p>
        </w:tc>
      </w:tr>
      <w:tr w:rsidR="009C3C24" w:rsidRPr="00D6124B" w14:paraId="592AD5CF" w14:textId="77777777" w:rsidTr="001E1A82">
        <w:trPr>
          <w:gridBefore w:val="1"/>
          <w:wBefore w:w="10" w:type="dxa"/>
          <w:trHeight w:val="317"/>
          <w:jc w:val="center"/>
        </w:trPr>
        <w:tc>
          <w:tcPr>
            <w:tcW w:w="4063" w:type="dxa"/>
            <w:tcBorders>
              <w:left w:val="single" w:sz="8" w:space="0" w:color="FFFFFF" w:themeColor="background1"/>
              <w:bottom w:val="double" w:sz="12" w:space="0" w:color="808080" w:themeColor="background1" w:themeShade="80"/>
              <w:right w:val="single" w:sz="8" w:space="0" w:color="FFFFFF" w:themeColor="background1"/>
            </w:tcBorders>
            <w:shd w:val="clear" w:color="auto" w:fill="D4C19C"/>
            <w:vAlign w:val="center"/>
            <w:hideMark/>
          </w:tcPr>
          <w:p w14:paraId="0B253998" w14:textId="77777777" w:rsidR="009C3C24" w:rsidRPr="006F0DF1" w:rsidRDefault="009C3C24" w:rsidP="002F797B">
            <w:pPr>
              <w:spacing w:after="0" w:line="240" w:lineRule="auto"/>
              <w:jc w:val="center"/>
              <w:rPr>
                <w:rFonts w:ascii="Montserrat" w:eastAsia="Times New Roman" w:hAnsi="Montserrat" w:cs="Calibri"/>
                <w:b/>
                <w:bCs/>
                <w:color w:val="FFFFFF"/>
                <w:sz w:val="16"/>
                <w:szCs w:val="16"/>
                <w:lang w:val="es-MX" w:eastAsia="es-MX"/>
              </w:rPr>
            </w:pPr>
            <w:r w:rsidRPr="006F0DF1">
              <w:rPr>
                <w:rFonts w:ascii="Montserrat" w:eastAsia="Times New Roman" w:hAnsi="Montserrat" w:cs="Calibri"/>
                <w:b/>
                <w:bCs/>
                <w:color w:val="FFFFFF"/>
                <w:sz w:val="16"/>
                <w:szCs w:val="16"/>
                <w:lang w:val="es-MX" w:eastAsia="es-MX"/>
              </w:rPr>
              <w:t>Concepto</w:t>
            </w:r>
          </w:p>
        </w:tc>
        <w:tc>
          <w:tcPr>
            <w:tcW w:w="1984" w:type="dxa"/>
            <w:tcBorders>
              <w:left w:val="single" w:sz="8" w:space="0" w:color="FFFFFF" w:themeColor="background1"/>
              <w:bottom w:val="double" w:sz="12" w:space="0" w:color="808080" w:themeColor="background1" w:themeShade="80"/>
              <w:right w:val="single" w:sz="8" w:space="0" w:color="FFFFFF" w:themeColor="background1"/>
            </w:tcBorders>
            <w:shd w:val="clear" w:color="auto" w:fill="D4C19C"/>
            <w:vAlign w:val="center"/>
            <w:hideMark/>
          </w:tcPr>
          <w:p w14:paraId="2E1F3BE9" w14:textId="77777777" w:rsidR="009C3C24" w:rsidRPr="006F0DF1" w:rsidRDefault="009C3C24" w:rsidP="002F797B">
            <w:pPr>
              <w:spacing w:after="0" w:line="240" w:lineRule="auto"/>
              <w:jc w:val="center"/>
              <w:rPr>
                <w:rFonts w:ascii="Montserrat" w:eastAsia="Times New Roman" w:hAnsi="Montserrat" w:cs="Calibri"/>
                <w:b/>
                <w:bCs/>
                <w:color w:val="FFFFFF"/>
                <w:sz w:val="16"/>
                <w:szCs w:val="16"/>
                <w:lang w:val="es-MX" w:eastAsia="es-MX"/>
              </w:rPr>
            </w:pPr>
            <w:r w:rsidRPr="006F0DF1">
              <w:rPr>
                <w:rFonts w:ascii="Montserrat" w:eastAsia="Times New Roman" w:hAnsi="Montserrat" w:cs="Calibri"/>
                <w:b/>
                <w:bCs/>
                <w:color w:val="FFFFFF"/>
                <w:sz w:val="16"/>
                <w:szCs w:val="16"/>
                <w:lang w:val="es-MX" w:eastAsia="es-MX"/>
              </w:rPr>
              <w:t>201</w:t>
            </w:r>
            <w:r w:rsidR="004E5F4A">
              <w:rPr>
                <w:rFonts w:ascii="Montserrat" w:eastAsia="Times New Roman" w:hAnsi="Montserrat" w:cs="Calibri"/>
                <w:b/>
                <w:bCs/>
                <w:color w:val="FFFFFF"/>
                <w:sz w:val="16"/>
                <w:szCs w:val="16"/>
                <w:lang w:val="es-MX" w:eastAsia="es-MX"/>
              </w:rPr>
              <w:t>9</w:t>
            </w:r>
          </w:p>
        </w:tc>
        <w:tc>
          <w:tcPr>
            <w:tcW w:w="1984" w:type="dxa"/>
            <w:gridSpan w:val="2"/>
            <w:tcBorders>
              <w:left w:val="single" w:sz="8" w:space="0" w:color="FFFFFF" w:themeColor="background1"/>
              <w:bottom w:val="double" w:sz="12" w:space="0" w:color="808080" w:themeColor="background1" w:themeShade="80"/>
              <w:right w:val="single" w:sz="8" w:space="0" w:color="FFFFFF" w:themeColor="background1"/>
            </w:tcBorders>
            <w:shd w:val="clear" w:color="auto" w:fill="D4C19C"/>
            <w:vAlign w:val="center"/>
            <w:hideMark/>
          </w:tcPr>
          <w:p w14:paraId="7F4A1C41" w14:textId="77777777" w:rsidR="009C3C24" w:rsidRPr="00D6124B" w:rsidRDefault="009C3C24" w:rsidP="002F797B">
            <w:pPr>
              <w:spacing w:after="0" w:line="240" w:lineRule="auto"/>
              <w:jc w:val="center"/>
              <w:rPr>
                <w:rFonts w:ascii="Montserrat" w:eastAsia="Times New Roman" w:hAnsi="Montserrat" w:cs="Calibri"/>
                <w:b/>
                <w:bCs/>
                <w:color w:val="FFFFFF"/>
                <w:sz w:val="24"/>
                <w:szCs w:val="16"/>
                <w:lang w:val="es-MX" w:eastAsia="es-MX"/>
              </w:rPr>
            </w:pPr>
            <w:r w:rsidRPr="00BD6C18">
              <w:rPr>
                <w:rFonts w:ascii="Montserrat" w:eastAsia="Times New Roman" w:hAnsi="Montserrat" w:cs="Calibri"/>
                <w:b/>
                <w:bCs/>
                <w:color w:val="FFFFFF"/>
                <w:sz w:val="16"/>
                <w:szCs w:val="16"/>
                <w:lang w:val="es-MX" w:eastAsia="es-MX"/>
              </w:rPr>
              <w:t>201</w:t>
            </w:r>
            <w:r w:rsidR="004E5F4A">
              <w:rPr>
                <w:rFonts w:ascii="Montserrat" w:eastAsia="Times New Roman" w:hAnsi="Montserrat" w:cs="Calibri"/>
                <w:b/>
                <w:bCs/>
                <w:color w:val="FFFFFF"/>
                <w:sz w:val="16"/>
                <w:szCs w:val="16"/>
                <w:lang w:val="es-MX" w:eastAsia="es-MX"/>
              </w:rPr>
              <w:t>8</w:t>
            </w:r>
          </w:p>
        </w:tc>
      </w:tr>
      <w:tr w:rsidR="00D216BF" w:rsidRPr="00D6124B" w14:paraId="014FA9CF" w14:textId="77777777" w:rsidTr="00556DB3">
        <w:trPr>
          <w:gridBefore w:val="1"/>
          <w:wBefore w:w="10" w:type="dxa"/>
          <w:trHeight w:val="215"/>
          <w:jc w:val="center"/>
        </w:trPr>
        <w:tc>
          <w:tcPr>
            <w:tcW w:w="4063" w:type="dxa"/>
            <w:tcBorders>
              <w:top w:val="double" w:sz="12" w:space="0" w:color="808080" w:themeColor="background1" w:themeShade="80"/>
            </w:tcBorders>
            <w:shd w:val="clear" w:color="auto" w:fill="F2F2F2" w:themeFill="background1" w:themeFillShade="F2"/>
            <w:vAlign w:val="center"/>
            <w:hideMark/>
          </w:tcPr>
          <w:p w14:paraId="5B594B20" w14:textId="77777777" w:rsidR="00D216BF" w:rsidRPr="00255081" w:rsidRDefault="00D216BF" w:rsidP="00D216BF">
            <w:pPr>
              <w:spacing w:after="0" w:line="240" w:lineRule="auto"/>
              <w:ind w:left="170"/>
              <w:rPr>
                <w:rFonts w:ascii="Montserrat" w:eastAsia="Times New Roman" w:hAnsi="Montserrat" w:cs="Calibri"/>
                <w:color w:val="000000"/>
                <w:sz w:val="15"/>
                <w:szCs w:val="15"/>
                <w:lang w:val="es-MX" w:eastAsia="es-MX"/>
              </w:rPr>
            </w:pPr>
            <w:r w:rsidRPr="00255081">
              <w:rPr>
                <w:rFonts w:ascii="Montserrat" w:eastAsia="Times New Roman" w:hAnsi="Montserrat" w:cs="Calibri"/>
                <w:color w:val="000000"/>
                <w:sz w:val="15"/>
                <w:szCs w:val="15"/>
                <w:lang w:val="es-MX" w:eastAsia="es-MX"/>
              </w:rPr>
              <w:t>Ingresos Financieros</w:t>
            </w:r>
          </w:p>
        </w:tc>
        <w:tc>
          <w:tcPr>
            <w:tcW w:w="1984" w:type="dxa"/>
            <w:tcBorders>
              <w:top w:val="double" w:sz="12" w:space="0" w:color="808080" w:themeColor="background1" w:themeShade="80"/>
            </w:tcBorders>
            <w:shd w:val="clear" w:color="000000" w:fill="F2F2F2"/>
            <w:vAlign w:val="center"/>
          </w:tcPr>
          <w:p w14:paraId="0BA3FE2B" w14:textId="49FD865D" w:rsidR="00D216BF" w:rsidRPr="00255081" w:rsidRDefault="00D216BF" w:rsidP="00D216BF">
            <w:pPr>
              <w:spacing w:after="0" w:line="240" w:lineRule="auto"/>
              <w:jc w:val="right"/>
              <w:rPr>
                <w:rFonts w:ascii="Montserrat" w:eastAsia="Times New Roman" w:hAnsi="Montserrat" w:cs="Calibri"/>
                <w:color w:val="000000"/>
                <w:sz w:val="15"/>
                <w:szCs w:val="15"/>
                <w:lang w:val="es-MX" w:eastAsia="es-MX"/>
              </w:rPr>
            </w:pPr>
            <w:r w:rsidRPr="000F0321">
              <w:rPr>
                <w:rFonts w:ascii="Montserrat" w:hAnsi="Montserrat" w:cs="Arial"/>
                <w:color w:val="000000"/>
                <w:sz w:val="15"/>
                <w:szCs w:val="15"/>
              </w:rPr>
              <w:t>54,334,419,682</w:t>
            </w:r>
          </w:p>
        </w:tc>
        <w:tc>
          <w:tcPr>
            <w:tcW w:w="1984" w:type="dxa"/>
            <w:gridSpan w:val="2"/>
            <w:tcBorders>
              <w:top w:val="double" w:sz="12" w:space="0" w:color="808080" w:themeColor="background1" w:themeShade="80"/>
            </w:tcBorders>
            <w:shd w:val="clear" w:color="auto" w:fill="F2F2F2" w:themeFill="background1" w:themeFillShade="F2"/>
            <w:vAlign w:val="center"/>
            <w:hideMark/>
          </w:tcPr>
          <w:p w14:paraId="2D5A6E8C" w14:textId="77777777" w:rsidR="00D216BF" w:rsidRPr="00255081" w:rsidRDefault="00D216BF" w:rsidP="00D216BF">
            <w:pPr>
              <w:spacing w:after="0" w:line="240" w:lineRule="auto"/>
              <w:jc w:val="right"/>
              <w:rPr>
                <w:rFonts w:ascii="Montserrat" w:eastAsia="Times New Roman" w:hAnsi="Montserrat" w:cs="Calibri"/>
                <w:color w:val="000000"/>
                <w:sz w:val="15"/>
                <w:szCs w:val="15"/>
                <w:lang w:val="es-MX" w:eastAsia="es-MX"/>
              </w:rPr>
            </w:pPr>
            <w:r w:rsidRPr="00255081">
              <w:rPr>
                <w:rFonts w:ascii="Montserrat" w:eastAsia="Times New Roman" w:hAnsi="Montserrat" w:cs="Calibri"/>
                <w:color w:val="000000"/>
                <w:sz w:val="15"/>
                <w:szCs w:val="15"/>
                <w:lang w:val="es-MX" w:eastAsia="es-MX"/>
              </w:rPr>
              <w:t>46,881,095,447</w:t>
            </w:r>
          </w:p>
        </w:tc>
      </w:tr>
      <w:tr w:rsidR="00D216BF" w:rsidRPr="00D6124B" w14:paraId="68CD490E" w14:textId="77777777" w:rsidTr="00556DB3">
        <w:trPr>
          <w:gridBefore w:val="1"/>
          <w:wBefore w:w="10" w:type="dxa"/>
          <w:trHeight w:val="215"/>
          <w:jc w:val="center"/>
        </w:trPr>
        <w:tc>
          <w:tcPr>
            <w:tcW w:w="4063" w:type="dxa"/>
            <w:tcBorders>
              <w:top w:val="nil"/>
            </w:tcBorders>
            <w:shd w:val="clear" w:color="auto" w:fill="F2F2F2" w:themeFill="background1" w:themeFillShade="F2"/>
            <w:vAlign w:val="center"/>
            <w:hideMark/>
          </w:tcPr>
          <w:p w14:paraId="68321F79" w14:textId="77777777" w:rsidR="00D216BF" w:rsidRPr="00255081" w:rsidRDefault="00D216BF" w:rsidP="00D216BF">
            <w:pPr>
              <w:spacing w:after="0" w:line="240" w:lineRule="auto"/>
              <w:ind w:left="170"/>
              <w:rPr>
                <w:rFonts w:ascii="Montserrat" w:eastAsia="Times New Roman" w:hAnsi="Montserrat" w:cs="Calibri"/>
                <w:color w:val="000000"/>
                <w:sz w:val="15"/>
                <w:szCs w:val="15"/>
                <w:lang w:val="es-MX" w:eastAsia="es-MX"/>
              </w:rPr>
            </w:pPr>
            <w:r w:rsidRPr="00255081">
              <w:rPr>
                <w:rFonts w:ascii="Montserrat" w:eastAsia="Times New Roman" w:hAnsi="Montserrat" w:cs="Calibri"/>
                <w:color w:val="000000"/>
                <w:sz w:val="15"/>
                <w:szCs w:val="15"/>
                <w:lang w:val="es-MX" w:eastAsia="es-MX"/>
              </w:rPr>
              <w:t>Incremento por Variación de Inventarios</w:t>
            </w:r>
          </w:p>
        </w:tc>
        <w:tc>
          <w:tcPr>
            <w:tcW w:w="1984" w:type="dxa"/>
            <w:tcBorders>
              <w:top w:val="nil"/>
            </w:tcBorders>
            <w:shd w:val="clear" w:color="000000" w:fill="F2F2F2"/>
            <w:vAlign w:val="center"/>
          </w:tcPr>
          <w:p w14:paraId="65EE446A" w14:textId="2077E9BE" w:rsidR="00D216BF" w:rsidRPr="00255081" w:rsidRDefault="00D216BF" w:rsidP="00D216BF">
            <w:pPr>
              <w:spacing w:after="0" w:line="240" w:lineRule="auto"/>
              <w:jc w:val="right"/>
              <w:rPr>
                <w:rFonts w:ascii="Montserrat" w:eastAsia="Times New Roman" w:hAnsi="Montserrat" w:cs="Calibri"/>
                <w:color w:val="000000"/>
                <w:sz w:val="15"/>
                <w:szCs w:val="15"/>
                <w:lang w:val="es-MX" w:eastAsia="es-MX"/>
              </w:rPr>
            </w:pPr>
            <w:r w:rsidRPr="000F0321">
              <w:rPr>
                <w:rFonts w:ascii="Montserrat" w:hAnsi="Montserrat" w:cs="Arial"/>
                <w:color w:val="000000"/>
                <w:sz w:val="15"/>
                <w:szCs w:val="15"/>
              </w:rPr>
              <w:t>437,443,889</w:t>
            </w:r>
          </w:p>
        </w:tc>
        <w:tc>
          <w:tcPr>
            <w:tcW w:w="1984" w:type="dxa"/>
            <w:gridSpan w:val="2"/>
            <w:tcBorders>
              <w:top w:val="nil"/>
            </w:tcBorders>
            <w:shd w:val="clear" w:color="auto" w:fill="F2F2F2" w:themeFill="background1" w:themeFillShade="F2"/>
            <w:vAlign w:val="center"/>
            <w:hideMark/>
          </w:tcPr>
          <w:p w14:paraId="00C38B8D" w14:textId="77777777" w:rsidR="00D216BF" w:rsidRPr="00255081" w:rsidRDefault="00D216BF" w:rsidP="00D216BF">
            <w:pPr>
              <w:spacing w:after="0" w:line="240" w:lineRule="auto"/>
              <w:jc w:val="right"/>
              <w:rPr>
                <w:rFonts w:ascii="Montserrat" w:eastAsia="Times New Roman" w:hAnsi="Montserrat" w:cs="Calibri"/>
                <w:color w:val="000000"/>
                <w:sz w:val="15"/>
                <w:szCs w:val="15"/>
                <w:lang w:val="es-MX" w:eastAsia="es-MX"/>
              </w:rPr>
            </w:pPr>
            <w:r w:rsidRPr="00255081">
              <w:rPr>
                <w:rFonts w:ascii="Montserrat" w:eastAsia="Times New Roman" w:hAnsi="Montserrat" w:cs="Calibri"/>
                <w:color w:val="000000"/>
                <w:sz w:val="15"/>
                <w:szCs w:val="15"/>
                <w:lang w:val="es-MX" w:eastAsia="es-MX"/>
              </w:rPr>
              <w:t>27,840,434</w:t>
            </w:r>
          </w:p>
        </w:tc>
      </w:tr>
      <w:tr w:rsidR="00D216BF" w:rsidRPr="00D6124B" w14:paraId="1F607BC9" w14:textId="77777777" w:rsidTr="00556DB3">
        <w:trPr>
          <w:gridBefore w:val="1"/>
          <w:wBefore w:w="10" w:type="dxa"/>
          <w:trHeight w:val="215"/>
          <w:jc w:val="center"/>
        </w:trPr>
        <w:tc>
          <w:tcPr>
            <w:tcW w:w="4063" w:type="dxa"/>
            <w:tcBorders>
              <w:top w:val="nil"/>
            </w:tcBorders>
            <w:shd w:val="clear" w:color="auto" w:fill="F2F2F2" w:themeFill="background1" w:themeFillShade="F2"/>
            <w:vAlign w:val="center"/>
            <w:hideMark/>
          </w:tcPr>
          <w:p w14:paraId="26789E11" w14:textId="77777777" w:rsidR="00D216BF" w:rsidRPr="00255081" w:rsidRDefault="00D216BF" w:rsidP="00D216BF">
            <w:pPr>
              <w:spacing w:after="0" w:line="240" w:lineRule="auto"/>
              <w:ind w:left="170"/>
              <w:rPr>
                <w:rFonts w:ascii="Montserrat" w:eastAsia="Times New Roman" w:hAnsi="Montserrat" w:cs="Calibri"/>
                <w:color w:val="000000"/>
                <w:sz w:val="15"/>
                <w:szCs w:val="15"/>
                <w:lang w:val="es-MX" w:eastAsia="es-MX"/>
              </w:rPr>
            </w:pPr>
            <w:r w:rsidRPr="00255081">
              <w:rPr>
                <w:rFonts w:ascii="Montserrat" w:eastAsia="Times New Roman" w:hAnsi="Montserrat" w:cs="Calibri"/>
                <w:color w:val="000000"/>
                <w:sz w:val="15"/>
                <w:szCs w:val="15"/>
                <w:lang w:val="es-MX" w:eastAsia="es-MX"/>
              </w:rPr>
              <w:t>Otros Ingresos y Beneficios Varios</w:t>
            </w:r>
          </w:p>
        </w:tc>
        <w:tc>
          <w:tcPr>
            <w:tcW w:w="1984" w:type="dxa"/>
            <w:tcBorders>
              <w:top w:val="nil"/>
            </w:tcBorders>
            <w:shd w:val="clear" w:color="000000" w:fill="F2F2F2"/>
            <w:vAlign w:val="center"/>
          </w:tcPr>
          <w:p w14:paraId="7C54BA67" w14:textId="681A3682" w:rsidR="00D216BF" w:rsidRPr="00255081" w:rsidRDefault="00D216BF" w:rsidP="00D216BF">
            <w:pPr>
              <w:spacing w:after="0" w:line="240" w:lineRule="auto"/>
              <w:jc w:val="right"/>
              <w:rPr>
                <w:rFonts w:ascii="Montserrat" w:eastAsia="Times New Roman" w:hAnsi="Montserrat" w:cs="Calibri"/>
                <w:color w:val="000000"/>
                <w:sz w:val="15"/>
                <w:szCs w:val="15"/>
                <w:lang w:val="es-MX" w:eastAsia="es-MX"/>
              </w:rPr>
            </w:pPr>
            <w:r w:rsidRPr="000F0321">
              <w:rPr>
                <w:rFonts w:ascii="Montserrat" w:hAnsi="Montserrat" w:cs="Arial"/>
                <w:color w:val="000000"/>
                <w:sz w:val="15"/>
                <w:szCs w:val="15"/>
              </w:rPr>
              <w:t>500,148,680,835</w:t>
            </w:r>
          </w:p>
        </w:tc>
        <w:tc>
          <w:tcPr>
            <w:tcW w:w="1984" w:type="dxa"/>
            <w:gridSpan w:val="2"/>
            <w:tcBorders>
              <w:top w:val="nil"/>
            </w:tcBorders>
            <w:shd w:val="clear" w:color="auto" w:fill="F2F2F2" w:themeFill="background1" w:themeFillShade="F2"/>
            <w:vAlign w:val="center"/>
            <w:hideMark/>
          </w:tcPr>
          <w:p w14:paraId="59800584" w14:textId="77777777" w:rsidR="00D216BF" w:rsidRPr="00255081" w:rsidRDefault="00D216BF" w:rsidP="00D216BF">
            <w:pPr>
              <w:spacing w:after="0" w:line="240" w:lineRule="auto"/>
              <w:jc w:val="right"/>
              <w:rPr>
                <w:rFonts w:ascii="Montserrat" w:eastAsia="Times New Roman" w:hAnsi="Montserrat" w:cs="Calibri"/>
                <w:color w:val="000000"/>
                <w:sz w:val="15"/>
                <w:szCs w:val="15"/>
                <w:lang w:val="es-MX" w:eastAsia="es-MX"/>
              </w:rPr>
            </w:pPr>
            <w:r w:rsidRPr="00255081">
              <w:rPr>
                <w:rFonts w:ascii="Montserrat" w:eastAsia="Times New Roman" w:hAnsi="Montserrat" w:cs="Calibri"/>
                <w:color w:val="000000"/>
                <w:sz w:val="15"/>
                <w:szCs w:val="15"/>
                <w:lang w:val="es-MX" w:eastAsia="es-MX"/>
              </w:rPr>
              <w:t>479, 475,344,438</w:t>
            </w:r>
          </w:p>
        </w:tc>
      </w:tr>
      <w:tr w:rsidR="00D216BF" w:rsidRPr="006D44C8" w14:paraId="6E86A7B5" w14:textId="77777777" w:rsidTr="00556DB3">
        <w:trPr>
          <w:gridBefore w:val="1"/>
          <w:wBefore w:w="10" w:type="dxa"/>
          <w:trHeight w:val="215"/>
          <w:jc w:val="center"/>
        </w:trPr>
        <w:tc>
          <w:tcPr>
            <w:tcW w:w="4063" w:type="dxa"/>
            <w:tcBorders>
              <w:bottom w:val="single" w:sz="12" w:space="0" w:color="808080" w:themeColor="background1" w:themeShade="80"/>
            </w:tcBorders>
            <w:shd w:val="clear" w:color="auto" w:fill="F2F2F2" w:themeFill="background1" w:themeFillShade="F2"/>
            <w:vAlign w:val="center"/>
            <w:hideMark/>
          </w:tcPr>
          <w:p w14:paraId="537997E6" w14:textId="77777777" w:rsidR="00D216BF" w:rsidRPr="00255081" w:rsidRDefault="00D216BF" w:rsidP="00D216BF">
            <w:pPr>
              <w:spacing w:after="0" w:line="240" w:lineRule="auto"/>
              <w:ind w:left="170"/>
              <w:jc w:val="right"/>
              <w:rPr>
                <w:rFonts w:ascii="Montserrat" w:eastAsia="Times New Roman" w:hAnsi="Montserrat" w:cs="Calibri"/>
                <w:b/>
                <w:bCs/>
                <w:color w:val="000000"/>
                <w:sz w:val="15"/>
                <w:szCs w:val="15"/>
                <w:lang w:val="es-MX" w:eastAsia="es-MX"/>
              </w:rPr>
            </w:pPr>
            <w:r w:rsidRPr="00255081">
              <w:rPr>
                <w:rFonts w:ascii="Montserrat" w:eastAsia="Times New Roman" w:hAnsi="Montserrat" w:cs="Calibri"/>
                <w:b/>
                <w:bCs/>
                <w:color w:val="000000"/>
                <w:sz w:val="15"/>
                <w:szCs w:val="15"/>
                <w:lang w:val="es-MX" w:eastAsia="es-MX"/>
              </w:rPr>
              <w:t>Total Otros Ingresos y Beneficios</w:t>
            </w:r>
          </w:p>
        </w:tc>
        <w:tc>
          <w:tcPr>
            <w:tcW w:w="1984" w:type="dxa"/>
            <w:tcBorders>
              <w:bottom w:val="single" w:sz="12" w:space="0" w:color="808080" w:themeColor="background1" w:themeShade="80"/>
            </w:tcBorders>
            <w:shd w:val="clear" w:color="auto" w:fill="F2F2F2" w:themeFill="background1" w:themeFillShade="F2"/>
            <w:vAlign w:val="center"/>
          </w:tcPr>
          <w:p w14:paraId="7AC53023" w14:textId="557A0BB5" w:rsidR="00D216BF" w:rsidRPr="00255081" w:rsidRDefault="00D216BF" w:rsidP="00D216BF">
            <w:pPr>
              <w:spacing w:after="0" w:line="240" w:lineRule="auto"/>
              <w:jc w:val="right"/>
              <w:rPr>
                <w:rFonts w:ascii="Montserrat" w:hAnsi="Montserrat"/>
                <w:b/>
                <w:bCs/>
                <w:color w:val="000000"/>
                <w:sz w:val="15"/>
                <w:szCs w:val="15"/>
                <w:lang w:eastAsia="es-MX"/>
              </w:rPr>
            </w:pPr>
            <w:r w:rsidRPr="000F0321">
              <w:rPr>
                <w:rFonts w:ascii="Montserrat" w:hAnsi="Montserrat" w:cs="Arial"/>
                <w:b/>
                <w:bCs/>
                <w:color w:val="000000"/>
                <w:sz w:val="15"/>
                <w:szCs w:val="15"/>
              </w:rPr>
              <w:t>554,920,544,406</w:t>
            </w:r>
          </w:p>
        </w:tc>
        <w:tc>
          <w:tcPr>
            <w:tcW w:w="1984" w:type="dxa"/>
            <w:gridSpan w:val="2"/>
            <w:tcBorders>
              <w:bottom w:val="single" w:sz="12" w:space="0" w:color="808080" w:themeColor="background1" w:themeShade="80"/>
            </w:tcBorders>
            <w:shd w:val="clear" w:color="auto" w:fill="F2F2F2" w:themeFill="background1" w:themeFillShade="F2"/>
            <w:vAlign w:val="center"/>
            <w:hideMark/>
          </w:tcPr>
          <w:p w14:paraId="79D4A9E5" w14:textId="77777777" w:rsidR="00D216BF" w:rsidRPr="00255081" w:rsidRDefault="00D216BF" w:rsidP="00D216BF">
            <w:pPr>
              <w:spacing w:after="0" w:line="240" w:lineRule="auto"/>
              <w:jc w:val="right"/>
              <w:rPr>
                <w:rFonts w:ascii="Montserrat" w:hAnsi="Montserrat"/>
                <w:b/>
                <w:bCs/>
                <w:color w:val="000000"/>
                <w:sz w:val="15"/>
                <w:szCs w:val="15"/>
                <w:lang w:eastAsia="es-MX"/>
              </w:rPr>
            </w:pPr>
            <w:r w:rsidRPr="00255081">
              <w:rPr>
                <w:rFonts w:ascii="Montserrat" w:hAnsi="Montserrat" w:cs="Calibri"/>
                <w:b/>
                <w:bCs/>
                <w:sz w:val="15"/>
                <w:szCs w:val="15"/>
              </w:rPr>
              <w:t>526,384,280,319</w:t>
            </w:r>
          </w:p>
        </w:tc>
      </w:tr>
    </w:tbl>
    <w:p w14:paraId="3EDCABC9" w14:textId="77777777" w:rsidR="00A14184" w:rsidRDefault="00A14184" w:rsidP="001E1A82">
      <w:pPr>
        <w:spacing w:after="0" w:line="240" w:lineRule="auto"/>
        <w:jc w:val="both"/>
        <w:rPr>
          <w:rFonts w:ascii="Montserrat" w:hAnsi="Montserrat" w:cs="Arial"/>
          <w:spacing w:val="-1"/>
          <w:sz w:val="18"/>
          <w:szCs w:val="18"/>
        </w:rPr>
      </w:pPr>
    </w:p>
    <w:p w14:paraId="1F590FF3" w14:textId="77777777" w:rsidR="00AE526C" w:rsidRDefault="00AE526C" w:rsidP="00063579">
      <w:pPr>
        <w:spacing w:after="120" w:line="250" w:lineRule="exact"/>
        <w:jc w:val="both"/>
        <w:rPr>
          <w:rFonts w:ascii="Montserrat" w:hAnsi="Montserrat" w:cs="Arial"/>
          <w:spacing w:val="-1"/>
          <w:sz w:val="18"/>
          <w:szCs w:val="18"/>
        </w:rPr>
      </w:pPr>
    </w:p>
    <w:p w14:paraId="36C5A4E9" w14:textId="77777777" w:rsidR="00AE526C" w:rsidRDefault="00AE526C" w:rsidP="00063579">
      <w:pPr>
        <w:spacing w:after="120" w:line="250" w:lineRule="exact"/>
        <w:jc w:val="both"/>
        <w:rPr>
          <w:rFonts w:ascii="Montserrat" w:hAnsi="Montserrat" w:cs="Arial"/>
          <w:spacing w:val="-1"/>
          <w:sz w:val="18"/>
          <w:szCs w:val="18"/>
        </w:rPr>
      </w:pPr>
    </w:p>
    <w:p w14:paraId="32B7208D" w14:textId="77777777" w:rsidR="009C3C24" w:rsidRDefault="009C3C24" w:rsidP="00063579">
      <w:pPr>
        <w:spacing w:after="120" w:line="250" w:lineRule="exact"/>
        <w:jc w:val="both"/>
        <w:rPr>
          <w:rFonts w:ascii="Montserrat" w:hAnsi="Montserrat" w:cs="Arial"/>
          <w:spacing w:val="-1"/>
          <w:sz w:val="18"/>
          <w:szCs w:val="18"/>
        </w:rPr>
      </w:pPr>
      <w:r w:rsidRPr="006F0DF1">
        <w:rPr>
          <w:rFonts w:ascii="Montserrat" w:hAnsi="Montserrat" w:cs="Arial"/>
          <w:spacing w:val="-1"/>
          <w:sz w:val="18"/>
          <w:szCs w:val="18"/>
        </w:rPr>
        <w:lastRenderedPageBreak/>
        <w:t xml:space="preserve">La integración de Otros ingresos y Beneficios Varios se presenta </w:t>
      </w:r>
      <w:r w:rsidR="00210445">
        <w:rPr>
          <w:rFonts w:ascii="Montserrat" w:hAnsi="Montserrat" w:cs="Arial"/>
          <w:spacing w:val="-1"/>
          <w:sz w:val="18"/>
          <w:szCs w:val="18"/>
        </w:rPr>
        <w:t>a continuación</w:t>
      </w:r>
      <w:r w:rsidR="001622D5">
        <w:rPr>
          <w:rFonts w:ascii="Montserrat" w:hAnsi="Montserrat" w:cs="Arial"/>
          <w:spacing w:val="-1"/>
          <w:sz w:val="18"/>
          <w:szCs w:val="18"/>
        </w:rPr>
        <w:t>:</w:t>
      </w:r>
    </w:p>
    <w:tbl>
      <w:tblPr>
        <w:tblW w:w="8930" w:type="dxa"/>
        <w:tblInd w:w="2410" w:type="dxa"/>
        <w:tblLayout w:type="fixed"/>
        <w:tblCellMar>
          <w:left w:w="0" w:type="dxa"/>
          <w:right w:w="0" w:type="dxa"/>
        </w:tblCellMar>
        <w:tblLook w:val="04A0" w:firstRow="1" w:lastRow="0" w:firstColumn="1" w:lastColumn="0" w:noHBand="0" w:noVBand="1"/>
      </w:tblPr>
      <w:tblGrid>
        <w:gridCol w:w="6379"/>
        <w:gridCol w:w="2551"/>
      </w:tblGrid>
      <w:tr w:rsidR="00971121" w:rsidRPr="006F0DF1" w14:paraId="653FAFEC" w14:textId="752215E0" w:rsidTr="000F0321">
        <w:trPr>
          <w:trHeight w:val="315"/>
        </w:trPr>
        <w:tc>
          <w:tcPr>
            <w:tcW w:w="8930" w:type="dxa"/>
            <w:gridSpan w:val="2"/>
            <w:tcBorders>
              <w:bottom w:val="single" w:sz="12" w:space="0" w:color="808080" w:themeColor="background1" w:themeShade="80"/>
            </w:tcBorders>
            <w:shd w:val="clear" w:color="auto" w:fill="auto"/>
            <w:tcMar>
              <w:top w:w="0" w:type="dxa"/>
              <w:left w:w="70" w:type="dxa"/>
              <w:bottom w:w="0" w:type="dxa"/>
              <w:right w:w="70" w:type="dxa"/>
            </w:tcMar>
            <w:vAlign w:val="center"/>
            <w:hideMark/>
          </w:tcPr>
          <w:p w14:paraId="36689598" w14:textId="77777777" w:rsidR="00971121" w:rsidRPr="00936371" w:rsidRDefault="00971121" w:rsidP="003E77F5">
            <w:pPr>
              <w:spacing w:after="60" w:line="250" w:lineRule="exact"/>
              <w:jc w:val="center"/>
              <w:rPr>
                <w:rFonts w:ascii="Montserrat" w:hAnsi="Montserrat" w:cs="Calibri"/>
                <w:color w:val="000000"/>
                <w:sz w:val="24"/>
                <w:szCs w:val="24"/>
                <w:lang w:val="es-MX" w:eastAsia="es-MX"/>
              </w:rPr>
            </w:pPr>
            <w:r w:rsidRPr="00936371">
              <w:rPr>
                <w:rFonts w:ascii="Montserrat" w:eastAsia="Times New Roman" w:hAnsi="Montserrat" w:cs="Calibri"/>
                <w:bCs/>
                <w:sz w:val="16"/>
                <w:szCs w:val="16"/>
                <w:lang w:val="es-MX" w:eastAsia="es-MX"/>
              </w:rPr>
              <w:t>(Pesos)</w:t>
            </w:r>
            <w:r w:rsidRPr="002C3281">
              <w:rPr>
                <w:rFonts w:ascii="Montserrat" w:eastAsia="Times New Roman" w:hAnsi="Montserrat" w:cs="Calibri"/>
                <w:color w:val="000000"/>
                <w:sz w:val="15"/>
                <w:szCs w:val="15"/>
                <w:lang w:val="es-MX" w:eastAsia="es-MX"/>
              </w:rPr>
              <w:t xml:space="preserve"> </w:t>
            </w:r>
          </w:p>
        </w:tc>
      </w:tr>
      <w:tr w:rsidR="00971121" w:rsidRPr="006F0DF1" w14:paraId="3CC9E41C" w14:textId="2F8C9850" w:rsidTr="000F0321">
        <w:trPr>
          <w:trHeight w:val="57"/>
        </w:trPr>
        <w:tc>
          <w:tcPr>
            <w:tcW w:w="8930" w:type="dxa"/>
            <w:gridSpan w:val="2"/>
            <w:tcBorders>
              <w:top w:val="single" w:sz="12" w:space="0" w:color="808080" w:themeColor="background1" w:themeShade="80"/>
            </w:tcBorders>
            <w:shd w:val="clear" w:color="auto" w:fill="auto"/>
            <w:tcMar>
              <w:top w:w="0" w:type="dxa"/>
              <w:left w:w="70" w:type="dxa"/>
              <w:bottom w:w="0" w:type="dxa"/>
              <w:right w:w="70" w:type="dxa"/>
            </w:tcMar>
            <w:vAlign w:val="center"/>
          </w:tcPr>
          <w:p w14:paraId="574CEA6B" w14:textId="77777777" w:rsidR="00971121" w:rsidRPr="00BC0F30" w:rsidRDefault="00971121" w:rsidP="002F797B">
            <w:pPr>
              <w:spacing w:after="0" w:line="240" w:lineRule="auto"/>
              <w:jc w:val="center"/>
              <w:rPr>
                <w:rFonts w:ascii="Montserrat" w:eastAsia="Times New Roman" w:hAnsi="Montserrat" w:cs="Calibri"/>
                <w:b/>
                <w:bCs/>
                <w:color w:val="FFFFFF"/>
                <w:sz w:val="4"/>
                <w:szCs w:val="4"/>
                <w:lang w:val="es-MX" w:eastAsia="es-MX"/>
              </w:rPr>
            </w:pPr>
          </w:p>
        </w:tc>
      </w:tr>
      <w:tr w:rsidR="00971121" w:rsidRPr="006F0DF1" w14:paraId="306C6189" w14:textId="28CBD12D" w:rsidTr="000F0321">
        <w:trPr>
          <w:trHeight w:val="317"/>
        </w:trPr>
        <w:tc>
          <w:tcPr>
            <w:tcW w:w="6379" w:type="dxa"/>
            <w:tcBorders>
              <w:left w:val="single" w:sz="8" w:space="0" w:color="FFFFFF" w:themeColor="background1"/>
              <w:bottom w:val="double" w:sz="12" w:space="0" w:color="808080" w:themeColor="background1" w:themeShade="80"/>
              <w:right w:val="single" w:sz="8" w:space="0" w:color="FFFFFF" w:themeColor="background1"/>
            </w:tcBorders>
            <w:shd w:val="clear" w:color="auto" w:fill="D4C19C"/>
            <w:tcMar>
              <w:top w:w="0" w:type="dxa"/>
              <w:left w:w="70" w:type="dxa"/>
              <w:bottom w:w="0" w:type="dxa"/>
              <w:right w:w="70" w:type="dxa"/>
            </w:tcMar>
            <w:vAlign w:val="center"/>
            <w:hideMark/>
          </w:tcPr>
          <w:p w14:paraId="2840ECD3" w14:textId="77777777" w:rsidR="00971121" w:rsidRPr="001E1A82" w:rsidRDefault="00971121" w:rsidP="00CB0034">
            <w:pPr>
              <w:spacing w:after="0" w:line="240" w:lineRule="auto"/>
              <w:jc w:val="center"/>
              <w:rPr>
                <w:rFonts w:ascii="Montserrat" w:eastAsia="Times New Roman" w:hAnsi="Montserrat" w:cs="Calibri"/>
                <w:b/>
                <w:bCs/>
                <w:color w:val="FFFFFF"/>
                <w:sz w:val="16"/>
                <w:szCs w:val="16"/>
                <w:lang w:val="es-MX" w:eastAsia="es-MX"/>
              </w:rPr>
            </w:pPr>
            <w:r w:rsidRPr="001E1A82">
              <w:rPr>
                <w:rFonts w:ascii="Montserrat" w:eastAsia="Times New Roman" w:hAnsi="Montserrat" w:cs="Calibri"/>
                <w:b/>
                <w:bCs/>
                <w:color w:val="FFFFFF"/>
                <w:sz w:val="16"/>
                <w:szCs w:val="16"/>
                <w:lang w:val="es-MX" w:eastAsia="es-MX"/>
              </w:rPr>
              <w:t>Concepto</w:t>
            </w:r>
          </w:p>
        </w:tc>
        <w:tc>
          <w:tcPr>
            <w:tcW w:w="2551" w:type="dxa"/>
            <w:tcBorders>
              <w:left w:val="single" w:sz="8" w:space="0" w:color="FFFFFF" w:themeColor="background1"/>
              <w:bottom w:val="double" w:sz="12" w:space="0" w:color="808080" w:themeColor="background1" w:themeShade="80"/>
              <w:right w:val="single" w:sz="8" w:space="0" w:color="FFFFFF" w:themeColor="background1"/>
            </w:tcBorders>
            <w:shd w:val="clear" w:color="auto" w:fill="D4C19C"/>
            <w:tcMar>
              <w:top w:w="0" w:type="dxa"/>
              <w:left w:w="70" w:type="dxa"/>
              <w:bottom w:w="0" w:type="dxa"/>
              <w:right w:w="70" w:type="dxa"/>
            </w:tcMar>
            <w:vAlign w:val="center"/>
            <w:hideMark/>
          </w:tcPr>
          <w:p w14:paraId="5DCA2EA5" w14:textId="77777777" w:rsidR="00971121" w:rsidRPr="001E1A82" w:rsidRDefault="00971121" w:rsidP="00CB0034">
            <w:pPr>
              <w:spacing w:after="0" w:line="240" w:lineRule="auto"/>
              <w:jc w:val="center"/>
              <w:rPr>
                <w:rFonts w:ascii="Montserrat" w:eastAsia="Times New Roman" w:hAnsi="Montserrat" w:cs="Calibri"/>
                <w:b/>
                <w:bCs/>
                <w:color w:val="FFFFFF"/>
                <w:sz w:val="16"/>
                <w:szCs w:val="16"/>
                <w:lang w:val="es-MX" w:eastAsia="es-MX"/>
              </w:rPr>
            </w:pPr>
            <w:r w:rsidRPr="001E1A82">
              <w:rPr>
                <w:rFonts w:ascii="Montserrat" w:eastAsia="Times New Roman" w:hAnsi="Montserrat" w:cs="Calibri"/>
                <w:b/>
                <w:bCs/>
                <w:color w:val="FFFFFF"/>
                <w:sz w:val="16"/>
                <w:szCs w:val="16"/>
                <w:lang w:val="es-MX" w:eastAsia="es-MX"/>
              </w:rPr>
              <w:t>Importe</w:t>
            </w:r>
          </w:p>
        </w:tc>
      </w:tr>
      <w:tr w:rsidR="00971121" w:rsidRPr="006F0DF1" w14:paraId="27463CC9" w14:textId="456D69C8" w:rsidTr="000F0321">
        <w:trPr>
          <w:trHeight w:val="215"/>
        </w:trPr>
        <w:tc>
          <w:tcPr>
            <w:tcW w:w="6379" w:type="dxa"/>
            <w:tcBorders>
              <w:top w:val="double" w:sz="12" w:space="0" w:color="808080" w:themeColor="background1" w:themeShade="80"/>
            </w:tcBorders>
            <w:shd w:val="clear" w:color="auto" w:fill="F2F2F2" w:themeFill="background1" w:themeFillShade="F2"/>
            <w:tcMar>
              <w:top w:w="0" w:type="dxa"/>
              <w:left w:w="70" w:type="dxa"/>
              <w:bottom w:w="0" w:type="dxa"/>
              <w:right w:w="70" w:type="dxa"/>
            </w:tcMar>
            <w:vAlign w:val="center"/>
            <w:hideMark/>
          </w:tcPr>
          <w:p w14:paraId="48E68655" w14:textId="586C48CB" w:rsidR="00971121" w:rsidRPr="00255081" w:rsidRDefault="00971121">
            <w:pPr>
              <w:spacing w:after="0" w:line="240" w:lineRule="auto"/>
              <w:ind w:left="170"/>
              <w:jc w:val="both"/>
              <w:rPr>
                <w:rFonts w:ascii="Montserrat" w:eastAsia="Times New Roman" w:hAnsi="Montserrat" w:cs="Calibri"/>
                <w:color w:val="000000"/>
                <w:sz w:val="15"/>
                <w:szCs w:val="15"/>
                <w:lang w:val="es-MX" w:eastAsia="es-MX"/>
              </w:rPr>
            </w:pPr>
            <w:r w:rsidRPr="00255081">
              <w:rPr>
                <w:rFonts w:ascii="Montserrat" w:eastAsia="Times New Roman" w:hAnsi="Montserrat" w:cs="Calibri"/>
                <w:color w:val="000000"/>
                <w:sz w:val="15"/>
                <w:szCs w:val="15"/>
                <w:lang w:val="es-MX" w:eastAsia="es-MX"/>
              </w:rPr>
              <w:t>Diferencias por Tipo de Cambio a Favor</w:t>
            </w:r>
          </w:p>
        </w:tc>
        <w:tc>
          <w:tcPr>
            <w:tcW w:w="2551" w:type="dxa"/>
            <w:tcBorders>
              <w:top w:val="double" w:sz="12" w:space="0" w:color="808080" w:themeColor="background1" w:themeShade="80"/>
            </w:tcBorders>
            <w:shd w:val="clear" w:color="auto" w:fill="F2F2F2" w:themeFill="background1" w:themeFillShade="F2"/>
            <w:tcMar>
              <w:top w:w="0" w:type="dxa"/>
              <w:left w:w="70" w:type="dxa"/>
              <w:bottom w:w="0" w:type="dxa"/>
              <w:right w:w="70" w:type="dxa"/>
            </w:tcMar>
            <w:vAlign w:val="center"/>
            <w:hideMark/>
          </w:tcPr>
          <w:p w14:paraId="4EBC423F" w14:textId="4D318410" w:rsidR="00971121" w:rsidRPr="00255081" w:rsidRDefault="00971121" w:rsidP="00CB0034">
            <w:pPr>
              <w:spacing w:after="0" w:line="240" w:lineRule="auto"/>
              <w:jc w:val="right"/>
              <w:rPr>
                <w:rFonts w:ascii="Montserrat" w:hAnsi="Montserrat" w:cs="Calibri"/>
                <w:color w:val="000000"/>
                <w:sz w:val="15"/>
                <w:szCs w:val="15"/>
                <w:lang w:val="es-MX" w:eastAsia="es-MX"/>
              </w:rPr>
            </w:pPr>
            <w:r w:rsidRPr="000F0321">
              <w:rPr>
                <w:rFonts w:ascii="Montserrat" w:hAnsi="Montserrat" w:cs="Arial"/>
                <w:color w:val="000000"/>
                <w:sz w:val="15"/>
                <w:szCs w:val="15"/>
              </w:rPr>
              <w:t>320,663,852,648</w:t>
            </w:r>
          </w:p>
        </w:tc>
      </w:tr>
      <w:tr w:rsidR="00971121" w:rsidRPr="006F0DF1" w14:paraId="7FF2ADBC" w14:textId="72CB5163" w:rsidTr="000F0321">
        <w:trPr>
          <w:trHeight w:val="215"/>
        </w:trPr>
        <w:tc>
          <w:tcPr>
            <w:tcW w:w="6379" w:type="dxa"/>
            <w:tcBorders>
              <w:top w:val="nil"/>
            </w:tcBorders>
            <w:shd w:val="clear" w:color="auto" w:fill="F2F2F2" w:themeFill="background1" w:themeFillShade="F2"/>
            <w:tcMar>
              <w:top w:w="0" w:type="dxa"/>
              <w:left w:w="70" w:type="dxa"/>
              <w:bottom w:w="0" w:type="dxa"/>
              <w:right w:w="70" w:type="dxa"/>
            </w:tcMar>
            <w:vAlign w:val="center"/>
            <w:hideMark/>
          </w:tcPr>
          <w:p w14:paraId="4C96B2F3" w14:textId="77777777" w:rsidR="00971121" w:rsidRPr="00255081" w:rsidRDefault="00971121" w:rsidP="00CB0034">
            <w:pPr>
              <w:spacing w:after="0" w:line="240" w:lineRule="auto"/>
              <w:ind w:left="170"/>
              <w:jc w:val="both"/>
              <w:rPr>
                <w:rFonts w:ascii="Montserrat" w:eastAsia="Times New Roman" w:hAnsi="Montserrat" w:cs="Calibri"/>
                <w:color w:val="000000"/>
                <w:sz w:val="15"/>
                <w:szCs w:val="15"/>
                <w:lang w:val="es-MX" w:eastAsia="es-MX"/>
              </w:rPr>
            </w:pPr>
            <w:r w:rsidRPr="00255081">
              <w:rPr>
                <w:rFonts w:ascii="Montserrat" w:eastAsia="Times New Roman" w:hAnsi="Montserrat" w:cs="Calibri"/>
                <w:color w:val="000000"/>
                <w:sz w:val="15"/>
                <w:szCs w:val="15"/>
                <w:lang w:val="es-MX" w:eastAsia="es-MX"/>
              </w:rPr>
              <w:t>Diferencias de Cotizaciones a Favor en Valores Negociables</w:t>
            </w:r>
          </w:p>
        </w:tc>
        <w:tc>
          <w:tcPr>
            <w:tcW w:w="2551" w:type="dxa"/>
            <w:tcBorders>
              <w:top w:val="nil"/>
            </w:tcBorders>
            <w:shd w:val="clear" w:color="auto" w:fill="F2F2F2" w:themeFill="background1" w:themeFillShade="F2"/>
            <w:tcMar>
              <w:top w:w="0" w:type="dxa"/>
              <w:left w:w="70" w:type="dxa"/>
              <w:bottom w:w="0" w:type="dxa"/>
              <w:right w:w="70" w:type="dxa"/>
            </w:tcMar>
            <w:vAlign w:val="center"/>
            <w:hideMark/>
          </w:tcPr>
          <w:p w14:paraId="4C5BFC81" w14:textId="7FA43E5D" w:rsidR="00971121" w:rsidRPr="00255081" w:rsidRDefault="00971121" w:rsidP="00CB0034">
            <w:pPr>
              <w:spacing w:after="0" w:line="240" w:lineRule="auto"/>
              <w:jc w:val="right"/>
              <w:rPr>
                <w:rFonts w:ascii="Montserrat" w:hAnsi="Montserrat" w:cs="Calibri"/>
                <w:color w:val="000000"/>
                <w:sz w:val="15"/>
                <w:szCs w:val="15"/>
              </w:rPr>
            </w:pPr>
            <w:r w:rsidRPr="000F0321">
              <w:rPr>
                <w:rFonts w:ascii="Montserrat" w:hAnsi="Montserrat" w:cs="Arial"/>
                <w:color w:val="000000"/>
                <w:sz w:val="15"/>
                <w:szCs w:val="15"/>
              </w:rPr>
              <w:t>6,804,708,596</w:t>
            </w:r>
          </w:p>
        </w:tc>
      </w:tr>
      <w:tr w:rsidR="00971121" w:rsidRPr="006F0DF1" w14:paraId="0F942DE9" w14:textId="3FD40C45" w:rsidTr="000F0321">
        <w:trPr>
          <w:trHeight w:val="215"/>
        </w:trPr>
        <w:tc>
          <w:tcPr>
            <w:tcW w:w="6379" w:type="dxa"/>
            <w:tcBorders>
              <w:top w:val="nil"/>
            </w:tcBorders>
            <w:shd w:val="clear" w:color="auto" w:fill="F2F2F2" w:themeFill="background1" w:themeFillShade="F2"/>
            <w:tcMar>
              <w:top w:w="0" w:type="dxa"/>
              <w:left w:w="70" w:type="dxa"/>
              <w:bottom w:w="0" w:type="dxa"/>
              <w:right w:w="70" w:type="dxa"/>
            </w:tcMar>
            <w:vAlign w:val="center"/>
            <w:hideMark/>
          </w:tcPr>
          <w:p w14:paraId="1C001370" w14:textId="77777777" w:rsidR="00971121" w:rsidRPr="00255081" w:rsidRDefault="00971121" w:rsidP="00CB0034">
            <w:pPr>
              <w:spacing w:after="0" w:line="240" w:lineRule="auto"/>
              <w:ind w:left="170"/>
              <w:jc w:val="both"/>
              <w:rPr>
                <w:rFonts w:ascii="Montserrat" w:eastAsia="Times New Roman" w:hAnsi="Montserrat" w:cs="Calibri"/>
                <w:color w:val="000000"/>
                <w:sz w:val="15"/>
                <w:szCs w:val="15"/>
                <w:lang w:val="es-MX" w:eastAsia="es-MX"/>
              </w:rPr>
            </w:pPr>
            <w:r w:rsidRPr="00255081">
              <w:rPr>
                <w:rFonts w:ascii="Montserrat" w:eastAsia="Times New Roman" w:hAnsi="Montserrat" w:cs="Calibri"/>
                <w:color w:val="000000"/>
                <w:sz w:val="15"/>
                <w:szCs w:val="15"/>
                <w:lang w:val="es-MX" w:eastAsia="es-MX"/>
              </w:rPr>
              <w:t>Resultados Positivos en la Actualización del Patrimonio o Inversiones en las  Entidades Paraestatales</w:t>
            </w:r>
          </w:p>
        </w:tc>
        <w:tc>
          <w:tcPr>
            <w:tcW w:w="2551" w:type="dxa"/>
            <w:tcBorders>
              <w:top w:val="nil"/>
            </w:tcBorders>
            <w:shd w:val="clear" w:color="auto" w:fill="F2F2F2" w:themeFill="background1" w:themeFillShade="F2"/>
            <w:tcMar>
              <w:top w:w="0" w:type="dxa"/>
              <w:left w:w="70" w:type="dxa"/>
              <w:bottom w:w="0" w:type="dxa"/>
              <w:right w:w="70" w:type="dxa"/>
            </w:tcMar>
            <w:vAlign w:val="center"/>
            <w:hideMark/>
          </w:tcPr>
          <w:p w14:paraId="49F67931" w14:textId="5AF96CD8" w:rsidR="00971121" w:rsidRPr="00255081" w:rsidRDefault="00971121" w:rsidP="00CB0034">
            <w:pPr>
              <w:spacing w:after="0" w:line="240" w:lineRule="auto"/>
              <w:jc w:val="right"/>
              <w:rPr>
                <w:rFonts w:ascii="Montserrat" w:hAnsi="Montserrat" w:cs="Calibri"/>
                <w:color w:val="000000"/>
                <w:sz w:val="15"/>
                <w:szCs w:val="15"/>
              </w:rPr>
            </w:pPr>
            <w:r w:rsidRPr="000F0321">
              <w:rPr>
                <w:rFonts w:ascii="Montserrat" w:hAnsi="Montserrat" w:cs="Arial"/>
                <w:color w:val="000000"/>
                <w:sz w:val="15"/>
                <w:szCs w:val="15"/>
              </w:rPr>
              <w:t>153,051,712,230</w:t>
            </w:r>
          </w:p>
        </w:tc>
      </w:tr>
      <w:tr w:rsidR="00971121" w:rsidRPr="006F0DF1" w14:paraId="2B588079" w14:textId="01A27721" w:rsidTr="000F0321">
        <w:trPr>
          <w:trHeight w:val="215"/>
        </w:trPr>
        <w:tc>
          <w:tcPr>
            <w:tcW w:w="6379" w:type="dxa"/>
            <w:tcBorders>
              <w:top w:val="nil"/>
            </w:tcBorders>
            <w:shd w:val="clear" w:color="auto" w:fill="F2F2F2" w:themeFill="background1" w:themeFillShade="F2"/>
            <w:tcMar>
              <w:top w:w="0" w:type="dxa"/>
              <w:left w:w="70" w:type="dxa"/>
              <w:bottom w:w="0" w:type="dxa"/>
              <w:right w:w="70" w:type="dxa"/>
            </w:tcMar>
            <w:vAlign w:val="center"/>
            <w:hideMark/>
          </w:tcPr>
          <w:p w14:paraId="42B206B5" w14:textId="77777777" w:rsidR="00971121" w:rsidRPr="00255081" w:rsidRDefault="00971121" w:rsidP="00CB0034">
            <w:pPr>
              <w:spacing w:after="0" w:line="240" w:lineRule="auto"/>
              <w:ind w:left="170"/>
              <w:jc w:val="both"/>
              <w:rPr>
                <w:rFonts w:ascii="Montserrat" w:eastAsia="Times New Roman" w:hAnsi="Montserrat" w:cs="Calibri"/>
                <w:color w:val="000000"/>
                <w:sz w:val="15"/>
                <w:szCs w:val="15"/>
                <w:lang w:val="es-MX" w:eastAsia="es-MX"/>
              </w:rPr>
            </w:pPr>
            <w:r w:rsidRPr="00255081">
              <w:rPr>
                <w:rFonts w:ascii="Montserrat" w:eastAsia="Times New Roman" w:hAnsi="Montserrat" w:cs="Calibri"/>
                <w:color w:val="000000"/>
                <w:sz w:val="15"/>
                <w:szCs w:val="15"/>
                <w:lang w:val="es-MX" w:eastAsia="es-MX"/>
              </w:rPr>
              <w:t>Resultados Positivos en la Actualización del Patrimonio de Fideicomisos</w:t>
            </w:r>
          </w:p>
        </w:tc>
        <w:tc>
          <w:tcPr>
            <w:tcW w:w="2551" w:type="dxa"/>
            <w:tcBorders>
              <w:top w:val="nil"/>
            </w:tcBorders>
            <w:shd w:val="clear" w:color="auto" w:fill="F2F2F2" w:themeFill="background1" w:themeFillShade="F2"/>
            <w:tcMar>
              <w:top w:w="0" w:type="dxa"/>
              <w:left w:w="70" w:type="dxa"/>
              <w:bottom w:w="0" w:type="dxa"/>
              <w:right w:w="70" w:type="dxa"/>
            </w:tcMar>
            <w:vAlign w:val="center"/>
            <w:hideMark/>
          </w:tcPr>
          <w:p w14:paraId="42B81709" w14:textId="2DD18C70" w:rsidR="00971121" w:rsidRPr="00255081" w:rsidRDefault="00971121" w:rsidP="00CB0034">
            <w:pPr>
              <w:spacing w:after="0" w:line="240" w:lineRule="auto"/>
              <w:jc w:val="right"/>
              <w:rPr>
                <w:rFonts w:ascii="Montserrat" w:hAnsi="Montserrat" w:cs="Calibri"/>
                <w:color w:val="000000"/>
                <w:sz w:val="15"/>
                <w:szCs w:val="15"/>
              </w:rPr>
            </w:pPr>
            <w:r w:rsidRPr="000F0321">
              <w:rPr>
                <w:rFonts w:ascii="Montserrat" w:hAnsi="Montserrat" w:cs="Arial"/>
                <w:color w:val="000000"/>
                <w:sz w:val="15"/>
                <w:szCs w:val="15"/>
              </w:rPr>
              <w:t>14,423,171,386</w:t>
            </w:r>
          </w:p>
        </w:tc>
      </w:tr>
      <w:tr w:rsidR="00971121" w:rsidRPr="006F0DF1" w14:paraId="76C0DD51" w14:textId="1413B406" w:rsidTr="000F0321">
        <w:trPr>
          <w:trHeight w:val="215"/>
        </w:trPr>
        <w:tc>
          <w:tcPr>
            <w:tcW w:w="6379" w:type="dxa"/>
            <w:tcBorders>
              <w:top w:val="nil"/>
            </w:tcBorders>
            <w:shd w:val="clear" w:color="auto" w:fill="F2F2F2" w:themeFill="background1" w:themeFillShade="F2"/>
            <w:tcMar>
              <w:top w:w="0" w:type="dxa"/>
              <w:left w:w="70" w:type="dxa"/>
              <w:bottom w:w="0" w:type="dxa"/>
              <w:right w:w="70" w:type="dxa"/>
            </w:tcMar>
            <w:vAlign w:val="center"/>
            <w:hideMark/>
          </w:tcPr>
          <w:p w14:paraId="7D457161" w14:textId="77777777" w:rsidR="00971121" w:rsidRPr="00255081" w:rsidRDefault="00971121" w:rsidP="00CB0034">
            <w:pPr>
              <w:spacing w:after="0" w:line="240" w:lineRule="auto"/>
              <w:ind w:left="170"/>
              <w:jc w:val="both"/>
              <w:rPr>
                <w:rFonts w:ascii="Montserrat" w:eastAsia="Times New Roman" w:hAnsi="Montserrat" w:cs="Calibri"/>
                <w:color w:val="000000"/>
                <w:sz w:val="15"/>
                <w:szCs w:val="15"/>
                <w:lang w:val="es-MX" w:eastAsia="es-MX"/>
              </w:rPr>
            </w:pPr>
            <w:r w:rsidRPr="00255081">
              <w:rPr>
                <w:rFonts w:ascii="Montserrat" w:eastAsia="Times New Roman" w:hAnsi="Montserrat" w:cs="Calibri"/>
                <w:color w:val="000000"/>
                <w:sz w:val="15"/>
                <w:szCs w:val="15"/>
                <w:lang w:val="es-MX" w:eastAsia="es-MX"/>
              </w:rPr>
              <w:t>Otros Ingresos y Beneficios Varios</w:t>
            </w:r>
          </w:p>
        </w:tc>
        <w:tc>
          <w:tcPr>
            <w:tcW w:w="2551" w:type="dxa"/>
            <w:tcBorders>
              <w:top w:val="nil"/>
            </w:tcBorders>
            <w:shd w:val="clear" w:color="auto" w:fill="F2F2F2" w:themeFill="background1" w:themeFillShade="F2"/>
            <w:tcMar>
              <w:top w:w="0" w:type="dxa"/>
              <w:left w:w="70" w:type="dxa"/>
              <w:bottom w:w="0" w:type="dxa"/>
              <w:right w:w="70" w:type="dxa"/>
            </w:tcMar>
            <w:vAlign w:val="center"/>
            <w:hideMark/>
          </w:tcPr>
          <w:p w14:paraId="6C1B84C1" w14:textId="5B0562BA" w:rsidR="00971121" w:rsidRPr="00255081" w:rsidRDefault="00971121" w:rsidP="00CB0034">
            <w:pPr>
              <w:spacing w:after="0" w:line="240" w:lineRule="auto"/>
              <w:jc w:val="right"/>
              <w:rPr>
                <w:rFonts w:ascii="Montserrat" w:hAnsi="Montserrat" w:cs="Calibri"/>
                <w:color w:val="000000"/>
                <w:sz w:val="15"/>
                <w:szCs w:val="15"/>
              </w:rPr>
            </w:pPr>
            <w:r w:rsidRPr="000F0321">
              <w:rPr>
                <w:rFonts w:ascii="Montserrat" w:hAnsi="Montserrat" w:cs="Arial"/>
                <w:color w:val="000000"/>
                <w:sz w:val="15"/>
                <w:szCs w:val="15"/>
              </w:rPr>
              <w:t>5,092,598,528</w:t>
            </w:r>
          </w:p>
        </w:tc>
      </w:tr>
      <w:tr w:rsidR="00971121" w:rsidRPr="006F0DF1" w14:paraId="5AD2CC8E" w14:textId="77777777" w:rsidTr="00971121">
        <w:trPr>
          <w:trHeight w:val="215"/>
        </w:trPr>
        <w:tc>
          <w:tcPr>
            <w:tcW w:w="6379" w:type="dxa"/>
            <w:tcBorders>
              <w:top w:val="nil"/>
            </w:tcBorders>
            <w:shd w:val="clear" w:color="auto" w:fill="F2F2F2" w:themeFill="background1" w:themeFillShade="F2"/>
            <w:tcMar>
              <w:top w:w="0" w:type="dxa"/>
              <w:left w:w="70" w:type="dxa"/>
              <w:bottom w:w="0" w:type="dxa"/>
              <w:right w:w="70" w:type="dxa"/>
            </w:tcMar>
            <w:vAlign w:val="center"/>
          </w:tcPr>
          <w:p w14:paraId="0C0C0CE9" w14:textId="5F19CD71" w:rsidR="00971121" w:rsidRPr="00255081" w:rsidRDefault="00971121" w:rsidP="00971121">
            <w:pPr>
              <w:spacing w:after="0" w:line="240" w:lineRule="auto"/>
              <w:ind w:left="170"/>
              <w:jc w:val="both"/>
              <w:rPr>
                <w:rFonts w:ascii="Montserrat" w:eastAsia="Times New Roman" w:hAnsi="Montserrat" w:cs="Calibri"/>
                <w:color w:val="000000"/>
                <w:sz w:val="15"/>
                <w:szCs w:val="15"/>
                <w:lang w:val="es-MX" w:eastAsia="es-MX"/>
              </w:rPr>
            </w:pPr>
            <w:r w:rsidRPr="00255081">
              <w:rPr>
                <w:rFonts w:ascii="Montserrat" w:eastAsia="Times New Roman" w:hAnsi="Montserrat" w:cs="Calibri"/>
                <w:color w:val="000000"/>
                <w:sz w:val="15"/>
                <w:szCs w:val="15"/>
                <w:lang w:val="es-MX" w:eastAsia="es-MX"/>
              </w:rPr>
              <w:t>Beneficios Derivado</w:t>
            </w:r>
            <w:r w:rsidR="00BF6E75">
              <w:rPr>
                <w:rFonts w:ascii="Montserrat" w:eastAsia="Times New Roman" w:hAnsi="Montserrat" w:cs="Calibri"/>
                <w:color w:val="000000"/>
                <w:sz w:val="15"/>
                <w:szCs w:val="15"/>
                <w:lang w:val="es-MX" w:eastAsia="es-MX"/>
              </w:rPr>
              <w:t>s de Redención Anticipada Pensió</w:t>
            </w:r>
            <w:r w:rsidRPr="00255081">
              <w:rPr>
                <w:rFonts w:ascii="Montserrat" w:eastAsia="Times New Roman" w:hAnsi="Montserrat" w:cs="Calibri"/>
                <w:color w:val="000000"/>
                <w:sz w:val="15"/>
                <w:szCs w:val="15"/>
                <w:lang w:val="es-MX" w:eastAsia="es-MX"/>
              </w:rPr>
              <w:t>nissste</w:t>
            </w:r>
          </w:p>
        </w:tc>
        <w:tc>
          <w:tcPr>
            <w:tcW w:w="2551" w:type="dxa"/>
            <w:tcBorders>
              <w:top w:val="nil"/>
            </w:tcBorders>
            <w:shd w:val="clear" w:color="auto" w:fill="F2F2F2" w:themeFill="background1" w:themeFillShade="F2"/>
            <w:tcMar>
              <w:top w:w="0" w:type="dxa"/>
              <w:left w:w="70" w:type="dxa"/>
              <w:bottom w:w="0" w:type="dxa"/>
              <w:right w:w="70" w:type="dxa"/>
            </w:tcMar>
            <w:vAlign w:val="center"/>
          </w:tcPr>
          <w:p w14:paraId="4557F806" w14:textId="5FD727E3" w:rsidR="00971121" w:rsidRPr="000F0321" w:rsidRDefault="00971121" w:rsidP="00971121">
            <w:pPr>
              <w:spacing w:after="0" w:line="240" w:lineRule="auto"/>
              <w:jc w:val="right"/>
              <w:rPr>
                <w:rFonts w:ascii="Montserrat" w:hAnsi="Montserrat" w:cs="Arial"/>
                <w:color w:val="000000"/>
                <w:sz w:val="15"/>
                <w:szCs w:val="15"/>
              </w:rPr>
            </w:pPr>
            <w:r w:rsidRPr="00255081">
              <w:rPr>
                <w:rFonts w:ascii="Montserrat" w:eastAsia="Times New Roman" w:hAnsi="Montserrat" w:cs="Calibri"/>
                <w:color w:val="000000"/>
                <w:sz w:val="15"/>
                <w:szCs w:val="15"/>
                <w:lang w:val="es-MX" w:eastAsia="es-MX"/>
              </w:rPr>
              <w:t>67,374,442</w:t>
            </w:r>
          </w:p>
        </w:tc>
      </w:tr>
      <w:tr w:rsidR="00971121" w:rsidRPr="006F0DF1" w14:paraId="1C79A0F3" w14:textId="77777777" w:rsidTr="00971121">
        <w:trPr>
          <w:trHeight w:val="215"/>
        </w:trPr>
        <w:tc>
          <w:tcPr>
            <w:tcW w:w="6379" w:type="dxa"/>
            <w:tcBorders>
              <w:top w:val="nil"/>
            </w:tcBorders>
            <w:shd w:val="clear" w:color="auto" w:fill="F2F2F2" w:themeFill="background1" w:themeFillShade="F2"/>
            <w:tcMar>
              <w:top w:w="0" w:type="dxa"/>
              <w:left w:w="70" w:type="dxa"/>
              <w:bottom w:w="0" w:type="dxa"/>
              <w:right w:w="70" w:type="dxa"/>
            </w:tcMar>
            <w:vAlign w:val="center"/>
          </w:tcPr>
          <w:p w14:paraId="24926CAD" w14:textId="7E5C2465" w:rsidR="00971121" w:rsidRPr="00255081" w:rsidRDefault="00971121" w:rsidP="00971121">
            <w:pPr>
              <w:spacing w:after="0" w:line="240" w:lineRule="auto"/>
              <w:ind w:left="170"/>
              <w:jc w:val="both"/>
              <w:rPr>
                <w:rFonts w:ascii="Montserrat" w:eastAsia="Times New Roman" w:hAnsi="Montserrat" w:cs="Calibri"/>
                <w:color w:val="000000"/>
                <w:sz w:val="15"/>
                <w:szCs w:val="15"/>
                <w:lang w:val="es-MX" w:eastAsia="es-MX"/>
              </w:rPr>
            </w:pPr>
            <w:r w:rsidRPr="00255081">
              <w:rPr>
                <w:rFonts w:ascii="Montserrat" w:eastAsia="Times New Roman" w:hAnsi="Montserrat" w:cs="Calibri"/>
                <w:color w:val="000000"/>
                <w:sz w:val="15"/>
                <w:szCs w:val="15"/>
                <w:lang w:val="es-MX" w:eastAsia="es-MX"/>
              </w:rPr>
              <w:t>Resultados Positivos por Re</w:t>
            </w:r>
            <w:r w:rsidR="007D7323" w:rsidRPr="00255081">
              <w:rPr>
                <w:rFonts w:ascii="Montserrat" w:eastAsia="Times New Roman" w:hAnsi="Montserrat" w:cs="Calibri"/>
                <w:color w:val="000000"/>
                <w:sz w:val="15"/>
                <w:szCs w:val="15"/>
                <w:lang w:val="es-MX" w:eastAsia="es-MX"/>
              </w:rPr>
              <w:t>estructuración de la Deuda</w:t>
            </w:r>
          </w:p>
        </w:tc>
        <w:tc>
          <w:tcPr>
            <w:tcW w:w="2551" w:type="dxa"/>
            <w:tcBorders>
              <w:top w:val="nil"/>
            </w:tcBorders>
            <w:shd w:val="clear" w:color="auto" w:fill="F2F2F2" w:themeFill="background1" w:themeFillShade="F2"/>
            <w:tcMar>
              <w:top w:w="0" w:type="dxa"/>
              <w:left w:w="70" w:type="dxa"/>
              <w:bottom w:w="0" w:type="dxa"/>
              <w:right w:w="70" w:type="dxa"/>
            </w:tcMar>
            <w:vAlign w:val="center"/>
          </w:tcPr>
          <w:p w14:paraId="205FF653" w14:textId="2432BFD3" w:rsidR="00971121" w:rsidRPr="000F0321" w:rsidRDefault="00971121" w:rsidP="00971121">
            <w:pPr>
              <w:spacing w:after="0" w:line="240" w:lineRule="auto"/>
              <w:jc w:val="right"/>
              <w:rPr>
                <w:rFonts w:ascii="Montserrat" w:hAnsi="Montserrat" w:cs="Arial"/>
                <w:color w:val="000000"/>
                <w:sz w:val="15"/>
                <w:szCs w:val="15"/>
              </w:rPr>
            </w:pPr>
            <w:r w:rsidRPr="00255081">
              <w:rPr>
                <w:rFonts w:ascii="Montserrat" w:eastAsia="Times New Roman" w:hAnsi="Montserrat" w:cs="Calibri"/>
                <w:color w:val="000000"/>
                <w:sz w:val="15"/>
                <w:szCs w:val="15"/>
                <w:lang w:val="es-MX" w:eastAsia="es-MX"/>
              </w:rPr>
              <w:t>0</w:t>
            </w:r>
          </w:p>
        </w:tc>
      </w:tr>
      <w:tr w:rsidR="00971121" w:rsidRPr="006F0DF1" w14:paraId="005B7513" w14:textId="77777777" w:rsidTr="00971121">
        <w:trPr>
          <w:trHeight w:val="215"/>
        </w:trPr>
        <w:tc>
          <w:tcPr>
            <w:tcW w:w="6379" w:type="dxa"/>
            <w:tcBorders>
              <w:top w:val="nil"/>
            </w:tcBorders>
            <w:shd w:val="clear" w:color="auto" w:fill="F2F2F2" w:themeFill="background1" w:themeFillShade="F2"/>
            <w:tcMar>
              <w:top w:w="0" w:type="dxa"/>
              <w:left w:w="70" w:type="dxa"/>
              <w:bottom w:w="0" w:type="dxa"/>
              <w:right w:w="70" w:type="dxa"/>
            </w:tcMar>
            <w:vAlign w:val="center"/>
          </w:tcPr>
          <w:p w14:paraId="299E11A1" w14:textId="02EA09A3" w:rsidR="00971121" w:rsidRPr="00255081" w:rsidRDefault="00971121" w:rsidP="00971121">
            <w:pPr>
              <w:spacing w:after="0" w:line="240" w:lineRule="auto"/>
              <w:ind w:left="170"/>
              <w:jc w:val="both"/>
              <w:rPr>
                <w:rFonts w:ascii="Montserrat" w:eastAsia="Times New Roman" w:hAnsi="Montserrat" w:cs="Calibri"/>
                <w:color w:val="000000"/>
                <w:sz w:val="15"/>
                <w:szCs w:val="15"/>
                <w:lang w:val="es-MX" w:eastAsia="es-MX"/>
              </w:rPr>
            </w:pPr>
            <w:r w:rsidRPr="00255081">
              <w:rPr>
                <w:rFonts w:ascii="Montserrat" w:eastAsia="Times New Roman" w:hAnsi="Montserrat" w:cs="Calibri"/>
                <w:color w:val="000000"/>
                <w:sz w:val="15"/>
                <w:szCs w:val="15"/>
                <w:lang w:val="es-MX" w:eastAsia="es-MX"/>
              </w:rPr>
              <w:t>Beneficios por Bie</w:t>
            </w:r>
            <w:r w:rsidR="007D7323" w:rsidRPr="00255081">
              <w:rPr>
                <w:rFonts w:ascii="Montserrat" w:eastAsia="Times New Roman" w:hAnsi="Montserrat" w:cs="Calibri"/>
                <w:color w:val="000000"/>
                <w:sz w:val="15"/>
                <w:szCs w:val="15"/>
                <w:lang w:val="es-MX" w:eastAsia="es-MX"/>
              </w:rPr>
              <w:t>nes sobrantes de Contratos</w:t>
            </w:r>
          </w:p>
        </w:tc>
        <w:tc>
          <w:tcPr>
            <w:tcW w:w="2551" w:type="dxa"/>
            <w:tcBorders>
              <w:top w:val="nil"/>
            </w:tcBorders>
            <w:shd w:val="clear" w:color="auto" w:fill="F2F2F2" w:themeFill="background1" w:themeFillShade="F2"/>
            <w:tcMar>
              <w:top w:w="0" w:type="dxa"/>
              <w:left w:w="70" w:type="dxa"/>
              <w:bottom w:w="0" w:type="dxa"/>
              <w:right w:w="70" w:type="dxa"/>
            </w:tcMar>
            <w:vAlign w:val="center"/>
          </w:tcPr>
          <w:p w14:paraId="301713B3" w14:textId="74B9478F" w:rsidR="00971121" w:rsidRPr="000F0321" w:rsidRDefault="00971121" w:rsidP="00971121">
            <w:pPr>
              <w:spacing w:after="0" w:line="240" w:lineRule="auto"/>
              <w:jc w:val="right"/>
              <w:rPr>
                <w:rFonts w:ascii="Montserrat" w:hAnsi="Montserrat" w:cs="Arial"/>
                <w:color w:val="000000"/>
                <w:sz w:val="15"/>
                <w:szCs w:val="15"/>
              </w:rPr>
            </w:pPr>
            <w:r w:rsidRPr="00255081">
              <w:rPr>
                <w:rFonts w:ascii="Montserrat" w:eastAsia="Times New Roman" w:hAnsi="Montserrat" w:cs="Calibri"/>
                <w:color w:val="000000"/>
                <w:sz w:val="15"/>
                <w:szCs w:val="15"/>
                <w:lang w:val="es-MX" w:eastAsia="es-MX"/>
              </w:rPr>
              <w:t>326,386</w:t>
            </w:r>
          </w:p>
        </w:tc>
      </w:tr>
      <w:tr w:rsidR="00971121" w:rsidRPr="006F0DF1" w14:paraId="2A2A3E2A" w14:textId="77777777" w:rsidTr="00971121">
        <w:trPr>
          <w:trHeight w:val="215"/>
        </w:trPr>
        <w:tc>
          <w:tcPr>
            <w:tcW w:w="6379" w:type="dxa"/>
            <w:tcBorders>
              <w:top w:val="nil"/>
            </w:tcBorders>
            <w:shd w:val="clear" w:color="auto" w:fill="F2F2F2" w:themeFill="background1" w:themeFillShade="F2"/>
            <w:tcMar>
              <w:top w:w="0" w:type="dxa"/>
              <w:left w:w="70" w:type="dxa"/>
              <w:bottom w:w="0" w:type="dxa"/>
              <w:right w:w="70" w:type="dxa"/>
            </w:tcMar>
            <w:vAlign w:val="center"/>
          </w:tcPr>
          <w:p w14:paraId="18208081" w14:textId="02FB3230" w:rsidR="00971121" w:rsidRPr="00255081" w:rsidRDefault="00971121" w:rsidP="00971121">
            <w:pPr>
              <w:spacing w:after="0" w:line="240" w:lineRule="auto"/>
              <w:ind w:left="170"/>
              <w:jc w:val="both"/>
              <w:rPr>
                <w:rFonts w:ascii="Montserrat" w:eastAsia="Times New Roman" w:hAnsi="Montserrat" w:cs="Calibri"/>
                <w:color w:val="000000"/>
                <w:sz w:val="15"/>
                <w:szCs w:val="15"/>
                <w:lang w:val="es-MX" w:eastAsia="es-MX"/>
              </w:rPr>
            </w:pPr>
            <w:r w:rsidRPr="00255081">
              <w:rPr>
                <w:rFonts w:ascii="Montserrat" w:eastAsia="Times New Roman" w:hAnsi="Montserrat" w:cs="Calibri"/>
                <w:color w:val="000000"/>
                <w:sz w:val="15"/>
                <w:szCs w:val="15"/>
                <w:lang w:val="es-MX" w:eastAsia="es-MX"/>
              </w:rPr>
              <w:t>Bienes Muebles e Inmuebles Recibidos Derivados de Convenios</w:t>
            </w:r>
          </w:p>
        </w:tc>
        <w:tc>
          <w:tcPr>
            <w:tcW w:w="2551" w:type="dxa"/>
            <w:tcBorders>
              <w:top w:val="nil"/>
            </w:tcBorders>
            <w:shd w:val="clear" w:color="auto" w:fill="F2F2F2" w:themeFill="background1" w:themeFillShade="F2"/>
            <w:tcMar>
              <w:top w:w="0" w:type="dxa"/>
              <w:left w:w="70" w:type="dxa"/>
              <w:bottom w:w="0" w:type="dxa"/>
              <w:right w:w="70" w:type="dxa"/>
            </w:tcMar>
            <w:vAlign w:val="center"/>
          </w:tcPr>
          <w:p w14:paraId="31EE9DD8" w14:textId="79C10B04" w:rsidR="00971121" w:rsidRPr="000F0321" w:rsidRDefault="00971121" w:rsidP="00971121">
            <w:pPr>
              <w:spacing w:after="0" w:line="240" w:lineRule="auto"/>
              <w:jc w:val="right"/>
              <w:rPr>
                <w:rFonts w:ascii="Montserrat" w:hAnsi="Montserrat" w:cs="Arial"/>
                <w:color w:val="000000"/>
                <w:sz w:val="15"/>
                <w:szCs w:val="15"/>
              </w:rPr>
            </w:pPr>
            <w:r w:rsidRPr="00255081">
              <w:rPr>
                <w:rFonts w:ascii="Montserrat" w:eastAsia="Times New Roman" w:hAnsi="Montserrat" w:cs="Calibri"/>
                <w:color w:val="000000"/>
                <w:sz w:val="15"/>
                <w:szCs w:val="15"/>
                <w:lang w:val="es-MX" w:eastAsia="es-MX"/>
              </w:rPr>
              <w:t>44,936,619</w:t>
            </w:r>
          </w:p>
        </w:tc>
      </w:tr>
      <w:tr w:rsidR="00971121" w:rsidRPr="00B53993" w14:paraId="0D281F73" w14:textId="2C19DBAB" w:rsidTr="000F0321">
        <w:trPr>
          <w:trHeight w:val="215"/>
        </w:trPr>
        <w:tc>
          <w:tcPr>
            <w:tcW w:w="6379" w:type="dxa"/>
            <w:tcBorders>
              <w:bottom w:val="single" w:sz="12" w:space="0" w:color="808080" w:themeColor="background1" w:themeShade="80"/>
            </w:tcBorders>
            <w:shd w:val="clear" w:color="auto" w:fill="F2F2F2" w:themeFill="background1" w:themeFillShade="F2"/>
            <w:tcMar>
              <w:top w:w="0" w:type="dxa"/>
              <w:left w:w="70" w:type="dxa"/>
              <w:bottom w:w="0" w:type="dxa"/>
              <w:right w:w="70" w:type="dxa"/>
            </w:tcMar>
            <w:vAlign w:val="center"/>
            <w:hideMark/>
          </w:tcPr>
          <w:p w14:paraId="097FE0E9" w14:textId="153C1A70" w:rsidR="00971121" w:rsidRPr="00255081" w:rsidRDefault="00971121">
            <w:pPr>
              <w:spacing w:after="0" w:line="240" w:lineRule="auto"/>
              <w:ind w:left="170"/>
              <w:jc w:val="right"/>
              <w:rPr>
                <w:rFonts w:ascii="Montserrat" w:eastAsia="Times New Roman" w:hAnsi="Montserrat" w:cs="Calibri"/>
                <w:b/>
                <w:bCs/>
                <w:color w:val="000000"/>
                <w:sz w:val="15"/>
                <w:szCs w:val="15"/>
                <w:lang w:val="es-MX" w:eastAsia="es-MX"/>
              </w:rPr>
            </w:pPr>
            <w:r w:rsidRPr="00255081">
              <w:rPr>
                <w:rFonts w:ascii="Montserrat" w:eastAsia="Times New Roman" w:hAnsi="Montserrat" w:cs="Calibri"/>
                <w:b/>
                <w:bCs/>
                <w:color w:val="000000"/>
                <w:sz w:val="15"/>
                <w:szCs w:val="15"/>
                <w:lang w:val="es-MX" w:eastAsia="es-MX"/>
              </w:rPr>
              <w:t xml:space="preserve">Total Otros Ingresos y Beneficios Varios </w:t>
            </w:r>
          </w:p>
        </w:tc>
        <w:tc>
          <w:tcPr>
            <w:tcW w:w="2551" w:type="dxa"/>
            <w:tcBorders>
              <w:bottom w:val="single" w:sz="12" w:space="0" w:color="808080" w:themeColor="background1" w:themeShade="80"/>
            </w:tcBorders>
            <w:shd w:val="clear" w:color="auto" w:fill="F2F2F2" w:themeFill="background1" w:themeFillShade="F2"/>
            <w:tcMar>
              <w:top w:w="0" w:type="dxa"/>
              <w:left w:w="70" w:type="dxa"/>
              <w:bottom w:w="0" w:type="dxa"/>
              <w:right w:w="70" w:type="dxa"/>
            </w:tcMar>
            <w:vAlign w:val="center"/>
            <w:hideMark/>
          </w:tcPr>
          <w:p w14:paraId="09E40F35" w14:textId="3DCEF129" w:rsidR="00971121" w:rsidRPr="00255081" w:rsidRDefault="00971121" w:rsidP="00CB0034">
            <w:pPr>
              <w:spacing w:after="0" w:line="240" w:lineRule="auto"/>
              <w:ind w:left="170"/>
              <w:jc w:val="right"/>
              <w:rPr>
                <w:rFonts w:ascii="Montserrat" w:eastAsia="Times New Roman" w:hAnsi="Montserrat" w:cs="Calibri"/>
                <w:b/>
                <w:bCs/>
                <w:color w:val="000000"/>
                <w:sz w:val="15"/>
                <w:szCs w:val="15"/>
                <w:lang w:val="es-MX" w:eastAsia="es-MX"/>
              </w:rPr>
            </w:pPr>
            <w:r w:rsidRPr="000F0321">
              <w:rPr>
                <w:rFonts w:ascii="Montserrat" w:hAnsi="Montserrat" w:cs="Arial"/>
                <w:b/>
                <w:bCs/>
                <w:color w:val="000000"/>
                <w:sz w:val="15"/>
                <w:szCs w:val="15"/>
              </w:rPr>
              <w:t>500,148,680,835</w:t>
            </w:r>
          </w:p>
        </w:tc>
      </w:tr>
    </w:tbl>
    <w:p w14:paraId="574B4549" w14:textId="77777777" w:rsidR="00A14184" w:rsidRDefault="00A14184" w:rsidP="001E1A82">
      <w:pPr>
        <w:spacing w:after="0" w:line="240" w:lineRule="auto"/>
        <w:jc w:val="both"/>
        <w:rPr>
          <w:rFonts w:ascii="Montserrat" w:hAnsi="Montserrat" w:cs="Arial"/>
          <w:spacing w:val="-1"/>
          <w:sz w:val="18"/>
          <w:szCs w:val="18"/>
        </w:rPr>
      </w:pPr>
    </w:p>
    <w:p w14:paraId="3A290C5C" w14:textId="77777777" w:rsidR="009C3C24" w:rsidRPr="004E44CE" w:rsidRDefault="009C3C24" w:rsidP="001E1A82">
      <w:pPr>
        <w:pStyle w:val="VIETAFLECHA"/>
        <w:numPr>
          <w:ilvl w:val="0"/>
          <w:numId w:val="13"/>
        </w:numPr>
        <w:ind w:left="357" w:hanging="357"/>
        <w:rPr>
          <w:rFonts w:cs="Arial"/>
          <w:spacing w:val="-1"/>
        </w:rPr>
      </w:pPr>
      <w:r w:rsidRPr="004E44CE">
        <w:rPr>
          <w:rFonts w:cs="Arial"/>
          <w:spacing w:val="-1"/>
        </w:rPr>
        <w:t>Gastos y Otras Pérdidas</w:t>
      </w:r>
    </w:p>
    <w:p w14:paraId="53CC034E" w14:textId="77777777" w:rsidR="009C3C24" w:rsidRDefault="009C3C24" w:rsidP="00063579">
      <w:pPr>
        <w:spacing w:after="120" w:line="250" w:lineRule="exact"/>
        <w:jc w:val="both"/>
        <w:rPr>
          <w:rFonts w:ascii="Montserrat" w:hAnsi="Montserrat" w:cs="Arial"/>
          <w:spacing w:val="-1"/>
          <w:sz w:val="18"/>
          <w:szCs w:val="18"/>
        </w:rPr>
      </w:pPr>
      <w:r w:rsidRPr="006F0DF1">
        <w:rPr>
          <w:rFonts w:ascii="Montserrat" w:hAnsi="Montserrat" w:cs="Arial"/>
          <w:spacing w:val="-1"/>
          <w:sz w:val="18"/>
          <w:szCs w:val="18"/>
        </w:rPr>
        <w:t xml:space="preserve">En lo relativo a los Gastos y Otras Pérdidas, se integran de acuerdo a la clasificación del Plan de Cuentas, </w:t>
      </w:r>
      <w:r w:rsidR="00210445">
        <w:rPr>
          <w:rFonts w:ascii="Montserrat" w:hAnsi="Montserrat" w:cs="Arial"/>
          <w:spacing w:val="-1"/>
          <w:sz w:val="18"/>
          <w:szCs w:val="18"/>
        </w:rPr>
        <w:t>como sigue</w:t>
      </w:r>
      <w:r w:rsidRPr="006F0DF1">
        <w:rPr>
          <w:rFonts w:ascii="Montserrat" w:hAnsi="Montserrat" w:cs="Arial"/>
          <w:spacing w:val="-1"/>
          <w:sz w:val="18"/>
          <w:szCs w:val="18"/>
        </w:rPr>
        <w:t>:</w:t>
      </w:r>
    </w:p>
    <w:p w14:paraId="4C08B8DB" w14:textId="77777777" w:rsidR="00476315" w:rsidRDefault="00476315" w:rsidP="00063579">
      <w:pPr>
        <w:spacing w:after="120" w:line="250" w:lineRule="exact"/>
        <w:jc w:val="both"/>
        <w:rPr>
          <w:rFonts w:ascii="Montserrat" w:hAnsi="Montserrat" w:cs="Arial"/>
          <w:spacing w:val="-1"/>
          <w:sz w:val="18"/>
          <w:szCs w:val="18"/>
        </w:rPr>
      </w:pPr>
    </w:p>
    <w:p w14:paraId="54A7B807" w14:textId="77777777" w:rsidR="009C3C24" w:rsidRPr="00936371" w:rsidRDefault="009C3C24" w:rsidP="00E52592">
      <w:pPr>
        <w:spacing w:after="60" w:line="250" w:lineRule="exact"/>
        <w:jc w:val="center"/>
        <w:rPr>
          <w:rFonts w:ascii="Montserrat" w:hAnsi="Montserrat" w:cs="Arial"/>
          <w:spacing w:val="-1"/>
          <w:sz w:val="18"/>
          <w:szCs w:val="18"/>
        </w:rPr>
      </w:pPr>
      <w:r w:rsidRPr="00936371">
        <w:rPr>
          <w:rFonts w:ascii="Montserrat" w:eastAsia="Times New Roman" w:hAnsi="Montserrat" w:cs="Calibri"/>
          <w:bCs/>
          <w:sz w:val="16"/>
          <w:szCs w:val="16"/>
          <w:lang w:val="es-MX" w:eastAsia="es-MX"/>
        </w:rPr>
        <w:t>(Pesos)</w:t>
      </w:r>
    </w:p>
    <w:tbl>
      <w:tblPr>
        <w:tblW w:w="8059" w:type="dxa"/>
        <w:jc w:val="center"/>
        <w:tblCellMar>
          <w:left w:w="70" w:type="dxa"/>
          <w:right w:w="70" w:type="dxa"/>
        </w:tblCellMar>
        <w:tblLook w:val="04A0" w:firstRow="1" w:lastRow="0" w:firstColumn="1" w:lastColumn="0" w:noHBand="0" w:noVBand="1"/>
      </w:tblPr>
      <w:tblGrid>
        <w:gridCol w:w="4243"/>
        <w:gridCol w:w="1832"/>
        <w:gridCol w:w="1984"/>
      </w:tblGrid>
      <w:tr w:rsidR="00C4519E" w:rsidRPr="006F0DF1" w14:paraId="12E77ADC" w14:textId="77777777" w:rsidTr="00CC40D5">
        <w:trPr>
          <w:trHeight w:val="57"/>
          <w:jc w:val="center"/>
        </w:trPr>
        <w:tc>
          <w:tcPr>
            <w:tcW w:w="8059" w:type="dxa"/>
            <w:gridSpan w:val="3"/>
            <w:tcBorders>
              <w:top w:val="single" w:sz="12" w:space="0" w:color="808080" w:themeColor="background1" w:themeShade="80"/>
            </w:tcBorders>
            <w:shd w:val="clear" w:color="auto" w:fill="auto"/>
            <w:noWrap/>
            <w:vAlign w:val="center"/>
          </w:tcPr>
          <w:p w14:paraId="414BC593" w14:textId="77777777" w:rsidR="00C4519E" w:rsidRPr="00BC0F30" w:rsidRDefault="00C4519E" w:rsidP="002F797B">
            <w:pPr>
              <w:spacing w:after="0" w:line="240" w:lineRule="auto"/>
              <w:jc w:val="center"/>
              <w:rPr>
                <w:rFonts w:ascii="Montserrat" w:eastAsia="Times New Roman" w:hAnsi="Montserrat" w:cs="Calibri"/>
                <w:b/>
                <w:bCs/>
                <w:color w:val="FFFFFF"/>
                <w:sz w:val="4"/>
                <w:szCs w:val="4"/>
                <w:lang w:val="es-MX" w:eastAsia="es-MX"/>
              </w:rPr>
            </w:pPr>
          </w:p>
        </w:tc>
      </w:tr>
      <w:tr w:rsidR="009C3C24" w:rsidRPr="006F0DF1" w14:paraId="5F4044BF" w14:textId="77777777" w:rsidTr="001E1A82">
        <w:trPr>
          <w:trHeight w:val="317"/>
          <w:jc w:val="center"/>
        </w:trPr>
        <w:tc>
          <w:tcPr>
            <w:tcW w:w="4243" w:type="dxa"/>
            <w:tcBorders>
              <w:left w:val="single" w:sz="8" w:space="0" w:color="FFFFFF" w:themeColor="background1"/>
              <w:bottom w:val="double" w:sz="12" w:space="0" w:color="808080" w:themeColor="background1" w:themeShade="80"/>
              <w:right w:val="single" w:sz="8" w:space="0" w:color="FFFFFF" w:themeColor="background1"/>
            </w:tcBorders>
            <w:shd w:val="clear" w:color="auto" w:fill="D4C19C"/>
            <w:noWrap/>
            <w:vAlign w:val="center"/>
            <w:hideMark/>
          </w:tcPr>
          <w:p w14:paraId="55611752" w14:textId="77777777" w:rsidR="009C3C24" w:rsidRPr="006F0DF1" w:rsidRDefault="009C3C24" w:rsidP="002F797B">
            <w:pPr>
              <w:spacing w:after="0" w:line="240" w:lineRule="auto"/>
              <w:jc w:val="center"/>
              <w:rPr>
                <w:rFonts w:ascii="Montserrat" w:eastAsia="Times New Roman" w:hAnsi="Montserrat" w:cs="Calibri"/>
                <w:b/>
                <w:bCs/>
                <w:color w:val="FFFFFF"/>
                <w:sz w:val="16"/>
                <w:szCs w:val="16"/>
                <w:lang w:val="es-MX" w:eastAsia="es-MX"/>
              </w:rPr>
            </w:pPr>
            <w:r w:rsidRPr="006F0DF1">
              <w:rPr>
                <w:rFonts w:ascii="Montserrat" w:eastAsia="Times New Roman" w:hAnsi="Montserrat" w:cs="Calibri"/>
                <w:b/>
                <w:bCs/>
                <w:color w:val="FFFFFF"/>
                <w:sz w:val="16"/>
                <w:szCs w:val="16"/>
                <w:lang w:val="es-MX" w:eastAsia="es-MX"/>
              </w:rPr>
              <w:t>Cuenta</w:t>
            </w:r>
          </w:p>
        </w:tc>
        <w:tc>
          <w:tcPr>
            <w:tcW w:w="1832" w:type="dxa"/>
            <w:tcBorders>
              <w:left w:val="single" w:sz="8" w:space="0" w:color="FFFFFF" w:themeColor="background1"/>
              <w:bottom w:val="double" w:sz="12" w:space="0" w:color="808080" w:themeColor="background1" w:themeShade="80"/>
              <w:right w:val="single" w:sz="8" w:space="0" w:color="FFFFFF" w:themeColor="background1"/>
            </w:tcBorders>
            <w:shd w:val="clear" w:color="auto" w:fill="D4C19C"/>
            <w:noWrap/>
            <w:vAlign w:val="center"/>
            <w:hideMark/>
          </w:tcPr>
          <w:p w14:paraId="08C896FC" w14:textId="77777777" w:rsidR="009C3C24" w:rsidRPr="006F0DF1" w:rsidRDefault="009C3C24" w:rsidP="002F797B">
            <w:pPr>
              <w:spacing w:after="0" w:line="240" w:lineRule="auto"/>
              <w:jc w:val="center"/>
              <w:rPr>
                <w:rFonts w:ascii="Montserrat" w:eastAsia="Times New Roman" w:hAnsi="Montserrat" w:cs="Calibri"/>
                <w:b/>
                <w:bCs/>
                <w:color w:val="FFFFFF"/>
                <w:sz w:val="16"/>
                <w:szCs w:val="16"/>
                <w:lang w:val="es-MX" w:eastAsia="es-MX"/>
              </w:rPr>
            </w:pPr>
            <w:r>
              <w:rPr>
                <w:rFonts w:ascii="Montserrat" w:eastAsia="Times New Roman" w:hAnsi="Montserrat" w:cs="Calibri"/>
                <w:b/>
                <w:bCs/>
                <w:color w:val="FFFFFF"/>
                <w:sz w:val="16"/>
                <w:szCs w:val="16"/>
                <w:lang w:val="es-MX" w:eastAsia="es-MX"/>
              </w:rPr>
              <w:t>201</w:t>
            </w:r>
            <w:r w:rsidR="004E5F4A">
              <w:rPr>
                <w:rFonts w:ascii="Montserrat" w:eastAsia="Times New Roman" w:hAnsi="Montserrat" w:cs="Calibri"/>
                <w:b/>
                <w:bCs/>
                <w:color w:val="FFFFFF"/>
                <w:sz w:val="16"/>
                <w:szCs w:val="16"/>
                <w:lang w:val="es-MX" w:eastAsia="es-MX"/>
              </w:rPr>
              <w:t>9</w:t>
            </w:r>
          </w:p>
        </w:tc>
        <w:tc>
          <w:tcPr>
            <w:tcW w:w="1984" w:type="dxa"/>
            <w:tcBorders>
              <w:left w:val="single" w:sz="8" w:space="0" w:color="FFFFFF" w:themeColor="background1"/>
              <w:bottom w:val="double" w:sz="12" w:space="0" w:color="808080" w:themeColor="background1" w:themeShade="80"/>
              <w:right w:val="single" w:sz="8" w:space="0" w:color="FFFFFF" w:themeColor="background1"/>
            </w:tcBorders>
            <w:shd w:val="clear" w:color="auto" w:fill="D4C19C"/>
            <w:vAlign w:val="center"/>
            <w:hideMark/>
          </w:tcPr>
          <w:p w14:paraId="1254EE22" w14:textId="77777777" w:rsidR="009C3C24" w:rsidRPr="006F0DF1" w:rsidRDefault="009C3C24" w:rsidP="002F797B">
            <w:pPr>
              <w:spacing w:after="0" w:line="240" w:lineRule="auto"/>
              <w:jc w:val="center"/>
              <w:rPr>
                <w:rFonts w:ascii="Montserrat" w:eastAsia="Times New Roman" w:hAnsi="Montserrat" w:cs="Calibri"/>
                <w:b/>
                <w:bCs/>
                <w:color w:val="FFFFFF"/>
                <w:sz w:val="16"/>
                <w:szCs w:val="16"/>
                <w:lang w:val="es-MX" w:eastAsia="es-MX"/>
              </w:rPr>
            </w:pPr>
            <w:r>
              <w:rPr>
                <w:rFonts w:ascii="Montserrat" w:eastAsia="Times New Roman" w:hAnsi="Montserrat" w:cs="Calibri"/>
                <w:b/>
                <w:bCs/>
                <w:color w:val="FFFFFF"/>
                <w:sz w:val="16"/>
                <w:szCs w:val="16"/>
                <w:lang w:val="es-MX" w:eastAsia="es-MX"/>
              </w:rPr>
              <w:t>201</w:t>
            </w:r>
            <w:r w:rsidR="004E5F4A">
              <w:rPr>
                <w:rFonts w:ascii="Montserrat" w:eastAsia="Times New Roman" w:hAnsi="Montserrat" w:cs="Calibri"/>
                <w:b/>
                <w:bCs/>
                <w:color w:val="FFFFFF"/>
                <w:sz w:val="16"/>
                <w:szCs w:val="16"/>
                <w:lang w:val="es-MX" w:eastAsia="es-MX"/>
              </w:rPr>
              <w:t>8</w:t>
            </w:r>
          </w:p>
        </w:tc>
      </w:tr>
      <w:tr w:rsidR="00CB0034" w:rsidRPr="006F0DF1" w14:paraId="4547282B" w14:textId="77777777" w:rsidTr="00556DB3">
        <w:trPr>
          <w:trHeight w:val="215"/>
          <w:jc w:val="center"/>
        </w:trPr>
        <w:tc>
          <w:tcPr>
            <w:tcW w:w="4243" w:type="dxa"/>
            <w:tcBorders>
              <w:top w:val="double" w:sz="12" w:space="0" w:color="808080" w:themeColor="background1" w:themeShade="80"/>
            </w:tcBorders>
            <w:shd w:val="clear" w:color="auto" w:fill="F2F2F2" w:themeFill="background1" w:themeFillShade="F2"/>
            <w:noWrap/>
            <w:vAlign w:val="center"/>
            <w:hideMark/>
          </w:tcPr>
          <w:p w14:paraId="3F9A4EA5" w14:textId="77777777" w:rsidR="00CB0034" w:rsidRPr="00255081" w:rsidRDefault="00CB0034" w:rsidP="00CB0034">
            <w:pPr>
              <w:spacing w:after="0" w:line="240" w:lineRule="auto"/>
              <w:ind w:left="170"/>
              <w:jc w:val="both"/>
              <w:rPr>
                <w:rFonts w:ascii="Montserrat" w:eastAsia="Times New Roman" w:hAnsi="Montserrat" w:cs="Calibri"/>
                <w:color w:val="000000"/>
                <w:sz w:val="15"/>
                <w:szCs w:val="15"/>
                <w:lang w:val="es-MX" w:eastAsia="es-MX"/>
              </w:rPr>
            </w:pPr>
            <w:r w:rsidRPr="00255081">
              <w:rPr>
                <w:rFonts w:ascii="Montserrat" w:eastAsia="Times New Roman" w:hAnsi="Montserrat" w:cs="Calibri"/>
                <w:color w:val="000000"/>
                <w:sz w:val="15"/>
                <w:szCs w:val="15"/>
                <w:lang w:val="es-MX" w:eastAsia="es-MX"/>
              </w:rPr>
              <w:t>Gastos de Funcionamiento</w:t>
            </w:r>
          </w:p>
        </w:tc>
        <w:tc>
          <w:tcPr>
            <w:tcW w:w="1832" w:type="dxa"/>
            <w:tcBorders>
              <w:top w:val="double" w:sz="12" w:space="0" w:color="808080" w:themeColor="background1" w:themeShade="80"/>
            </w:tcBorders>
            <w:shd w:val="clear" w:color="000000" w:fill="F2F2F2"/>
            <w:noWrap/>
            <w:vAlign w:val="center"/>
          </w:tcPr>
          <w:p w14:paraId="1DC7E211" w14:textId="16AC047B" w:rsidR="00CB0034" w:rsidRPr="00255081" w:rsidRDefault="00CC041F" w:rsidP="00CB0034">
            <w:pPr>
              <w:spacing w:after="0" w:line="240" w:lineRule="auto"/>
              <w:jc w:val="right"/>
              <w:rPr>
                <w:rFonts w:ascii="Montserrat" w:hAnsi="Montserrat" w:cs="Calibri"/>
                <w:sz w:val="15"/>
                <w:szCs w:val="15"/>
                <w:lang w:val="es-MX" w:eastAsia="es-MX"/>
              </w:rPr>
            </w:pPr>
            <w:r w:rsidRPr="000F0321">
              <w:rPr>
                <w:rFonts w:ascii="Montserrat" w:hAnsi="Montserrat" w:cs="Arial"/>
                <w:color w:val="000000"/>
                <w:sz w:val="15"/>
                <w:szCs w:val="15"/>
              </w:rPr>
              <w:t>389,040,024,372</w:t>
            </w:r>
          </w:p>
        </w:tc>
        <w:tc>
          <w:tcPr>
            <w:tcW w:w="1984" w:type="dxa"/>
            <w:tcBorders>
              <w:top w:val="double" w:sz="12" w:space="0" w:color="808080" w:themeColor="background1" w:themeShade="80"/>
            </w:tcBorders>
            <w:shd w:val="clear" w:color="auto" w:fill="F2F2F2" w:themeFill="background1" w:themeFillShade="F2"/>
            <w:vAlign w:val="center"/>
            <w:hideMark/>
          </w:tcPr>
          <w:p w14:paraId="18385CA7" w14:textId="77777777" w:rsidR="00CB0034" w:rsidRPr="00255081" w:rsidRDefault="00CB0034" w:rsidP="00CB0034">
            <w:pPr>
              <w:spacing w:after="0" w:line="240" w:lineRule="auto"/>
              <w:jc w:val="right"/>
              <w:rPr>
                <w:rFonts w:ascii="Montserrat" w:hAnsi="Montserrat" w:cs="Calibri"/>
                <w:sz w:val="15"/>
                <w:szCs w:val="15"/>
                <w:lang w:val="es-MX" w:eastAsia="es-MX"/>
              </w:rPr>
            </w:pPr>
            <w:r w:rsidRPr="00255081">
              <w:rPr>
                <w:rFonts w:ascii="Montserrat" w:hAnsi="Montserrat" w:cs="Calibri"/>
                <w:sz w:val="15"/>
                <w:szCs w:val="15"/>
              </w:rPr>
              <w:t>425,965,945,667</w:t>
            </w:r>
          </w:p>
        </w:tc>
      </w:tr>
      <w:tr w:rsidR="00CB0034" w:rsidRPr="006F0DF1" w14:paraId="51DA0CDE" w14:textId="77777777" w:rsidTr="00556DB3">
        <w:trPr>
          <w:trHeight w:val="215"/>
          <w:jc w:val="center"/>
        </w:trPr>
        <w:tc>
          <w:tcPr>
            <w:tcW w:w="4243" w:type="dxa"/>
            <w:tcBorders>
              <w:top w:val="nil"/>
            </w:tcBorders>
            <w:shd w:val="clear" w:color="auto" w:fill="F2F2F2" w:themeFill="background1" w:themeFillShade="F2"/>
            <w:noWrap/>
            <w:vAlign w:val="center"/>
            <w:hideMark/>
          </w:tcPr>
          <w:p w14:paraId="55DCC79F" w14:textId="77777777" w:rsidR="00CB0034" w:rsidRPr="00255081" w:rsidRDefault="00CB0034" w:rsidP="00CB0034">
            <w:pPr>
              <w:spacing w:after="0" w:line="240" w:lineRule="auto"/>
              <w:ind w:left="170"/>
              <w:jc w:val="both"/>
              <w:rPr>
                <w:rFonts w:ascii="Montserrat" w:eastAsia="Times New Roman" w:hAnsi="Montserrat" w:cs="Calibri"/>
                <w:color w:val="000000"/>
                <w:sz w:val="15"/>
                <w:szCs w:val="15"/>
                <w:lang w:val="es-MX" w:eastAsia="es-MX"/>
              </w:rPr>
            </w:pPr>
            <w:r w:rsidRPr="00255081">
              <w:rPr>
                <w:rFonts w:ascii="Montserrat" w:eastAsia="Times New Roman" w:hAnsi="Montserrat" w:cs="Calibri"/>
                <w:color w:val="000000"/>
                <w:sz w:val="15"/>
                <w:szCs w:val="15"/>
                <w:lang w:val="es-MX" w:eastAsia="es-MX"/>
              </w:rPr>
              <w:t>Transferencias, Asignaciones, Subsidios y Otras Ayudas</w:t>
            </w:r>
          </w:p>
        </w:tc>
        <w:tc>
          <w:tcPr>
            <w:tcW w:w="1832" w:type="dxa"/>
            <w:tcBorders>
              <w:top w:val="nil"/>
            </w:tcBorders>
            <w:shd w:val="clear" w:color="000000" w:fill="F2F2F2"/>
            <w:noWrap/>
            <w:vAlign w:val="center"/>
          </w:tcPr>
          <w:p w14:paraId="11E2FBFA" w14:textId="05C9F11D" w:rsidR="00CB0034" w:rsidRPr="00255081" w:rsidRDefault="00CC041F" w:rsidP="00CB0034">
            <w:pPr>
              <w:spacing w:after="0" w:line="240" w:lineRule="auto"/>
              <w:jc w:val="right"/>
              <w:rPr>
                <w:rFonts w:ascii="Montserrat" w:hAnsi="Montserrat" w:cs="Calibri"/>
                <w:sz w:val="15"/>
                <w:szCs w:val="15"/>
              </w:rPr>
            </w:pPr>
            <w:r w:rsidRPr="000F0321">
              <w:rPr>
                <w:rFonts w:ascii="Montserrat" w:hAnsi="Montserrat" w:cs="Arial"/>
                <w:color w:val="000000"/>
                <w:sz w:val="15"/>
                <w:szCs w:val="15"/>
              </w:rPr>
              <w:t>1,672,025,360,428</w:t>
            </w:r>
          </w:p>
        </w:tc>
        <w:tc>
          <w:tcPr>
            <w:tcW w:w="1984" w:type="dxa"/>
            <w:tcBorders>
              <w:top w:val="nil"/>
            </w:tcBorders>
            <w:shd w:val="clear" w:color="auto" w:fill="F2F2F2" w:themeFill="background1" w:themeFillShade="F2"/>
            <w:vAlign w:val="center"/>
            <w:hideMark/>
          </w:tcPr>
          <w:p w14:paraId="4BE957CC" w14:textId="77777777" w:rsidR="00CB0034" w:rsidRPr="00255081" w:rsidRDefault="00CB0034" w:rsidP="00CB0034">
            <w:pPr>
              <w:spacing w:after="0" w:line="240" w:lineRule="auto"/>
              <w:jc w:val="right"/>
              <w:rPr>
                <w:rFonts w:ascii="Montserrat" w:hAnsi="Montserrat" w:cs="Calibri"/>
                <w:sz w:val="15"/>
                <w:szCs w:val="15"/>
              </w:rPr>
            </w:pPr>
            <w:r w:rsidRPr="00255081">
              <w:rPr>
                <w:rFonts w:ascii="Montserrat" w:hAnsi="Montserrat" w:cs="Calibri"/>
                <w:sz w:val="15"/>
                <w:szCs w:val="15"/>
              </w:rPr>
              <w:t>1,629,133,818,691</w:t>
            </w:r>
          </w:p>
        </w:tc>
      </w:tr>
      <w:tr w:rsidR="00CB0034" w:rsidRPr="006F0DF1" w14:paraId="57A2363C" w14:textId="77777777" w:rsidTr="00556DB3">
        <w:trPr>
          <w:trHeight w:val="215"/>
          <w:jc w:val="center"/>
        </w:trPr>
        <w:tc>
          <w:tcPr>
            <w:tcW w:w="4243" w:type="dxa"/>
            <w:shd w:val="clear" w:color="auto" w:fill="F2F2F2" w:themeFill="background1" w:themeFillShade="F2"/>
            <w:noWrap/>
            <w:vAlign w:val="center"/>
            <w:hideMark/>
          </w:tcPr>
          <w:p w14:paraId="352C7FBC" w14:textId="77777777" w:rsidR="00CB0034" w:rsidRPr="00255081" w:rsidRDefault="00CB0034" w:rsidP="00CB0034">
            <w:pPr>
              <w:spacing w:after="0" w:line="240" w:lineRule="auto"/>
              <w:ind w:left="170"/>
              <w:jc w:val="both"/>
              <w:rPr>
                <w:rFonts w:ascii="Montserrat" w:eastAsia="Times New Roman" w:hAnsi="Montserrat" w:cs="Calibri"/>
                <w:color w:val="000000"/>
                <w:sz w:val="15"/>
                <w:szCs w:val="15"/>
                <w:lang w:val="es-MX" w:eastAsia="es-MX"/>
              </w:rPr>
            </w:pPr>
            <w:r w:rsidRPr="00255081">
              <w:rPr>
                <w:rFonts w:ascii="Montserrat" w:eastAsia="Times New Roman" w:hAnsi="Montserrat" w:cs="Calibri"/>
                <w:color w:val="000000"/>
                <w:sz w:val="15"/>
                <w:szCs w:val="15"/>
                <w:lang w:val="es-MX" w:eastAsia="es-MX"/>
              </w:rPr>
              <w:t>Participaciones y Aportaciones</w:t>
            </w:r>
          </w:p>
        </w:tc>
        <w:tc>
          <w:tcPr>
            <w:tcW w:w="1832" w:type="dxa"/>
            <w:shd w:val="clear" w:color="000000" w:fill="F2F2F2"/>
            <w:noWrap/>
            <w:vAlign w:val="center"/>
          </w:tcPr>
          <w:p w14:paraId="072D1608" w14:textId="74D6AF69" w:rsidR="00CB0034" w:rsidRPr="00255081" w:rsidRDefault="00CC041F" w:rsidP="00CB0034">
            <w:pPr>
              <w:spacing w:after="0" w:line="240" w:lineRule="auto"/>
              <w:jc w:val="right"/>
              <w:rPr>
                <w:rFonts w:ascii="Montserrat" w:hAnsi="Montserrat" w:cs="Calibri"/>
                <w:sz w:val="15"/>
                <w:szCs w:val="15"/>
              </w:rPr>
            </w:pPr>
            <w:r w:rsidRPr="000F0321">
              <w:rPr>
                <w:rFonts w:ascii="Montserrat" w:hAnsi="Montserrat" w:cs="Arial"/>
                <w:color w:val="000000"/>
                <w:sz w:val="15"/>
                <w:szCs w:val="15"/>
              </w:rPr>
              <w:t>1,659,095,845,429</w:t>
            </w:r>
          </w:p>
        </w:tc>
        <w:tc>
          <w:tcPr>
            <w:tcW w:w="1984" w:type="dxa"/>
            <w:shd w:val="clear" w:color="auto" w:fill="F2F2F2" w:themeFill="background1" w:themeFillShade="F2"/>
            <w:vAlign w:val="center"/>
            <w:hideMark/>
          </w:tcPr>
          <w:p w14:paraId="67B2F65D" w14:textId="77777777" w:rsidR="00CB0034" w:rsidRPr="00255081" w:rsidRDefault="00CB0034" w:rsidP="00CB0034">
            <w:pPr>
              <w:spacing w:after="0" w:line="240" w:lineRule="auto"/>
              <w:jc w:val="right"/>
              <w:rPr>
                <w:rFonts w:ascii="Montserrat" w:hAnsi="Montserrat" w:cs="Calibri"/>
                <w:sz w:val="15"/>
                <w:szCs w:val="15"/>
              </w:rPr>
            </w:pPr>
            <w:r w:rsidRPr="00255081">
              <w:rPr>
                <w:rFonts w:ascii="Montserrat" w:hAnsi="Montserrat" w:cs="Calibri"/>
                <w:sz w:val="15"/>
                <w:szCs w:val="15"/>
              </w:rPr>
              <w:t>1,580,482,374,000</w:t>
            </w:r>
          </w:p>
        </w:tc>
      </w:tr>
      <w:tr w:rsidR="00CB0034" w:rsidRPr="006F0DF1" w14:paraId="3A2C1547" w14:textId="77777777" w:rsidTr="00556DB3">
        <w:trPr>
          <w:trHeight w:val="215"/>
          <w:jc w:val="center"/>
        </w:trPr>
        <w:tc>
          <w:tcPr>
            <w:tcW w:w="4243" w:type="dxa"/>
            <w:tcBorders>
              <w:top w:val="nil"/>
            </w:tcBorders>
            <w:shd w:val="clear" w:color="auto" w:fill="F2F2F2" w:themeFill="background1" w:themeFillShade="F2"/>
            <w:noWrap/>
            <w:vAlign w:val="center"/>
            <w:hideMark/>
          </w:tcPr>
          <w:p w14:paraId="05077D95" w14:textId="77777777" w:rsidR="00CB0034" w:rsidRPr="00255081" w:rsidRDefault="00CB0034" w:rsidP="00CB0034">
            <w:pPr>
              <w:spacing w:after="0" w:line="240" w:lineRule="auto"/>
              <w:ind w:left="170"/>
              <w:jc w:val="both"/>
              <w:rPr>
                <w:rFonts w:ascii="Montserrat" w:eastAsia="Times New Roman" w:hAnsi="Montserrat" w:cs="Calibri"/>
                <w:color w:val="000000"/>
                <w:sz w:val="15"/>
                <w:szCs w:val="15"/>
                <w:lang w:val="es-MX" w:eastAsia="es-MX"/>
              </w:rPr>
            </w:pPr>
            <w:r w:rsidRPr="00255081">
              <w:rPr>
                <w:rFonts w:ascii="Montserrat" w:eastAsia="Times New Roman" w:hAnsi="Montserrat" w:cs="Calibri"/>
                <w:color w:val="000000"/>
                <w:sz w:val="15"/>
                <w:szCs w:val="15"/>
                <w:lang w:val="es-MX" w:eastAsia="es-MX"/>
              </w:rPr>
              <w:t>Intereses, Comisiones y Otros Gastos de la Deuda Pública</w:t>
            </w:r>
          </w:p>
        </w:tc>
        <w:tc>
          <w:tcPr>
            <w:tcW w:w="1832" w:type="dxa"/>
            <w:tcBorders>
              <w:top w:val="nil"/>
            </w:tcBorders>
            <w:shd w:val="clear" w:color="000000" w:fill="F2F2F2"/>
            <w:noWrap/>
            <w:vAlign w:val="center"/>
          </w:tcPr>
          <w:p w14:paraId="0B69722F" w14:textId="5C6A22B4" w:rsidR="00CB0034" w:rsidRPr="00255081" w:rsidRDefault="00CC041F" w:rsidP="00CB0034">
            <w:pPr>
              <w:spacing w:after="0" w:line="240" w:lineRule="auto"/>
              <w:jc w:val="right"/>
              <w:rPr>
                <w:rFonts w:ascii="Montserrat" w:hAnsi="Montserrat" w:cs="Calibri"/>
                <w:sz w:val="15"/>
                <w:szCs w:val="15"/>
              </w:rPr>
            </w:pPr>
            <w:r w:rsidRPr="000F0321">
              <w:rPr>
                <w:rFonts w:ascii="Montserrat" w:hAnsi="Montserrat" w:cs="Arial"/>
                <w:color w:val="000000"/>
                <w:sz w:val="15"/>
                <w:szCs w:val="15"/>
              </w:rPr>
              <w:t>552,220,339,031</w:t>
            </w:r>
          </w:p>
        </w:tc>
        <w:tc>
          <w:tcPr>
            <w:tcW w:w="1984" w:type="dxa"/>
            <w:tcBorders>
              <w:top w:val="nil"/>
            </w:tcBorders>
            <w:shd w:val="clear" w:color="auto" w:fill="F2F2F2" w:themeFill="background1" w:themeFillShade="F2"/>
            <w:vAlign w:val="center"/>
            <w:hideMark/>
          </w:tcPr>
          <w:p w14:paraId="674E1943" w14:textId="77777777" w:rsidR="00CB0034" w:rsidRPr="00255081" w:rsidRDefault="00CB0034" w:rsidP="00CB0034">
            <w:pPr>
              <w:spacing w:after="0" w:line="240" w:lineRule="auto"/>
              <w:jc w:val="right"/>
              <w:rPr>
                <w:rFonts w:ascii="Montserrat" w:hAnsi="Montserrat" w:cs="Calibri"/>
                <w:sz w:val="15"/>
                <w:szCs w:val="15"/>
              </w:rPr>
            </w:pPr>
            <w:r w:rsidRPr="00255081">
              <w:rPr>
                <w:rFonts w:ascii="Montserrat" w:hAnsi="Montserrat" w:cs="Calibri"/>
                <w:sz w:val="15"/>
                <w:szCs w:val="15"/>
              </w:rPr>
              <w:t>491,043,245,073</w:t>
            </w:r>
          </w:p>
        </w:tc>
      </w:tr>
      <w:tr w:rsidR="00CB0034" w:rsidRPr="006F0DF1" w14:paraId="11D7BAA1" w14:textId="77777777" w:rsidTr="00556DB3">
        <w:trPr>
          <w:trHeight w:val="215"/>
          <w:jc w:val="center"/>
        </w:trPr>
        <w:tc>
          <w:tcPr>
            <w:tcW w:w="4243" w:type="dxa"/>
            <w:tcBorders>
              <w:top w:val="nil"/>
            </w:tcBorders>
            <w:shd w:val="clear" w:color="auto" w:fill="F2F2F2" w:themeFill="background1" w:themeFillShade="F2"/>
            <w:noWrap/>
            <w:vAlign w:val="center"/>
            <w:hideMark/>
          </w:tcPr>
          <w:p w14:paraId="48391AE3" w14:textId="77777777" w:rsidR="00CB0034" w:rsidRPr="00255081" w:rsidRDefault="00CB0034" w:rsidP="00CB0034">
            <w:pPr>
              <w:spacing w:after="0" w:line="240" w:lineRule="auto"/>
              <w:ind w:left="170"/>
              <w:jc w:val="both"/>
              <w:rPr>
                <w:rFonts w:ascii="Montserrat" w:eastAsia="Times New Roman" w:hAnsi="Montserrat" w:cs="Calibri"/>
                <w:color w:val="000000"/>
                <w:sz w:val="15"/>
                <w:szCs w:val="15"/>
                <w:lang w:val="es-MX" w:eastAsia="es-MX"/>
              </w:rPr>
            </w:pPr>
            <w:r w:rsidRPr="00255081">
              <w:rPr>
                <w:rFonts w:ascii="Montserrat" w:eastAsia="Times New Roman" w:hAnsi="Montserrat" w:cs="Calibri"/>
                <w:color w:val="000000"/>
                <w:sz w:val="15"/>
                <w:szCs w:val="15"/>
                <w:lang w:val="es-MX" w:eastAsia="es-MX"/>
              </w:rPr>
              <w:t>Otros Gastos y Pérdidas Extraordinarias</w:t>
            </w:r>
          </w:p>
        </w:tc>
        <w:tc>
          <w:tcPr>
            <w:tcW w:w="1832" w:type="dxa"/>
            <w:tcBorders>
              <w:top w:val="nil"/>
            </w:tcBorders>
            <w:shd w:val="clear" w:color="000000" w:fill="F2F2F2"/>
            <w:noWrap/>
            <w:vAlign w:val="center"/>
          </w:tcPr>
          <w:p w14:paraId="51C944FD" w14:textId="24F2C9CD" w:rsidR="00CB0034" w:rsidRPr="00255081" w:rsidRDefault="00CC041F" w:rsidP="00CB0034">
            <w:pPr>
              <w:spacing w:after="0" w:line="240" w:lineRule="auto"/>
              <w:jc w:val="right"/>
              <w:rPr>
                <w:rFonts w:ascii="Montserrat" w:hAnsi="Montserrat" w:cs="Calibri"/>
                <w:sz w:val="15"/>
                <w:szCs w:val="15"/>
              </w:rPr>
            </w:pPr>
            <w:r w:rsidRPr="000F0321">
              <w:rPr>
                <w:rFonts w:ascii="Montserrat" w:hAnsi="Montserrat" w:cs="Arial"/>
                <w:color w:val="000000"/>
                <w:sz w:val="15"/>
                <w:szCs w:val="15"/>
              </w:rPr>
              <w:t>526,375,572,516</w:t>
            </w:r>
          </w:p>
        </w:tc>
        <w:tc>
          <w:tcPr>
            <w:tcW w:w="1984" w:type="dxa"/>
            <w:tcBorders>
              <w:top w:val="nil"/>
            </w:tcBorders>
            <w:shd w:val="clear" w:color="auto" w:fill="F2F2F2" w:themeFill="background1" w:themeFillShade="F2"/>
            <w:vAlign w:val="center"/>
            <w:hideMark/>
          </w:tcPr>
          <w:p w14:paraId="3168858A" w14:textId="77777777" w:rsidR="00CB0034" w:rsidRPr="00255081" w:rsidRDefault="00CB0034" w:rsidP="00CB0034">
            <w:pPr>
              <w:spacing w:after="0" w:line="240" w:lineRule="auto"/>
              <w:jc w:val="right"/>
              <w:rPr>
                <w:rFonts w:ascii="Montserrat" w:hAnsi="Montserrat" w:cs="Calibri"/>
                <w:sz w:val="15"/>
                <w:szCs w:val="15"/>
              </w:rPr>
            </w:pPr>
            <w:r w:rsidRPr="00255081">
              <w:rPr>
                <w:rFonts w:ascii="Montserrat" w:hAnsi="Montserrat" w:cs="Calibri"/>
                <w:sz w:val="15"/>
                <w:szCs w:val="15"/>
              </w:rPr>
              <w:t>620,042,575,905</w:t>
            </w:r>
          </w:p>
        </w:tc>
      </w:tr>
      <w:tr w:rsidR="00CB0034" w:rsidRPr="006F0DF1" w14:paraId="0103E89E" w14:textId="77777777" w:rsidTr="00556DB3">
        <w:trPr>
          <w:trHeight w:val="215"/>
          <w:jc w:val="center"/>
        </w:trPr>
        <w:tc>
          <w:tcPr>
            <w:tcW w:w="4243" w:type="dxa"/>
            <w:tcBorders>
              <w:top w:val="nil"/>
            </w:tcBorders>
            <w:shd w:val="clear" w:color="auto" w:fill="F2F2F2" w:themeFill="background1" w:themeFillShade="F2"/>
            <w:noWrap/>
            <w:vAlign w:val="center"/>
            <w:hideMark/>
          </w:tcPr>
          <w:p w14:paraId="1C1F6E82" w14:textId="77777777" w:rsidR="00CB0034" w:rsidRPr="00255081" w:rsidRDefault="00CB0034" w:rsidP="00CB0034">
            <w:pPr>
              <w:spacing w:after="0" w:line="240" w:lineRule="auto"/>
              <w:ind w:left="170"/>
              <w:jc w:val="both"/>
              <w:rPr>
                <w:rFonts w:ascii="Montserrat" w:eastAsia="Times New Roman" w:hAnsi="Montserrat" w:cs="Calibri"/>
                <w:color w:val="000000"/>
                <w:sz w:val="15"/>
                <w:szCs w:val="15"/>
                <w:lang w:val="es-MX" w:eastAsia="es-MX"/>
              </w:rPr>
            </w:pPr>
            <w:r w:rsidRPr="00255081">
              <w:rPr>
                <w:rFonts w:ascii="Montserrat" w:eastAsia="Times New Roman" w:hAnsi="Montserrat" w:cs="Calibri"/>
                <w:color w:val="000000"/>
                <w:sz w:val="15"/>
                <w:szCs w:val="15"/>
                <w:lang w:val="es-MX" w:eastAsia="es-MX"/>
              </w:rPr>
              <w:t>Inversión Pública</w:t>
            </w:r>
          </w:p>
        </w:tc>
        <w:tc>
          <w:tcPr>
            <w:tcW w:w="1832" w:type="dxa"/>
            <w:tcBorders>
              <w:top w:val="nil"/>
            </w:tcBorders>
            <w:shd w:val="clear" w:color="000000" w:fill="F2F2F2"/>
            <w:noWrap/>
            <w:vAlign w:val="center"/>
          </w:tcPr>
          <w:p w14:paraId="7CDF37A8" w14:textId="6ACA026E" w:rsidR="00CB0034" w:rsidRPr="00255081" w:rsidRDefault="00CB0034" w:rsidP="00CB0034">
            <w:pPr>
              <w:spacing w:after="0" w:line="240" w:lineRule="auto"/>
              <w:jc w:val="right"/>
              <w:rPr>
                <w:rFonts w:ascii="Montserrat" w:hAnsi="Montserrat" w:cs="Calibri"/>
                <w:sz w:val="15"/>
                <w:szCs w:val="15"/>
              </w:rPr>
            </w:pPr>
            <w:r w:rsidRPr="000F0321">
              <w:rPr>
                <w:rFonts w:ascii="Montserrat" w:hAnsi="Montserrat" w:cs="Arial"/>
                <w:color w:val="000000"/>
                <w:sz w:val="15"/>
                <w:szCs w:val="15"/>
              </w:rPr>
              <w:t>0.00</w:t>
            </w:r>
          </w:p>
        </w:tc>
        <w:tc>
          <w:tcPr>
            <w:tcW w:w="1984" w:type="dxa"/>
            <w:tcBorders>
              <w:top w:val="nil"/>
            </w:tcBorders>
            <w:shd w:val="clear" w:color="auto" w:fill="F2F2F2" w:themeFill="background1" w:themeFillShade="F2"/>
            <w:vAlign w:val="center"/>
            <w:hideMark/>
          </w:tcPr>
          <w:p w14:paraId="1A671E58" w14:textId="77777777" w:rsidR="00CB0034" w:rsidRPr="00255081" w:rsidRDefault="00CB0034" w:rsidP="00CB0034">
            <w:pPr>
              <w:spacing w:after="0" w:line="240" w:lineRule="auto"/>
              <w:jc w:val="right"/>
              <w:rPr>
                <w:rFonts w:ascii="Montserrat" w:hAnsi="Montserrat" w:cs="Calibri"/>
                <w:sz w:val="15"/>
                <w:szCs w:val="15"/>
              </w:rPr>
            </w:pPr>
            <w:r w:rsidRPr="00255081">
              <w:rPr>
                <w:rFonts w:ascii="Montserrat" w:hAnsi="Montserrat" w:cs="Calibri"/>
                <w:sz w:val="15"/>
                <w:szCs w:val="15"/>
              </w:rPr>
              <w:t>3,820,958</w:t>
            </w:r>
          </w:p>
        </w:tc>
      </w:tr>
      <w:tr w:rsidR="00CB0034" w:rsidRPr="006F0DF1" w14:paraId="58CFD86B" w14:textId="77777777" w:rsidTr="00556DB3">
        <w:trPr>
          <w:trHeight w:val="215"/>
          <w:jc w:val="center"/>
        </w:trPr>
        <w:tc>
          <w:tcPr>
            <w:tcW w:w="4243" w:type="dxa"/>
            <w:tcBorders>
              <w:bottom w:val="single" w:sz="12" w:space="0" w:color="808080" w:themeColor="background1" w:themeShade="80"/>
            </w:tcBorders>
            <w:shd w:val="clear" w:color="auto" w:fill="F2F2F2" w:themeFill="background1" w:themeFillShade="F2"/>
            <w:noWrap/>
            <w:vAlign w:val="center"/>
            <w:hideMark/>
          </w:tcPr>
          <w:p w14:paraId="0DFFB64A" w14:textId="77777777" w:rsidR="00CB0034" w:rsidRPr="00255081" w:rsidRDefault="00CB0034" w:rsidP="00CB0034">
            <w:pPr>
              <w:spacing w:after="0" w:line="240" w:lineRule="auto"/>
              <w:ind w:left="170"/>
              <w:jc w:val="right"/>
              <w:rPr>
                <w:rFonts w:ascii="Montserrat" w:eastAsia="Times New Roman" w:hAnsi="Montserrat" w:cs="Calibri"/>
                <w:b/>
                <w:bCs/>
                <w:color w:val="000000"/>
                <w:sz w:val="15"/>
                <w:szCs w:val="15"/>
                <w:lang w:val="es-MX" w:eastAsia="es-MX"/>
              </w:rPr>
            </w:pPr>
            <w:r w:rsidRPr="00255081">
              <w:rPr>
                <w:rFonts w:ascii="Montserrat" w:eastAsia="Times New Roman" w:hAnsi="Montserrat" w:cs="Calibri"/>
                <w:b/>
                <w:bCs/>
                <w:color w:val="000000"/>
                <w:sz w:val="15"/>
                <w:szCs w:val="15"/>
                <w:lang w:val="es-MX" w:eastAsia="es-MX"/>
              </w:rPr>
              <w:t>Total Gastos y Otras Pérdidas</w:t>
            </w:r>
          </w:p>
        </w:tc>
        <w:tc>
          <w:tcPr>
            <w:tcW w:w="1832" w:type="dxa"/>
            <w:tcBorders>
              <w:bottom w:val="single" w:sz="12" w:space="0" w:color="808080" w:themeColor="background1" w:themeShade="80"/>
            </w:tcBorders>
            <w:shd w:val="clear" w:color="000000" w:fill="F2F2F2"/>
            <w:noWrap/>
            <w:vAlign w:val="center"/>
          </w:tcPr>
          <w:p w14:paraId="2600F3E7" w14:textId="4A870ED8" w:rsidR="00CB0034" w:rsidRPr="00255081" w:rsidRDefault="00CC041F" w:rsidP="00CB0034">
            <w:pPr>
              <w:spacing w:after="0" w:line="240" w:lineRule="auto"/>
              <w:jc w:val="right"/>
              <w:rPr>
                <w:rFonts w:ascii="Montserrat" w:eastAsia="Times New Roman" w:hAnsi="Montserrat" w:cs="Calibri"/>
                <w:b/>
                <w:bCs/>
                <w:color w:val="000000"/>
                <w:sz w:val="15"/>
                <w:szCs w:val="15"/>
                <w:lang w:val="es-MX" w:eastAsia="es-MX"/>
              </w:rPr>
            </w:pPr>
            <w:r w:rsidRPr="000F0321">
              <w:rPr>
                <w:rFonts w:ascii="Montserrat" w:hAnsi="Montserrat" w:cs="Arial"/>
                <w:b/>
                <w:bCs/>
                <w:color w:val="000000"/>
                <w:sz w:val="15"/>
                <w:szCs w:val="15"/>
              </w:rPr>
              <w:t>4,798,757,141,776</w:t>
            </w:r>
          </w:p>
        </w:tc>
        <w:tc>
          <w:tcPr>
            <w:tcW w:w="1984" w:type="dxa"/>
            <w:tcBorders>
              <w:bottom w:val="single" w:sz="12" w:space="0" w:color="808080" w:themeColor="background1" w:themeShade="80"/>
            </w:tcBorders>
            <w:shd w:val="clear" w:color="auto" w:fill="F2F2F2" w:themeFill="background1" w:themeFillShade="F2"/>
            <w:vAlign w:val="center"/>
            <w:hideMark/>
          </w:tcPr>
          <w:p w14:paraId="0D999AAF" w14:textId="77777777" w:rsidR="00CB0034" w:rsidRPr="00255081" w:rsidRDefault="00CB0034" w:rsidP="00CB0034">
            <w:pPr>
              <w:spacing w:after="0" w:line="240" w:lineRule="auto"/>
              <w:jc w:val="right"/>
              <w:rPr>
                <w:rFonts w:ascii="Montserrat" w:eastAsia="Times New Roman" w:hAnsi="Montserrat" w:cs="Calibri"/>
                <w:b/>
                <w:bCs/>
                <w:color w:val="000000"/>
                <w:sz w:val="15"/>
                <w:szCs w:val="15"/>
                <w:lang w:val="es-MX" w:eastAsia="es-MX"/>
              </w:rPr>
            </w:pPr>
            <w:r w:rsidRPr="00255081">
              <w:rPr>
                <w:rFonts w:ascii="Montserrat" w:eastAsia="Times New Roman" w:hAnsi="Montserrat" w:cs="Calibri"/>
                <w:b/>
                <w:bCs/>
                <w:color w:val="000000"/>
                <w:sz w:val="15"/>
                <w:szCs w:val="15"/>
                <w:lang w:val="es-MX" w:eastAsia="es-MX"/>
              </w:rPr>
              <w:t>4,746,671,780,293</w:t>
            </w:r>
          </w:p>
        </w:tc>
      </w:tr>
    </w:tbl>
    <w:p w14:paraId="43DEB9F8" w14:textId="77777777" w:rsidR="00D871EE" w:rsidRDefault="00D871EE" w:rsidP="00AD4885">
      <w:pPr>
        <w:spacing w:before="120" w:after="120" w:line="250" w:lineRule="exact"/>
        <w:jc w:val="both"/>
        <w:rPr>
          <w:rFonts w:ascii="Montserrat" w:hAnsi="Montserrat" w:cs="Arial"/>
          <w:spacing w:val="-1"/>
          <w:sz w:val="18"/>
          <w:szCs w:val="18"/>
        </w:rPr>
      </w:pPr>
    </w:p>
    <w:p w14:paraId="1512ABB9" w14:textId="3450DC2C" w:rsidR="009C3C24" w:rsidRPr="00CE17FE" w:rsidRDefault="009C3C24" w:rsidP="00AD4885">
      <w:pPr>
        <w:spacing w:before="120" w:after="120" w:line="250" w:lineRule="exact"/>
        <w:jc w:val="both"/>
        <w:rPr>
          <w:rFonts w:ascii="Montserrat" w:hAnsi="Montserrat" w:cs="Arial"/>
          <w:spacing w:val="-1"/>
          <w:sz w:val="18"/>
          <w:szCs w:val="18"/>
        </w:rPr>
      </w:pPr>
      <w:r w:rsidRPr="006F0DF1">
        <w:rPr>
          <w:rFonts w:ascii="Montserrat" w:hAnsi="Montserrat" w:cs="Arial"/>
          <w:spacing w:val="-1"/>
          <w:sz w:val="18"/>
          <w:szCs w:val="18"/>
        </w:rPr>
        <w:t xml:space="preserve">La </w:t>
      </w:r>
      <w:r w:rsidRPr="00CE17FE">
        <w:rPr>
          <w:rFonts w:ascii="Montserrat" w:hAnsi="Montserrat" w:cs="Arial"/>
          <w:spacing w:val="-1"/>
          <w:sz w:val="18"/>
          <w:szCs w:val="18"/>
        </w:rPr>
        <w:t xml:space="preserve">variación obedece principalmente al pago de subsidios; participaciones y aportaciones a las </w:t>
      </w:r>
      <w:r w:rsidR="000321AA" w:rsidRPr="00CE17FE">
        <w:rPr>
          <w:rFonts w:ascii="Montserrat" w:hAnsi="Montserrat" w:cs="Arial"/>
          <w:spacing w:val="-1"/>
          <w:sz w:val="18"/>
          <w:szCs w:val="18"/>
        </w:rPr>
        <w:t>Entidades Federativas</w:t>
      </w:r>
      <w:r w:rsidRPr="00CE17FE">
        <w:rPr>
          <w:rFonts w:ascii="Montserrat" w:hAnsi="Montserrat" w:cs="Arial"/>
          <w:spacing w:val="-1"/>
          <w:sz w:val="18"/>
          <w:szCs w:val="18"/>
        </w:rPr>
        <w:t>, y a un mayor pago de intereses, comisiones y otros gastos de la deuda pública.</w:t>
      </w:r>
    </w:p>
    <w:p w14:paraId="085294FA" w14:textId="43E2ED9F" w:rsidR="009C3C24" w:rsidRDefault="009C3C24">
      <w:pPr>
        <w:spacing w:after="120" w:line="250" w:lineRule="exact"/>
        <w:jc w:val="both"/>
        <w:rPr>
          <w:rFonts w:ascii="Montserrat" w:hAnsi="Montserrat" w:cs="Arial"/>
          <w:spacing w:val="-1"/>
          <w:sz w:val="18"/>
          <w:szCs w:val="18"/>
        </w:rPr>
      </w:pPr>
      <w:r w:rsidRPr="00CE17FE">
        <w:rPr>
          <w:rFonts w:ascii="Montserrat" w:hAnsi="Montserrat" w:cs="Arial"/>
          <w:spacing w:val="-1"/>
          <w:sz w:val="18"/>
          <w:szCs w:val="18"/>
        </w:rPr>
        <w:t xml:space="preserve">A su vez se presentan aquellos rubros que en forma individual representan el 10.0% o más de los gastos provenientes del </w:t>
      </w:r>
      <w:r w:rsidR="00EE5C5B" w:rsidRPr="00CE17FE">
        <w:rPr>
          <w:rFonts w:ascii="Montserrat" w:hAnsi="Montserrat" w:cs="Arial"/>
          <w:spacing w:val="-1"/>
          <w:sz w:val="18"/>
          <w:szCs w:val="18"/>
        </w:rPr>
        <w:t>Presupuesto de Egresos de la Federación (</w:t>
      </w:r>
      <w:r w:rsidRPr="00CE17FE">
        <w:rPr>
          <w:rFonts w:ascii="Montserrat" w:hAnsi="Montserrat" w:cs="Arial"/>
          <w:spacing w:val="-1"/>
          <w:sz w:val="18"/>
          <w:szCs w:val="18"/>
        </w:rPr>
        <w:t>PEF</w:t>
      </w:r>
      <w:r w:rsidR="00EE5C5B" w:rsidRPr="00CE17FE">
        <w:rPr>
          <w:rFonts w:ascii="Montserrat" w:hAnsi="Montserrat" w:cs="Arial"/>
          <w:spacing w:val="-1"/>
          <w:sz w:val="18"/>
          <w:szCs w:val="18"/>
        </w:rPr>
        <w:t>)</w:t>
      </w:r>
      <w:r w:rsidR="00F174D8">
        <w:rPr>
          <w:rFonts w:ascii="Montserrat" w:hAnsi="Montserrat" w:cs="Arial"/>
          <w:spacing w:val="-1"/>
          <w:sz w:val="18"/>
          <w:szCs w:val="18"/>
        </w:rPr>
        <w:t xml:space="preserve"> 2019</w:t>
      </w:r>
      <w:r w:rsidRPr="00CE17FE">
        <w:rPr>
          <w:rFonts w:ascii="Montserrat" w:hAnsi="Montserrat" w:cs="Arial"/>
          <w:spacing w:val="-1"/>
          <w:sz w:val="18"/>
          <w:szCs w:val="18"/>
        </w:rPr>
        <w:t>:</w:t>
      </w:r>
    </w:p>
    <w:p w14:paraId="5B92A5AF" w14:textId="77777777" w:rsidR="00F36D96" w:rsidRDefault="00F36D96">
      <w:pPr>
        <w:spacing w:after="120" w:line="250" w:lineRule="exact"/>
        <w:jc w:val="both"/>
        <w:rPr>
          <w:rFonts w:ascii="Montserrat" w:hAnsi="Montserrat" w:cs="Arial"/>
          <w:spacing w:val="-1"/>
          <w:sz w:val="18"/>
          <w:szCs w:val="18"/>
        </w:rPr>
      </w:pPr>
    </w:p>
    <w:p w14:paraId="6329FA35" w14:textId="77777777" w:rsidR="009C3C24" w:rsidRPr="00CE17FE" w:rsidRDefault="009C3C24" w:rsidP="000F0321">
      <w:pPr>
        <w:spacing w:after="60" w:line="250" w:lineRule="exact"/>
        <w:jc w:val="center"/>
        <w:rPr>
          <w:rFonts w:ascii="Montserrat" w:hAnsi="Montserrat" w:cs="Arial"/>
          <w:spacing w:val="-1"/>
          <w:sz w:val="18"/>
          <w:szCs w:val="18"/>
        </w:rPr>
      </w:pPr>
      <w:bookmarkStart w:id="0" w:name="_GoBack"/>
      <w:bookmarkEnd w:id="0"/>
      <w:r w:rsidRPr="00CE17FE">
        <w:rPr>
          <w:rFonts w:ascii="Montserrat" w:eastAsia="Times New Roman" w:hAnsi="Montserrat" w:cs="Calibri"/>
          <w:bCs/>
          <w:sz w:val="16"/>
          <w:szCs w:val="16"/>
          <w:lang w:val="es-MX" w:eastAsia="es-MX"/>
        </w:rPr>
        <w:lastRenderedPageBreak/>
        <w:t>(Pesos)</w:t>
      </w:r>
    </w:p>
    <w:tbl>
      <w:tblPr>
        <w:tblW w:w="8568" w:type="dxa"/>
        <w:jc w:val="center"/>
        <w:tblCellMar>
          <w:left w:w="70" w:type="dxa"/>
          <w:right w:w="70" w:type="dxa"/>
        </w:tblCellMar>
        <w:tblLook w:val="04A0" w:firstRow="1" w:lastRow="0" w:firstColumn="1" w:lastColumn="0" w:noHBand="0" w:noVBand="1"/>
      </w:tblPr>
      <w:tblGrid>
        <w:gridCol w:w="5630"/>
        <w:gridCol w:w="1560"/>
        <w:gridCol w:w="1378"/>
      </w:tblGrid>
      <w:tr w:rsidR="00C4519E" w:rsidRPr="00CE17FE" w14:paraId="6B1E8729" w14:textId="77777777" w:rsidTr="00CC40D5">
        <w:trPr>
          <w:trHeight w:val="57"/>
          <w:jc w:val="center"/>
        </w:trPr>
        <w:tc>
          <w:tcPr>
            <w:tcW w:w="8568" w:type="dxa"/>
            <w:gridSpan w:val="3"/>
            <w:tcBorders>
              <w:top w:val="single" w:sz="12" w:space="0" w:color="808080" w:themeColor="background1" w:themeShade="80"/>
            </w:tcBorders>
            <w:shd w:val="clear" w:color="auto" w:fill="auto"/>
            <w:noWrap/>
            <w:vAlign w:val="center"/>
          </w:tcPr>
          <w:p w14:paraId="5C70B6B8" w14:textId="77777777" w:rsidR="00C4519E" w:rsidRPr="00CE17FE" w:rsidRDefault="00C4519E" w:rsidP="000F0321">
            <w:pPr>
              <w:spacing w:after="0" w:line="240" w:lineRule="auto"/>
              <w:jc w:val="center"/>
              <w:rPr>
                <w:rFonts w:ascii="Montserrat" w:eastAsia="Times New Roman" w:hAnsi="Montserrat" w:cs="Calibri"/>
                <w:b/>
                <w:bCs/>
                <w:color w:val="FFFFFF"/>
                <w:sz w:val="4"/>
                <w:szCs w:val="4"/>
                <w:lang w:val="es-MX" w:eastAsia="es-MX"/>
              </w:rPr>
            </w:pPr>
          </w:p>
        </w:tc>
      </w:tr>
      <w:tr w:rsidR="009C3C24" w:rsidRPr="00CE17FE" w14:paraId="2A2ED01E" w14:textId="77777777" w:rsidTr="000F0321">
        <w:trPr>
          <w:trHeight w:val="317"/>
          <w:jc w:val="center"/>
        </w:trPr>
        <w:tc>
          <w:tcPr>
            <w:tcW w:w="5630" w:type="dxa"/>
            <w:tcBorders>
              <w:left w:val="single" w:sz="8" w:space="0" w:color="FFFFFF" w:themeColor="background1"/>
              <w:bottom w:val="double" w:sz="12" w:space="0" w:color="808080" w:themeColor="background1" w:themeShade="80"/>
              <w:right w:val="single" w:sz="8" w:space="0" w:color="FFFFFF" w:themeColor="background1"/>
            </w:tcBorders>
            <w:shd w:val="clear" w:color="auto" w:fill="D4C19C"/>
            <w:noWrap/>
            <w:vAlign w:val="center"/>
            <w:hideMark/>
          </w:tcPr>
          <w:p w14:paraId="0D341354" w14:textId="77777777" w:rsidR="009C3C24" w:rsidRPr="00CE17FE" w:rsidRDefault="009C3C24" w:rsidP="002F797B">
            <w:pPr>
              <w:spacing w:after="0" w:line="240" w:lineRule="auto"/>
              <w:jc w:val="center"/>
              <w:rPr>
                <w:rFonts w:ascii="Montserrat" w:eastAsia="Times New Roman" w:hAnsi="Montserrat" w:cs="Calibri"/>
                <w:b/>
                <w:bCs/>
                <w:color w:val="FFFFFF"/>
                <w:sz w:val="16"/>
                <w:szCs w:val="16"/>
                <w:lang w:val="es-MX" w:eastAsia="es-MX"/>
              </w:rPr>
            </w:pPr>
            <w:r w:rsidRPr="00CE17FE">
              <w:rPr>
                <w:rFonts w:ascii="Montserrat" w:eastAsia="Times New Roman" w:hAnsi="Montserrat" w:cs="Calibri"/>
                <w:b/>
                <w:bCs/>
                <w:color w:val="FFFFFF"/>
                <w:sz w:val="16"/>
                <w:szCs w:val="16"/>
                <w:lang w:val="es-MX" w:eastAsia="es-MX"/>
              </w:rPr>
              <w:t>Cuenta</w:t>
            </w:r>
          </w:p>
        </w:tc>
        <w:tc>
          <w:tcPr>
            <w:tcW w:w="1560" w:type="dxa"/>
            <w:tcBorders>
              <w:left w:val="single" w:sz="8" w:space="0" w:color="FFFFFF" w:themeColor="background1"/>
              <w:bottom w:val="double" w:sz="12" w:space="0" w:color="808080" w:themeColor="background1" w:themeShade="80"/>
              <w:right w:val="single" w:sz="8" w:space="0" w:color="FFFFFF" w:themeColor="background1"/>
            </w:tcBorders>
            <w:shd w:val="clear" w:color="auto" w:fill="D4C19C"/>
            <w:noWrap/>
            <w:vAlign w:val="center"/>
            <w:hideMark/>
          </w:tcPr>
          <w:p w14:paraId="21D6327E" w14:textId="77777777" w:rsidR="009C3C24" w:rsidRPr="00CE17FE" w:rsidRDefault="009C3C24" w:rsidP="002F797B">
            <w:pPr>
              <w:spacing w:after="0" w:line="240" w:lineRule="auto"/>
              <w:jc w:val="center"/>
              <w:rPr>
                <w:rFonts w:ascii="Montserrat" w:eastAsia="Times New Roman" w:hAnsi="Montserrat" w:cs="Calibri"/>
                <w:b/>
                <w:bCs/>
                <w:color w:val="FFFFFF"/>
                <w:sz w:val="16"/>
                <w:szCs w:val="16"/>
                <w:lang w:val="es-MX" w:eastAsia="es-MX"/>
              </w:rPr>
            </w:pPr>
            <w:r w:rsidRPr="00CE17FE">
              <w:rPr>
                <w:rFonts w:ascii="Montserrat" w:eastAsia="Times New Roman" w:hAnsi="Montserrat" w:cs="Calibri"/>
                <w:b/>
                <w:bCs/>
                <w:color w:val="FFFFFF"/>
                <w:sz w:val="16"/>
                <w:szCs w:val="16"/>
                <w:lang w:val="es-MX" w:eastAsia="es-MX"/>
              </w:rPr>
              <w:t>Importe</w:t>
            </w:r>
          </w:p>
        </w:tc>
        <w:tc>
          <w:tcPr>
            <w:tcW w:w="1378" w:type="dxa"/>
            <w:tcBorders>
              <w:left w:val="single" w:sz="8" w:space="0" w:color="FFFFFF" w:themeColor="background1"/>
              <w:bottom w:val="double" w:sz="12" w:space="0" w:color="808080" w:themeColor="background1" w:themeShade="80"/>
              <w:right w:val="single" w:sz="8" w:space="0" w:color="FFFFFF" w:themeColor="background1"/>
            </w:tcBorders>
            <w:shd w:val="clear" w:color="auto" w:fill="D4C19C"/>
            <w:vAlign w:val="center"/>
            <w:hideMark/>
          </w:tcPr>
          <w:p w14:paraId="315BCF5C" w14:textId="77777777" w:rsidR="009C3C24" w:rsidRPr="00CE17FE" w:rsidRDefault="009C3C24" w:rsidP="002F797B">
            <w:pPr>
              <w:spacing w:after="0" w:line="240" w:lineRule="auto"/>
              <w:jc w:val="center"/>
              <w:rPr>
                <w:rFonts w:ascii="Montserrat" w:eastAsia="Times New Roman" w:hAnsi="Montserrat" w:cs="Calibri"/>
                <w:b/>
                <w:bCs/>
                <w:color w:val="FFFFFF"/>
                <w:sz w:val="16"/>
                <w:szCs w:val="16"/>
                <w:lang w:val="es-MX" w:eastAsia="es-MX"/>
              </w:rPr>
            </w:pPr>
            <w:r w:rsidRPr="00CE17FE">
              <w:rPr>
                <w:rFonts w:ascii="Montserrat" w:eastAsia="Times New Roman" w:hAnsi="Montserrat" w:cs="Calibri"/>
                <w:b/>
                <w:bCs/>
                <w:color w:val="FFFFFF"/>
                <w:sz w:val="16"/>
                <w:szCs w:val="16"/>
                <w:lang w:val="es-MX" w:eastAsia="es-MX"/>
              </w:rPr>
              <w:t>% sobre Gasto</w:t>
            </w:r>
          </w:p>
        </w:tc>
      </w:tr>
      <w:tr w:rsidR="00476315" w:rsidRPr="00CE17FE" w14:paraId="7B213423" w14:textId="77777777" w:rsidTr="000F0321">
        <w:trPr>
          <w:trHeight w:val="215"/>
          <w:jc w:val="center"/>
        </w:trPr>
        <w:tc>
          <w:tcPr>
            <w:tcW w:w="5630" w:type="dxa"/>
            <w:tcBorders>
              <w:top w:val="double" w:sz="12" w:space="0" w:color="808080" w:themeColor="background1" w:themeShade="80"/>
            </w:tcBorders>
            <w:shd w:val="clear" w:color="auto" w:fill="F2F2F2" w:themeFill="background1" w:themeFillShade="F2"/>
            <w:noWrap/>
            <w:vAlign w:val="center"/>
          </w:tcPr>
          <w:p w14:paraId="60F2E49D" w14:textId="6179197A" w:rsidR="00476315" w:rsidRPr="00255081" w:rsidRDefault="00476315" w:rsidP="00476315">
            <w:pPr>
              <w:spacing w:after="0" w:line="240" w:lineRule="auto"/>
              <w:ind w:left="170"/>
              <w:jc w:val="both"/>
              <w:rPr>
                <w:rFonts w:ascii="Montserrat" w:eastAsia="Times New Roman" w:hAnsi="Montserrat" w:cs="Calibri"/>
                <w:sz w:val="15"/>
                <w:szCs w:val="15"/>
                <w:lang w:val="es-MX" w:eastAsia="es-MX"/>
              </w:rPr>
            </w:pPr>
            <w:r w:rsidRPr="000F0321">
              <w:rPr>
                <w:rFonts w:ascii="Montserrat" w:eastAsia="Times New Roman" w:hAnsi="Montserrat" w:cs="Calibri"/>
                <w:sz w:val="15"/>
                <w:szCs w:val="15"/>
                <w:lang w:val="es-MX" w:eastAsia="es-MX"/>
              </w:rPr>
              <w:t>Transferencias a Entidades Paraestatales</w:t>
            </w:r>
          </w:p>
        </w:tc>
        <w:tc>
          <w:tcPr>
            <w:tcW w:w="1560" w:type="dxa"/>
            <w:tcBorders>
              <w:top w:val="double" w:sz="12" w:space="0" w:color="808080" w:themeColor="background1" w:themeShade="80"/>
            </w:tcBorders>
            <w:shd w:val="clear" w:color="auto" w:fill="F2F2F2" w:themeFill="background1" w:themeFillShade="F2"/>
            <w:noWrap/>
            <w:vAlign w:val="center"/>
          </w:tcPr>
          <w:p w14:paraId="61395371" w14:textId="7DD33A87" w:rsidR="00476315" w:rsidRPr="000F0321" w:rsidRDefault="008D6E2B" w:rsidP="00476315">
            <w:pPr>
              <w:spacing w:after="0" w:line="240" w:lineRule="auto"/>
              <w:jc w:val="right"/>
              <w:rPr>
                <w:rFonts w:ascii="Montserrat" w:hAnsi="Montserrat" w:cs="Calibri"/>
                <w:sz w:val="15"/>
                <w:szCs w:val="15"/>
              </w:rPr>
            </w:pPr>
            <w:r w:rsidRPr="00172E13">
              <w:rPr>
                <w:rFonts w:ascii="Montserrat" w:hAnsi="Montserrat" w:cs="Calibri"/>
                <w:sz w:val="15"/>
                <w:szCs w:val="15"/>
              </w:rPr>
              <w:t>868,072,182,705</w:t>
            </w:r>
            <w:r w:rsidR="00476315" w:rsidRPr="000F0321">
              <w:rPr>
                <w:rFonts w:ascii="Montserrat" w:hAnsi="Montserrat" w:cs="Calibri"/>
                <w:sz w:val="15"/>
                <w:szCs w:val="15"/>
              </w:rPr>
              <w:t xml:space="preserve"> </w:t>
            </w:r>
          </w:p>
        </w:tc>
        <w:tc>
          <w:tcPr>
            <w:tcW w:w="1378" w:type="dxa"/>
            <w:tcBorders>
              <w:top w:val="double" w:sz="12" w:space="0" w:color="808080" w:themeColor="background1" w:themeShade="80"/>
            </w:tcBorders>
            <w:shd w:val="clear" w:color="auto" w:fill="F2F2F2" w:themeFill="background1" w:themeFillShade="F2"/>
            <w:vAlign w:val="center"/>
          </w:tcPr>
          <w:p w14:paraId="6F431248" w14:textId="2B794BC0" w:rsidR="00476315" w:rsidRPr="00255081" w:rsidRDefault="00476315" w:rsidP="00476315">
            <w:pPr>
              <w:spacing w:after="0" w:line="240" w:lineRule="auto"/>
              <w:jc w:val="center"/>
              <w:rPr>
                <w:rFonts w:ascii="Montserrat" w:eastAsia="Times New Roman" w:hAnsi="Montserrat" w:cs="Calibri"/>
                <w:color w:val="000000"/>
                <w:sz w:val="15"/>
                <w:szCs w:val="15"/>
                <w:lang w:val="es-MX" w:eastAsia="es-MX"/>
              </w:rPr>
            </w:pPr>
            <w:r w:rsidRPr="00255081">
              <w:rPr>
                <w:rFonts w:ascii="Montserrat" w:eastAsia="Times New Roman" w:hAnsi="Montserrat" w:cs="Calibri"/>
                <w:color w:val="000000"/>
                <w:sz w:val="15"/>
                <w:szCs w:val="15"/>
                <w:lang w:val="es-MX" w:eastAsia="es-MX"/>
              </w:rPr>
              <w:t>19.59</w:t>
            </w:r>
          </w:p>
        </w:tc>
      </w:tr>
      <w:tr w:rsidR="00476315" w:rsidRPr="00CE17FE" w14:paraId="38642B3C" w14:textId="77777777" w:rsidTr="000F0321">
        <w:trPr>
          <w:trHeight w:val="215"/>
          <w:jc w:val="center"/>
        </w:trPr>
        <w:tc>
          <w:tcPr>
            <w:tcW w:w="5630" w:type="dxa"/>
            <w:tcBorders>
              <w:top w:val="nil"/>
            </w:tcBorders>
            <w:shd w:val="clear" w:color="auto" w:fill="F2F2F2" w:themeFill="background1" w:themeFillShade="F2"/>
            <w:noWrap/>
            <w:vAlign w:val="center"/>
          </w:tcPr>
          <w:p w14:paraId="43DA16C7" w14:textId="675BBE38" w:rsidR="00476315" w:rsidRPr="00255081" w:rsidRDefault="00476315" w:rsidP="00476315">
            <w:pPr>
              <w:spacing w:after="0" w:line="240" w:lineRule="auto"/>
              <w:ind w:left="170"/>
              <w:jc w:val="both"/>
              <w:rPr>
                <w:rFonts w:ascii="Montserrat" w:eastAsia="Times New Roman" w:hAnsi="Montserrat" w:cs="Calibri"/>
                <w:sz w:val="15"/>
                <w:szCs w:val="15"/>
                <w:lang w:val="es-MX" w:eastAsia="es-MX"/>
              </w:rPr>
            </w:pPr>
            <w:r w:rsidRPr="000F0321">
              <w:rPr>
                <w:rFonts w:ascii="Montserrat" w:eastAsia="Times New Roman" w:hAnsi="Montserrat" w:cs="Calibri"/>
                <w:sz w:val="15"/>
                <w:szCs w:val="15"/>
                <w:lang w:val="es-MX" w:eastAsia="es-MX"/>
              </w:rPr>
              <w:t>Subsidios</w:t>
            </w:r>
          </w:p>
        </w:tc>
        <w:tc>
          <w:tcPr>
            <w:tcW w:w="1560" w:type="dxa"/>
            <w:tcBorders>
              <w:top w:val="nil"/>
            </w:tcBorders>
            <w:shd w:val="clear" w:color="auto" w:fill="F2F2F2" w:themeFill="background1" w:themeFillShade="F2"/>
            <w:noWrap/>
            <w:vAlign w:val="center"/>
          </w:tcPr>
          <w:p w14:paraId="20A8B812" w14:textId="459D5065" w:rsidR="00476315" w:rsidRPr="000F0321" w:rsidRDefault="008D6E2B" w:rsidP="00476315">
            <w:pPr>
              <w:spacing w:after="0" w:line="240" w:lineRule="auto"/>
              <w:jc w:val="right"/>
              <w:rPr>
                <w:rFonts w:ascii="Montserrat" w:hAnsi="Montserrat" w:cs="Calibri"/>
                <w:sz w:val="15"/>
                <w:szCs w:val="15"/>
              </w:rPr>
            </w:pPr>
            <w:r w:rsidRPr="00172E13">
              <w:rPr>
                <w:rFonts w:ascii="Montserrat" w:hAnsi="Montserrat" w:cs="Calibri"/>
                <w:sz w:val="15"/>
                <w:szCs w:val="15"/>
              </w:rPr>
              <w:t xml:space="preserve"> 503,536,147,264</w:t>
            </w:r>
            <w:r w:rsidR="00476315" w:rsidRPr="000F0321">
              <w:rPr>
                <w:rFonts w:ascii="Montserrat" w:hAnsi="Montserrat" w:cs="Calibri"/>
                <w:sz w:val="15"/>
                <w:szCs w:val="15"/>
              </w:rPr>
              <w:t xml:space="preserve"> </w:t>
            </w:r>
          </w:p>
        </w:tc>
        <w:tc>
          <w:tcPr>
            <w:tcW w:w="1378" w:type="dxa"/>
            <w:tcBorders>
              <w:top w:val="nil"/>
            </w:tcBorders>
            <w:shd w:val="clear" w:color="auto" w:fill="F2F2F2" w:themeFill="background1" w:themeFillShade="F2"/>
            <w:vAlign w:val="center"/>
          </w:tcPr>
          <w:p w14:paraId="03AA53F9" w14:textId="3F221BAB" w:rsidR="00476315" w:rsidRPr="00255081" w:rsidRDefault="00476315" w:rsidP="00476315">
            <w:pPr>
              <w:spacing w:after="0" w:line="240" w:lineRule="auto"/>
              <w:jc w:val="center"/>
              <w:rPr>
                <w:rFonts w:ascii="Montserrat" w:eastAsia="Times New Roman" w:hAnsi="Montserrat" w:cs="Calibri"/>
                <w:color w:val="000000"/>
                <w:sz w:val="15"/>
                <w:szCs w:val="15"/>
                <w:lang w:val="es-MX" w:eastAsia="es-MX"/>
              </w:rPr>
            </w:pPr>
            <w:r w:rsidRPr="00255081">
              <w:rPr>
                <w:rFonts w:ascii="Montserrat" w:eastAsia="Times New Roman" w:hAnsi="Montserrat" w:cs="Calibri"/>
                <w:color w:val="000000"/>
                <w:sz w:val="15"/>
                <w:szCs w:val="15"/>
                <w:lang w:val="es-MX" w:eastAsia="es-MX"/>
              </w:rPr>
              <w:t>11.37</w:t>
            </w:r>
          </w:p>
        </w:tc>
      </w:tr>
      <w:tr w:rsidR="00476315" w:rsidRPr="00CE17FE" w14:paraId="17AD3D17" w14:textId="77777777" w:rsidTr="00556DB3">
        <w:trPr>
          <w:trHeight w:val="215"/>
          <w:jc w:val="center"/>
        </w:trPr>
        <w:tc>
          <w:tcPr>
            <w:tcW w:w="5630" w:type="dxa"/>
            <w:tcBorders>
              <w:top w:val="nil"/>
            </w:tcBorders>
            <w:shd w:val="clear" w:color="auto" w:fill="F2F2F2" w:themeFill="background1" w:themeFillShade="F2"/>
            <w:noWrap/>
            <w:vAlign w:val="center"/>
          </w:tcPr>
          <w:p w14:paraId="71AAE31F" w14:textId="7E59D670" w:rsidR="00476315" w:rsidRPr="000F0321" w:rsidRDefault="00476315" w:rsidP="00476315">
            <w:pPr>
              <w:spacing w:after="0" w:line="240" w:lineRule="auto"/>
              <w:ind w:left="170"/>
              <w:jc w:val="both"/>
              <w:rPr>
                <w:rFonts w:ascii="Montserrat" w:eastAsia="Times New Roman" w:hAnsi="Montserrat" w:cs="Calibri"/>
                <w:sz w:val="15"/>
                <w:szCs w:val="15"/>
                <w:lang w:val="es-MX" w:eastAsia="es-MX"/>
              </w:rPr>
            </w:pPr>
            <w:r w:rsidRPr="000F0321">
              <w:rPr>
                <w:rFonts w:ascii="Montserrat" w:eastAsia="Times New Roman" w:hAnsi="Montserrat" w:cs="Calibri"/>
                <w:sz w:val="15"/>
                <w:szCs w:val="15"/>
                <w:lang w:val="es-MX" w:eastAsia="es-MX"/>
              </w:rPr>
              <w:t>Participaciones de la Federación a Entidades Federativas y Municipios</w:t>
            </w:r>
          </w:p>
        </w:tc>
        <w:tc>
          <w:tcPr>
            <w:tcW w:w="1560" w:type="dxa"/>
            <w:tcBorders>
              <w:top w:val="nil"/>
            </w:tcBorders>
            <w:shd w:val="clear" w:color="auto" w:fill="F2F2F2" w:themeFill="background1" w:themeFillShade="F2"/>
            <w:noWrap/>
            <w:vAlign w:val="center"/>
          </w:tcPr>
          <w:p w14:paraId="43D82202" w14:textId="510BCDDD" w:rsidR="00476315" w:rsidRPr="000F0321" w:rsidRDefault="008D6E2B" w:rsidP="00476315">
            <w:pPr>
              <w:spacing w:after="0" w:line="240" w:lineRule="auto"/>
              <w:jc w:val="right"/>
              <w:rPr>
                <w:rFonts w:ascii="Montserrat" w:hAnsi="Montserrat" w:cs="Calibri"/>
                <w:sz w:val="15"/>
                <w:szCs w:val="15"/>
              </w:rPr>
            </w:pPr>
            <w:r w:rsidRPr="00172E13">
              <w:rPr>
                <w:rFonts w:ascii="Montserrat" w:hAnsi="Montserrat" w:cs="Calibri"/>
                <w:sz w:val="15"/>
                <w:szCs w:val="15"/>
              </w:rPr>
              <w:t xml:space="preserve"> 876,739,981,455</w:t>
            </w:r>
            <w:r w:rsidR="00476315" w:rsidRPr="000F0321">
              <w:rPr>
                <w:rFonts w:ascii="Montserrat" w:hAnsi="Montserrat" w:cs="Calibri"/>
                <w:sz w:val="15"/>
                <w:szCs w:val="15"/>
              </w:rPr>
              <w:t xml:space="preserve"> </w:t>
            </w:r>
          </w:p>
        </w:tc>
        <w:tc>
          <w:tcPr>
            <w:tcW w:w="1378" w:type="dxa"/>
            <w:tcBorders>
              <w:top w:val="nil"/>
            </w:tcBorders>
            <w:shd w:val="clear" w:color="auto" w:fill="F2F2F2" w:themeFill="background1" w:themeFillShade="F2"/>
            <w:vAlign w:val="center"/>
          </w:tcPr>
          <w:p w14:paraId="559D8968" w14:textId="58651818" w:rsidR="00476315" w:rsidRPr="00255081" w:rsidRDefault="00476315" w:rsidP="00476315">
            <w:pPr>
              <w:spacing w:after="0" w:line="240" w:lineRule="auto"/>
              <w:jc w:val="center"/>
              <w:rPr>
                <w:rFonts w:ascii="Montserrat" w:eastAsia="Times New Roman" w:hAnsi="Montserrat" w:cs="Calibri"/>
                <w:color w:val="000000"/>
                <w:sz w:val="15"/>
                <w:szCs w:val="15"/>
                <w:lang w:val="es-MX" w:eastAsia="es-MX"/>
              </w:rPr>
            </w:pPr>
            <w:r w:rsidRPr="00255081">
              <w:rPr>
                <w:rFonts w:ascii="Montserrat" w:eastAsia="Times New Roman" w:hAnsi="Montserrat" w:cs="Calibri"/>
                <w:color w:val="000000"/>
                <w:sz w:val="15"/>
                <w:szCs w:val="15"/>
                <w:lang w:val="es-MX" w:eastAsia="es-MX"/>
              </w:rPr>
              <w:t>19.79</w:t>
            </w:r>
          </w:p>
        </w:tc>
      </w:tr>
      <w:tr w:rsidR="00476315" w:rsidRPr="00CE17FE" w14:paraId="77D51E32" w14:textId="77777777" w:rsidTr="000F0321">
        <w:trPr>
          <w:trHeight w:val="215"/>
          <w:jc w:val="center"/>
        </w:trPr>
        <w:tc>
          <w:tcPr>
            <w:tcW w:w="5630" w:type="dxa"/>
            <w:tcBorders>
              <w:bottom w:val="single" w:sz="12" w:space="0" w:color="808080" w:themeColor="background1" w:themeShade="80"/>
            </w:tcBorders>
            <w:shd w:val="clear" w:color="auto" w:fill="F2F2F2" w:themeFill="background1" w:themeFillShade="F2"/>
            <w:noWrap/>
            <w:vAlign w:val="center"/>
            <w:hideMark/>
          </w:tcPr>
          <w:p w14:paraId="0EF38DA8" w14:textId="1A8C34F5" w:rsidR="00476315" w:rsidRPr="00255081" w:rsidRDefault="00476315" w:rsidP="00476315">
            <w:pPr>
              <w:spacing w:after="0" w:line="240" w:lineRule="auto"/>
              <w:ind w:left="170"/>
              <w:jc w:val="both"/>
              <w:rPr>
                <w:rFonts w:ascii="Montserrat" w:eastAsia="Times New Roman" w:hAnsi="Montserrat" w:cs="Calibri"/>
                <w:sz w:val="15"/>
                <w:szCs w:val="15"/>
                <w:lang w:val="es-MX" w:eastAsia="es-MX"/>
              </w:rPr>
            </w:pPr>
            <w:r w:rsidRPr="000F0321">
              <w:rPr>
                <w:rFonts w:ascii="Montserrat" w:eastAsia="Times New Roman" w:hAnsi="Montserrat" w:cs="Calibri"/>
                <w:sz w:val="15"/>
                <w:szCs w:val="15"/>
                <w:lang w:val="es-MX" w:eastAsia="es-MX"/>
              </w:rPr>
              <w:t>Aportaciones de la Federación a Entidades Federativas y Municipios</w:t>
            </w:r>
          </w:p>
        </w:tc>
        <w:tc>
          <w:tcPr>
            <w:tcW w:w="1560" w:type="dxa"/>
            <w:tcBorders>
              <w:bottom w:val="single" w:sz="12" w:space="0" w:color="808080" w:themeColor="background1" w:themeShade="80"/>
            </w:tcBorders>
            <w:shd w:val="clear" w:color="auto" w:fill="F2F2F2" w:themeFill="background1" w:themeFillShade="F2"/>
            <w:noWrap/>
            <w:vAlign w:val="center"/>
          </w:tcPr>
          <w:p w14:paraId="308E244C" w14:textId="0FD85993" w:rsidR="00476315" w:rsidRPr="000F0321" w:rsidRDefault="008D6E2B" w:rsidP="00476315">
            <w:pPr>
              <w:spacing w:after="0" w:line="240" w:lineRule="auto"/>
              <w:jc w:val="right"/>
              <w:rPr>
                <w:rFonts w:ascii="Montserrat" w:hAnsi="Montserrat" w:cs="Calibri"/>
                <w:sz w:val="15"/>
                <w:szCs w:val="15"/>
              </w:rPr>
            </w:pPr>
            <w:r w:rsidRPr="00172E13">
              <w:rPr>
                <w:rFonts w:ascii="Montserrat" w:hAnsi="Montserrat" w:cs="Calibri"/>
                <w:sz w:val="15"/>
                <w:szCs w:val="15"/>
              </w:rPr>
              <w:t>868,072,182,705</w:t>
            </w:r>
            <w:r w:rsidR="00476315" w:rsidRPr="000F0321">
              <w:rPr>
                <w:rFonts w:ascii="Montserrat" w:hAnsi="Montserrat" w:cs="Calibri"/>
                <w:sz w:val="15"/>
                <w:szCs w:val="15"/>
              </w:rPr>
              <w:t xml:space="preserve"> </w:t>
            </w:r>
          </w:p>
        </w:tc>
        <w:tc>
          <w:tcPr>
            <w:tcW w:w="1378" w:type="dxa"/>
            <w:tcBorders>
              <w:bottom w:val="single" w:sz="12" w:space="0" w:color="808080" w:themeColor="background1" w:themeShade="80"/>
            </w:tcBorders>
            <w:shd w:val="clear" w:color="auto" w:fill="F2F2F2" w:themeFill="background1" w:themeFillShade="F2"/>
            <w:vAlign w:val="center"/>
          </w:tcPr>
          <w:p w14:paraId="58134F46" w14:textId="79F10336" w:rsidR="00476315" w:rsidRPr="00255081" w:rsidRDefault="00476315" w:rsidP="00476315">
            <w:pPr>
              <w:spacing w:after="0" w:line="240" w:lineRule="auto"/>
              <w:jc w:val="center"/>
              <w:rPr>
                <w:rFonts w:ascii="Montserrat" w:hAnsi="Montserrat"/>
                <w:color w:val="000000"/>
                <w:sz w:val="15"/>
                <w:szCs w:val="15"/>
                <w:lang w:eastAsia="es-MX"/>
              </w:rPr>
            </w:pPr>
            <w:r w:rsidRPr="00255081">
              <w:rPr>
                <w:rFonts w:ascii="Montserrat" w:hAnsi="Montserrat"/>
                <w:color w:val="000000"/>
                <w:sz w:val="15"/>
                <w:szCs w:val="15"/>
                <w:lang w:eastAsia="es-MX"/>
              </w:rPr>
              <w:t>17.58</w:t>
            </w:r>
          </w:p>
        </w:tc>
      </w:tr>
    </w:tbl>
    <w:p w14:paraId="45F46856" w14:textId="77777777" w:rsidR="00AD6D44" w:rsidRPr="00CE17FE" w:rsidRDefault="00AD6D44" w:rsidP="001E1A82">
      <w:pPr>
        <w:spacing w:after="0" w:line="240" w:lineRule="auto"/>
        <w:jc w:val="both"/>
        <w:rPr>
          <w:rFonts w:ascii="Montserrat" w:hAnsi="Montserrat" w:cs="Arial"/>
          <w:spacing w:val="-1"/>
          <w:sz w:val="18"/>
          <w:szCs w:val="18"/>
        </w:rPr>
      </w:pPr>
    </w:p>
    <w:p w14:paraId="1CC3C6CF" w14:textId="77777777" w:rsidR="00CE17FE" w:rsidRPr="00CE17FE" w:rsidRDefault="00CE17FE" w:rsidP="001E1A82">
      <w:pPr>
        <w:spacing w:after="0" w:line="240" w:lineRule="auto"/>
        <w:jc w:val="both"/>
        <w:rPr>
          <w:rFonts w:ascii="Montserrat" w:hAnsi="Montserrat" w:cs="Arial"/>
          <w:spacing w:val="-1"/>
          <w:sz w:val="18"/>
          <w:szCs w:val="18"/>
        </w:rPr>
      </w:pPr>
    </w:p>
    <w:p w14:paraId="3D7AF0E5" w14:textId="77777777" w:rsidR="00CE17FE" w:rsidRPr="000F0321" w:rsidRDefault="00CE17FE" w:rsidP="00CE17FE">
      <w:pPr>
        <w:pStyle w:val="Prrafodelista"/>
        <w:numPr>
          <w:ilvl w:val="0"/>
          <w:numId w:val="14"/>
        </w:numPr>
        <w:spacing w:after="120" w:line="250" w:lineRule="exact"/>
        <w:ind w:left="714" w:hanging="357"/>
        <w:jc w:val="both"/>
        <w:rPr>
          <w:rFonts w:ascii="Montserrat" w:hAnsi="Montserrat" w:cs="Arial"/>
          <w:spacing w:val="-1"/>
          <w:sz w:val="18"/>
          <w:szCs w:val="18"/>
        </w:rPr>
      </w:pPr>
      <w:r w:rsidRPr="000F0321">
        <w:rPr>
          <w:rFonts w:ascii="Montserrat" w:hAnsi="Montserrat" w:cs="Arial"/>
          <w:spacing w:val="-1"/>
          <w:sz w:val="18"/>
          <w:szCs w:val="18"/>
        </w:rPr>
        <w:t>Transferencias a Entidades Paraestatales:</w:t>
      </w:r>
    </w:p>
    <w:p w14:paraId="3078448E" w14:textId="77777777" w:rsidR="00CE17FE" w:rsidRPr="000F0321" w:rsidRDefault="00CE17FE" w:rsidP="00CE17FE">
      <w:pPr>
        <w:spacing w:after="120" w:line="250" w:lineRule="exact"/>
        <w:jc w:val="both"/>
        <w:rPr>
          <w:rFonts w:ascii="Montserrat" w:hAnsi="Montserrat" w:cs="Arial"/>
          <w:spacing w:val="-1"/>
          <w:sz w:val="18"/>
          <w:szCs w:val="18"/>
        </w:rPr>
      </w:pPr>
      <w:r w:rsidRPr="000F0321">
        <w:rPr>
          <w:rFonts w:ascii="Montserrat" w:hAnsi="Montserrat" w:cs="Arial"/>
          <w:spacing w:val="-1"/>
          <w:sz w:val="18"/>
          <w:szCs w:val="18"/>
        </w:rPr>
        <w:t>Importe del gasto por las transferencias a entidades, que no presupone la contraprestación de bienes o servicios, destinada a entidades paraestatales no empresariales y no financieras, empresariales y no financieras, públicas financieras, de control presupuestario indirecto, con el objeto de apoyar en los gastos inherentes a sus funciones.</w:t>
      </w:r>
    </w:p>
    <w:p w14:paraId="10EABA61" w14:textId="77777777" w:rsidR="00CE17FE" w:rsidRPr="000F0321" w:rsidRDefault="00CE17FE" w:rsidP="00CE17FE">
      <w:pPr>
        <w:spacing w:after="0" w:line="240" w:lineRule="auto"/>
        <w:jc w:val="both"/>
        <w:rPr>
          <w:rFonts w:ascii="Montserrat" w:hAnsi="Montserrat" w:cs="Arial"/>
          <w:spacing w:val="-1"/>
          <w:sz w:val="18"/>
          <w:szCs w:val="18"/>
        </w:rPr>
      </w:pPr>
    </w:p>
    <w:p w14:paraId="17FCD6F5" w14:textId="77777777" w:rsidR="00CE17FE" w:rsidRPr="000F0321" w:rsidRDefault="00CE17FE" w:rsidP="00CE17FE">
      <w:pPr>
        <w:pStyle w:val="Prrafodelista"/>
        <w:numPr>
          <w:ilvl w:val="0"/>
          <w:numId w:val="14"/>
        </w:numPr>
        <w:spacing w:after="120" w:line="250" w:lineRule="exact"/>
        <w:ind w:left="714" w:hanging="357"/>
        <w:jc w:val="both"/>
        <w:rPr>
          <w:rFonts w:ascii="Montserrat" w:hAnsi="Montserrat" w:cs="Arial"/>
          <w:spacing w:val="-1"/>
          <w:sz w:val="18"/>
          <w:szCs w:val="18"/>
        </w:rPr>
      </w:pPr>
      <w:r w:rsidRPr="000F0321">
        <w:rPr>
          <w:rFonts w:ascii="Montserrat" w:hAnsi="Montserrat" w:cs="Arial"/>
          <w:spacing w:val="-1"/>
          <w:sz w:val="18"/>
          <w:szCs w:val="18"/>
        </w:rPr>
        <w:t>Subsidios:</w:t>
      </w:r>
    </w:p>
    <w:p w14:paraId="59CF45ED" w14:textId="77777777" w:rsidR="00CE17FE" w:rsidRPr="00CE17FE" w:rsidRDefault="00CE17FE" w:rsidP="00CE17FE">
      <w:pPr>
        <w:spacing w:after="120" w:line="250" w:lineRule="exact"/>
        <w:jc w:val="both"/>
        <w:rPr>
          <w:rFonts w:ascii="Montserrat" w:hAnsi="Montserrat" w:cs="Arial"/>
          <w:spacing w:val="-1"/>
          <w:sz w:val="18"/>
          <w:szCs w:val="18"/>
        </w:rPr>
      </w:pPr>
      <w:r w:rsidRPr="000F0321">
        <w:rPr>
          <w:rFonts w:ascii="Montserrat" w:hAnsi="Montserrat" w:cs="Arial"/>
          <w:spacing w:val="-1"/>
          <w:sz w:val="18"/>
          <w:szCs w:val="18"/>
        </w:rPr>
        <w:t>Importe del gasto destinado a promover y fomentar las operaciones del beneficiario; mantener los niveles en los precios; apoyar el consumo, la distribución y comercialización de los bienes; motivar la inversión; cubrir impactos financieros; promover la innovación tecnológica; así como para el fomento de las actividades agropecuarias, industriales o de servicios y vivienda.</w:t>
      </w:r>
    </w:p>
    <w:p w14:paraId="1B7B38E9" w14:textId="77777777" w:rsidR="00CE17FE" w:rsidRPr="000F0321" w:rsidRDefault="00CE17FE" w:rsidP="00CE17FE">
      <w:pPr>
        <w:spacing w:after="0" w:line="240" w:lineRule="auto"/>
        <w:jc w:val="both"/>
        <w:rPr>
          <w:rFonts w:ascii="Montserrat" w:hAnsi="Montserrat" w:cs="Arial"/>
          <w:spacing w:val="-1"/>
          <w:sz w:val="18"/>
          <w:szCs w:val="18"/>
        </w:rPr>
      </w:pPr>
    </w:p>
    <w:p w14:paraId="61430D59" w14:textId="77777777" w:rsidR="00CE17FE" w:rsidRPr="000F0321" w:rsidRDefault="00CE17FE" w:rsidP="00CE17FE">
      <w:pPr>
        <w:pStyle w:val="Prrafodelista"/>
        <w:numPr>
          <w:ilvl w:val="0"/>
          <w:numId w:val="14"/>
        </w:numPr>
        <w:spacing w:after="120" w:line="250" w:lineRule="exact"/>
        <w:ind w:left="714" w:hanging="357"/>
        <w:jc w:val="both"/>
        <w:rPr>
          <w:rFonts w:ascii="Montserrat" w:hAnsi="Montserrat" w:cs="Arial"/>
          <w:spacing w:val="-1"/>
          <w:sz w:val="18"/>
          <w:szCs w:val="18"/>
        </w:rPr>
      </w:pPr>
      <w:r w:rsidRPr="000F0321">
        <w:rPr>
          <w:rFonts w:ascii="Montserrat" w:hAnsi="Montserrat" w:cs="Arial"/>
          <w:spacing w:val="-1"/>
          <w:sz w:val="18"/>
          <w:szCs w:val="18"/>
        </w:rPr>
        <w:t>Participaciones de la Federación a Entidades Federativas y Municipios:</w:t>
      </w:r>
    </w:p>
    <w:p w14:paraId="6463ECD7" w14:textId="73A570C1" w:rsidR="00CE17FE" w:rsidRPr="000F0321" w:rsidRDefault="00CE17FE" w:rsidP="00CE17FE">
      <w:pPr>
        <w:spacing w:after="120" w:line="250" w:lineRule="exact"/>
        <w:jc w:val="both"/>
        <w:rPr>
          <w:rFonts w:ascii="Montserrat" w:hAnsi="Montserrat" w:cs="Arial"/>
          <w:spacing w:val="-1"/>
          <w:sz w:val="18"/>
          <w:szCs w:val="18"/>
        </w:rPr>
      </w:pPr>
      <w:r w:rsidRPr="000F0321">
        <w:rPr>
          <w:rFonts w:ascii="Montserrat" w:hAnsi="Montserrat" w:cs="Arial"/>
          <w:spacing w:val="-1"/>
          <w:sz w:val="18"/>
          <w:szCs w:val="18"/>
        </w:rPr>
        <w:t xml:space="preserve">Importe del gasto por recursos previstos en el </w:t>
      </w:r>
      <w:r w:rsidR="001B3AD1">
        <w:rPr>
          <w:rFonts w:ascii="Montserrat" w:hAnsi="Montserrat" w:cs="Arial"/>
          <w:spacing w:val="-1"/>
          <w:sz w:val="18"/>
          <w:szCs w:val="18"/>
        </w:rPr>
        <w:t>PEF</w:t>
      </w:r>
      <w:r w:rsidRPr="000F0321">
        <w:rPr>
          <w:rFonts w:ascii="Montserrat" w:hAnsi="Montserrat" w:cs="Arial"/>
          <w:spacing w:val="-1"/>
          <w:sz w:val="18"/>
          <w:szCs w:val="18"/>
        </w:rPr>
        <w:t xml:space="preserve"> por concepto de las participaciones en los ingresos federales que conforme a la Ley de Coordinación Fiscal correspondan a las haciendas públicas de las Entidades Federativas y Municipios.</w:t>
      </w:r>
    </w:p>
    <w:p w14:paraId="6881E851" w14:textId="77777777" w:rsidR="00CE17FE" w:rsidRPr="000F0321" w:rsidRDefault="00CE17FE" w:rsidP="00CE17FE">
      <w:pPr>
        <w:spacing w:after="0" w:line="240" w:lineRule="auto"/>
        <w:jc w:val="both"/>
        <w:rPr>
          <w:rFonts w:ascii="Montserrat" w:hAnsi="Montserrat" w:cs="Arial"/>
          <w:spacing w:val="-1"/>
          <w:sz w:val="18"/>
          <w:szCs w:val="18"/>
        </w:rPr>
      </w:pPr>
    </w:p>
    <w:p w14:paraId="4C5394F7" w14:textId="77777777" w:rsidR="009C3C24" w:rsidRPr="00CE17FE" w:rsidRDefault="009C3C24" w:rsidP="005A5AC5">
      <w:pPr>
        <w:pStyle w:val="Prrafodelista"/>
        <w:numPr>
          <w:ilvl w:val="0"/>
          <w:numId w:val="14"/>
        </w:numPr>
        <w:spacing w:after="120" w:line="250" w:lineRule="exact"/>
        <w:ind w:left="714" w:hanging="357"/>
        <w:jc w:val="both"/>
        <w:rPr>
          <w:rFonts w:ascii="Montserrat" w:hAnsi="Montserrat" w:cs="Arial"/>
          <w:spacing w:val="-1"/>
          <w:sz w:val="18"/>
          <w:szCs w:val="18"/>
        </w:rPr>
      </w:pPr>
      <w:r w:rsidRPr="00CE17FE">
        <w:rPr>
          <w:rFonts w:ascii="Montserrat" w:hAnsi="Montserrat" w:cs="Arial"/>
          <w:spacing w:val="-1"/>
          <w:sz w:val="18"/>
          <w:szCs w:val="18"/>
        </w:rPr>
        <w:t>Aportaciones de la Federación a Entidades Federativas y Municipios:</w:t>
      </w:r>
    </w:p>
    <w:p w14:paraId="3D86ACE2" w14:textId="77777777" w:rsidR="009C3C24" w:rsidRPr="00CE17FE" w:rsidRDefault="008B58F6" w:rsidP="00063579">
      <w:pPr>
        <w:spacing w:after="120" w:line="250" w:lineRule="exact"/>
        <w:jc w:val="both"/>
        <w:rPr>
          <w:rFonts w:ascii="Montserrat" w:hAnsi="Montserrat" w:cs="Arial"/>
          <w:spacing w:val="-1"/>
          <w:sz w:val="18"/>
          <w:szCs w:val="18"/>
        </w:rPr>
      </w:pPr>
      <w:r w:rsidRPr="00CE17FE">
        <w:rPr>
          <w:rFonts w:ascii="Montserrat" w:hAnsi="Montserrat" w:cs="Arial"/>
          <w:spacing w:val="-1"/>
          <w:sz w:val="18"/>
          <w:szCs w:val="18"/>
        </w:rPr>
        <w:t>Importe del gasto para</w:t>
      </w:r>
      <w:r w:rsidR="00A61670" w:rsidRPr="00CE17FE">
        <w:rPr>
          <w:rFonts w:ascii="Montserrat" w:hAnsi="Montserrat" w:cs="Arial"/>
          <w:spacing w:val="-1"/>
          <w:sz w:val="18"/>
          <w:szCs w:val="18"/>
        </w:rPr>
        <w:t xml:space="preserve"> aportaciones </w:t>
      </w:r>
      <w:r w:rsidRPr="00CE17FE">
        <w:rPr>
          <w:rFonts w:ascii="Montserrat" w:hAnsi="Montserrat" w:cs="Arial"/>
          <w:spacing w:val="-1"/>
          <w:sz w:val="18"/>
          <w:szCs w:val="18"/>
        </w:rPr>
        <w:t>de</w:t>
      </w:r>
      <w:r w:rsidR="00A61670" w:rsidRPr="00CE17FE">
        <w:rPr>
          <w:rFonts w:ascii="Montserrat" w:hAnsi="Montserrat" w:cs="Arial"/>
          <w:spacing w:val="-1"/>
          <w:sz w:val="18"/>
          <w:szCs w:val="18"/>
        </w:rPr>
        <w:t xml:space="preserve"> la nómina educativa</w:t>
      </w:r>
      <w:r w:rsidR="009C3C24" w:rsidRPr="00CE17FE">
        <w:rPr>
          <w:rFonts w:ascii="Montserrat" w:hAnsi="Montserrat" w:cs="Arial"/>
          <w:spacing w:val="-1"/>
          <w:sz w:val="18"/>
          <w:szCs w:val="18"/>
        </w:rPr>
        <w:t>, servicios de salud, infraestructura social, fortalecimiento Municipal, otorgamiento de las aportaciones múltiples, educación tecnológica y de adultos,</w:t>
      </w:r>
      <w:r w:rsidRPr="00CE17FE">
        <w:rPr>
          <w:rFonts w:ascii="Montserrat" w:hAnsi="Montserrat" w:cs="Arial"/>
          <w:spacing w:val="-1"/>
          <w:sz w:val="18"/>
          <w:szCs w:val="18"/>
        </w:rPr>
        <w:t xml:space="preserve"> seguridad pública y las demás a que se refier</w:t>
      </w:r>
      <w:r w:rsidR="009C3C24" w:rsidRPr="00CE17FE">
        <w:rPr>
          <w:rFonts w:ascii="Montserrat" w:hAnsi="Montserrat" w:cs="Arial"/>
          <w:spacing w:val="-1"/>
          <w:sz w:val="18"/>
          <w:szCs w:val="18"/>
        </w:rPr>
        <w:t>e la Ley de Coordinación Fiscal a favor d</w:t>
      </w:r>
      <w:r w:rsidR="00015B79" w:rsidRPr="00CE17FE">
        <w:rPr>
          <w:rFonts w:ascii="Montserrat" w:hAnsi="Montserrat" w:cs="Arial"/>
          <w:spacing w:val="-1"/>
          <w:sz w:val="18"/>
          <w:szCs w:val="18"/>
        </w:rPr>
        <w:t xml:space="preserve">e las Entidades Federativas </w:t>
      </w:r>
      <w:r w:rsidR="00740CE8" w:rsidRPr="00CE17FE">
        <w:rPr>
          <w:rFonts w:ascii="Montserrat" w:hAnsi="Montserrat" w:cs="Arial"/>
          <w:spacing w:val="-1"/>
          <w:sz w:val="18"/>
          <w:szCs w:val="18"/>
        </w:rPr>
        <w:t xml:space="preserve">y </w:t>
      </w:r>
      <w:r w:rsidR="009C3C24" w:rsidRPr="00CE17FE">
        <w:rPr>
          <w:rFonts w:ascii="Montserrat" w:hAnsi="Montserrat" w:cs="Arial"/>
          <w:spacing w:val="-1"/>
          <w:sz w:val="18"/>
          <w:szCs w:val="18"/>
        </w:rPr>
        <w:t>Municipios.</w:t>
      </w:r>
    </w:p>
    <w:p w14:paraId="0D1F0707" w14:textId="77777777" w:rsidR="00201FF3" w:rsidRDefault="00201FF3">
      <w:pPr>
        <w:spacing w:after="0" w:line="240" w:lineRule="auto"/>
        <w:rPr>
          <w:rFonts w:ascii="Montserrat" w:hAnsi="Montserrat"/>
          <w:b/>
          <w:caps/>
          <w:sz w:val="18"/>
          <w:szCs w:val="18"/>
          <w:lang w:val="es-MX" w:eastAsia="es-MX"/>
        </w:rPr>
      </w:pPr>
      <w:r>
        <w:rPr>
          <w:rFonts w:ascii="Montserrat" w:hAnsi="Montserrat"/>
          <w:b/>
          <w:caps/>
          <w:sz w:val="18"/>
          <w:szCs w:val="18"/>
          <w:lang w:val="es-MX" w:eastAsia="es-MX"/>
        </w:rPr>
        <w:br w:type="page"/>
      </w:r>
    </w:p>
    <w:p w14:paraId="6939034B" w14:textId="77777777" w:rsidR="009C3C24" w:rsidRPr="001F53E4" w:rsidRDefault="009C3C24" w:rsidP="001E1A82">
      <w:pPr>
        <w:spacing w:after="120" w:line="250" w:lineRule="exact"/>
        <w:jc w:val="both"/>
        <w:rPr>
          <w:rFonts w:ascii="Montserrat" w:hAnsi="Montserrat"/>
          <w:b/>
          <w:caps/>
          <w:sz w:val="18"/>
          <w:szCs w:val="18"/>
          <w:lang w:val="es-MX" w:eastAsia="es-MX"/>
        </w:rPr>
      </w:pPr>
      <w:r w:rsidRPr="001F53E4">
        <w:rPr>
          <w:rFonts w:ascii="Montserrat" w:hAnsi="Montserrat"/>
          <w:b/>
          <w:caps/>
          <w:sz w:val="18"/>
          <w:szCs w:val="18"/>
          <w:lang w:val="es-MX" w:eastAsia="es-MX"/>
        </w:rPr>
        <w:lastRenderedPageBreak/>
        <w:t>Notas al Estado de Variación de la Hacienda Pública/Patrimonio</w:t>
      </w:r>
    </w:p>
    <w:p w14:paraId="4B4055A6" w14:textId="77777777" w:rsidR="009C3C24" w:rsidRPr="004E44CE" w:rsidRDefault="009C3C24" w:rsidP="005A5AC5">
      <w:pPr>
        <w:pStyle w:val="VIETAFLECHA"/>
        <w:numPr>
          <w:ilvl w:val="0"/>
          <w:numId w:val="13"/>
        </w:numPr>
        <w:ind w:left="357" w:hanging="357"/>
        <w:rPr>
          <w:rFonts w:cs="Arial"/>
          <w:spacing w:val="-1"/>
        </w:rPr>
      </w:pPr>
      <w:r w:rsidRPr="004E44CE">
        <w:rPr>
          <w:rFonts w:cs="Arial"/>
          <w:spacing w:val="-1"/>
        </w:rPr>
        <w:t xml:space="preserve">La </w:t>
      </w:r>
      <w:r w:rsidR="00014B5D">
        <w:rPr>
          <w:rFonts w:cs="Arial"/>
          <w:spacing w:val="-1"/>
        </w:rPr>
        <w:t xml:space="preserve">integración de la </w:t>
      </w:r>
      <w:r w:rsidRPr="004E44CE">
        <w:rPr>
          <w:rFonts w:cs="Arial"/>
          <w:spacing w:val="-1"/>
        </w:rPr>
        <w:t>Hacienda Pública/Patrimonio Contribuido</w:t>
      </w:r>
      <w:r w:rsidR="00014B5D">
        <w:rPr>
          <w:rFonts w:cs="Arial"/>
          <w:spacing w:val="-1"/>
        </w:rPr>
        <w:t xml:space="preserve"> se presenta a continuación</w:t>
      </w:r>
      <w:r w:rsidRPr="004E44CE">
        <w:rPr>
          <w:rFonts w:cs="Arial"/>
          <w:spacing w:val="-1"/>
        </w:rPr>
        <w:t>:</w:t>
      </w:r>
    </w:p>
    <w:p w14:paraId="7E228F60" w14:textId="77777777" w:rsidR="009C3C24" w:rsidRPr="00685332" w:rsidRDefault="009C3C24" w:rsidP="00E52592">
      <w:pPr>
        <w:pStyle w:val="TEXTONORMAL"/>
        <w:spacing w:after="60"/>
        <w:jc w:val="center"/>
      </w:pPr>
      <w:r w:rsidRPr="00685332">
        <w:rPr>
          <w:rFonts w:eastAsia="Times New Roman" w:cs="Calibri"/>
          <w:bCs/>
          <w:sz w:val="16"/>
          <w:szCs w:val="16"/>
          <w:lang w:val="es-MX" w:eastAsia="es-MX"/>
        </w:rPr>
        <w:t>(Pesos)</w:t>
      </w:r>
    </w:p>
    <w:tbl>
      <w:tblPr>
        <w:tblW w:w="7997" w:type="dxa"/>
        <w:jc w:val="center"/>
        <w:tblCellMar>
          <w:left w:w="70" w:type="dxa"/>
          <w:right w:w="70" w:type="dxa"/>
        </w:tblCellMar>
        <w:tblLook w:val="04A0" w:firstRow="1" w:lastRow="0" w:firstColumn="1" w:lastColumn="0" w:noHBand="0" w:noVBand="1"/>
      </w:tblPr>
      <w:tblGrid>
        <w:gridCol w:w="4337"/>
        <w:gridCol w:w="1980"/>
        <w:gridCol w:w="1680"/>
      </w:tblGrid>
      <w:tr w:rsidR="00C4519E" w:rsidRPr="006F0DF1" w14:paraId="43F6BD2A" w14:textId="77777777" w:rsidTr="00CC40D5">
        <w:trPr>
          <w:trHeight w:val="57"/>
          <w:jc w:val="center"/>
        </w:trPr>
        <w:tc>
          <w:tcPr>
            <w:tcW w:w="7997" w:type="dxa"/>
            <w:gridSpan w:val="3"/>
            <w:tcBorders>
              <w:top w:val="single" w:sz="12" w:space="0" w:color="808080" w:themeColor="background1" w:themeShade="80"/>
            </w:tcBorders>
            <w:shd w:val="clear" w:color="auto" w:fill="auto"/>
            <w:vAlign w:val="center"/>
          </w:tcPr>
          <w:p w14:paraId="0EE3606C" w14:textId="77777777" w:rsidR="00C4519E" w:rsidRPr="00BC0F30" w:rsidRDefault="00C4519E" w:rsidP="002F797B">
            <w:pPr>
              <w:spacing w:after="0" w:line="240" w:lineRule="auto"/>
              <w:jc w:val="center"/>
              <w:rPr>
                <w:rFonts w:ascii="Montserrat" w:eastAsia="Times New Roman" w:hAnsi="Montserrat" w:cs="Calibri"/>
                <w:b/>
                <w:bCs/>
                <w:color w:val="FFFFFF"/>
                <w:sz w:val="4"/>
                <w:szCs w:val="4"/>
                <w:lang w:val="es-MX" w:eastAsia="es-MX"/>
              </w:rPr>
            </w:pPr>
          </w:p>
        </w:tc>
      </w:tr>
      <w:tr w:rsidR="009C3C24" w:rsidRPr="006F0DF1" w14:paraId="3C651DD9" w14:textId="77777777" w:rsidTr="00F576E1">
        <w:trPr>
          <w:trHeight w:val="317"/>
          <w:jc w:val="center"/>
        </w:trPr>
        <w:tc>
          <w:tcPr>
            <w:tcW w:w="4337" w:type="dxa"/>
            <w:tcBorders>
              <w:left w:val="single" w:sz="8" w:space="0" w:color="FFFFFF" w:themeColor="background1"/>
              <w:bottom w:val="double" w:sz="12" w:space="0" w:color="808080" w:themeColor="background1" w:themeShade="80"/>
              <w:right w:val="single" w:sz="8" w:space="0" w:color="FFFFFF" w:themeColor="background1"/>
            </w:tcBorders>
            <w:shd w:val="clear" w:color="auto" w:fill="D4C19C"/>
            <w:vAlign w:val="center"/>
            <w:hideMark/>
          </w:tcPr>
          <w:p w14:paraId="6BC3DB5B" w14:textId="77777777" w:rsidR="009C3C24" w:rsidRPr="006F0DF1" w:rsidRDefault="009C3C24" w:rsidP="002F797B">
            <w:pPr>
              <w:spacing w:after="0" w:line="240" w:lineRule="auto"/>
              <w:jc w:val="center"/>
              <w:rPr>
                <w:rFonts w:ascii="Montserrat" w:eastAsia="Times New Roman" w:hAnsi="Montserrat" w:cs="Calibri"/>
                <w:b/>
                <w:bCs/>
                <w:color w:val="FFFFFF"/>
                <w:sz w:val="16"/>
                <w:szCs w:val="16"/>
                <w:lang w:val="es-MX" w:eastAsia="es-MX"/>
              </w:rPr>
            </w:pPr>
            <w:r w:rsidRPr="006F0DF1">
              <w:rPr>
                <w:rFonts w:ascii="Montserrat" w:eastAsia="Times New Roman" w:hAnsi="Montserrat" w:cs="Calibri"/>
                <w:b/>
                <w:bCs/>
                <w:color w:val="FFFFFF"/>
                <w:sz w:val="16"/>
                <w:szCs w:val="16"/>
                <w:lang w:val="es-MX" w:eastAsia="es-MX"/>
              </w:rPr>
              <w:t>Cuenta</w:t>
            </w:r>
          </w:p>
        </w:tc>
        <w:tc>
          <w:tcPr>
            <w:tcW w:w="1980" w:type="dxa"/>
            <w:tcBorders>
              <w:left w:val="single" w:sz="8" w:space="0" w:color="FFFFFF" w:themeColor="background1"/>
              <w:bottom w:val="double" w:sz="12" w:space="0" w:color="808080" w:themeColor="background1" w:themeShade="80"/>
              <w:right w:val="single" w:sz="8" w:space="0" w:color="FFFFFF" w:themeColor="background1"/>
            </w:tcBorders>
            <w:shd w:val="clear" w:color="auto" w:fill="D4C19C"/>
            <w:vAlign w:val="center"/>
            <w:hideMark/>
          </w:tcPr>
          <w:p w14:paraId="53C32FDD" w14:textId="77777777" w:rsidR="009C3C24" w:rsidRPr="006F0DF1" w:rsidRDefault="009C3C24" w:rsidP="002F797B">
            <w:pPr>
              <w:spacing w:after="0" w:line="240" w:lineRule="auto"/>
              <w:jc w:val="center"/>
              <w:rPr>
                <w:rFonts w:ascii="Montserrat" w:eastAsia="Times New Roman" w:hAnsi="Montserrat" w:cs="Calibri"/>
                <w:b/>
                <w:bCs/>
                <w:color w:val="FFFFFF"/>
                <w:sz w:val="16"/>
                <w:szCs w:val="16"/>
                <w:lang w:val="es-MX" w:eastAsia="es-MX"/>
              </w:rPr>
            </w:pPr>
            <w:r w:rsidRPr="006F0DF1">
              <w:rPr>
                <w:rFonts w:ascii="Montserrat" w:eastAsia="Times New Roman" w:hAnsi="Montserrat" w:cs="Calibri"/>
                <w:b/>
                <w:bCs/>
                <w:color w:val="FFFFFF"/>
                <w:sz w:val="16"/>
                <w:szCs w:val="16"/>
                <w:lang w:val="es-MX" w:eastAsia="es-MX"/>
              </w:rPr>
              <w:t>201</w:t>
            </w:r>
            <w:r w:rsidR="005365FD">
              <w:rPr>
                <w:rFonts w:ascii="Montserrat" w:eastAsia="Times New Roman" w:hAnsi="Montserrat" w:cs="Calibri"/>
                <w:b/>
                <w:bCs/>
                <w:color w:val="FFFFFF"/>
                <w:sz w:val="16"/>
                <w:szCs w:val="16"/>
                <w:lang w:val="es-MX" w:eastAsia="es-MX"/>
              </w:rPr>
              <w:t>9</w:t>
            </w:r>
          </w:p>
        </w:tc>
        <w:tc>
          <w:tcPr>
            <w:tcW w:w="1680" w:type="dxa"/>
            <w:tcBorders>
              <w:left w:val="single" w:sz="8" w:space="0" w:color="FFFFFF" w:themeColor="background1"/>
              <w:bottom w:val="double" w:sz="12" w:space="0" w:color="808080" w:themeColor="background1" w:themeShade="80"/>
              <w:right w:val="single" w:sz="8" w:space="0" w:color="FFFFFF" w:themeColor="background1"/>
            </w:tcBorders>
            <w:shd w:val="clear" w:color="auto" w:fill="D4C19C"/>
            <w:vAlign w:val="center"/>
            <w:hideMark/>
          </w:tcPr>
          <w:p w14:paraId="02100A3B" w14:textId="77777777" w:rsidR="009C3C24" w:rsidRPr="006F0DF1" w:rsidRDefault="009C3C24" w:rsidP="002F797B">
            <w:pPr>
              <w:spacing w:after="0" w:line="240" w:lineRule="auto"/>
              <w:jc w:val="center"/>
              <w:rPr>
                <w:rFonts w:ascii="Montserrat" w:eastAsia="Times New Roman" w:hAnsi="Montserrat" w:cs="Calibri"/>
                <w:b/>
                <w:bCs/>
                <w:color w:val="FFFFFF"/>
                <w:sz w:val="16"/>
                <w:szCs w:val="16"/>
                <w:lang w:val="es-MX" w:eastAsia="es-MX"/>
              </w:rPr>
            </w:pPr>
            <w:r>
              <w:rPr>
                <w:rFonts w:ascii="Montserrat" w:eastAsia="Times New Roman" w:hAnsi="Montserrat" w:cs="Calibri"/>
                <w:b/>
                <w:bCs/>
                <w:color w:val="FFFFFF"/>
                <w:sz w:val="16"/>
                <w:szCs w:val="16"/>
                <w:lang w:val="es-MX" w:eastAsia="es-MX"/>
              </w:rPr>
              <w:t>201</w:t>
            </w:r>
            <w:r w:rsidR="005365FD">
              <w:rPr>
                <w:rFonts w:ascii="Montserrat" w:eastAsia="Times New Roman" w:hAnsi="Montserrat" w:cs="Calibri"/>
                <w:b/>
                <w:bCs/>
                <w:color w:val="FFFFFF"/>
                <w:sz w:val="16"/>
                <w:szCs w:val="16"/>
                <w:lang w:val="es-MX" w:eastAsia="es-MX"/>
              </w:rPr>
              <w:t>8</w:t>
            </w:r>
          </w:p>
        </w:tc>
      </w:tr>
      <w:tr w:rsidR="00CB0034" w:rsidRPr="006F0DF1" w14:paraId="17C79B57" w14:textId="77777777" w:rsidTr="000F0321">
        <w:trPr>
          <w:trHeight w:val="215"/>
          <w:jc w:val="center"/>
        </w:trPr>
        <w:tc>
          <w:tcPr>
            <w:tcW w:w="4337" w:type="dxa"/>
            <w:tcBorders>
              <w:top w:val="double" w:sz="12" w:space="0" w:color="808080" w:themeColor="background1" w:themeShade="80"/>
            </w:tcBorders>
            <w:shd w:val="clear" w:color="auto" w:fill="F2F2F2" w:themeFill="background1" w:themeFillShade="F2"/>
            <w:vAlign w:val="center"/>
            <w:hideMark/>
          </w:tcPr>
          <w:p w14:paraId="0E36F251" w14:textId="77777777" w:rsidR="00CB0034" w:rsidRPr="00255081" w:rsidRDefault="00CB0034" w:rsidP="00CB0034">
            <w:pPr>
              <w:spacing w:after="0" w:line="240" w:lineRule="auto"/>
              <w:ind w:left="170"/>
              <w:rPr>
                <w:rFonts w:ascii="Montserrat" w:eastAsia="Times New Roman" w:hAnsi="Montserrat" w:cs="Calibri"/>
                <w:color w:val="000000"/>
                <w:sz w:val="15"/>
                <w:szCs w:val="15"/>
                <w:lang w:val="es-MX" w:eastAsia="es-MX"/>
              </w:rPr>
            </w:pPr>
            <w:r w:rsidRPr="00255081">
              <w:rPr>
                <w:rFonts w:ascii="Montserrat" w:eastAsia="Times New Roman" w:hAnsi="Montserrat" w:cs="Calibri"/>
                <w:color w:val="000000"/>
                <w:sz w:val="15"/>
                <w:szCs w:val="15"/>
                <w:lang w:val="es-MX" w:eastAsia="es-MX"/>
              </w:rPr>
              <w:t>Aportaciones</w:t>
            </w:r>
          </w:p>
        </w:tc>
        <w:tc>
          <w:tcPr>
            <w:tcW w:w="1980" w:type="dxa"/>
            <w:tcBorders>
              <w:top w:val="double" w:sz="12" w:space="0" w:color="808080" w:themeColor="background1" w:themeShade="80"/>
            </w:tcBorders>
            <w:shd w:val="clear" w:color="auto" w:fill="F2F2F2" w:themeFill="background1" w:themeFillShade="F2"/>
            <w:vAlign w:val="center"/>
          </w:tcPr>
          <w:p w14:paraId="6CFAC7CB" w14:textId="6C680EE9" w:rsidR="00CB0034" w:rsidRPr="00255081" w:rsidRDefault="00CB0034" w:rsidP="00CB0034">
            <w:pPr>
              <w:spacing w:after="0" w:line="240" w:lineRule="auto"/>
              <w:jc w:val="right"/>
              <w:rPr>
                <w:rFonts w:ascii="Montserrat" w:eastAsia="Times New Roman" w:hAnsi="Montserrat" w:cs="Calibri"/>
                <w:color w:val="000000"/>
                <w:sz w:val="15"/>
                <w:szCs w:val="15"/>
                <w:lang w:val="es-MX" w:eastAsia="es-MX"/>
              </w:rPr>
            </w:pPr>
            <w:r w:rsidRPr="000F0321">
              <w:rPr>
                <w:rFonts w:ascii="Montserrat" w:hAnsi="Montserrat" w:cs="Arial"/>
                <w:color w:val="000000"/>
                <w:sz w:val="15"/>
                <w:szCs w:val="15"/>
              </w:rPr>
              <w:t>0</w:t>
            </w:r>
          </w:p>
        </w:tc>
        <w:tc>
          <w:tcPr>
            <w:tcW w:w="1680" w:type="dxa"/>
            <w:tcBorders>
              <w:top w:val="double" w:sz="12" w:space="0" w:color="808080" w:themeColor="background1" w:themeShade="80"/>
            </w:tcBorders>
            <w:shd w:val="clear" w:color="auto" w:fill="F2F2F2" w:themeFill="background1" w:themeFillShade="F2"/>
            <w:hideMark/>
          </w:tcPr>
          <w:p w14:paraId="6BCFA3B1" w14:textId="77777777" w:rsidR="00CB0034" w:rsidRPr="00255081" w:rsidRDefault="00CB0034" w:rsidP="00CB0034">
            <w:pPr>
              <w:spacing w:after="0" w:line="240" w:lineRule="auto"/>
              <w:jc w:val="right"/>
              <w:rPr>
                <w:rFonts w:ascii="Montserrat" w:eastAsia="Times New Roman" w:hAnsi="Montserrat" w:cs="Calibri"/>
                <w:color w:val="000000"/>
                <w:sz w:val="15"/>
                <w:szCs w:val="15"/>
                <w:lang w:val="es-MX" w:eastAsia="es-MX"/>
              </w:rPr>
            </w:pPr>
            <w:r w:rsidRPr="00255081">
              <w:rPr>
                <w:rFonts w:ascii="Montserrat" w:eastAsia="Times New Roman" w:hAnsi="Montserrat" w:cs="Calibri"/>
                <w:color w:val="000000"/>
                <w:sz w:val="15"/>
                <w:szCs w:val="15"/>
                <w:lang w:val="es-MX" w:eastAsia="es-MX"/>
              </w:rPr>
              <w:t>0</w:t>
            </w:r>
          </w:p>
        </w:tc>
      </w:tr>
      <w:tr w:rsidR="00CB0034" w:rsidRPr="006F0DF1" w14:paraId="25119C08" w14:textId="77777777" w:rsidTr="000F0321">
        <w:trPr>
          <w:trHeight w:val="215"/>
          <w:jc w:val="center"/>
        </w:trPr>
        <w:tc>
          <w:tcPr>
            <w:tcW w:w="4337" w:type="dxa"/>
            <w:tcBorders>
              <w:top w:val="nil"/>
            </w:tcBorders>
            <w:shd w:val="clear" w:color="auto" w:fill="F2F2F2" w:themeFill="background1" w:themeFillShade="F2"/>
            <w:vAlign w:val="center"/>
            <w:hideMark/>
          </w:tcPr>
          <w:p w14:paraId="5F9F0A95" w14:textId="77777777" w:rsidR="00CB0034" w:rsidRPr="00255081" w:rsidRDefault="00CB0034" w:rsidP="00CB0034">
            <w:pPr>
              <w:spacing w:after="0" w:line="240" w:lineRule="auto"/>
              <w:ind w:left="170"/>
              <w:rPr>
                <w:rFonts w:ascii="Montserrat" w:eastAsia="Times New Roman" w:hAnsi="Montserrat" w:cs="Calibri"/>
                <w:color w:val="000000"/>
                <w:sz w:val="15"/>
                <w:szCs w:val="15"/>
                <w:lang w:val="es-MX" w:eastAsia="es-MX"/>
              </w:rPr>
            </w:pPr>
            <w:r w:rsidRPr="00255081">
              <w:rPr>
                <w:rFonts w:ascii="Montserrat" w:eastAsia="Times New Roman" w:hAnsi="Montserrat" w:cs="Calibri"/>
                <w:color w:val="000000"/>
                <w:sz w:val="15"/>
                <w:szCs w:val="15"/>
                <w:lang w:val="es-MX" w:eastAsia="es-MX"/>
              </w:rPr>
              <w:t>Donaciones de Capital</w:t>
            </w:r>
          </w:p>
        </w:tc>
        <w:tc>
          <w:tcPr>
            <w:tcW w:w="1980" w:type="dxa"/>
            <w:tcBorders>
              <w:top w:val="nil"/>
            </w:tcBorders>
            <w:shd w:val="clear" w:color="auto" w:fill="F2F2F2" w:themeFill="background1" w:themeFillShade="F2"/>
            <w:vAlign w:val="center"/>
          </w:tcPr>
          <w:p w14:paraId="7365D5E2" w14:textId="61AA8284" w:rsidR="00CB0034" w:rsidRPr="00255081" w:rsidRDefault="00CB0034" w:rsidP="00CB0034">
            <w:pPr>
              <w:spacing w:after="0" w:line="240" w:lineRule="auto"/>
              <w:jc w:val="right"/>
              <w:rPr>
                <w:rFonts w:ascii="Montserrat" w:eastAsia="Times New Roman" w:hAnsi="Montserrat" w:cs="Calibri"/>
                <w:color w:val="000000"/>
                <w:sz w:val="15"/>
                <w:szCs w:val="15"/>
                <w:lang w:val="es-MX" w:eastAsia="es-MX"/>
              </w:rPr>
            </w:pPr>
            <w:r w:rsidRPr="000F0321">
              <w:rPr>
                <w:rFonts w:ascii="Montserrat" w:hAnsi="Montserrat" w:cs="Arial"/>
                <w:color w:val="000000"/>
                <w:sz w:val="15"/>
                <w:szCs w:val="15"/>
              </w:rPr>
              <w:t>18,971,671,765</w:t>
            </w:r>
          </w:p>
        </w:tc>
        <w:tc>
          <w:tcPr>
            <w:tcW w:w="1680" w:type="dxa"/>
            <w:tcBorders>
              <w:top w:val="nil"/>
            </w:tcBorders>
            <w:shd w:val="clear" w:color="auto" w:fill="F2F2F2" w:themeFill="background1" w:themeFillShade="F2"/>
            <w:hideMark/>
          </w:tcPr>
          <w:p w14:paraId="24CB448D" w14:textId="77777777" w:rsidR="00CB0034" w:rsidRPr="00255081" w:rsidRDefault="00CB0034" w:rsidP="00CB0034">
            <w:pPr>
              <w:spacing w:after="0" w:line="240" w:lineRule="auto"/>
              <w:jc w:val="right"/>
              <w:rPr>
                <w:rFonts w:ascii="Montserrat" w:eastAsia="Times New Roman" w:hAnsi="Montserrat" w:cs="Calibri"/>
                <w:color w:val="000000"/>
                <w:sz w:val="15"/>
                <w:szCs w:val="15"/>
                <w:lang w:val="es-MX" w:eastAsia="es-MX"/>
              </w:rPr>
            </w:pPr>
            <w:r w:rsidRPr="00255081">
              <w:rPr>
                <w:rFonts w:ascii="Montserrat" w:eastAsia="Times New Roman" w:hAnsi="Montserrat" w:cs="Calibri"/>
                <w:color w:val="000000"/>
                <w:sz w:val="15"/>
                <w:szCs w:val="15"/>
                <w:lang w:val="es-MX" w:eastAsia="es-MX"/>
              </w:rPr>
              <w:t>15,984,600,074</w:t>
            </w:r>
          </w:p>
        </w:tc>
      </w:tr>
      <w:tr w:rsidR="00CB0034" w:rsidRPr="009F12E5" w14:paraId="579DFB09" w14:textId="77777777" w:rsidTr="000F0321">
        <w:trPr>
          <w:trHeight w:val="215"/>
          <w:jc w:val="center"/>
        </w:trPr>
        <w:tc>
          <w:tcPr>
            <w:tcW w:w="4337" w:type="dxa"/>
            <w:tcBorders>
              <w:top w:val="nil"/>
            </w:tcBorders>
            <w:shd w:val="clear" w:color="auto" w:fill="F2F2F2" w:themeFill="background1" w:themeFillShade="F2"/>
            <w:vAlign w:val="center"/>
            <w:hideMark/>
          </w:tcPr>
          <w:p w14:paraId="2F9BAB56" w14:textId="77777777" w:rsidR="00CB0034" w:rsidRPr="00255081" w:rsidRDefault="00CB0034" w:rsidP="00CB0034">
            <w:pPr>
              <w:spacing w:after="0" w:line="240" w:lineRule="auto"/>
              <w:ind w:left="170"/>
              <w:rPr>
                <w:rFonts w:ascii="Montserrat" w:eastAsia="Times New Roman" w:hAnsi="Montserrat" w:cs="Calibri"/>
                <w:color w:val="000000"/>
                <w:sz w:val="15"/>
                <w:szCs w:val="15"/>
                <w:lang w:val="es-MX" w:eastAsia="es-MX"/>
              </w:rPr>
            </w:pPr>
            <w:r w:rsidRPr="00255081">
              <w:rPr>
                <w:rFonts w:ascii="Montserrat" w:eastAsia="Times New Roman" w:hAnsi="Montserrat" w:cs="Calibri"/>
                <w:color w:val="000000"/>
                <w:sz w:val="15"/>
                <w:szCs w:val="15"/>
                <w:lang w:val="es-MX" w:eastAsia="es-MX"/>
              </w:rPr>
              <w:t>Actualización de la Hacienda Pública/Patrimonio</w:t>
            </w:r>
          </w:p>
        </w:tc>
        <w:tc>
          <w:tcPr>
            <w:tcW w:w="1980" w:type="dxa"/>
            <w:tcBorders>
              <w:top w:val="nil"/>
            </w:tcBorders>
            <w:shd w:val="clear" w:color="auto" w:fill="F2F2F2" w:themeFill="background1" w:themeFillShade="F2"/>
            <w:vAlign w:val="center"/>
          </w:tcPr>
          <w:p w14:paraId="0208C036" w14:textId="2E9151F6" w:rsidR="00CB0034" w:rsidRPr="00255081" w:rsidRDefault="00CB0034" w:rsidP="00CB0034">
            <w:pPr>
              <w:spacing w:after="0" w:line="240" w:lineRule="auto"/>
              <w:jc w:val="right"/>
              <w:rPr>
                <w:rFonts w:ascii="Montserrat" w:eastAsia="Times New Roman" w:hAnsi="Montserrat" w:cs="Calibri"/>
                <w:color w:val="000000"/>
                <w:sz w:val="15"/>
                <w:szCs w:val="15"/>
                <w:lang w:val="es-MX" w:eastAsia="es-MX"/>
              </w:rPr>
            </w:pPr>
            <w:r w:rsidRPr="000F0321">
              <w:rPr>
                <w:rFonts w:ascii="Montserrat" w:hAnsi="Montserrat" w:cs="Arial"/>
                <w:color w:val="000000"/>
                <w:sz w:val="15"/>
                <w:szCs w:val="15"/>
              </w:rPr>
              <w:t>164,610,597</w:t>
            </w:r>
          </w:p>
        </w:tc>
        <w:tc>
          <w:tcPr>
            <w:tcW w:w="1680" w:type="dxa"/>
            <w:tcBorders>
              <w:top w:val="nil"/>
            </w:tcBorders>
            <w:shd w:val="clear" w:color="auto" w:fill="F2F2F2" w:themeFill="background1" w:themeFillShade="F2"/>
            <w:hideMark/>
          </w:tcPr>
          <w:p w14:paraId="24C29369" w14:textId="77777777" w:rsidR="00CB0034" w:rsidRPr="00255081" w:rsidRDefault="00CB0034" w:rsidP="00CB0034">
            <w:pPr>
              <w:spacing w:after="0" w:line="240" w:lineRule="auto"/>
              <w:jc w:val="right"/>
              <w:rPr>
                <w:rFonts w:ascii="Montserrat" w:eastAsia="Times New Roman" w:hAnsi="Montserrat" w:cs="Calibri"/>
                <w:color w:val="000000"/>
                <w:sz w:val="15"/>
                <w:szCs w:val="15"/>
                <w:lang w:val="es-MX" w:eastAsia="es-MX"/>
              </w:rPr>
            </w:pPr>
            <w:r w:rsidRPr="00255081">
              <w:rPr>
                <w:rFonts w:ascii="Montserrat" w:eastAsia="Times New Roman" w:hAnsi="Montserrat" w:cs="Calibri"/>
                <w:color w:val="000000"/>
                <w:sz w:val="15"/>
                <w:szCs w:val="15"/>
                <w:lang w:val="es-MX" w:eastAsia="es-MX"/>
              </w:rPr>
              <w:t>164,610,572</w:t>
            </w:r>
          </w:p>
        </w:tc>
      </w:tr>
      <w:tr w:rsidR="00CB0034" w:rsidRPr="009F12E5" w14:paraId="3EC78B17" w14:textId="77777777" w:rsidTr="000F0321">
        <w:trPr>
          <w:trHeight w:val="215"/>
          <w:jc w:val="center"/>
        </w:trPr>
        <w:tc>
          <w:tcPr>
            <w:tcW w:w="4337" w:type="dxa"/>
            <w:tcBorders>
              <w:bottom w:val="single" w:sz="12" w:space="0" w:color="808080" w:themeColor="background1" w:themeShade="80"/>
            </w:tcBorders>
            <w:shd w:val="clear" w:color="auto" w:fill="F2F2F2" w:themeFill="background1" w:themeFillShade="F2"/>
            <w:vAlign w:val="center"/>
            <w:hideMark/>
          </w:tcPr>
          <w:p w14:paraId="62B47B95" w14:textId="77777777" w:rsidR="00CB0034" w:rsidRPr="00255081" w:rsidRDefault="00CB0034" w:rsidP="00CB0034">
            <w:pPr>
              <w:spacing w:after="0" w:line="240" w:lineRule="auto"/>
              <w:ind w:left="170"/>
              <w:jc w:val="right"/>
              <w:rPr>
                <w:rFonts w:ascii="Montserrat" w:eastAsia="Times New Roman" w:hAnsi="Montserrat" w:cs="Calibri"/>
                <w:b/>
                <w:bCs/>
                <w:color w:val="000000"/>
                <w:sz w:val="15"/>
                <w:szCs w:val="15"/>
                <w:lang w:val="es-MX" w:eastAsia="es-MX"/>
              </w:rPr>
            </w:pPr>
            <w:r w:rsidRPr="00255081">
              <w:rPr>
                <w:rFonts w:ascii="Montserrat" w:eastAsia="Times New Roman" w:hAnsi="Montserrat" w:cs="Calibri"/>
                <w:b/>
                <w:bCs/>
                <w:color w:val="000000"/>
                <w:sz w:val="15"/>
                <w:szCs w:val="15"/>
                <w:lang w:val="es-MX" w:eastAsia="es-MX"/>
              </w:rPr>
              <w:t>Total Hacienda Pública/Patrimonio Contribuido</w:t>
            </w:r>
          </w:p>
        </w:tc>
        <w:tc>
          <w:tcPr>
            <w:tcW w:w="1980" w:type="dxa"/>
            <w:tcBorders>
              <w:bottom w:val="single" w:sz="12" w:space="0" w:color="808080" w:themeColor="background1" w:themeShade="80"/>
            </w:tcBorders>
            <w:shd w:val="clear" w:color="auto" w:fill="F2F2F2" w:themeFill="background1" w:themeFillShade="F2"/>
            <w:vAlign w:val="center"/>
          </w:tcPr>
          <w:p w14:paraId="40F5F1E0" w14:textId="764248E0" w:rsidR="00CB0034" w:rsidRPr="000F0321" w:rsidRDefault="00CB0034" w:rsidP="00CB0034">
            <w:pPr>
              <w:spacing w:after="0" w:line="240" w:lineRule="auto"/>
              <w:jc w:val="right"/>
              <w:rPr>
                <w:sz w:val="15"/>
                <w:szCs w:val="15"/>
              </w:rPr>
            </w:pPr>
            <w:r w:rsidRPr="000F0321">
              <w:rPr>
                <w:rFonts w:ascii="Montserrat" w:hAnsi="Montserrat" w:cs="Arial"/>
                <w:b/>
                <w:bCs/>
                <w:color w:val="000000"/>
                <w:sz w:val="15"/>
                <w:szCs w:val="15"/>
              </w:rPr>
              <w:t>19,136,282,362</w:t>
            </w:r>
          </w:p>
        </w:tc>
        <w:tc>
          <w:tcPr>
            <w:tcW w:w="1680" w:type="dxa"/>
            <w:tcBorders>
              <w:bottom w:val="single" w:sz="12" w:space="0" w:color="808080" w:themeColor="background1" w:themeShade="80"/>
            </w:tcBorders>
            <w:shd w:val="clear" w:color="auto" w:fill="F2F2F2" w:themeFill="background1" w:themeFillShade="F2"/>
            <w:hideMark/>
          </w:tcPr>
          <w:p w14:paraId="364CE3AF" w14:textId="77777777" w:rsidR="00CB0034" w:rsidRPr="000F0321" w:rsidRDefault="00CB0034" w:rsidP="00CB0034">
            <w:pPr>
              <w:spacing w:after="0" w:line="240" w:lineRule="auto"/>
              <w:jc w:val="right"/>
              <w:rPr>
                <w:sz w:val="15"/>
                <w:szCs w:val="15"/>
              </w:rPr>
            </w:pPr>
            <w:r w:rsidRPr="00255081">
              <w:rPr>
                <w:rFonts w:ascii="Montserrat" w:eastAsia="Times New Roman" w:hAnsi="Montserrat" w:cs="Calibri"/>
                <w:b/>
                <w:bCs/>
                <w:color w:val="000000"/>
                <w:sz w:val="15"/>
                <w:szCs w:val="15"/>
                <w:lang w:val="es-MX" w:eastAsia="es-MX"/>
              </w:rPr>
              <w:t>16,149,210,646</w:t>
            </w:r>
          </w:p>
        </w:tc>
      </w:tr>
    </w:tbl>
    <w:p w14:paraId="082FB505" w14:textId="77777777" w:rsidR="00AD6D44" w:rsidRPr="009F12E5" w:rsidRDefault="00AD6D44" w:rsidP="000F0321">
      <w:pPr>
        <w:spacing w:after="0" w:line="240" w:lineRule="auto"/>
        <w:jc w:val="both"/>
        <w:rPr>
          <w:rFonts w:ascii="Montserrat" w:hAnsi="Montserrat" w:cs="Arial"/>
          <w:spacing w:val="-1"/>
          <w:sz w:val="18"/>
          <w:szCs w:val="18"/>
        </w:rPr>
      </w:pPr>
    </w:p>
    <w:p w14:paraId="61D88C69" w14:textId="4453B2EC" w:rsidR="00AE1142" w:rsidRDefault="00AD6D44" w:rsidP="000F0321">
      <w:pPr>
        <w:spacing w:after="120" w:line="250" w:lineRule="exact"/>
        <w:jc w:val="both"/>
        <w:rPr>
          <w:rFonts w:ascii="Montserrat" w:hAnsi="Montserrat" w:cs="Arial"/>
          <w:spacing w:val="-1"/>
          <w:sz w:val="18"/>
          <w:szCs w:val="18"/>
        </w:rPr>
      </w:pPr>
      <w:r w:rsidRPr="009F12E5">
        <w:rPr>
          <w:rFonts w:ascii="Montserrat" w:hAnsi="Montserrat" w:cs="Arial"/>
          <w:spacing w:val="-1"/>
          <w:sz w:val="18"/>
          <w:szCs w:val="18"/>
        </w:rPr>
        <w:t xml:space="preserve">El incremento de Donaciones de Capital </w:t>
      </w:r>
      <w:r w:rsidR="00735F29" w:rsidRPr="009F12E5">
        <w:rPr>
          <w:rFonts w:ascii="Montserrat" w:hAnsi="Montserrat" w:cs="Arial"/>
          <w:spacing w:val="-1"/>
          <w:sz w:val="18"/>
          <w:szCs w:val="18"/>
        </w:rPr>
        <w:t xml:space="preserve">fue </w:t>
      </w:r>
      <w:r w:rsidRPr="009F12E5">
        <w:rPr>
          <w:rFonts w:ascii="Montserrat" w:hAnsi="Montserrat" w:cs="Arial"/>
          <w:spacing w:val="-1"/>
          <w:sz w:val="18"/>
          <w:szCs w:val="18"/>
        </w:rPr>
        <w:t xml:space="preserve">por </w:t>
      </w:r>
      <w:r w:rsidR="0051709B">
        <w:rPr>
          <w:rFonts w:ascii="Montserrat" w:hAnsi="Montserrat" w:cs="Arial"/>
          <w:spacing w:val="-1"/>
          <w:sz w:val="18"/>
          <w:szCs w:val="18"/>
        </w:rPr>
        <w:t>2,987,071,716</w:t>
      </w:r>
      <w:r w:rsidR="00014B5D" w:rsidRPr="009F12E5">
        <w:rPr>
          <w:rFonts w:ascii="Montserrat" w:hAnsi="Montserrat" w:cs="Arial"/>
          <w:spacing w:val="-1"/>
          <w:sz w:val="18"/>
          <w:szCs w:val="18"/>
        </w:rPr>
        <w:t xml:space="preserve"> pesos</w:t>
      </w:r>
      <w:r w:rsidRPr="009F12E5">
        <w:rPr>
          <w:rFonts w:ascii="Montserrat" w:hAnsi="Montserrat" w:cs="Arial"/>
          <w:spacing w:val="-1"/>
          <w:sz w:val="18"/>
          <w:szCs w:val="18"/>
        </w:rPr>
        <w:t xml:space="preserve">, </w:t>
      </w:r>
      <w:r w:rsidR="00AE1142" w:rsidRPr="009F12E5">
        <w:rPr>
          <w:rFonts w:ascii="Montserrat" w:hAnsi="Montserrat" w:cs="Arial"/>
          <w:spacing w:val="-1"/>
          <w:sz w:val="18"/>
          <w:szCs w:val="18"/>
        </w:rPr>
        <w:t xml:space="preserve">este rubro </w:t>
      </w:r>
      <w:r w:rsidRPr="009F12E5">
        <w:rPr>
          <w:rFonts w:ascii="Montserrat" w:hAnsi="Montserrat" w:cs="Arial"/>
          <w:spacing w:val="-1"/>
          <w:sz w:val="18"/>
          <w:szCs w:val="18"/>
        </w:rPr>
        <w:t xml:space="preserve">en su mayor parte corresponde a la </w:t>
      </w:r>
      <w:r w:rsidR="00F174D8">
        <w:rPr>
          <w:rFonts w:ascii="Montserrat" w:hAnsi="Montserrat" w:cs="Arial"/>
          <w:spacing w:val="-1"/>
          <w:sz w:val="18"/>
          <w:szCs w:val="18"/>
        </w:rPr>
        <w:t>SCT</w:t>
      </w:r>
      <w:r w:rsidR="007F0B8D" w:rsidRPr="009F12E5">
        <w:rPr>
          <w:rFonts w:ascii="Montserrat" w:hAnsi="Montserrat" w:cs="Arial"/>
          <w:spacing w:val="-1"/>
          <w:sz w:val="18"/>
          <w:szCs w:val="18"/>
        </w:rPr>
        <w:t xml:space="preserve">, </w:t>
      </w:r>
      <w:r w:rsidR="001B3AD1">
        <w:rPr>
          <w:rFonts w:ascii="Montserrat" w:hAnsi="Montserrat" w:cs="Arial"/>
          <w:spacing w:val="-1"/>
          <w:sz w:val="18"/>
          <w:szCs w:val="18"/>
        </w:rPr>
        <w:t>SHCP</w:t>
      </w:r>
      <w:r w:rsidR="007F0B8D" w:rsidRPr="009F12E5">
        <w:rPr>
          <w:rFonts w:ascii="Montserrat" w:hAnsi="Montserrat" w:cs="Arial"/>
          <w:spacing w:val="-1"/>
          <w:sz w:val="18"/>
          <w:szCs w:val="18"/>
        </w:rPr>
        <w:t xml:space="preserve"> y </w:t>
      </w:r>
      <w:r w:rsidR="00F174D8">
        <w:rPr>
          <w:rFonts w:ascii="Montserrat" w:hAnsi="Montserrat" w:cs="Arial"/>
          <w:spacing w:val="-1"/>
          <w:sz w:val="18"/>
          <w:szCs w:val="18"/>
        </w:rPr>
        <w:t>SSPC</w:t>
      </w:r>
      <w:r w:rsidR="008D6E2B">
        <w:rPr>
          <w:rFonts w:ascii="Montserrat" w:hAnsi="Montserrat" w:cs="Arial"/>
          <w:spacing w:val="-1"/>
          <w:sz w:val="18"/>
          <w:szCs w:val="18"/>
        </w:rPr>
        <w:t>.</w:t>
      </w:r>
    </w:p>
    <w:p w14:paraId="5CE8D61E" w14:textId="77777777" w:rsidR="00AE1142" w:rsidRDefault="00AE1142" w:rsidP="000F0321">
      <w:pPr>
        <w:spacing w:after="120" w:line="250" w:lineRule="exact"/>
        <w:jc w:val="both"/>
        <w:rPr>
          <w:rFonts w:ascii="Montserrat" w:hAnsi="Montserrat" w:cs="Arial"/>
          <w:spacing w:val="-1"/>
          <w:sz w:val="18"/>
          <w:szCs w:val="18"/>
        </w:rPr>
      </w:pPr>
    </w:p>
    <w:p w14:paraId="1F42917F" w14:textId="77777777" w:rsidR="009C3C24" w:rsidRPr="00677863" w:rsidRDefault="009C3C24" w:rsidP="005A5AC5">
      <w:pPr>
        <w:pStyle w:val="VIETAFLECHA"/>
        <w:numPr>
          <w:ilvl w:val="0"/>
          <w:numId w:val="13"/>
        </w:numPr>
        <w:ind w:left="357" w:hanging="357"/>
        <w:rPr>
          <w:rFonts w:cs="Arial"/>
          <w:spacing w:val="-1"/>
        </w:rPr>
      </w:pPr>
      <w:r w:rsidRPr="00677863">
        <w:rPr>
          <w:rFonts w:cs="Arial"/>
          <w:spacing w:val="-1"/>
        </w:rPr>
        <w:t>La Hacienda Pública/Patrimonio Generado</w:t>
      </w:r>
      <w:r w:rsidR="00014B5D" w:rsidRPr="00677863">
        <w:rPr>
          <w:rFonts w:cs="Arial"/>
          <w:spacing w:val="-1"/>
        </w:rPr>
        <w:t xml:space="preserve"> está conformada como si</w:t>
      </w:r>
      <w:r w:rsidR="001E1A82" w:rsidRPr="00677863">
        <w:rPr>
          <w:rFonts w:cs="Arial"/>
          <w:spacing w:val="-1"/>
        </w:rPr>
        <w:t>gue:</w:t>
      </w:r>
    </w:p>
    <w:p w14:paraId="57D4878F" w14:textId="77777777" w:rsidR="001E1A82" w:rsidRPr="001E1A82" w:rsidRDefault="001E1A82" w:rsidP="001E1A82">
      <w:pPr>
        <w:spacing w:after="0" w:line="240" w:lineRule="auto"/>
        <w:jc w:val="both"/>
        <w:rPr>
          <w:rFonts w:ascii="Montserrat" w:hAnsi="Montserrat" w:cs="Arial"/>
          <w:spacing w:val="-1"/>
          <w:sz w:val="18"/>
          <w:szCs w:val="18"/>
        </w:rPr>
      </w:pPr>
    </w:p>
    <w:tbl>
      <w:tblPr>
        <w:tblW w:w="8134" w:type="dxa"/>
        <w:jc w:val="center"/>
        <w:tblCellMar>
          <w:left w:w="70" w:type="dxa"/>
          <w:right w:w="70" w:type="dxa"/>
        </w:tblCellMar>
        <w:tblLook w:val="04A0" w:firstRow="1" w:lastRow="0" w:firstColumn="1" w:lastColumn="0" w:noHBand="0" w:noVBand="1"/>
      </w:tblPr>
      <w:tblGrid>
        <w:gridCol w:w="4263"/>
        <w:gridCol w:w="1966"/>
        <w:gridCol w:w="1905"/>
      </w:tblGrid>
      <w:tr w:rsidR="009C3C24" w:rsidRPr="006F0DF1" w14:paraId="22926DFD" w14:textId="77777777" w:rsidTr="00D6124B">
        <w:trPr>
          <w:trHeight w:val="215"/>
          <w:jc w:val="center"/>
        </w:trPr>
        <w:tc>
          <w:tcPr>
            <w:tcW w:w="8134" w:type="dxa"/>
            <w:gridSpan w:val="3"/>
            <w:tcBorders>
              <w:top w:val="nil"/>
              <w:left w:val="nil"/>
              <w:bottom w:val="single" w:sz="12" w:space="0" w:color="808080" w:themeColor="background1" w:themeShade="80"/>
              <w:right w:val="nil"/>
            </w:tcBorders>
            <w:shd w:val="clear" w:color="auto" w:fill="auto"/>
            <w:vAlign w:val="center"/>
            <w:hideMark/>
          </w:tcPr>
          <w:p w14:paraId="0F614B4C" w14:textId="77777777" w:rsidR="009C3C24" w:rsidRPr="00685332" w:rsidRDefault="009C3C24" w:rsidP="00E52592">
            <w:pPr>
              <w:spacing w:after="60" w:line="250" w:lineRule="exact"/>
              <w:jc w:val="center"/>
              <w:rPr>
                <w:rFonts w:ascii="Montserrat" w:eastAsia="Times New Roman" w:hAnsi="Montserrat" w:cs="Calibri"/>
                <w:bCs/>
                <w:sz w:val="16"/>
                <w:szCs w:val="16"/>
                <w:lang w:val="es-MX" w:eastAsia="es-MX"/>
              </w:rPr>
            </w:pPr>
            <w:r w:rsidRPr="00685332">
              <w:rPr>
                <w:rFonts w:ascii="Montserrat" w:eastAsia="Times New Roman" w:hAnsi="Montserrat" w:cs="Calibri"/>
                <w:bCs/>
                <w:sz w:val="16"/>
                <w:szCs w:val="16"/>
                <w:lang w:val="es-MX" w:eastAsia="es-MX"/>
              </w:rPr>
              <w:t>(Pesos)</w:t>
            </w:r>
          </w:p>
        </w:tc>
      </w:tr>
      <w:tr w:rsidR="00C4519E" w:rsidRPr="006F0DF1" w14:paraId="16705546" w14:textId="77777777" w:rsidTr="00CC40D5">
        <w:trPr>
          <w:trHeight w:val="57"/>
          <w:jc w:val="center"/>
        </w:trPr>
        <w:tc>
          <w:tcPr>
            <w:tcW w:w="8134" w:type="dxa"/>
            <w:gridSpan w:val="3"/>
            <w:tcBorders>
              <w:top w:val="single" w:sz="12" w:space="0" w:color="808080" w:themeColor="background1" w:themeShade="80"/>
            </w:tcBorders>
            <w:shd w:val="clear" w:color="auto" w:fill="auto"/>
            <w:vAlign w:val="center"/>
          </w:tcPr>
          <w:p w14:paraId="66925268" w14:textId="77777777" w:rsidR="00C4519E" w:rsidRPr="00BC0F30" w:rsidRDefault="00C4519E" w:rsidP="002F797B">
            <w:pPr>
              <w:spacing w:after="0" w:line="240" w:lineRule="auto"/>
              <w:jc w:val="center"/>
              <w:rPr>
                <w:rFonts w:ascii="Montserrat" w:eastAsia="Times New Roman" w:hAnsi="Montserrat" w:cs="Calibri"/>
                <w:b/>
                <w:bCs/>
                <w:color w:val="FFFFFF"/>
                <w:sz w:val="4"/>
                <w:szCs w:val="4"/>
                <w:lang w:val="es-MX" w:eastAsia="es-MX"/>
              </w:rPr>
            </w:pPr>
          </w:p>
        </w:tc>
      </w:tr>
      <w:tr w:rsidR="009C3C24" w:rsidRPr="006F0DF1" w14:paraId="125E8169" w14:textId="77777777" w:rsidTr="00F576E1">
        <w:trPr>
          <w:trHeight w:val="317"/>
          <w:jc w:val="center"/>
        </w:trPr>
        <w:tc>
          <w:tcPr>
            <w:tcW w:w="4263" w:type="dxa"/>
            <w:tcBorders>
              <w:left w:val="single" w:sz="8" w:space="0" w:color="FFFFFF" w:themeColor="background1"/>
              <w:bottom w:val="double" w:sz="12" w:space="0" w:color="808080" w:themeColor="background1" w:themeShade="80"/>
              <w:right w:val="single" w:sz="8" w:space="0" w:color="FFFFFF" w:themeColor="background1"/>
            </w:tcBorders>
            <w:shd w:val="clear" w:color="auto" w:fill="D4C19C"/>
            <w:vAlign w:val="center"/>
            <w:hideMark/>
          </w:tcPr>
          <w:p w14:paraId="6E840AB6" w14:textId="77777777" w:rsidR="009C3C24" w:rsidRPr="006F0DF1" w:rsidRDefault="009C3C24" w:rsidP="002F797B">
            <w:pPr>
              <w:spacing w:after="0" w:line="240" w:lineRule="auto"/>
              <w:jc w:val="center"/>
              <w:rPr>
                <w:rFonts w:ascii="Montserrat" w:eastAsia="Times New Roman" w:hAnsi="Montserrat" w:cs="Calibri"/>
                <w:b/>
                <w:bCs/>
                <w:color w:val="FFFFFF"/>
                <w:sz w:val="16"/>
                <w:szCs w:val="16"/>
                <w:lang w:val="es-MX" w:eastAsia="es-MX"/>
              </w:rPr>
            </w:pPr>
            <w:r w:rsidRPr="006F0DF1">
              <w:rPr>
                <w:rFonts w:ascii="Montserrat" w:eastAsia="Times New Roman" w:hAnsi="Montserrat" w:cs="Calibri"/>
                <w:b/>
                <w:bCs/>
                <w:color w:val="FFFFFF"/>
                <w:sz w:val="16"/>
                <w:szCs w:val="16"/>
                <w:lang w:val="es-MX" w:eastAsia="es-MX"/>
              </w:rPr>
              <w:t>Cuenta</w:t>
            </w:r>
          </w:p>
        </w:tc>
        <w:tc>
          <w:tcPr>
            <w:tcW w:w="1966" w:type="dxa"/>
            <w:tcBorders>
              <w:left w:val="single" w:sz="8" w:space="0" w:color="FFFFFF" w:themeColor="background1"/>
              <w:bottom w:val="double" w:sz="12" w:space="0" w:color="808080" w:themeColor="background1" w:themeShade="80"/>
              <w:right w:val="single" w:sz="8" w:space="0" w:color="FFFFFF" w:themeColor="background1"/>
            </w:tcBorders>
            <w:shd w:val="clear" w:color="auto" w:fill="D4C19C"/>
            <w:vAlign w:val="center"/>
            <w:hideMark/>
          </w:tcPr>
          <w:p w14:paraId="5A9BCF5E" w14:textId="77777777" w:rsidR="009C3C24" w:rsidRPr="006F0DF1" w:rsidRDefault="009C3C24" w:rsidP="002F797B">
            <w:pPr>
              <w:spacing w:after="0" w:line="240" w:lineRule="auto"/>
              <w:jc w:val="center"/>
              <w:rPr>
                <w:rFonts w:ascii="Montserrat" w:eastAsia="Times New Roman" w:hAnsi="Montserrat" w:cs="Calibri"/>
                <w:b/>
                <w:bCs/>
                <w:color w:val="FFFFFF"/>
                <w:sz w:val="16"/>
                <w:szCs w:val="16"/>
                <w:lang w:val="es-MX" w:eastAsia="es-MX"/>
              </w:rPr>
            </w:pPr>
            <w:r w:rsidRPr="006F0DF1">
              <w:rPr>
                <w:rFonts w:ascii="Montserrat" w:eastAsia="Times New Roman" w:hAnsi="Montserrat" w:cs="Calibri"/>
                <w:b/>
                <w:bCs/>
                <w:color w:val="FFFFFF"/>
                <w:sz w:val="16"/>
                <w:szCs w:val="16"/>
                <w:lang w:val="es-MX" w:eastAsia="es-MX"/>
              </w:rPr>
              <w:t>201</w:t>
            </w:r>
            <w:r w:rsidR="005365FD">
              <w:rPr>
                <w:rFonts w:ascii="Montserrat" w:eastAsia="Times New Roman" w:hAnsi="Montserrat" w:cs="Calibri"/>
                <w:b/>
                <w:bCs/>
                <w:color w:val="FFFFFF"/>
                <w:sz w:val="16"/>
                <w:szCs w:val="16"/>
                <w:lang w:val="es-MX" w:eastAsia="es-MX"/>
              </w:rPr>
              <w:t>9</w:t>
            </w:r>
          </w:p>
        </w:tc>
        <w:tc>
          <w:tcPr>
            <w:tcW w:w="1905" w:type="dxa"/>
            <w:tcBorders>
              <w:left w:val="single" w:sz="8" w:space="0" w:color="FFFFFF" w:themeColor="background1"/>
              <w:bottom w:val="double" w:sz="12" w:space="0" w:color="808080" w:themeColor="background1" w:themeShade="80"/>
              <w:right w:val="single" w:sz="8" w:space="0" w:color="FFFFFF" w:themeColor="background1"/>
            </w:tcBorders>
            <w:shd w:val="clear" w:color="auto" w:fill="D4C19C"/>
            <w:vAlign w:val="center"/>
            <w:hideMark/>
          </w:tcPr>
          <w:p w14:paraId="266F2EAE" w14:textId="77777777" w:rsidR="009C3C24" w:rsidRPr="006F0DF1" w:rsidRDefault="009C3C24" w:rsidP="002F797B">
            <w:pPr>
              <w:spacing w:after="0" w:line="240" w:lineRule="auto"/>
              <w:jc w:val="center"/>
              <w:rPr>
                <w:rFonts w:ascii="Montserrat" w:eastAsia="Times New Roman" w:hAnsi="Montserrat" w:cs="Calibri"/>
                <w:b/>
                <w:bCs/>
                <w:color w:val="FFFFFF"/>
                <w:sz w:val="16"/>
                <w:szCs w:val="16"/>
                <w:lang w:val="es-MX" w:eastAsia="es-MX"/>
              </w:rPr>
            </w:pPr>
            <w:r>
              <w:rPr>
                <w:rFonts w:ascii="Montserrat" w:eastAsia="Times New Roman" w:hAnsi="Montserrat" w:cs="Calibri"/>
                <w:b/>
                <w:bCs/>
                <w:color w:val="FFFFFF"/>
                <w:sz w:val="16"/>
                <w:szCs w:val="16"/>
                <w:lang w:val="es-MX" w:eastAsia="es-MX"/>
              </w:rPr>
              <w:t>201</w:t>
            </w:r>
            <w:r w:rsidR="005365FD">
              <w:rPr>
                <w:rFonts w:ascii="Montserrat" w:eastAsia="Times New Roman" w:hAnsi="Montserrat" w:cs="Calibri"/>
                <w:b/>
                <w:bCs/>
                <w:color w:val="FFFFFF"/>
                <w:sz w:val="16"/>
                <w:szCs w:val="16"/>
                <w:lang w:val="es-MX" w:eastAsia="es-MX"/>
              </w:rPr>
              <w:t>8</w:t>
            </w:r>
          </w:p>
        </w:tc>
      </w:tr>
      <w:tr w:rsidR="00CB0034" w:rsidRPr="006F0DF1" w14:paraId="3337EAA2" w14:textId="77777777" w:rsidTr="00556DB3">
        <w:trPr>
          <w:trHeight w:val="215"/>
          <w:jc w:val="center"/>
        </w:trPr>
        <w:tc>
          <w:tcPr>
            <w:tcW w:w="4263" w:type="dxa"/>
            <w:tcBorders>
              <w:top w:val="double" w:sz="12" w:space="0" w:color="808080" w:themeColor="background1" w:themeShade="80"/>
            </w:tcBorders>
            <w:shd w:val="clear" w:color="auto" w:fill="F2F2F2" w:themeFill="background1" w:themeFillShade="F2"/>
            <w:vAlign w:val="center"/>
            <w:hideMark/>
          </w:tcPr>
          <w:p w14:paraId="4E975576" w14:textId="77777777" w:rsidR="00CB0034" w:rsidRPr="00255081" w:rsidRDefault="00CB0034" w:rsidP="00CB0034">
            <w:pPr>
              <w:spacing w:after="0" w:line="240" w:lineRule="auto"/>
              <w:ind w:left="170"/>
              <w:jc w:val="both"/>
              <w:rPr>
                <w:rFonts w:ascii="Montserrat" w:eastAsia="Times New Roman" w:hAnsi="Montserrat" w:cs="Calibri"/>
                <w:color w:val="000000"/>
                <w:sz w:val="15"/>
                <w:szCs w:val="15"/>
                <w:lang w:val="es-MX" w:eastAsia="es-MX"/>
              </w:rPr>
            </w:pPr>
            <w:r w:rsidRPr="00255081">
              <w:rPr>
                <w:rFonts w:ascii="Montserrat" w:eastAsia="Times New Roman" w:hAnsi="Montserrat" w:cs="Calibri"/>
                <w:color w:val="000000"/>
                <w:sz w:val="15"/>
                <w:szCs w:val="15"/>
                <w:lang w:val="es-MX" w:eastAsia="es-MX"/>
              </w:rPr>
              <w:t>Resultados del Ejercicio (Ahorro/ Desahorro)</w:t>
            </w:r>
          </w:p>
        </w:tc>
        <w:tc>
          <w:tcPr>
            <w:tcW w:w="1966" w:type="dxa"/>
            <w:tcBorders>
              <w:top w:val="double" w:sz="12" w:space="0" w:color="808080" w:themeColor="background1" w:themeShade="80"/>
            </w:tcBorders>
            <w:shd w:val="clear" w:color="auto" w:fill="F2F2F2" w:themeFill="background1" w:themeFillShade="F2"/>
            <w:vAlign w:val="center"/>
          </w:tcPr>
          <w:p w14:paraId="1EB6722D" w14:textId="04111131" w:rsidR="00CB0034" w:rsidRPr="000F0321" w:rsidRDefault="00CB0034" w:rsidP="00CB0034">
            <w:pPr>
              <w:spacing w:after="0" w:line="240" w:lineRule="auto"/>
              <w:jc w:val="right"/>
              <w:rPr>
                <w:rFonts w:ascii="Montserrat" w:hAnsi="Montserrat" w:cs="Arial"/>
                <w:color w:val="000000"/>
                <w:sz w:val="15"/>
                <w:szCs w:val="15"/>
              </w:rPr>
            </w:pPr>
            <w:r w:rsidRPr="000F0321">
              <w:rPr>
                <w:rFonts w:ascii="Montserrat" w:hAnsi="Montserrat" w:cs="Arial"/>
                <w:color w:val="000000"/>
                <w:sz w:val="15"/>
                <w:szCs w:val="15"/>
              </w:rPr>
              <w:t>-346,040,338,429</w:t>
            </w:r>
          </w:p>
        </w:tc>
        <w:tc>
          <w:tcPr>
            <w:tcW w:w="1905" w:type="dxa"/>
            <w:tcBorders>
              <w:top w:val="double" w:sz="12" w:space="0" w:color="808080" w:themeColor="background1" w:themeShade="80"/>
            </w:tcBorders>
            <w:shd w:val="clear" w:color="auto" w:fill="F2F2F2" w:themeFill="background1" w:themeFillShade="F2"/>
            <w:vAlign w:val="center"/>
            <w:hideMark/>
          </w:tcPr>
          <w:p w14:paraId="5846E7D0" w14:textId="77777777" w:rsidR="00CB0034" w:rsidRPr="00255081" w:rsidRDefault="00CB0034" w:rsidP="00CB0034">
            <w:pPr>
              <w:spacing w:after="0" w:line="240" w:lineRule="auto"/>
              <w:jc w:val="right"/>
              <w:rPr>
                <w:rFonts w:ascii="Montserrat" w:eastAsia="Times New Roman" w:hAnsi="Montserrat" w:cs="Calibri"/>
                <w:sz w:val="15"/>
                <w:szCs w:val="15"/>
                <w:lang w:val="es-MX" w:eastAsia="es-MX"/>
              </w:rPr>
            </w:pPr>
            <w:r w:rsidRPr="00255081">
              <w:rPr>
                <w:rFonts w:ascii="Montserrat" w:eastAsia="Times New Roman" w:hAnsi="Montserrat" w:cs="Calibri"/>
                <w:sz w:val="15"/>
                <w:szCs w:val="15"/>
                <w:lang w:val="es-MX" w:eastAsia="es-MX"/>
              </w:rPr>
              <w:t>-339,339,948,836</w:t>
            </w:r>
          </w:p>
        </w:tc>
      </w:tr>
      <w:tr w:rsidR="00CB0034" w:rsidRPr="006F0DF1" w14:paraId="5CB85360" w14:textId="77777777" w:rsidTr="00556DB3">
        <w:trPr>
          <w:trHeight w:val="215"/>
          <w:jc w:val="center"/>
        </w:trPr>
        <w:tc>
          <w:tcPr>
            <w:tcW w:w="4263" w:type="dxa"/>
            <w:tcBorders>
              <w:top w:val="nil"/>
            </w:tcBorders>
            <w:shd w:val="clear" w:color="auto" w:fill="F2F2F2" w:themeFill="background1" w:themeFillShade="F2"/>
            <w:vAlign w:val="center"/>
            <w:hideMark/>
          </w:tcPr>
          <w:p w14:paraId="03311B0D" w14:textId="77777777" w:rsidR="00CB0034" w:rsidRPr="00255081" w:rsidRDefault="00CB0034" w:rsidP="00CB0034">
            <w:pPr>
              <w:spacing w:after="0" w:line="240" w:lineRule="auto"/>
              <w:ind w:left="170"/>
              <w:jc w:val="both"/>
              <w:rPr>
                <w:rFonts w:ascii="Montserrat" w:eastAsia="Times New Roman" w:hAnsi="Montserrat" w:cs="Calibri"/>
                <w:color w:val="000000"/>
                <w:sz w:val="15"/>
                <w:szCs w:val="15"/>
                <w:lang w:val="es-MX" w:eastAsia="es-MX"/>
              </w:rPr>
            </w:pPr>
            <w:r w:rsidRPr="00255081">
              <w:rPr>
                <w:rFonts w:ascii="Montserrat" w:eastAsia="Times New Roman" w:hAnsi="Montserrat" w:cs="Calibri"/>
                <w:color w:val="000000"/>
                <w:sz w:val="15"/>
                <w:szCs w:val="15"/>
                <w:lang w:val="es-MX" w:eastAsia="es-MX"/>
              </w:rPr>
              <w:t>Resultados de Ejercicios Anteriores</w:t>
            </w:r>
          </w:p>
        </w:tc>
        <w:tc>
          <w:tcPr>
            <w:tcW w:w="1966" w:type="dxa"/>
            <w:tcBorders>
              <w:top w:val="nil"/>
            </w:tcBorders>
            <w:shd w:val="clear" w:color="auto" w:fill="F2F2F2" w:themeFill="background1" w:themeFillShade="F2"/>
            <w:vAlign w:val="center"/>
          </w:tcPr>
          <w:p w14:paraId="0DE77F2B" w14:textId="714BB1F9" w:rsidR="00CB0034" w:rsidRPr="000F0321" w:rsidRDefault="00677863" w:rsidP="00CB0034">
            <w:pPr>
              <w:spacing w:after="0" w:line="240" w:lineRule="auto"/>
              <w:jc w:val="right"/>
              <w:rPr>
                <w:rFonts w:ascii="Montserrat" w:hAnsi="Montserrat" w:cs="Arial"/>
                <w:color w:val="000000"/>
                <w:sz w:val="15"/>
                <w:szCs w:val="15"/>
              </w:rPr>
            </w:pPr>
            <w:r w:rsidRPr="000F0321">
              <w:rPr>
                <w:rFonts w:ascii="Montserrat" w:hAnsi="Montserrat" w:cs="Arial"/>
                <w:color w:val="000000"/>
                <w:sz w:val="15"/>
                <w:szCs w:val="15"/>
              </w:rPr>
              <w:t>-4,485,304,322,384</w:t>
            </w:r>
          </w:p>
        </w:tc>
        <w:tc>
          <w:tcPr>
            <w:tcW w:w="1905" w:type="dxa"/>
            <w:tcBorders>
              <w:top w:val="nil"/>
            </w:tcBorders>
            <w:shd w:val="clear" w:color="auto" w:fill="F2F2F2" w:themeFill="background1" w:themeFillShade="F2"/>
            <w:vAlign w:val="center"/>
            <w:hideMark/>
          </w:tcPr>
          <w:p w14:paraId="05064601" w14:textId="77777777" w:rsidR="00CB0034" w:rsidRPr="00255081" w:rsidRDefault="00CB0034" w:rsidP="00CB0034">
            <w:pPr>
              <w:spacing w:after="0" w:line="240" w:lineRule="auto"/>
              <w:jc w:val="right"/>
              <w:rPr>
                <w:rFonts w:ascii="Montserrat" w:eastAsia="Times New Roman" w:hAnsi="Montserrat" w:cs="Calibri"/>
                <w:sz w:val="15"/>
                <w:szCs w:val="15"/>
                <w:lang w:val="es-MX" w:eastAsia="es-MX"/>
              </w:rPr>
            </w:pPr>
            <w:r w:rsidRPr="00255081">
              <w:rPr>
                <w:rFonts w:ascii="Montserrat" w:eastAsia="Times New Roman" w:hAnsi="Montserrat" w:cs="Calibri"/>
                <w:sz w:val="15"/>
                <w:szCs w:val="15"/>
                <w:lang w:val="es-MX" w:eastAsia="es-MX"/>
              </w:rPr>
              <w:t>-4,150,250,498,024</w:t>
            </w:r>
          </w:p>
        </w:tc>
      </w:tr>
      <w:tr w:rsidR="00CB0034" w:rsidRPr="006F0DF1" w14:paraId="02D0050E" w14:textId="77777777" w:rsidTr="00556DB3">
        <w:trPr>
          <w:trHeight w:val="215"/>
          <w:jc w:val="center"/>
        </w:trPr>
        <w:tc>
          <w:tcPr>
            <w:tcW w:w="4263" w:type="dxa"/>
            <w:tcBorders>
              <w:top w:val="nil"/>
            </w:tcBorders>
            <w:shd w:val="clear" w:color="auto" w:fill="F2F2F2" w:themeFill="background1" w:themeFillShade="F2"/>
            <w:vAlign w:val="center"/>
            <w:hideMark/>
          </w:tcPr>
          <w:p w14:paraId="266380DD" w14:textId="77777777" w:rsidR="00CB0034" w:rsidRPr="00255081" w:rsidRDefault="00CB0034" w:rsidP="00CB0034">
            <w:pPr>
              <w:spacing w:after="0" w:line="240" w:lineRule="auto"/>
              <w:ind w:left="170"/>
              <w:jc w:val="both"/>
              <w:rPr>
                <w:rFonts w:ascii="Montserrat" w:eastAsia="Times New Roman" w:hAnsi="Montserrat" w:cs="Calibri"/>
                <w:color w:val="000000"/>
                <w:sz w:val="15"/>
                <w:szCs w:val="15"/>
                <w:lang w:val="es-MX" w:eastAsia="es-MX"/>
              </w:rPr>
            </w:pPr>
            <w:r w:rsidRPr="00255081">
              <w:rPr>
                <w:rFonts w:ascii="Montserrat" w:eastAsia="Times New Roman" w:hAnsi="Montserrat" w:cs="Calibri"/>
                <w:color w:val="000000"/>
                <w:sz w:val="15"/>
                <w:szCs w:val="15"/>
                <w:lang w:val="es-MX" w:eastAsia="es-MX"/>
              </w:rPr>
              <w:t>Revalúos</w:t>
            </w:r>
          </w:p>
        </w:tc>
        <w:tc>
          <w:tcPr>
            <w:tcW w:w="1966" w:type="dxa"/>
            <w:tcBorders>
              <w:top w:val="nil"/>
            </w:tcBorders>
            <w:shd w:val="clear" w:color="auto" w:fill="F2F2F2" w:themeFill="background1" w:themeFillShade="F2"/>
            <w:vAlign w:val="center"/>
          </w:tcPr>
          <w:p w14:paraId="525362D8" w14:textId="1CF095AC" w:rsidR="00CB0034" w:rsidRPr="000F0321" w:rsidRDefault="00CB0034" w:rsidP="00CB0034">
            <w:pPr>
              <w:spacing w:after="0" w:line="240" w:lineRule="auto"/>
              <w:jc w:val="right"/>
              <w:rPr>
                <w:rFonts w:ascii="Montserrat" w:hAnsi="Montserrat" w:cs="Arial"/>
                <w:color w:val="000000"/>
                <w:sz w:val="15"/>
                <w:szCs w:val="15"/>
              </w:rPr>
            </w:pPr>
            <w:r w:rsidRPr="000F0321">
              <w:rPr>
                <w:rFonts w:ascii="Montserrat" w:hAnsi="Montserrat" w:cs="Arial"/>
                <w:color w:val="000000"/>
                <w:sz w:val="15"/>
                <w:szCs w:val="15"/>
              </w:rPr>
              <w:t>298,207,669,854</w:t>
            </w:r>
          </w:p>
        </w:tc>
        <w:tc>
          <w:tcPr>
            <w:tcW w:w="1905" w:type="dxa"/>
            <w:tcBorders>
              <w:top w:val="nil"/>
            </w:tcBorders>
            <w:shd w:val="clear" w:color="auto" w:fill="F2F2F2" w:themeFill="background1" w:themeFillShade="F2"/>
            <w:vAlign w:val="center"/>
            <w:hideMark/>
          </w:tcPr>
          <w:p w14:paraId="6403DA06" w14:textId="77777777" w:rsidR="00CB0034" w:rsidRPr="00255081" w:rsidRDefault="00CB0034" w:rsidP="00CB0034">
            <w:pPr>
              <w:spacing w:after="0" w:line="240" w:lineRule="auto"/>
              <w:jc w:val="right"/>
              <w:rPr>
                <w:rFonts w:ascii="Montserrat" w:eastAsia="Times New Roman" w:hAnsi="Montserrat" w:cs="Calibri"/>
                <w:color w:val="000000"/>
                <w:sz w:val="15"/>
                <w:szCs w:val="15"/>
                <w:lang w:val="es-MX" w:eastAsia="es-MX"/>
              </w:rPr>
            </w:pPr>
            <w:r w:rsidRPr="00255081">
              <w:rPr>
                <w:rFonts w:ascii="Montserrat" w:eastAsia="Times New Roman" w:hAnsi="Montserrat" w:cs="Calibri"/>
                <w:color w:val="000000"/>
                <w:sz w:val="15"/>
                <w:szCs w:val="15"/>
                <w:lang w:val="es-MX" w:eastAsia="es-MX"/>
              </w:rPr>
              <w:t>431,445,177,971</w:t>
            </w:r>
          </w:p>
        </w:tc>
      </w:tr>
      <w:tr w:rsidR="00CB0034" w:rsidRPr="006F0DF1" w14:paraId="68A0D64B" w14:textId="77777777" w:rsidTr="00556DB3">
        <w:trPr>
          <w:trHeight w:val="215"/>
          <w:jc w:val="center"/>
        </w:trPr>
        <w:tc>
          <w:tcPr>
            <w:tcW w:w="4263" w:type="dxa"/>
            <w:tcBorders>
              <w:top w:val="nil"/>
            </w:tcBorders>
            <w:shd w:val="clear" w:color="auto" w:fill="F2F2F2" w:themeFill="background1" w:themeFillShade="F2"/>
            <w:vAlign w:val="center"/>
            <w:hideMark/>
          </w:tcPr>
          <w:p w14:paraId="015E9AA5" w14:textId="77777777" w:rsidR="00CB0034" w:rsidRPr="00255081" w:rsidRDefault="00CB0034" w:rsidP="00CB0034">
            <w:pPr>
              <w:spacing w:after="0" w:line="240" w:lineRule="auto"/>
              <w:ind w:left="170"/>
              <w:jc w:val="both"/>
              <w:rPr>
                <w:rFonts w:ascii="Montserrat" w:eastAsia="Times New Roman" w:hAnsi="Montserrat" w:cs="Calibri"/>
                <w:color w:val="000000"/>
                <w:sz w:val="15"/>
                <w:szCs w:val="15"/>
                <w:lang w:val="es-MX" w:eastAsia="es-MX"/>
              </w:rPr>
            </w:pPr>
            <w:r w:rsidRPr="00255081">
              <w:rPr>
                <w:rFonts w:ascii="Montserrat" w:eastAsia="Times New Roman" w:hAnsi="Montserrat" w:cs="Calibri"/>
                <w:color w:val="000000"/>
                <w:sz w:val="15"/>
                <w:szCs w:val="15"/>
                <w:lang w:val="es-MX" w:eastAsia="es-MX"/>
              </w:rPr>
              <w:t>Rectificaciones de Resultados de Ejercicios Anteriores</w:t>
            </w:r>
          </w:p>
        </w:tc>
        <w:tc>
          <w:tcPr>
            <w:tcW w:w="1966" w:type="dxa"/>
            <w:tcBorders>
              <w:top w:val="nil"/>
            </w:tcBorders>
            <w:shd w:val="clear" w:color="auto" w:fill="F2F2F2" w:themeFill="background1" w:themeFillShade="F2"/>
            <w:vAlign w:val="center"/>
          </w:tcPr>
          <w:p w14:paraId="255F5408" w14:textId="05614AE6" w:rsidR="00CB0034" w:rsidRPr="00255081" w:rsidRDefault="00CB0034" w:rsidP="00CB0034">
            <w:pPr>
              <w:spacing w:after="0" w:line="240" w:lineRule="auto"/>
              <w:jc w:val="right"/>
              <w:rPr>
                <w:rFonts w:ascii="Montserrat" w:eastAsia="Times New Roman" w:hAnsi="Montserrat" w:cs="Calibri"/>
                <w:color w:val="000000"/>
                <w:sz w:val="15"/>
                <w:szCs w:val="15"/>
                <w:lang w:val="es-MX" w:eastAsia="es-MX"/>
              </w:rPr>
            </w:pPr>
            <w:r w:rsidRPr="000F0321">
              <w:rPr>
                <w:rFonts w:ascii="Montserrat" w:hAnsi="Montserrat" w:cs="Arial"/>
                <w:color w:val="000000"/>
                <w:sz w:val="15"/>
                <w:szCs w:val="15"/>
              </w:rPr>
              <w:t>-59,557,584,467</w:t>
            </w:r>
          </w:p>
        </w:tc>
        <w:tc>
          <w:tcPr>
            <w:tcW w:w="1905" w:type="dxa"/>
            <w:tcBorders>
              <w:top w:val="nil"/>
            </w:tcBorders>
            <w:shd w:val="clear" w:color="auto" w:fill="F2F2F2" w:themeFill="background1" w:themeFillShade="F2"/>
            <w:vAlign w:val="center"/>
            <w:hideMark/>
          </w:tcPr>
          <w:p w14:paraId="55278832" w14:textId="77777777" w:rsidR="00CB0034" w:rsidRPr="00255081" w:rsidRDefault="00CB0034" w:rsidP="00CB0034">
            <w:pPr>
              <w:spacing w:after="0" w:line="240" w:lineRule="auto"/>
              <w:jc w:val="right"/>
              <w:rPr>
                <w:rFonts w:ascii="Montserrat" w:eastAsia="Times New Roman" w:hAnsi="Montserrat" w:cs="Calibri"/>
                <w:color w:val="000000"/>
                <w:sz w:val="15"/>
                <w:szCs w:val="15"/>
                <w:lang w:val="es-MX" w:eastAsia="es-MX"/>
              </w:rPr>
            </w:pPr>
            <w:r w:rsidRPr="00255081">
              <w:rPr>
                <w:rFonts w:ascii="Montserrat" w:eastAsia="Times New Roman" w:hAnsi="Montserrat" w:cs="Calibri"/>
                <w:color w:val="000000"/>
                <w:sz w:val="15"/>
                <w:szCs w:val="15"/>
                <w:lang w:val="es-MX" w:eastAsia="es-MX"/>
              </w:rPr>
              <w:t>-59,561,819,338</w:t>
            </w:r>
          </w:p>
        </w:tc>
      </w:tr>
      <w:tr w:rsidR="00CB0034" w:rsidRPr="006F0DF1" w14:paraId="4704C6C3" w14:textId="77777777" w:rsidTr="00556DB3">
        <w:trPr>
          <w:trHeight w:val="215"/>
          <w:jc w:val="center"/>
        </w:trPr>
        <w:tc>
          <w:tcPr>
            <w:tcW w:w="4263" w:type="dxa"/>
            <w:tcBorders>
              <w:bottom w:val="single" w:sz="12" w:space="0" w:color="808080" w:themeColor="background1" w:themeShade="80"/>
            </w:tcBorders>
            <w:shd w:val="clear" w:color="auto" w:fill="F2F2F2" w:themeFill="background1" w:themeFillShade="F2"/>
            <w:vAlign w:val="center"/>
            <w:hideMark/>
          </w:tcPr>
          <w:p w14:paraId="7D49E198" w14:textId="77777777" w:rsidR="00CB0034" w:rsidRPr="00255081" w:rsidRDefault="00CB0034" w:rsidP="00CB0034">
            <w:pPr>
              <w:spacing w:after="0" w:line="240" w:lineRule="auto"/>
              <w:ind w:left="170"/>
              <w:jc w:val="right"/>
              <w:rPr>
                <w:rFonts w:ascii="Montserrat" w:eastAsia="Times New Roman" w:hAnsi="Montserrat" w:cs="Calibri"/>
                <w:b/>
                <w:bCs/>
                <w:color w:val="000000"/>
                <w:sz w:val="15"/>
                <w:szCs w:val="15"/>
                <w:lang w:val="es-MX" w:eastAsia="es-MX"/>
              </w:rPr>
            </w:pPr>
            <w:r w:rsidRPr="00255081">
              <w:rPr>
                <w:rFonts w:ascii="Montserrat" w:eastAsia="Times New Roman" w:hAnsi="Montserrat" w:cs="Calibri"/>
                <w:b/>
                <w:bCs/>
                <w:color w:val="000000"/>
                <w:sz w:val="15"/>
                <w:szCs w:val="15"/>
                <w:lang w:val="es-MX" w:eastAsia="es-MX"/>
              </w:rPr>
              <w:t>Total Hacienda Pública/Patrimonio Generado</w:t>
            </w:r>
          </w:p>
        </w:tc>
        <w:tc>
          <w:tcPr>
            <w:tcW w:w="1966" w:type="dxa"/>
            <w:tcBorders>
              <w:bottom w:val="single" w:sz="12" w:space="0" w:color="808080" w:themeColor="background1" w:themeShade="80"/>
            </w:tcBorders>
            <w:shd w:val="clear" w:color="auto" w:fill="F2F2F2" w:themeFill="background1" w:themeFillShade="F2"/>
            <w:vAlign w:val="center"/>
          </w:tcPr>
          <w:p w14:paraId="16608912" w14:textId="77F3425E" w:rsidR="00CB0034" w:rsidRPr="00255081" w:rsidRDefault="00677863" w:rsidP="00CB0034">
            <w:pPr>
              <w:spacing w:after="0" w:line="240" w:lineRule="auto"/>
              <w:jc w:val="right"/>
              <w:rPr>
                <w:rFonts w:ascii="Montserrat" w:eastAsia="Times New Roman" w:hAnsi="Montserrat" w:cs="Calibri"/>
                <w:b/>
                <w:bCs/>
                <w:color w:val="000000"/>
                <w:sz w:val="15"/>
                <w:szCs w:val="15"/>
                <w:lang w:val="es-MX" w:eastAsia="es-MX"/>
              </w:rPr>
            </w:pPr>
            <w:r w:rsidRPr="00255081">
              <w:rPr>
                <w:rFonts w:ascii="Montserrat" w:eastAsia="Times New Roman" w:hAnsi="Montserrat" w:cs="Calibri"/>
                <w:b/>
                <w:bCs/>
                <w:color w:val="000000"/>
                <w:sz w:val="15"/>
                <w:szCs w:val="15"/>
                <w:lang w:val="es-MX" w:eastAsia="es-MX"/>
              </w:rPr>
              <w:t>-4,592,694,575,426</w:t>
            </w:r>
          </w:p>
        </w:tc>
        <w:tc>
          <w:tcPr>
            <w:tcW w:w="1905" w:type="dxa"/>
            <w:tcBorders>
              <w:bottom w:val="single" w:sz="12" w:space="0" w:color="808080" w:themeColor="background1" w:themeShade="80"/>
            </w:tcBorders>
            <w:shd w:val="clear" w:color="auto" w:fill="F2F2F2" w:themeFill="background1" w:themeFillShade="F2"/>
            <w:vAlign w:val="center"/>
            <w:hideMark/>
          </w:tcPr>
          <w:p w14:paraId="10772CF7" w14:textId="77777777" w:rsidR="00CB0034" w:rsidRPr="00255081" w:rsidRDefault="00CB0034" w:rsidP="00CB0034">
            <w:pPr>
              <w:spacing w:after="0" w:line="240" w:lineRule="auto"/>
              <w:jc w:val="right"/>
              <w:rPr>
                <w:rFonts w:ascii="Montserrat" w:eastAsia="Times New Roman" w:hAnsi="Montserrat" w:cs="Calibri"/>
                <w:b/>
                <w:bCs/>
                <w:color w:val="000000"/>
                <w:sz w:val="15"/>
                <w:szCs w:val="15"/>
                <w:lang w:val="es-MX" w:eastAsia="es-MX"/>
              </w:rPr>
            </w:pPr>
            <w:r w:rsidRPr="00255081">
              <w:rPr>
                <w:rFonts w:ascii="Montserrat" w:eastAsia="Times New Roman" w:hAnsi="Montserrat" w:cs="Calibri"/>
                <w:b/>
                <w:bCs/>
                <w:color w:val="000000"/>
                <w:sz w:val="15"/>
                <w:szCs w:val="15"/>
                <w:lang w:val="es-MX" w:eastAsia="es-MX"/>
              </w:rPr>
              <w:t>-4,117,707,088,227</w:t>
            </w:r>
          </w:p>
        </w:tc>
      </w:tr>
    </w:tbl>
    <w:p w14:paraId="1D4A082D" w14:textId="77777777" w:rsidR="00F576E1" w:rsidRDefault="00F576E1" w:rsidP="00F576E1">
      <w:pPr>
        <w:spacing w:after="0" w:line="240" w:lineRule="auto"/>
        <w:jc w:val="both"/>
        <w:rPr>
          <w:rFonts w:ascii="Montserrat" w:hAnsi="Montserrat" w:cs="Arial"/>
          <w:spacing w:val="-1"/>
          <w:sz w:val="18"/>
          <w:szCs w:val="18"/>
        </w:rPr>
      </w:pPr>
    </w:p>
    <w:p w14:paraId="3C2857F3" w14:textId="77777777" w:rsidR="009C3C24" w:rsidRPr="003731E7" w:rsidRDefault="009C3C24">
      <w:pPr>
        <w:spacing w:after="120" w:line="250" w:lineRule="exact"/>
        <w:jc w:val="both"/>
        <w:rPr>
          <w:rFonts w:ascii="Montserrat" w:hAnsi="Montserrat" w:cs="Arial"/>
          <w:spacing w:val="-1"/>
          <w:sz w:val="18"/>
          <w:szCs w:val="18"/>
        </w:rPr>
      </w:pPr>
      <w:r w:rsidRPr="006F0DF1">
        <w:rPr>
          <w:rFonts w:ascii="Montserrat" w:hAnsi="Montserrat" w:cs="Arial"/>
          <w:spacing w:val="-1"/>
          <w:sz w:val="18"/>
          <w:szCs w:val="18"/>
        </w:rPr>
        <w:t>A continuación</w:t>
      </w:r>
      <w:r w:rsidR="00014B5D">
        <w:rPr>
          <w:rFonts w:ascii="Montserrat" w:hAnsi="Montserrat" w:cs="Arial"/>
          <w:spacing w:val="-1"/>
          <w:sz w:val="18"/>
          <w:szCs w:val="18"/>
        </w:rPr>
        <w:t xml:space="preserve"> se presenta</w:t>
      </w:r>
      <w:r w:rsidRPr="006F0DF1">
        <w:rPr>
          <w:rFonts w:ascii="Montserrat" w:hAnsi="Montserrat" w:cs="Arial"/>
          <w:spacing w:val="-1"/>
          <w:sz w:val="18"/>
          <w:szCs w:val="18"/>
        </w:rPr>
        <w:t xml:space="preserve"> el origen y los criterios utilizados </w:t>
      </w:r>
      <w:r w:rsidRPr="003731E7">
        <w:rPr>
          <w:rFonts w:ascii="Montserrat" w:hAnsi="Montserrat" w:cs="Arial"/>
          <w:spacing w:val="-1"/>
          <w:sz w:val="18"/>
          <w:szCs w:val="18"/>
        </w:rPr>
        <w:t>en los movimientos que modificaron los Resultados de Ejercicios Anteriores:</w:t>
      </w:r>
    </w:p>
    <w:p w14:paraId="72C2E88E" w14:textId="4D71B3AF" w:rsidR="004C2323" w:rsidRPr="003731E7" w:rsidRDefault="004C2323" w:rsidP="000F0321">
      <w:pPr>
        <w:spacing w:after="120" w:line="250" w:lineRule="exact"/>
        <w:jc w:val="both"/>
        <w:rPr>
          <w:rFonts w:ascii="Montserrat" w:hAnsi="Montserrat" w:cs="Arial"/>
          <w:spacing w:val="-1"/>
          <w:sz w:val="18"/>
          <w:szCs w:val="18"/>
        </w:rPr>
      </w:pPr>
      <w:r w:rsidRPr="00677863">
        <w:rPr>
          <w:rFonts w:ascii="Montserrat" w:hAnsi="Montserrat" w:cs="Arial"/>
          <w:spacing w:val="-1"/>
          <w:sz w:val="18"/>
          <w:szCs w:val="18"/>
        </w:rPr>
        <w:t>Se realizó el traspaso del Resultado del Ejercicio a Resultados de Ejercicios Anteriores en cumplimiento a la normatividad vigente y de acuerdo a la técnica contable, el monto correspondiente al año de 201</w:t>
      </w:r>
      <w:r w:rsidR="00677863" w:rsidRPr="000F0321">
        <w:rPr>
          <w:rFonts w:ascii="Montserrat" w:hAnsi="Montserrat" w:cs="Arial"/>
          <w:spacing w:val="-1"/>
          <w:sz w:val="18"/>
          <w:szCs w:val="18"/>
        </w:rPr>
        <w:t>9</w:t>
      </w:r>
      <w:r w:rsidRPr="00677863">
        <w:rPr>
          <w:rFonts w:ascii="Montserrat" w:hAnsi="Montserrat" w:cs="Arial"/>
          <w:spacing w:val="-1"/>
          <w:sz w:val="18"/>
          <w:szCs w:val="18"/>
        </w:rPr>
        <w:t xml:space="preserve"> fue por </w:t>
      </w:r>
      <w:r w:rsidR="00677863" w:rsidRPr="00677863">
        <w:rPr>
          <w:rFonts w:ascii="Montserrat" w:hAnsi="Montserrat" w:cs="Arial"/>
          <w:spacing w:val="-1"/>
          <w:sz w:val="18"/>
          <w:szCs w:val="18"/>
        </w:rPr>
        <w:t xml:space="preserve">-346,040,338,429 </w:t>
      </w:r>
      <w:r w:rsidRPr="00677863">
        <w:rPr>
          <w:rFonts w:ascii="Montserrat" w:hAnsi="Montserrat" w:cs="Arial"/>
          <w:spacing w:val="-1"/>
          <w:sz w:val="18"/>
          <w:szCs w:val="18"/>
        </w:rPr>
        <w:t>pesos.</w:t>
      </w:r>
    </w:p>
    <w:p w14:paraId="3A608347" w14:textId="0FEF42B9" w:rsidR="004C2323" w:rsidRPr="003731E7" w:rsidRDefault="004C2323">
      <w:pPr>
        <w:spacing w:after="120" w:line="250" w:lineRule="exact"/>
        <w:jc w:val="both"/>
        <w:rPr>
          <w:rFonts w:ascii="Montserrat" w:hAnsi="Montserrat" w:cs="Arial"/>
          <w:spacing w:val="-1"/>
          <w:sz w:val="18"/>
          <w:szCs w:val="18"/>
        </w:rPr>
      </w:pPr>
      <w:r w:rsidRPr="003731E7">
        <w:rPr>
          <w:rFonts w:ascii="Montserrat" w:hAnsi="Montserrat" w:cs="Arial"/>
          <w:spacing w:val="-1"/>
          <w:sz w:val="18"/>
          <w:szCs w:val="18"/>
        </w:rPr>
        <w:t xml:space="preserve">El </w:t>
      </w:r>
      <w:r w:rsidR="003731E7" w:rsidRPr="003731E7">
        <w:rPr>
          <w:rFonts w:ascii="Montserrat" w:hAnsi="Montserrat" w:cs="Arial"/>
          <w:spacing w:val="-1"/>
          <w:sz w:val="18"/>
          <w:szCs w:val="18"/>
        </w:rPr>
        <w:t xml:space="preserve">decremento </w:t>
      </w:r>
      <w:r w:rsidRPr="003731E7">
        <w:rPr>
          <w:rFonts w:ascii="Montserrat" w:hAnsi="Montserrat" w:cs="Arial"/>
          <w:spacing w:val="-1"/>
          <w:sz w:val="18"/>
          <w:szCs w:val="18"/>
        </w:rPr>
        <w:t xml:space="preserve">que se observa en el renglón de Revalúos, obedece al reconocimiento de las </w:t>
      </w:r>
      <w:r w:rsidR="003731E7" w:rsidRPr="003731E7">
        <w:rPr>
          <w:rFonts w:ascii="Montserrat" w:hAnsi="Montserrat" w:cs="Arial"/>
          <w:spacing w:val="-1"/>
          <w:sz w:val="18"/>
          <w:szCs w:val="18"/>
        </w:rPr>
        <w:t>actualizaciones y avalúos de</w:t>
      </w:r>
      <w:r w:rsidRPr="003731E7">
        <w:rPr>
          <w:rFonts w:ascii="Montserrat" w:hAnsi="Montserrat" w:cs="Arial"/>
          <w:spacing w:val="-1"/>
          <w:sz w:val="18"/>
          <w:szCs w:val="18"/>
        </w:rPr>
        <w:t xml:space="preserve"> los bienes inmuebles, de conformidad con lo señalado por las “Reglas Específicas para Registro y Valoración del Patrimonio” emitidas por el CONAC.</w:t>
      </w:r>
    </w:p>
    <w:p w14:paraId="2398FFA7" w14:textId="77777777" w:rsidR="004C2323" w:rsidRPr="00F92339" w:rsidRDefault="004C2323" w:rsidP="004C2323">
      <w:pPr>
        <w:spacing w:after="120" w:line="250" w:lineRule="exact"/>
        <w:jc w:val="both"/>
        <w:rPr>
          <w:rFonts w:ascii="Montserrat" w:hAnsi="Montserrat" w:cs="Arial"/>
          <w:spacing w:val="-1"/>
          <w:sz w:val="18"/>
          <w:szCs w:val="18"/>
        </w:rPr>
      </w:pPr>
      <w:r w:rsidRPr="003731E7">
        <w:rPr>
          <w:rFonts w:ascii="Montserrat" w:hAnsi="Montserrat" w:cs="Arial"/>
          <w:spacing w:val="-1"/>
          <w:sz w:val="18"/>
          <w:szCs w:val="18"/>
        </w:rPr>
        <w:t>Las rectificaciones de resultados de ejercicios anteriores corresponden al saldo</w:t>
      </w:r>
      <w:r w:rsidRPr="004C2323">
        <w:rPr>
          <w:rFonts w:ascii="Montserrat" w:hAnsi="Montserrat" w:cs="Arial"/>
          <w:spacing w:val="-1"/>
          <w:sz w:val="18"/>
          <w:szCs w:val="18"/>
        </w:rPr>
        <w:t xml:space="preserve"> histórico y el registro de movimientos extemporáneos de acuerdo a lo señalado por el numeral 16.3 de las “Reglas Específicas para Registro y Valoración del Patrimonio”.</w:t>
      </w:r>
    </w:p>
    <w:p w14:paraId="3F9480BC" w14:textId="77777777" w:rsidR="00201FF3" w:rsidRDefault="00201FF3">
      <w:pPr>
        <w:spacing w:after="0" w:line="240" w:lineRule="auto"/>
        <w:rPr>
          <w:rFonts w:ascii="Montserrat" w:hAnsi="Montserrat"/>
          <w:b/>
          <w:caps/>
          <w:sz w:val="18"/>
          <w:szCs w:val="18"/>
          <w:lang w:val="es-MX" w:eastAsia="es-MX"/>
        </w:rPr>
      </w:pPr>
      <w:r>
        <w:rPr>
          <w:rFonts w:ascii="Montserrat" w:hAnsi="Montserrat"/>
          <w:b/>
          <w:caps/>
          <w:sz w:val="18"/>
          <w:szCs w:val="18"/>
          <w:lang w:val="es-MX" w:eastAsia="es-MX"/>
        </w:rPr>
        <w:br w:type="page"/>
      </w:r>
    </w:p>
    <w:p w14:paraId="1E5779FE" w14:textId="77777777" w:rsidR="009C3C24" w:rsidRDefault="009C3C24" w:rsidP="00F576E1">
      <w:pPr>
        <w:spacing w:after="120" w:line="250" w:lineRule="exact"/>
        <w:jc w:val="both"/>
        <w:rPr>
          <w:rFonts w:ascii="Montserrat" w:hAnsi="Montserrat"/>
          <w:b/>
          <w:caps/>
          <w:sz w:val="18"/>
          <w:szCs w:val="18"/>
          <w:lang w:val="es-MX" w:eastAsia="es-MX"/>
        </w:rPr>
      </w:pPr>
      <w:r w:rsidRPr="001F53E4">
        <w:rPr>
          <w:rFonts w:ascii="Montserrat" w:hAnsi="Montserrat"/>
          <w:b/>
          <w:caps/>
          <w:sz w:val="18"/>
          <w:szCs w:val="18"/>
          <w:lang w:val="es-MX" w:eastAsia="es-MX"/>
        </w:rPr>
        <w:lastRenderedPageBreak/>
        <w:t>Notas al Estado de Flujo</w:t>
      </w:r>
      <w:r w:rsidR="00F72908" w:rsidRPr="001F53E4">
        <w:rPr>
          <w:rFonts w:ascii="Montserrat" w:hAnsi="Montserrat"/>
          <w:b/>
          <w:caps/>
          <w:sz w:val="18"/>
          <w:szCs w:val="18"/>
          <w:lang w:val="es-MX" w:eastAsia="es-MX"/>
        </w:rPr>
        <w:t>S</w:t>
      </w:r>
      <w:r w:rsidR="000A2897">
        <w:rPr>
          <w:rFonts w:ascii="Montserrat" w:hAnsi="Montserrat"/>
          <w:b/>
          <w:caps/>
          <w:sz w:val="18"/>
          <w:szCs w:val="18"/>
          <w:lang w:val="es-MX" w:eastAsia="es-MX"/>
        </w:rPr>
        <w:t xml:space="preserve"> de Efectivo</w:t>
      </w:r>
    </w:p>
    <w:p w14:paraId="1CEFC5A4" w14:textId="77777777" w:rsidR="00081BA5" w:rsidRPr="00825B26" w:rsidRDefault="00081BA5" w:rsidP="00081BA5">
      <w:pPr>
        <w:pStyle w:val="VIETAFLECHA"/>
        <w:numPr>
          <w:ilvl w:val="0"/>
          <w:numId w:val="29"/>
        </w:numPr>
        <w:ind w:left="357" w:hanging="357"/>
        <w:rPr>
          <w:lang w:val="es-MX"/>
        </w:rPr>
      </w:pPr>
      <w:r w:rsidRPr="00825B26">
        <w:rPr>
          <w:lang w:val="es-MX"/>
        </w:rPr>
        <w:t>Flujo de Efectivo de las Actividades de Operación</w:t>
      </w:r>
    </w:p>
    <w:p w14:paraId="357DD92E" w14:textId="540DF36C" w:rsidR="00081BA5" w:rsidRPr="00825B26" w:rsidRDefault="00081BA5" w:rsidP="000F0321">
      <w:pPr>
        <w:spacing w:after="120" w:line="250" w:lineRule="exact"/>
        <w:jc w:val="both"/>
        <w:rPr>
          <w:rFonts w:ascii="Montserrat" w:hAnsi="Montserrat"/>
          <w:sz w:val="18"/>
          <w:szCs w:val="18"/>
        </w:rPr>
      </w:pPr>
      <w:r w:rsidRPr="00E2077D">
        <w:rPr>
          <w:rFonts w:ascii="Montserrat" w:hAnsi="Montserrat"/>
          <w:sz w:val="18"/>
          <w:szCs w:val="18"/>
        </w:rPr>
        <w:t>Los orígenes de actividades de operación cobrados por el periodo comprendido del 1 de enero al 31 de diciembre de 201</w:t>
      </w:r>
      <w:r w:rsidR="00677863" w:rsidRPr="00E2077D">
        <w:rPr>
          <w:rFonts w:ascii="Montserrat" w:hAnsi="Montserrat"/>
          <w:sz w:val="18"/>
          <w:szCs w:val="18"/>
        </w:rPr>
        <w:t>9</w:t>
      </w:r>
      <w:r w:rsidRPr="00E2077D">
        <w:rPr>
          <w:rFonts w:ascii="Montserrat" w:hAnsi="Montserrat"/>
          <w:sz w:val="18"/>
          <w:szCs w:val="18"/>
        </w:rPr>
        <w:t xml:space="preserve"> fueron por </w:t>
      </w:r>
      <w:r w:rsidR="00E83EC1" w:rsidRPr="00E2077D">
        <w:rPr>
          <w:rFonts w:ascii="Montserrat" w:hAnsi="Montserrat"/>
          <w:sz w:val="18"/>
          <w:szCs w:val="18"/>
        </w:rPr>
        <w:t xml:space="preserve">3,893,664,949,919 </w:t>
      </w:r>
      <w:r w:rsidRPr="00E2077D">
        <w:rPr>
          <w:rFonts w:ascii="Montserrat" w:hAnsi="Montserrat"/>
          <w:sz w:val="18"/>
          <w:szCs w:val="18"/>
        </w:rPr>
        <w:t>pesos y en 201</w:t>
      </w:r>
      <w:r w:rsidR="00677863" w:rsidRPr="00E2077D">
        <w:rPr>
          <w:rFonts w:ascii="Montserrat" w:hAnsi="Montserrat"/>
          <w:sz w:val="18"/>
          <w:szCs w:val="18"/>
        </w:rPr>
        <w:t>8</w:t>
      </w:r>
      <w:r w:rsidRPr="00E2077D">
        <w:rPr>
          <w:rFonts w:ascii="Montserrat" w:hAnsi="Montserrat"/>
          <w:sz w:val="18"/>
          <w:szCs w:val="18"/>
        </w:rPr>
        <w:t xml:space="preserve"> por </w:t>
      </w:r>
      <w:r w:rsidR="00E83EC1" w:rsidRPr="00E2077D">
        <w:rPr>
          <w:rFonts w:ascii="Montserrat" w:hAnsi="Montserrat"/>
          <w:sz w:val="18"/>
          <w:szCs w:val="18"/>
        </w:rPr>
        <w:t xml:space="preserve">3,861,185,895,414 </w:t>
      </w:r>
      <w:r w:rsidRPr="00E2077D">
        <w:rPr>
          <w:rFonts w:ascii="Montserrat" w:hAnsi="Montserrat"/>
          <w:sz w:val="18"/>
          <w:szCs w:val="18"/>
        </w:rPr>
        <w:t>pesos. Las aplicaciones de actividades de operación pagadas por el periodo comprendido del 1 de enero al 31 de diciembre de 201</w:t>
      </w:r>
      <w:r w:rsidR="00677863" w:rsidRPr="00E2077D">
        <w:rPr>
          <w:rFonts w:ascii="Montserrat" w:hAnsi="Montserrat"/>
          <w:sz w:val="18"/>
          <w:szCs w:val="18"/>
        </w:rPr>
        <w:t>9</w:t>
      </w:r>
      <w:r w:rsidRPr="00E2077D">
        <w:rPr>
          <w:rFonts w:ascii="Montserrat" w:hAnsi="Montserrat"/>
          <w:sz w:val="18"/>
          <w:szCs w:val="18"/>
        </w:rPr>
        <w:t xml:space="preserve"> fueron por </w:t>
      </w:r>
      <w:r w:rsidR="00E83EC1" w:rsidRPr="00E2077D">
        <w:rPr>
          <w:rFonts w:ascii="Montserrat" w:hAnsi="Montserrat"/>
          <w:sz w:val="18"/>
          <w:szCs w:val="18"/>
        </w:rPr>
        <w:t xml:space="preserve">3,550,771,269,599 </w:t>
      </w:r>
      <w:r w:rsidRPr="00E2077D">
        <w:rPr>
          <w:rFonts w:ascii="Montserrat" w:hAnsi="Montserrat"/>
          <w:sz w:val="18"/>
          <w:szCs w:val="18"/>
        </w:rPr>
        <w:t>pesos y en 201</w:t>
      </w:r>
      <w:r w:rsidR="00677863" w:rsidRPr="00E2077D">
        <w:rPr>
          <w:rFonts w:ascii="Montserrat" w:hAnsi="Montserrat"/>
          <w:sz w:val="18"/>
          <w:szCs w:val="18"/>
        </w:rPr>
        <w:t>8</w:t>
      </w:r>
      <w:r w:rsidRPr="00E2077D">
        <w:rPr>
          <w:rFonts w:ascii="Montserrat" w:hAnsi="Montserrat"/>
          <w:sz w:val="18"/>
          <w:szCs w:val="18"/>
        </w:rPr>
        <w:t xml:space="preserve"> por </w:t>
      </w:r>
      <w:r w:rsidR="00E83EC1" w:rsidRPr="00E2077D">
        <w:rPr>
          <w:rFonts w:ascii="Montserrat" w:hAnsi="Montserrat"/>
          <w:sz w:val="18"/>
          <w:szCs w:val="18"/>
        </w:rPr>
        <w:t xml:space="preserve">3,561,132,774,865 </w:t>
      </w:r>
      <w:r w:rsidRPr="00E2077D">
        <w:rPr>
          <w:rFonts w:ascii="Montserrat" w:hAnsi="Montserrat"/>
          <w:sz w:val="18"/>
          <w:szCs w:val="18"/>
        </w:rPr>
        <w:t>pesos, reflejándose un diferencial de actividades de operación en 201</w:t>
      </w:r>
      <w:r w:rsidR="00677863" w:rsidRPr="00E2077D">
        <w:rPr>
          <w:rFonts w:ascii="Montserrat" w:hAnsi="Montserrat"/>
          <w:sz w:val="18"/>
          <w:szCs w:val="18"/>
        </w:rPr>
        <w:t>9</w:t>
      </w:r>
      <w:r w:rsidRPr="00E2077D">
        <w:rPr>
          <w:rFonts w:ascii="Montserrat" w:hAnsi="Montserrat"/>
          <w:sz w:val="18"/>
          <w:szCs w:val="18"/>
        </w:rPr>
        <w:t xml:space="preserve"> por </w:t>
      </w:r>
      <w:r w:rsidR="00E83EC1" w:rsidRPr="00E2077D">
        <w:rPr>
          <w:rFonts w:ascii="Montserrat" w:hAnsi="Montserrat"/>
          <w:sz w:val="18"/>
          <w:szCs w:val="18"/>
        </w:rPr>
        <w:t xml:space="preserve">342,893,680,320 </w:t>
      </w:r>
      <w:r w:rsidRPr="00E2077D">
        <w:rPr>
          <w:rFonts w:ascii="Montserrat" w:hAnsi="Montserrat"/>
          <w:sz w:val="18"/>
          <w:szCs w:val="18"/>
        </w:rPr>
        <w:t>pesos y en 201</w:t>
      </w:r>
      <w:r w:rsidR="00677863" w:rsidRPr="00E2077D">
        <w:rPr>
          <w:rFonts w:ascii="Montserrat" w:hAnsi="Montserrat"/>
          <w:sz w:val="18"/>
          <w:szCs w:val="18"/>
        </w:rPr>
        <w:t>8</w:t>
      </w:r>
      <w:r w:rsidRPr="00E2077D">
        <w:rPr>
          <w:rFonts w:ascii="Montserrat" w:hAnsi="Montserrat"/>
          <w:sz w:val="18"/>
          <w:szCs w:val="18"/>
        </w:rPr>
        <w:t xml:space="preserve"> por </w:t>
      </w:r>
      <w:r w:rsidR="00E83EC1" w:rsidRPr="00E2077D">
        <w:rPr>
          <w:rFonts w:ascii="Montserrat" w:hAnsi="Montserrat"/>
          <w:sz w:val="18"/>
          <w:szCs w:val="18"/>
        </w:rPr>
        <w:t xml:space="preserve">300,053,120,549 </w:t>
      </w:r>
      <w:r w:rsidRPr="00E2077D">
        <w:rPr>
          <w:rFonts w:ascii="Montserrat" w:hAnsi="Montserrat"/>
          <w:sz w:val="18"/>
          <w:szCs w:val="18"/>
        </w:rPr>
        <w:t>pesos.</w:t>
      </w:r>
    </w:p>
    <w:tbl>
      <w:tblPr>
        <w:tblW w:w="10971" w:type="dxa"/>
        <w:jc w:val="center"/>
        <w:tblCellMar>
          <w:left w:w="70" w:type="dxa"/>
          <w:right w:w="70" w:type="dxa"/>
        </w:tblCellMar>
        <w:tblLook w:val="04A0" w:firstRow="1" w:lastRow="0" w:firstColumn="1" w:lastColumn="0" w:noHBand="0" w:noVBand="1"/>
      </w:tblPr>
      <w:tblGrid>
        <w:gridCol w:w="7115"/>
        <w:gridCol w:w="1928"/>
        <w:gridCol w:w="1728"/>
        <w:gridCol w:w="200"/>
      </w:tblGrid>
      <w:tr w:rsidR="00081BA5" w:rsidRPr="00825B26" w14:paraId="2CB7BA3A" w14:textId="77777777" w:rsidTr="00201FF3">
        <w:trPr>
          <w:gridAfter w:val="1"/>
          <w:wAfter w:w="200" w:type="dxa"/>
          <w:trHeight w:val="255"/>
          <w:jc w:val="center"/>
        </w:trPr>
        <w:tc>
          <w:tcPr>
            <w:tcW w:w="10771" w:type="dxa"/>
            <w:gridSpan w:val="3"/>
            <w:tcBorders>
              <w:top w:val="nil"/>
              <w:left w:val="nil"/>
              <w:right w:val="nil"/>
            </w:tcBorders>
            <w:shd w:val="clear" w:color="auto" w:fill="auto"/>
            <w:noWrap/>
            <w:vAlign w:val="center"/>
            <w:hideMark/>
          </w:tcPr>
          <w:p w14:paraId="380180D2" w14:textId="77777777" w:rsidR="00081BA5" w:rsidRPr="00825B26" w:rsidRDefault="00081BA5" w:rsidP="00201FF3">
            <w:pPr>
              <w:spacing w:after="60" w:line="240" w:lineRule="auto"/>
              <w:jc w:val="center"/>
              <w:rPr>
                <w:rFonts w:ascii="Montserrat" w:eastAsia="Times New Roman" w:hAnsi="Montserrat" w:cs="Arial"/>
                <w:bCs/>
                <w:sz w:val="16"/>
                <w:szCs w:val="16"/>
              </w:rPr>
            </w:pPr>
            <w:r w:rsidRPr="00825B26">
              <w:rPr>
                <w:rFonts w:ascii="Montserrat" w:eastAsia="Times New Roman" w:hAnsi="Montserrat" w:cs="Arial"/>
                <w:bCs/>
                <w:sz w:val="16"/>
                <w:szCs w:val="16"/>
              </w:rPr>
              <w:t>(Pesos)</w:t>
            </w:r>
          </w:p>
        </w:tc>
      </w:tr>
      <w:tr w:rsidR="00081BA5" w:rsidRPr="00825B26" w14:paraId="2A2BF2AA" w14:textId="77777777" w:rsidTr="00201FF3">
        <w:trPr>
          <w:trHeight w:val="57"/>
          <w:jc w:val="center"/>
        </w:trPr>
        <w:tc>
          <w:tcPr>
            <w:tcW w:w="10971" w:type="dxa"/>
            <w:gridSpan w:val="4"/>
            <w:tcBorders>
              <w:top w:val="single" w:sz="12" w:space="0" w:color="808080"/>
            </w:tcBorders>
            <w:shd w:val="clear" w:color="auto" w:fill="F2F2F2"/>
            <w:vAlign w:val="center"/>
          </w:tcPr>
          <w:p w14:paraId="1F7016EB" w14:textId="77777777" w:rsidR="00081BA5" w:rsidRPr="00825B26" w:rsidRDefault="00081BA5" w:rsidP="00201FF3">
            <w:pPr>
              <w:spacing w:after="0" w:line="240" w:lineRule="auto"/>
              <w:jc w:val="center"/>
              <w:rPr>
                <w:rFonts w:ascii="Montserrat" w:eastAsia="Times New Roman" w:hAnsi="Montserrat" w:cs="Calibri"/>
                <w:b/>
                <w:bCs/>
                <w:color w:val="FFFFFF"/>
                <w:sz w:val="4"/>
                <w:szCs w:val="4"/>
                <w:lang w:val="es-MX" w:eastAsia="es-MX"/>
              </w:rPr>
            </w:pPr>
          </w:p>
        </w:tc>
      </w:tr>
      <w:tr w:rsidR="00081BA5" w:rsidRPr="00825B26" w14:paraId="7CCAEC31" w14:textId="77777777" w:rsidTr="00201FF3">
        <w:trPr>
          <w:trHeight w:val="317"/>
          <w:jc w:val="center"/>
        </w:trPr>
        <w:tc>
          <w:tcPr>
            <w:tcW w:w="7115" w:type="dxa"/>
            <w:tcBorders>
              <w:bottom w:val="double" w:sz="12" w:space="0" w:color="808080"/>
              <w:right w:val="single" w:sz="8" w:space="0" w:color="FFFFFF" w:themeColor="background1"/>
            </w:tcBorders>
            <w:shd w:val="clear" w:color="auto" w:fill="D4C19C"/>
            <w:vAlign w:val="center"/>
            <w:hideMark/>
          </w:tcPr>
          <w:p w14:paraId="73092D8F" w14:textId="77777777" w:rsidR="00081BA5" w:rsidRPr="00825B26" w:rsidRDefault="00081BA5" w:rsidP="00201FF3">
            <w:pPr>
              <w:spacing w:after="0" w:line="240" w:lineRule="auto"/>
              <w:jc w:val="center"/>
              <w:rPr>
                <w:rFonts w:ascii="Montserrat" w:eastAsia="Times New Roman" w:hAnsi="Montserrat" w:cs="Calibri"/>
                <w:b/>
                <w:bCs/>
                <w:color w:val="FFFFFF"/>
                <w:sz w:val="16"/>
                <w:szCs w:val="16"/>
                <w:lang w:val="es-MX" w:eastAsia="es-MX"/>
              </w:rPr>
            </w:pPr>
            <w:r w:rsidRPr="00825B26">
              <w:rPr>
                <w:rFonts w:ascii="Montserrat" w:eastAsia="Times New Roman" w:hAnsi="Montserrat" w:cs="Calibri"/>
                <w:b/>
                <w:bCs/>
                <w:color w:val="FFFFFF"/>
                <w:sz w:val="16"/>
                <w:szCs w:val="16"/>
                <w:lang w:val="es-MX" w:eastAsia="es-MX"/>
              </w:rPr>
              <w:t>Ente Público</w:t>
            </w:r>
          </w:p>
        </w:tc>
        <w:tc>
          <w:tcPr>
            <w:tcW w:w="1928" w:type="dxa"/>
            <w:tcBorders>
              <w:left w:val="single" w:sz="8" w:space="0" w:color="FFFFFF" w:themeColor="background1"/>
              <w:bottom w:val="double" w:sz="12" w:space="0" w:color="808080"/>
              <w:right w:val="single" w:sz="8" w:space="0" w:color="FFFFFF" w:themeColor="background1"/>
            </w:tcBorders>
            <w:shd w:val="clear" w:color="auto" w:fill="D4C19C"/>
            <w:vAlign w:val="center"/>
            <w:hideMark/>
          </w:tcPr>
          <w:p w14:paraId="4225C3EE" w14:textId="77777777" w:rsidR="00081BA5" w:rsidRPr="00825B26" w:rsidRDefault="00081BA5" w:rsidP="00201FF3">
            <w:pPr>
              <w:spacing w:after="0" w:line="240" w:lineRule="auto"/>
              <w:jc w:val="center"/>
              <w:rPr>
                <w:rFonts w:ascii="Montserrat" w:eastAsia="Times New Roman" w:hAnsi="Montserrat" w:cs="Calibri"/>
                <w:b/>
                <w:bCs/>
                <w:color w:val="FFFFFF"/>
                <w:sz w:val="16"/>
                <w:szCs w:val="16"/>
                <w:lang w:val="es-MX" w:eastAsia="es-MX"/>
              </w:rPr>
            </w:pPr>
            <w:r w:rsidRPr="00825B26">
              <w:rPr>
                <w:rFonts w:ascii="Montserrat" w:eastAsia="Times New Roman" w:hAnsi="Montserrat" w:cs="Calibri"/>
                <w:b/>
                <w:bCs/>
                <w:color w:val="FFFFFF"/>
                <w:sz w:val="16"/>
                <w:szCs w:val="16"/>
                <w:lang w:val="es-MX" w:eastAsia="es-MX"/>
              </w:rPr>
              <w:t>201</w:t>
            </w:r>
            <w:r w:rsidR="005365FD">
              <w:rPr>
                <w:rFonts w:ascii="Montserrat" w:eastAsia="Times New Roman" w:hAnsi="Montserrat" w:cs="Calibri"/>
                <w:b/>
                <w:bCs/>
                <w:color w:val="FFFFFF"/>
                <w:sz w:val="16"/>
                <w:szCs w:val="16"/>
                <w:lang w:val="es-MX" w:eastAsia="es-MX"/>
              </w:rPr>
              <w:t>9</w:t>
            </w:r>
          </w:p>
        </w:tc>
        <w:tc>
          <w:tcPr>
            <w:tcW w:w="1928" w:type="dxa"/>
            <w:gridSpan w:val="2"/>
            <w:tcBorders>
              <w:left w:val="single" w:sz="8" w:space="0" w:color="FFFFFF" w:themeColor="background1"/>
              <w:bottom w:val="double" w:sz="12" w:space="0" w:color="808080"/>
            </w:tcBorders>
            <w:shd w:val="clear" w:color="auto" w:fill="D4C19C"/>
            <w:vAlign w:val="center"/>
            <w:hideMark/>
          </w:tcPr>
          <w:p w14:paraId="3DDA5A67" w14:textId="77777777" w:rsidR="00081BA5" w:rsidRPr="00825B26" w:rsidRDefault="00081BA5" w:rsidP="00201FF3">
            <w:pPr>
              <w:spacing w:after="0" w:line="240" w:lineRule="auto"/>
              <w:jc w:val="center"/>
              <w:rPr>
                <w:rFonts w:ascii="Montserrat" w:eastAsia="Times New Roman" w:hAnsi="Montserrat" w:cs="Calibri"/>
                <w:b/>
                <w:bCs/>
                <w:color w:val="FFFFFF"/>
                <w:sz w:val="16"/>
                <w:szCs w:val="16"/>
                <w:lang w:val="es-MX" w:eastAsia="es-MX"/>
              </w:rPr>
            </w:pPr>
            <w:r w:rsidRPr="00825B26">
              <w:rPr>
                <w:rFonts w:ascii="Montserrat" w:eastAsia="Times New Roman" w:hAnsi="Montserrat" w:cs="Calibri"/>
                <w:b/>
                <w:bCs/>
                <w:color w:val="FFFFFF"/>
                <w:sz w:val="16"/>
                <w:szCs w:val="16"/>
                <w:lang w:val="es-MX" w:eastAsia="es-MX"/>
              </w:rPr>
              <w:t>201</w:t>
            </w:r>
            <w:r w:rsidR="005365FD">
              <w:rPr>
                <w:rFonts w:ascii="Montserrat" w:eastAsia="Times New Roman" w:hAnsi="Montserrat" w:cs="Calibri"/>
                <w:b/>
                <w:bCs/>
                <w:color w:val="FFFFFF"/>
                <w:sz w:val="16"/>
                <w:szCs w:val="16"/>
                <w:lang w:val="es-MX" w:eastAsia="es-MX"/>
              </w:rPr>
              <w:t>8</w:t>
            </w:r>
          </w:p>
        </w:tc>
      </w:tr>
      <w:tr w:rsidR="005365FD" w:rsidRPr="00825B26" w14:paraId="20604E4E" w14:textId="77777777" w:rsidTr="000F0321">
        <w:trPr>
          <w:trHeight w:val="255"/>
          <w:jc w:val="center"/>
        </w:trPr>
        <w:tc>
          <w:tcPr>
            <w:tcW w:w="7115" w:type="dxa"/>
            <w:tcBorders>
              <w:top w:val="double" w:sz="12" w:space="0" w:color="808080"/>
            </w:tcBorders>
            <w:shd w:val="clear" w:color="auto" w:fill="F2F2F2"/>
            <w:vAlign w:val="center"/>
          </w:tcPr>
          <w:p w14:paraId="0FD41EA5" w14:textId="77777777" w:rsidR="005365FD" w:rsidRPr="00255081" w:rsidRDefault="005365FD" w:rsidP="005365FD">
            <w:pPr>
              <w:spacing w:after="0"/>
              <w:jc w:val="both"/>
              <w:rPr>
                <w:rFonts w:ascii="Montserrat" w:eastAsia="Times New Roman" w:hAnsi="Montserrat" w:cs="Arial"/>
                <w:sz w:val="15"/>
                <w:szCs w:val="15"/>
              </w:rPr>
            </w:pPr>
            <w:r w:rsidRPr="00255081">
              <w:rPr>
                <w:rFonts w:ascii="Montserrat" w:eastAsia="Times New Roman" w:hAnsi="Montserrat" w:cs="Arial"/>
                <w:sz w:val="15"/>
                <w:szCs w:val="15"/>
              </w:rPr>
              <w:t>Poder Ejecutivo</w:t>
            </w:r>
          </w:p>
        </w:tc>
        <w:tc>
          <w:tcPr>
            <w:tcW w:w="1928" w:type="dxa"/>
            <w:tcBorders>
              <w:top w:val="double" w:sz="12" w:space="0" w:color="808080"/>
            </w:tcBorders>
            <w:shd w:val="clear" w:color="auto" w:fill="F2F2F2"/>
            <w:vAlign w:val="center"/>
          </w:tcPr>
          <w:p w14:paraId="57A869BF" w14:textId="088ED601" w:rsidR="005365FD" w:rsidRPr="00255081" w:rsidRDefault="00E83EC1" w:rsidP="005365FD">
            <w:pPr>
              <w:spacing w:after="0" w:line="240" w:lineRule="auto"/>
              <w:jc w:val="right"/>
              <w:rPr>
                <w:rFonts w:ascii="Montserrat" w:hAnsi="Montserrat" w:cs="Arial"/>
                <w:sz w:val="15"/>
                <w:szCs w:val="15"/>
              </w:rPr>
            </w:pPr>
            <w:r w:rsidRPr="00255081">
              <w:rPr>
                <w:rFonts w:ascii="Montserrat" w:hAnsi="Montserrat" w:cs="Arial"/>
                <w:sz w:val="15"/>
                <w:szCs w:val="15"/>
              </w:rPr>
              <w:t>342,893,680,320</w:t>
            </w:r>
          </w:p>
        </w:tc>
        <w:tc>
          <w:tcPr>
            <w:tcW w:w="1928" w:type="dxa"/>
            <w:gridSpan w:val="2"/>
            <w:tcBorders>
              <w:top w:val="double" w:sz="12" w:space="0" w:color="808080"/>
            </w:tcBorders>
            <w:shd w:val="clear" w:color="auto" w:fill="F2F2F2"/>
            <w:vAlign w:val="center"/>
          </w:tcPr>
          <w:p w14:paraId="72ED9B00" w14:textId="77777777" w:rsidR="005365FD" w:rsidRPr="00255081" w:rsidRDefault="005365FD" w:rsidP="005365FD">
            <w:pPr>
              <w:spacing w:after="0" w:line="240" w:lineRule="auto"/>
              <w:jc w:val="right"/>
              <w:rPr>
                <w:rFonts w:ascii="Montserrat" w:hAnsi="Montserrat" w:cs="Arial"/>
                <w:sz w:val="15"/>
                <w:szCs w:val="15"/>
              </w:rPr>
            </w:pPr>
            <w:r w:rsidRPr="00255081">
              <w:rPr>
                <w:rFonts w:ascii="Montserrat" w:hAnsi="Montserrat" w:cs="Arial"/>
                <w:sz w:val="15"/>
                <w:szCs w:val="15"/>
              </w:rPr>
              <w:t>300,053,120,549</w:t>
            </w:r>
          </w:p>
        </w:tc>
      </w:tr>
      <w:tr w:rsidR="005365FD" w:rsidRPr="00825B26" w14:paraId="63151BED" w14:textId="77777777" w:rsidTr="00081BA5">
        <w:trPr>
          <w:trHeight w:val="255"/>
          <w:jc w:val="center"/>
        </w:trPr>
        <w:tc>
          <w:tcPr>
            <w:tcW w:w="7115" w:type="dxa"/>
            <w:tcBorders>
              <w:bottom w:val="single" w:sz="12" w:space="0" w:color="808080" w:themeColor="background1" w:themeShade="80"/>
            </w:tcBorders>
            <w:shd w:val="clear" w:color="auto" w:fill="F2F2F2"/>
            <w:vAlign w:val="center"/>
            <w:hideMark/>
          </w:tcPr>
          <w:p w14:paraId="29A8D131" w14:textId="77777777" w:rsidR="005365FD" w:rsidRPr="00255081" w:rsidRDefault="005365FD" w:rsidP="005365FD">
            <w:pPr>
              <w:spacing w:after="0"/>
              <w:jc w:val="right"/>
              <w:rPr>
                <w:rFonts w:ascii="Montserrat" w:eastAsia="Times New Roman" w:hAnsi="Montserrat" w:cs="Arial"/>
                <w:sz w:val="15"/>
                <w:szCs w:val="15"/>
              </w:rPr>
            </w:pPr>
            <w:r w:rsidRPr="00255081">
              <w:rPr>
                <w:rFonts w:ascii="Montserrat" w:eastAsia="Times New Roman" w:hAnsi="Montserrat" w:cs="Arial"/>
                <w:b/>
                <w:bCs/>
                <w:sz w:val="15"/>
                <w:szCs w:val="15"/>
              </w:rPr>
              <w:t>Suma de Flujos Netos de Efectivo por Actividades de operación</w:t>
            </w:r>
          </w:p>
        </w:tc>
        <w:tc>
          <w:tcPr>
            <w:tcW w:w="1928" w:type="dxa"/>
            <w:tcBorders>
              <w:bottom w:val="single" w:sz="12" w:space="0" w:color="808080" w:themeColor="background1" w:themeShade="80"/>
            </w:tcBorders>
            <w:shd w:val="clear" w:color="auto" w:fill="F2F2F2"/>
            <w:vAlign w:val="center"/>
          </w:tcPr>
          <w:p w14:paraId="4C6E09E2" w14:textId="25B6E913" w:rsidR="005365FD" w:rsidRPr="00255081" w:rsidRDefault="00E83EC1" w:rsidP="005365FD">
            <w:pPr>
              <w:spacing w:after="0" w:line="240" w:lineRule="auto"/>
              <w:jc w:val="right"/>
              <w:rPr>
                <w:rFonts w:ascii="Montserrat" w:hAnsi="Montserrat" w:cs="Arial"/>
                <w:b/>
                <w:sz w:val="15"/>
                <w:szCs w:val="15"/>
              </w:rPr>
            </w:pPr>
            <w:r w:rsidRPr="00255081">
              <w:rPr>
                <w:rFonts w:ascii="Montserrat" w:hAnsi="Montserrat" w:cs="Arial"/>
                <w:b/>
                <w:sz w:val="15"/>
                <w:szCs w:val="15"/>
              </w:rPr>
              <w:t>342,893,680,320</w:t>
            </w:r>
          </w:p>
        </w:tc>
        <w:tc>
          <w:tcPr>
            <w:tcW w:w="1928" w:type="dxa"/>
            <w:gridSpan w:val="2"/>
            <w:tcBorders>
              <w:bottom w:val="single" w:sz="12" w:space="0" w:color="808080" w:themeColor="background1" w:themeShade="80"/>
            </w:tcBorders>
            <w:shd w:val="clear" w:color="auto" w:fill="F2F2F2"/>
            <w:vAlign w:val="center"/>
            <w:hideMark/>
          </w:tcPr>
          <w:p w14:paraId="347E0F13" w14:textId="77777777" w:rsidR="005365FD" w:rsidRPr="00255081" w:rsidRDefault="005365FD" w:rsidP="005365FD">
            <w:pPr>
              <w:spacing w:after="0" w:line="240" w:lineRule="auto"/>
              <w:jc w:val="right"/>
              <w:rPr>
                <w:rFonts w:ascii="Montserrat" w:hAnsi="Montserrat" w:cs="Arial"/>
                <w:b/>
                <w:sz w:val="15"/>
                <w:szCs w:val="15"/>
              </w:rPr>
            </w:pPr>
            <w:r w:rsidRPr="00255081">
              <w:rPr>
                <w:rFonts w:ascii="Montserrat" w:hAnsi="Montserrat" w:cs="Arial"/>
                <w:b/>
                <w:sz w:val="15"/>
                <w:szCs w:val="15"/>
              </w:rPr>
              <w:t>300,053,120,549</w:t>
            </w:r>
          </w:p>
        </w:tc>
      </w:tr>
    </w:tbl>
    <w:p w14:paraId="3BDD2CA3" w14:textId="77777777" w:rsidR="00014B5D" w:rsidRPr="00F576E1" w:rsidRDefault="00014B5D" w:rsidP="00F576E1">
      <w:pPr>
        <w:spacing w:after="0" w:line="240" w:lineRule="auto"/>
        <w:jc w:val="both"/>
        <w:rPr>
          <w:rFonts w:ascii="Montserrat" w:hAnsi="Montserrat" w:cs="Arial"/>
          <w:spacing w:val="-1"/>
          <w:sz w:val="18"/>
          <w:szCs w:val="18"/>
        </w:rPr>
      </w:pPr>
    </w:p>
    <w:p w14:paraId="2F064561" w14:textId="77777777" w:rsidR="00081BA5" w:rsidRPr="00825B26" w:rsidRDefault="00081BA5" w:rsidP="00081BA5">
      <w:pPr>
        <w:pStyle w:val="VIETAFLECHA"/>
        <w:numPr>
          <w:ilvl w:val="0"/>
          <w:numId w:val="29"/>
        </w:numPr>
        <w:ind w:left="357" w:hanging="357"/>
        <w:rPr>
          <w:lang w:val="es-MX"/>
        </w:rPr>
      </w:pPr>
      <w:r w:rsidRPr="00825B26">
        <w:rPr>
          <w:lang w:val="es-MX"/>
        </w:rPr>
        <w:t>Flujo de Efectivo de las Actividades de Inversión</w:t>
      </w:r>
    </w:p>
    <w:p w14:paraId="1EA05DC0" w14:textId="6FFD5717" w:rsidR="00081BA5" w:rsidRPr="00825B26" w:rsidRDefault="00081BA5" w:rsidP="000F0321">
      <w:pPr>
        <w:spacing w:after="120" w:line="250" w:lineRule="exact"/>
        <w:jc w:val="both"/>
        <w:rPr>
          <w:rFonts w:ascii="Montserrat" w:hAnsi="Montserrat"/>
          <w:sz w:val="18"/>
          <w:szCs w:val="18"/>
        </w:rPr>
      </w:pPr>
      <w:r w:rsidRPr="00825B26">
        <w:rPr>
          <w:rFonts w:ascii="Montserrat" w:hAnsi="Montserrat"/>
          <w:sz w:val="18"/>
          <w:szCs w:val="18"/>
        </w:rPr>
        <w:t>Los orígenes de actividades de inversión cobrados por el periodo comprendido del 1 de enero al 31 de diciembre de 201</w:t>
      </w:r>
      <w:r w:rsidR="00677863">
        <w:rPr>
          <w:rFonts w:ascii="Montserrat" w:hAnsi="Montserrat"/>
          <w:sz w:val="18"/>
          <w:szCs w:val="18"/>
        </w:rPr>
        <w:t>9</w:t>
      </w:r>
      <w:r w:rsidRPr="00825B26">
        <w:rPr>
          <w:rFonts w:ascii="Montserrat" w:hAnsi="Montserrat"/>
          <w:sz w:val="18"/>
          <w:szCs w:val="18"/>
        </w:rPr>
        <w:t xml:space="preserve"> fueron por </w:t>
      </w:r>
      <w:r w:rsidR="00E83EC1" w:rsidRPr="00E83EC1">
        <w:rPr>
          <w:rFonts w:ascii="Montserrat" w:hAnsi="Montserrat"/>
          <w:sz w:val="18"/>
          <w:szCs w:val="18"/>
        </w:rPr>
        <w:t>134,881,187,261</w:t>
      </w:r>
      <w:r w:rsidR="00E83EC1">
        <w:rPr>
          <w:rFonts w:ascii="Montserrat" w:hAnsi="Montserrat"/>
          <w:sz w:val="18"/>
          <w:szCs w:val="18"/>
        </w:rPr>
        <w:t xml:space="preserve"> </w:t>
      </w:r>
      <w:r w:rsidRPr="00825B26">
        <w:rPr>
          <w:rFonts w:ascii="Montserrat" w:hAnsi="Montserrat"/>
          <w:sz w:val="18"/>
          <w:szCs w:val="18"/>
        </w:rPr>
        <w:t>pesos y en 201</w:t>
      </w:r>
      <w:r w:rsidR="00677863">
        <w:rPr>
          <w:rFonts w:ascii="Montserrat" w:hAnsi="Montserrat"/>
          <w:sz w:val="18"/>
          <w:szCs w:val="18"/>
        </w:rPr>
        <w:t>8</w:t>
      </w:r>
      <w:r w:rsidRPr="00825B26">
        <w:rPr>
          <w:rFonts w:ascii="Montserrat" w:hAnsi="Montserrat"/>
          <w:sz w:val="18"/>
          <w:szCs w:val="18"/>
        </w:rPr>
        <w:t xml:space="preserve"> por </w:t>
      </w:r>
      <w:r w:rsidR="00E83EC1">
        <w:rPr>
          <w:rFonts w:ascii="Montserrat" w:hAnsi="Montserrat"/>
          <w:sz w:val="18"/>
          <w:szCs w:val="18"/>
        </w:rPr>
        <w:t>14,624,358,196</w:t>
      </w:r>
      <w:r w:rsidR="00E83EC1" w:rsidRPr="00825B26">
        <w:rPr>
          <w:rFonts w:ascii="Montserrat" w:hAnsi="Montserrat"/>
          <w:sz w:val="18"/>
          <w:szCs w:val="18"/>
        </w:rPr>
        <w:t xml:space="preserve"> </w:t>
      </w:r>
      <w:r w:rsidRPr="00825B26">
        <w:rPr>
          <w:rFonts w:ascii="Montserrat" w:hAnsi="Montserrat"/>
          <w:sz w:val="18"/>
          <w:szCs w:val="18"/>
        </w:rPr>
        <w:t>pesos. Las aplicaciones de actividades de inversión pagadas por el periodo comprendido del 1 de enero al 31 de diciembre de 201</w:t>
      </w:r>
      <w:r w:rsidR="00677863">
        <w:rPr>
          <w:rFonts w:ascii="Montserrat" w:hAnsi="Montserrat"/>
          <w:sz w:val="18"/>
          <w:szCs w:val="18"/>
        </w:rPr>
        <w:t>9</w:t>
      </w:r>
      <w:r w:rsidRPr="00825B26">
        <w:rPr>
          <w:rFonts w:ascii="Montserrat" w:hAnsi="Montserrat"/>
          <w:sz w:val="18"/>
          <w:szCs w:val="18"/>
        </w:rPr>
        <w:t xml:space="preserve"> fueron por </w:t>
      </w:r>
      <w:r w:rsidR="001B3AD1">
        <w:rPr>
          <w:rFonts w:ascii="Montserrat" w:hAnsi="Montserrat"/>
          <w:sz w:val="18"/>
          <w:szCs w:val="18"/>
        </w:rPr>
        <w:t>1</w:t>
      </w:r>
      <w:r w:rsidR="00E83EC1" w:rsidRPr="00E83EC1">
        <w:rPr>
          <w:rFonts w:ascii="Montserrat" w:hAnsi="Montserrat"/>
          <w:sz w:val="18"/>
          <w:szCs w:val="18"/>
        </w:rPr>
        <w:t>85,984,740,721</w:t>
      </w:r>
      <w:r w:rsidR="00E83EC1">
        <w:rPr>
          <w:rFonts w:ascii="Montserrat" w:hAnsi="Montserrat"/>
          <w:sz w:val="18"/>
          <w:szCs w:val="18"/>
        </w:rPr>
        <w:t xml:space="preserve"> </w:t>
      </w:r>
      <w:r w:rsidRPr="00825B26">
        <w:rPr>
          <w:rFonts w:ascii="Montserrat" w:hAnsi="Montserrat"/>
          <w:sz w:val="18"/>
          <w:szCs w:val="18"/>
        </w:rPr>
        <w:t>pesos y en 201</w:t>
      </w:r>
      <w:r w:rsidR="00677863">
        <w:rPr>
          <w:rFonts w:ascii="Montserrat" w:hAnsi="Montserrat"/>
          <w:sz w:val="18"/>
          <w:szCs w:val="18"/>
        </w:rPr>
        <w:t>8</w:t>
      </w:r>
      <w:r w:rsidRPr="00825B26">
        <w:rPr>
          <w:rFonts w:ascii="Montserrat" w:hAnsi="Montserrat"/>
          <w:sz w:val="18"/>
          <w:szCs w:val="18"/>
        </w:rPr>
        <w:t xml:space="preserve"> por </w:t>
      </w:r>
      <w:r w:rsidR="00E83EC1">
        <w:rPr>
          <w:rFonts w:ascii="Montserrat" w:hAnsi="Montserrat"/>
          <w:sz w:val="18"/>
          <w:szCs w:val="18"/>
        </w:rPr>
        <w:t>145,387,971,658</w:t>
      </w:r>
      <w:r w:rsidR="00E83EC1" w:rsidRPr="00825B26">
        <w:rPr>
          <w:rFonts w:ascii="Montserrat" w:hAnsi="Montserrat"/>
          <w:sz w:val="18"/>
          <w:szCs w:val="18"/>
        </w:rPr>
        <w:t xml:space="preserve"> </w:t>
      </w:r>
      <w:r w:rsidRPr="00825B26">
        <w:rPr>
          <w:rFonts w:ascii="Montserrat" w:hAnsi="Montserrat"/>
          <w:sz w:val="18"/>
          <w:szCs w:val="18"/>
        </w:rPr>
        <w:t>pesos, reflejándose un diferencial de actividades de inversión en 201</w:t>
      </w:r>
      <w:r w:rsidR="00677863">
        <w:rPr>
          <w:rFonts w:ascii="Montserrat" w:hAnsi="Montserrat"/>
          <w:sz w:val="18"/>
          <w:szCs w:val="18"/>
        </w:rPr>
        <w:t>9</w:t>
      </w:r>
      <w:r w:rsidRPr="00825B26">
        <w:rPr>
          <w:rFonts w:ascii="Montserrat" w:hAnsi="Montserrat"/>
          <w:sz w:val="18"/>
          <w:szCs w:val="18"/>
        </w:rPr>
        <w:t xml:space="preserve"> por </w:t>
      </w:r>
      <w:r w:rsidR="00E83EC1" w:rsidRPr="00E83EC1">
        <w:rPr>
          <w:rFonts w:ascii="Montserrat" w:hAnsi="Montserrat"/>
          <w:sz w:val="18"/>
          <w:szCs w:val="18"/>
        </w:rPr>
        <w:t>-51,103,553,460</w:t>
      </w:r>
      <w:r w:rsidR="00E83EC1">
        <w:rPr>
          <w:rFonts w:ascii="Montserrat" w:hAnsi="Montserrat"/>
          <w:sz w:val="18"/>
          <w:szCs w:val="18"/>
        </w:rPr>
        <w:t xml:space="preserve"> </w:t>
      </w:r>
      <w:r w:rsidRPr="00825B26">
        <w:rPr>
          <w:rFonts w:ascii="Montserrat" w:hAnsi="Montserrat"/>
          <w:sz w:val="18"/>
          <w:szCs w:val="18"/>
        </w:rPr>
        <w:t>pesos y en 201</w:t>
      </w:r>
      <w:r w:rsidR="00677863">
        <w:rPr>
          <w:rFonts w:ascii="Montserrat" w:hAnsi="Montserrat"/>
          <w:sz w:val="18"/>
          <w:szCs w:val="18"/>
        </w:rPr>
        <w:t>8</w:t>
      </w:r>
      <w:r w:rsidRPr="00825B26">
        <w:rPr>
          <w:rFonts w:ascii="Montserrat" w:hAnsi="Montserrat"/>
          <w:sz w:val="18"/>
          <w:szCs w:val="18"/>
        </w:rPr>
        <w:t xml:space="preserve"> por </w:t>
      </w:r>
      <w:r w:rsidR="00E83EC1" w:rsidRPr="00825B26">
        <w:rPr>
          <w:rFonts w:ascii="Montserrat" w:hAnsi="Montserrat"/>
          <w:sz w:val="18"/>
          <w:szCs w:val="18"/>
        </w:rPr>
        <w:t>-</w:t>
      </w:r>
      <w:r w:rsidR="00E83EC1">
        <w:rPr>
          <w:rFonts w:ascii="Montserrat" w:hAnsi="Montserrat"/>
          <w:sz w:val="18"/>
          <w:szCs w:val="18"/>
        </w:rPr>
        <w:t>130,763,613,462</w:t>
      </w:r>
      <w:r w:rsidR="00E83EC1" w:rsidRPr="00825B26">
        <w:rPr>
          <w:rFonts w:ascii="Montserrat" w:hAnsi="Montserrat"/>
          <w:sz w:val="18"/>
          <w:szCs w:val="18"/>
        </w:rPr>
        <w:t xml:space="preserve"> </w:t>
      </w:r>
      <w:r w:rsidRPr="00825B26">
        <w:rPr>
          <w:rFonts w:ascii="Montserrat" w:hAnsi="Montserrat"/>
          <w:sz w:val="18"/>
          <w:szCs w:val="18"/>
        </w:rPr>
        <w:t>pesos.</w:t>
      </w:r>
    </w:p>
    <w:tbl>
      <w:tblPr>
        <w:tblW w:w="10971" w:type="dxa"/>
        <w:jc w:val="center"/>
        <w:tblCellMar>
          <w:left w:w="70" w:type="dxa"/>
          <w:right w:w="70" w:type="dxa"/>
        </w:tblCellMar>
        <w:tblLook w:val="04A0" w:firstRow="1" w:lastRow="0" w:firstColumn="1" w:lastColumn="0" w:noHBand="0" w:noVBand="1"/>
      </w:tblPr>
      <w:tblGrid>
        <w:gridCol w:w="7115"/>
        <w:gridCol w:w="1928"/>
        <w:gridCol w:w="1728"/>
        <w:gridCol w:w="200"/>
      </w:tblGrid>
      <w:tr w:rsidR="00081BA5" w:rsidRPr="00825B26" w14:paraId="78773128" w14:textId="77777777" w:rsidTr="00201FF3">
        <w:trPr>
          <w:gridAfter w:val="1"/>
          <w:wAfter w:w="200" w:type="dxa"/>
          <w:trHeight w:val="255"/>
          <w:jc w:val="center"/>
        </w:trPr>
        <w:tc>
          <w:tcPr>
            <w:tcW w:w="10771" w:type="dxa"/>
            <w:gridSpan w:val="3"/>
            <w:tcBorders>
              <w:top w:val="nil"/>
              <w:left w:val="nil"/>
              <w:bottom w:val="nil"/>
              <w:right w:val="nil"/>
            </w:tcBorders>
            <w:shd w:val="clear" w:color="auto" w:fill="auto"/>
            <w:noWrap/>
            <w:vAlign w:val="center"/>
            <w:hideMark/>
          </w:tcPr>
          <w:p w14:paraId="09395B7B" w14:textId="77777777" w:rsidR="00081BA5" w:rsidRPr="00825B26" w:rsidRDefault="00081BA5" w:rsidP="00201FF3">
            <w:pPr>
              <w:spacing w:after="0"/>
              <w:jc w:val="center"/>
              <w:rPr>
                <w:rFonts w:ascii="Montserrat" w:eastAsia="Times New Roman" w:hAnsi="Montserrat" w:cs="Arial"/>
                <w:bCs/>
                <w:sz w:val="16"/>
                <w:szCs w:val="16"/>
              </w:rPr>
            </w:pPr>
            <w:r w:rsidRPr="00825B26">
              <w:rPr>
                <w:rFonts w:ascii="Montserrat" w:eastAsia="Times New Roman" w:hAnsi="Montserrat" w:cs="Arial"/>
                <w:bCs/>
                <w:sz w:val="16"/>
                <w:szCs w:val="16"/>
              </w:rPr>
              <w:t>(Pesos)</w:t>
            </w:r>
          </w:p>
        </w:tc>
      </w:tr>
      <w:tr w:rsidR="00081BA5" w:rsidRPr="00825B26" w14:paraId="654C6B37" w14:textId="77777777" w:rsidTr="00201FF3">
        <w:trPr>
          <w:trHeight w:val="57"/>
          <w:jc w:val="center"/>
        </w:trPr>
        <w:tc>
          <w:tcPr>
            <w:tcW w:w="10971" w:type="dxa"/>
            <w:gridSpan w:val="4"/>
            <w:tcBorders>
              <w:top w:val="single" w:sz="12" w:space="0" w:color="808080"/>
            </w:tcBorders>
            <w:shd w:val="clear" w:color="auto" w:fill="auto"/>
            <w:vAlign w:val="center"/>
          </w:tcPr>
          <w:p w14:paraId="0FA5C392" w14:textId="77777777" w:rsidR="00081BA5" w:rsidRPr="00825B26" w:rsidRDefault="00081BA5" w:rsidP="00201FF3">
            <w:pPr>
              <w:spacing w:after="0" w:line="240" w:lineRule="auto"/>
              <w:jc w:val="center"/>
              <w:rPr>
                <w:rFonts w:ascii="Montserrat" w:eastAsia="Times New Roman" w:hAnsi="Montserrat" w:cs="Calibri"/>
                <w:b/>
                <w:bCs/>
                <w:color w:val="FFFFFF"/>
                <w:sz w:val="4"/>
                <w:szCs w:val="4"/>
                <w:lang w:val="es-MX" w:eastAsia="es-MX"/>
              </w:rPr>
            </w:pPr>
          </w:p>
        </w:tc>
      </w:tr>
      <w:tr w:rsidR="00081BA5" w:rsidRPr="00825B26" w14:paraId="0AF6D3FE" w14:textId="77777777" w:rsidTr="00201FF3">
        <w:trPr>
          <w:trHeight w:val="317"/>
          <w:jc w:val="center"/>
        </w:trPr>
        <w:tc>
          <w:tcPr>
            <w:tcW w:w="7115" w:type="dxa"/>
            <w:tcBorders>
              <w:bottom w:val="double" w:sz="12" w:space="0" w:color="808080"/>
              <w:right w:val="single" w:sz="4" w:space="0" w:color="FFFFFF" w:themeColor="background1"/>
            </w:tcBorders>
            <w:shd w:val="clear" w:color="auto" w:fill="D4C19C"/>
            <w:vAlign w:val="center"/>
            <w:hideMark/>
          </w:tcPr>
          <w:p w14:paraId="3FB9F925" w14:textId="77777777" w:rsidR="00081BA5" w:rsidRPr="00825B26" w:rsidRDefault="00081BA5" w:rsidP="00201FF3">
            <w:pPr>
              <w:spacing w:after="0" w:line="240" w:lineRule="auto"/>
              <w:jc w:val="center"/>
              <w:rPr>
                <w:rFonts w:ascii="Montserrat" w:eastAsia="Times New Roman" w:hAnsi="Montserrat" w:cs="Calibri"/>
                <w:b/>
                <w:bCs/>
                <w:color w:val="FFFFFF"/>
                <w:sz w:val="16"/>
                <w:szCs w:val="16"/>
                <w:lang w:val="es-MX" w:eastAsia="es-MX"/>
              </w:rPr>
            </w:pPr>
            <w:r w:rsidRPr="00825B26">
              <w:rPr>
                <w:rFonts w:ascii="Montserrat" w:eastAsia="Times New Roman" w:hAnsi="Montserrat" w:cs="Calibri"/>
                <w:b/>
                <w:bCs/>
                <w:color w:val="FFFFFF"/>
                <w:sz w:val="16"/>
                <w:szCs w:val="16"/>
                <w:lang w:val="es-MX" w:eastAsia="es-MX"/>
              </w:rPr>
              <w:t>Ente Público</w:t>
            </w:r>
          </w:p>
        </w:tc>
        <w:tc>
          <w:tcPr>
            <w:tcW w:w="1928" w:type="dxa"/>
            <w:tcBorders>
              <w:left w:val="single" w:sz="4" w:space="0" w:color="FFFFFF" w:themeColor="background1"/>
              <w:bottom w:val="double" w:sz="12" w:space="0" w:color="808080"/>
              <w:right w:val="single" w:sz="4" w:space="0" w:color="FFFFFF" w:themeColor="background1"/>
            </w:tcBorders>
            <w:shd w:val="clear" w:color="auto" w:fill="D4C19C"/>
            <w:vAlign w:val="center"/>
            <w:hideMark/>
          </w:tcPr>
          <w:p w14:paraId="5C97C3F3" w14:textId="77777777" w:rsidR="00081BA5" w:rsidRPr="00825B26" w:rsidRDefault="00081BA5" w:rsidP="00201FF3">
            <w:pPr>
              <w:spacing w:after="0" w:line="240" w:lineRule="auto"/>
              <w:jc w:val="center"/>
              <w:rPr>
                <w:rFonts w:ascii="Montserrat" w:eastAsia="Times New Roman" w:hAnsi="Montserrat" w:cs="Calibri"/>
                <w:b/>
                <w:bCs/>
                <w:color w:val="FFFFFF"/>
                <w:sz w:val="16"/>
                <w:szCs w:val="16"/>
                <w:lang w:val="es-MX" w:eastAsia="es-MX"/>
              </w:rPr>
            </w:pPr>
            <w:r w:rsidRPr="00825B26">
              <w:rPr>
                <w:rFonts w:ascii="Montserrat" w:eastAsia="Times New Roman" w:hAnsi="Montserrat" w:cs="Calibri"/>
                <w:b/>
                <w:bCs/>
                <w:color w:val="FFFFFF"/>
                <w:sz w:val="16"/>
                <w:szCs w:val="16"/>
                <w:lang w:val="es-MX" w:eastAsia="es-MX"/>
              </w:rPr>
              <w:t>201</w:t>
            </w:r>
            <w:r w:rsidR="005365FD">
              <w:rPr>
                <w:rFonts w:ascii="Montserrat" w:eastAsia="Times New Roman" w:hAnsi="Montserrat" w:cs="Calibri"/>
                <w:b/>
                <w:bCs/>
                <w:color w:val="FFFFFF"/>
                <w:sz w:val="16"/>
                <w:szCs w:val="16"/>
                <w:lang w:val="es-MX" w:eastAsia="es-MX"/>
              </w:rPr>
              <w:t>9</w:t>
            </w:r>
          </w:p>
        </w:tc>
        <w:tc>
          <w:tcPr>
            <w:tcW w:w="1928" w:type="dxa"/>
            <w:gridSpan w:val="2"/>
            <w:tcBorders>
              <w:left w:val="single" w:sz="4" w:space="0" w:color="FFFFFF" w:themeColor="background1"/>
              <w:bottom w:val="double" w:sz="12" w:space="0" w:color="808080"/>
            </w:tcBorders>
            <w:shd w:val="clear" w:color="auto" w:fill="D4C19C"/>
            <w:vAlign w:val="center"/>
            <w:hideMark/>
          </w:tcPr>
          <w:p w14:paraId="4545345E" w14:textId="77777777" w:rsidR="00081BA5" w:rsidRPr="00825B26" w:rsidRDefault="00081BA5" w:rsidP="00201FF3">
            <w:pPr>
              <w:spacing w:after="0" w:line="240" w:lineRule="auto"/>
              <w:jc w:val="center"/>
              <w:rPr>
                <w:rFonts w:ascii="Montserrat" w:eastAsia="Times New Roman" w:hAnsi="Montserrat" w:cs="Calibri"/>
                <w:b/>
                <w:bCs/>
                <w:color w:val="FFFFFF"/>
                <w:sz w:val="16"/>
                <w:szCs w:val="16"/>
                <w:lang w:val="es-MX" w:eastAsia="es-MX"/>
              </w:rPr>
            </w:pPr>
            <w:r w:rsidRPr="00825B26">
              <w:rPr>
                <w:rFonts w:ascii="Montserrat" w:eastAsia="Times New Roman" w:hAnsi="Montserrat" w:cs="Calibri"/>
                <w:b/>
                <w:bCs/>
                <w:color w:val="FFFFFF"/>
                <w:sz w:val="16"/>
                <w:szCs w:val="16"/>
                <w:lang w:val="es-MX" w:eastAsia="es-MX"/>
              </w:rPr>
              <w:t>201</w:t>
            </w:r>
            <w:r w:rsidR="005365FD">
              <w:rPr>
                <w:rFonts w:ascii="Montserrat" w:eastAsia="Times New Roman" w:hAnsi="Montserrat" w:cs="Calibri"/>
                <w:b/>
                <w:bCs/>
                <w:color w:val="FFFFFF"/>
                <w:sz w:val="16"/>
                <w:szCs w:val="16"/>
                <w:lang w:val="es-MX" w:eastAsia="es-MX"/>
              </w:rPr>
              <w:t>8</w:t>
            </w:r>
          </w:p>
        </w:tc>
      </w:tr>
      <w:tr w:rsidR="005365FD" w:rsidRPr="00825B26" w14:paraId="19422B40" w14:textId="77777777" w:rsidTr="00201FF3">
        <w:trPr>
          <w:trHeight w:val="255"/>
          <w:jc w:val="center"/>
        </w:trPr>
        <w:tc>
          <w:tcPr>
            <w:tcW w:w="7115" w:type="dxa"/>
            <w:tcBorders>
              <w:top w:val="double" w:sz="12" w:space="0" w:color="808080"/>
            </w:tcBorders>
            <w:shd w:val="clear" w:color="auto" w:fill="F2F2F2"/>
            <w:vAlign w:val="center"/>
            <w:hideMark/>
          </w:tcPr>
          <w:p w14:paraId="3A2F6295" w14:textId="77777777" w:rsidR="005365FD" w:rsidRPr="00255081" w:rsidRDefault="005365FD" w:rsidP="005365FD">
            <w:pPr>
              <w:spacing w:after="0"/>
              <w:jc w:val="both"/>
              <w:rPr>
                <w:rFonts w:ascii="Montserrat" w:eastAsia="Times New Roman" w:hAnsi="Montserrat" w:cs="Arial"/>
                <w:sz w:val="15"/>
                <w:szCs w:val="15"/>
              </w:rPr>
            </w:pPr>
            <w:r w:rsidRPr="00255081">
              <w:rPr>
                <w:rFonts w:ascii="Montserrat" w:eastAsia="Times New Roman" w:hAnsi="Montserrat" w:cs="Arial"/>
                <w:sz w:val="15"/>
                <w:szCs w:val="15"/>
              </w:rPr>
              <w:t>Poder Ejecutivo</w:t>
            </w:r>
          </w:p>
        </w:tc>
        <w:tc>
          <w:tcPr>
            <w:tcW w:w="1928" w:type="dxa"/>
            <w:tcBorders>
              <w:top w:val="double" w:sz="12" w:space="0" w:color="808080"/>
            </w:tcBorders>
            <w:shd w:val="clear" w:color="auto" w:fill="F2F2F2"/>
            <w:vAlign w:val="center"/>
          </w:tcPr>
          <w:p w14:paraId="46E5C785" w14:textId="5C682835" w:rsidR="005365FD" w:rsidRPr="00255081" w:rsidRDefault="00E83EC1" w:rsidP="005365FD">
            <w:pPr>
              <w:spacing w:after="0"/>
              <w:jc w:val="right"/>
              <w:rPr>
                <w:rFonts w:ascii="Montserrat" w:eastAsia="Times New Roman" w:hAnsi="Montserrat" w:cs="Arial"/>
                <w:sz w:val="15"/>
                <w:szCs w:val="15"/>
              </w:rPr>
            </w:pPr>
            <w:r w:rsidRPr="00255081">
              <w:rPr>
                <w:rFonts w:ascii="Montserrat" w:eastAsia="Times New Roman" w:hAnsi="Montserrat" w:cs="Arial"/>
                <w:sz w:val="15"/>
                <w:szCs w:val="15"/>
              </w:rPr>
              <w:t>-51,103,553,460</w:t>
            </w:r>
          </w:p>
        </w:tc>
        <w:tc>
          <w:tcPr>
            <w:tcW w:w="1928" w:type="dxa"/>
            <w:gridSpan w:val="2"/>
            <w:tcBorders>
              <w:top w:val="double" w:sz="12" w:space="0" w:color="808080"/>
            </w:tcBorders>
            <w:shd w:val="clear" w:color="auto" w:fill="F2F2F2"/>
            <w:vAlign w:val="center"/>
            <w:hideMark/>
          </w:tcPr>
          <w:p w14:paraId="7824078A" w14:textId="77777777" w:rsidR="005365FD" w:rsidRPr="00255081" w:rsidRDefault="005365FD" w:rsidP="005365FD">
            <w:pPr>
              <w:spacing w:after="0"/>
              <w:jc w:val="right"/>
              <w:rPr>
                <w:rFonts w:ascii="Montserrat" w:eastAsia="Times New Roman" w:hAnsi="Montserrat" w:cs="Arial"/>
                <w:sz w:val="15"/>
                <w:szCs w:val="15"/>
              </w:rPr>
            </w:pPr>
            <w:r w:rsidRPr="00255081">
              <w:rPr>
                <w:rFonts w:ascii="Montserrat" w:eastAsia="Times New Roman" w:hAnsi="Montserrat" w:cs="Arial"/>
                <w:sz w:val="15"/>
                <w:szCs w:val="15"/>
              </w:rPr>
              <w:t>-130,763,613,462</w:t>
            </w:r>
          </w:p>
        </w:tc>
      </w:tr>
      <w:tr w:rsidR="005365FD" w:rsidRPr="00825B26" w14:paraId="6F64DEBD" w14:textId="77777777" w:rsidTr="00201FF3">
        <w:trPr>
          <w:trHeight w:val="255"/>
          <w:jc w:val="center"/>
        </w:trPr>
        <w:tc>
          <w:tcPr>
            <w:tcW w:w="7115" w:type="dxa"/>
            <w:tcBorders>
              <w:bottom w:val="single" w:sz="12" w:space="0" w:color="808080"/>
            </w:tcBorders>
            <w:shd w:val="clear" w:color="auto" w:fill="F2F2F2"/>
            <w:vAlign w:val="center"/>
            <w:hideMark/>
          </w:tcPr>
          <w:p w14:paraId="1A82024E" w14:textId="77777777" w:rsidR="005365FD" w:rsidRPr="00255081" w:rsidRDefault="005365FD" w:rsidP="005365FD">
            <w:pPr>
              <w:spacing w:after="0"/>
              <w:jc w:val="right"/>
              <w:rPr>
                <w:rFonts w:ascii="Montserrat" w:eastAsia="Times New Roman" w:hAnsi="Montserrat" w:cs="Arial"/>
                <w:b/>
                <w:bCs/>
                <w:sz w:val="15"/>
                <w:szCs w:val="15"/>
              </w:rPr>
            </w:pPr>
            <w:r w:rsidRPr="00255081">
              <w:rPr>
                <w:rFonts w:ascii="Montserrat" w:eastAsia="Times New Roman" w:hAnsi="Montserrat" w:cs="Arial"/>
                <w:b/>
                <w:bCs/>
                <w:sz w:val="15"/>
                <w:szCs w:val="15"/>
              </w:rPr>
              <w:t>Suma de Flujos Netos de Efectivo por Actividades de Inversión</w:t>
            </w:r>
          </w:p>
        </w:tc>
        <w:tc>
          <w:tcPr>
            <w:tcW w:w="1928" w:type="dxa"/>
            <w:tcBorders>
              <w:bottom w:val="single" w:sz="12" w:space="0" w:color="808080"/>
            </w:tcBorders>
            <w:shd w:val="clear" w:color="auto" w:fill="F2F2F2"/>
            <w:vAlign w:val="center"/>
          </w:tcPr>
          <w:p w14:paraId="089F2BD4" w14:textId="15CCB2B2" w:rsidR="005365FD" w:rsidRPr="00255081" w:rsidRDefault="00E83EC1" w:rsidP="005365FD">
            <w:pPr>
              <w:spacing w:after="0"/>
              <w:jc w:val="right"/>
              <w:rPr>
                <w:rFonts w:ascii="Montserrat" w:eastAsia="Times New Roman" w:hAnsi="Montserrat" w:cs="Arial"/>
                <w:b/>
                <w:sz w:val="15"/>
                <w:szCs w:val="15"/>
              </w:rPr>
            </w:pPr>
            <w:r w:rsidRPr="00255081">
              <w:rPr>
                <w:rFonts w:ascii="Montserrat" w:eastAsia="Times New Roman" w:hAnsi="Montserrat" w:cs="Arial"/>
                <w:b/>
                <w:sz w:val="15"/>
                <w:szCs w:val="15"/>
              </w:rPr>
              <w:t>-51,103,553,460</w:t>
            </w:r>
          </w:p>
        </w:tc>
        <w:tc>
          <w:tcPr>
            <w:tcW w:w="1928" w:type="dxa"/>
            <w:gridSpan w:val="2"/>
            <w:tcBorders>
              <w:bottom w:val="single" w:sz="12" w:space="0" w:color="808080"/>
            </w:tcBorders>
            <w:shd w:val="clear" w:color="auto" w:fill="F2F2F2"/>
            <w:vAlign w:val="center"/>
            <w:hideMark/>
          </w:tcPr>
          <w:p w14:paraId="5D610E0D" w14:textId="77777777" w:rsidR="005365FD" w:rsidRPr="00255081" w:rsidRDefault="005365FD" w:rsidP="005365FD">
            <w:pPr>
              <w:spacing w:after="0"/>
              <w:jc w:val="right"/>
              <w:rPr>
                <w:rFonts w:ascii="Montserrat" w:eastAsia="Times New Roman" w:hAnsi="Montserrat" w:cs="Arial"/>
                <w:b/>
                <w:sz w:val="15"/>
                <w:szCs w:val="15"/>
              </w:rPr>
            </w:pPr>
            <w:r w:rsidRPr="00255081">
              <w:rPr>
                <w:rFonts w:ascii="Montserrat" w:eastAsia="Times New Roman" w:hAnsi="Montserrat" w:cs="Arial"/>
                <w:b/>
                <w:sz w:val="15"/>
                <w:szCs w:val="15"/>
              </w:rPr>
              <w:t>-130,763,613,462</w:t>
            </w:r>
          </w:p>
        </w:tc>
      </w:tr>
    </w:tbl>
    <w:p w14:paraId="0BC1E695" w14:textId="77777777" w:rsidR="00081BA5" w:rsidRPr="00F576E1" w:rsidRDefault="00081BA5" w:rsidP="00F576E1">
      <w:pPr>
        <w:spacing w:after="0" w:line="240" w:lineRule="auto"/>
        <w:jc w:val="both"/>
        <w:rPr>
          <w:rFonts w:ascii="Montserrat" w:hAnsi="Montserrat" w:cs="Arial"/>
          <w:spacing w:val="-1"/>
          <w:sz w:val="18"/>
          <w:szCs w:val="18"/>
        </w:rPr>
      </w:pPr>
    </w:p>
    <w:p w14:paraId="28B7A797" w14:textId="77777777" w:rsidR="00081BA5" w:rsidRPr="00825B26" w:rsidRDefault="00081BA5" w:rsidP="00081BA5">
      <w:pPr>
        <w:pStyle w:val="VIETAFLECHA"/>
        <w:numPr>
          <w:ilvl w:val="0"/>
          <w:numId w:val="29"/>
        </w:numPr>
        <w:ind w:left="357" w:hanging="357"/>
        <w:rPr>
          <w:lang w:val="es-MX"/>
        </w:rPr>
      </w:pPr>
      <w:r w:rsidRPr="00825B26">
        <w:rPr>
          <w:lang w:val="es-MX"/>
        </w:rPr>
        <w:t>Flujo de Efectivo de las Actividades de Financiamiento</w:t>
      </w:r>
    </w:p>
    <w:p w14:paraId="28A50DF2" w14:textId="4379E7E6" w:rsidR="00081BA5" w:rsidRPr="00825B26" w:rsidRDefault="00081BA5" w:rsidP="000F0321">
      <w:pPr>
        <w:spacing w:after="120" w:line="250" w:lineRule="exact"/>
        <w:jc w:val="both"/>
        <w:rPr>
          <w:rFonts w:ascii="Montserrat" w:hAnsi="Montserrat"/>
          <w:sz w:val="18"/>
          <w:szCs w:val="18"/>
        </w:rPr>
      </w:pPr>
      <w:r w:rsidRPr="00825B26">
        <w:rPr>
          <w:rFonts w:ascii="Montserrat" w:hAnsi="Montserrat"/>
          <w:sz w:val="18"/>
          <w:szCs w:val="18"/>
        </w:rPr>
        <w:t>Los orígenes de actividades de financiamiento cobrados por el periodo comprendido del 1 de enero al 31 de diciembre de 201</w:t>
      </w:r>
      <w:r w:rsidR="00677863">
        <w:rPr>
          <w:rFonts w:ascii="Montserrat" w:hAnsi="Montserrat"/>
          <w:sz w:val="18"/>
          <w:szCs w:val="18"/>
        </w:rPr>
        <w:t>9</w:t>
      </w:r>
      <w:r w:rsidRPr="00825B26">
        <w:rPr>
          <w:rFonts w:ascii="Montserrat" w:hAnsi="Montserrat"/>
          <w:sz w:val="18"/>
          <w:szCs w:val="18"/>
        </w:rPr>
        <w:t xml:space="preserve"> fueron por </w:t>
      </w:r>
      <w:r w:rsidR="00E83EC1" w:rsidRPr="00E83EC1">
        <w:rPr>
          <w:rFonts w:ascii="Montserrat" w:hAnsi="Montserrat"/>
          <w:sz w:val="18"/>
          <w:szCs w:val="18"/>
        </w:rPr>
        <w:t>543,047,585,967</w:t>
      </w:r>
      <w:r w:rsidR="00E83EC1">
        <w:rPr>
          <w:rFonts w:ascii="Montserrat" w:hAnsi="Montserrat"/>
          <w:sz w:val="18"/>
          <w:szCs w:val="18"/>
        </w:rPr>
        <w:t xml:space="preserve"> </w:t>
      </w:r>
      <w:r w:rsidRPr="00825B26">
        <w:rPr>
          <w:rFonts w:ascii="Montserrat" w:hAnsi="Montserrat"/>
          <w:sz w:val="18"/>
          <w:szCs w:val="18"/>
        </w:rPr>
        <w:t>pesos y en 201</w:t>
      </w:r>
      <w:r w:rsidR="00677863">
        <w:rPr>
          <w:rFonts w:ascii="Montserrat" w:hAnsi="Montserrat"/>
          <w:sz w:val="18"/>
          <w:szCs w:val="18"/>
        </w:rPr>
        <w:t>8</w:t>
      </w:r>
      <w:r w:rsidRPr="00825B26">
        <w:rPr>
          <w:rFonts w:ascii="Montserrat" w:hAnsi="Montserrat"/>
          <w:sz w:val="18"/>
          <w:szCs w:val="18"/>
        </w:rPr>
        <w:t xml:space="preserve"> por </w:t>
      </w:r>
      <w:r w:rsidR="00E83EC1">
        <w:rPr>
          <w:rFonts w:ascii="Montserrat" w:hAnsi="Montserrat"/>
          <w:sz w:val="18"/>
          <w:szCs w:val="18"/>
        </w:rPr>
        <w:t>620,274,738,785</w:t>
      </w:r>
      <w:r w:rsidR="00E83EC1" w:rsidRPr="00825B26">
        <w:rPr>
          <w:rFonts w:ascii="Montserrat" w:hAnsi="Montserrat"/>
          <w:sz w:val="18"/>
          <w:szCs w:val="18"/>
        </w:rPr>
        <w:t xml:space="preserve"> </w:t>
      </w:r>
      <w:r w:rsidRPr="00825B26">
        <w:rPr>
          <w:rFonts w:ascii="Montserrat" w:hAnsi="Montserrat"/>
          <w:sz w:val="18"/>
          <w:szCs w:val="18"/>
        </w:rPr>
        <w:t>pesos. Las aplicaciones de actividades de financiamiento pagadas en 201</w:t>
      </w:r>
      <w:r w:rsidR="00677863">
        <w:rPr>
          <w:rFonts w:ascii="Montserrat" w:hAnsi="Montserrat"/>
          <w:sz w:val="18"/>
          <w:szCs w:val="18"/>
        </w:rPr>
        <w:t>9</w:t>
      </w:r>
      <w:r w:rsidRPr="00825B26">
        <w:rPr>
          <w:rFonts w:ascii="Montserrat" w:hAnsi="Montserrat"/>
          <w:sz w:val="18"/>
          <w:szCs w:val="18"/>
        </w:rPr>
        <w:t xml:space="preserve"> fueron por </w:t>
      </w:r>
      <w:r w:rsidR="00E83EC1" w:rsidRPr="00E83EC1">
        <w:rPr>
          <w:rFonts w:ascii="Montserrat" w:hAnsi="Montserrat"/>
          <w:sz w:val="18"/>
          <w:szCs w:val="18"/>
        </w:rPr>
        <w:t>963,656,908,714</w:t>
      </w:r>
      <w:r w:rsidR="00E83EC1">
        <w:rPr>
          <w:rFonts w:ascii="Montserrat" w:hAnsi="Montserrat"/>
          <w:sz w:val="18"/>
          <w:szCs w:val="18"/>
        </w:rPr>
        <w:t xml:space="preserve"> </w:t>
      </w:r>
      <w:r w:rsidRPr="00825B26">
        <w:rPr>
          <w:rFonts w:ascii="Montserrat" w:hAnsi="Montserrat"/>
          <w:sz w:val="18"/>
          <w:szCs w:val="18"/>
        </w:rPr>
        <w:t>pesos y en 201</w:t>
      </w:r>
      <w:r w:rsidR="00677863">
        <w:rPr>
          <w:rFonts w:ascii="Montserrat" w:hAnsi="Montserrat"/>
          <w:sz w:val="18"/>
          <w:szCs w:val="18"/>
        </w:rPr>
        <w:t>8</w:t>
      </w:r>
      <w:r w:rsidRPr="00825B26">
        <w:rPr>
          <w:rFonts w:ascii="Montserrat" w:hAnsi="Montserrat"/>
          <w:sz w:val="18"/>
          <w:szCs w:val="18"/>
        </w:rPr>
        <w:t xml:space="preserve"> por </w:t>
      </w:r>
      <w:r w:rsidR="00E83EC1">
        <w:rPr>
          <w:rFonts w:ascii="Montserrat" w:hAnsi="Montserrat"/>
          <w:sz w:val="18"/>
          <w:szCs w:val="18"/>
        </w:rPr>
        <w:t>625,594,919,091</w:t>
      </w:r>
      <w:r w:rsidR="00E83EC1" w:rsidRPr="00825B26">
        <w:rPr>
          <w:rFonts w:ascii="Montserrat" w:hAnsi="Montserrat"/>
          <w:sz w:val="18"/>
          <w:szCs w:val="18"/>
        </w:rPr>
        <w:t xml:space="preserve"> </w:t>
      </w:r>
      <w:r w:rsidRPr="00825B26">
        <w:rPr>
          <w:rFonts w:ascii="Montserrat" w:hAnsi="Montserrat"/>
          <w:sz w:val="18"/>
          <w:szCs w:val="18"/>
        </w:rPr>
        <w:t>pesos, reflejándose un diferencial de actividades de financiamiento en 201</w:t>
      </w:r>
      <w:r w:rsidR="00677863">
        <w:rPr>
          <w:rFonts w:ascii="Montserrat" w:hAnsi="Montserrat"/>
          <w:sz w:val="18"/>
          <w:szCs w:val="18"/>
        </w:rPr>
        <w:t>9</w:t>
      </w:r>
      <w:r w:rsidRPr="00825B26">
        <w:rPr>
          <w:rFonts w:ascii="Montserrat" w:hAnsi="Montserrat"/>
          <w:sz w:val="18"/>
          <w:szCs w:val="18"/>
        </w:rPr>
        <w:t xml:space="preserve"> por </w:t>
      </w:r>
      <w:r w:rsidRPr="00825B26">
        <w:rPr>
          <w:rFonts w:ascii="Montserrat" w:hAnsi="Montserrat"/>
          <w:sz w:val="18"/>
          <w:szCs w:val="18"/>
        </w:rPr>
        <w:br/>
      </w:r>
      <w:r w:rsidR="00E83EC1" w:rsidRPr="00E83EC1">
        <w:rPr>
          <w:rFonts w:ascii="Montserrat" w:hAnsi="Montserrat"/>
          <w:sz w:val="18"/>
          <w:szCs w:val="18"/>
        </w:rPr>
        <w:t>-420,609,322,747</w:t>
      </w:r>
      <w:r w:rsidR="00E83EC1">
        <w:rPr>
          <w:rFonts w:ascii="Montserrat" w:hAnsi="Montserrat"/>
          <w:sz w:val="18"/>
          <w:szCs w:val="18"/>
        </w:rPr>
        <w:t xml:space="preserve"> </w:t>
      </w:r>
      <w:r w:rsidRPr="00825B26">
        <w:rPr>
          <w:rFonts w:ascii="Montserrat" w:hAnsi="Montserrat"/>
          <w:sz w:val="18"/>
          <w:szCs w:val="18"/>
        </w:rPr>
        <w:t>pesos y en 201</w:t>
      </w:r>
      <w:r w:rsidR="00677863">
        <w:rPr>
          <w:rFonts w:ascii="Montserrat" w:hAnsi="Montserrat"/>
          <w:sz w:val="18"/>
          <w:szCs w:val="18"/>
        </w:rPr>
        <w:t>8</w:t>
      </w:r>
      <w:r w:rsidRPr="00825B26">
        <w:rPr>
          <w:rFonts w:ascii="Montserrat" w:hAnsi="Montserrat"/>
          <w:sz w:val="18"/>
          <w:szCs w:val="18"/>
        </w:rPr>
        <w:t xml:space="preserve"> por </w:t>
      </w:r>
      <w:r w:rsidR="00E83EC1" w:rsidRPr="00825B26">
        <w:rPr>
          <w:rFonts w:ascii="Montserrat" w:hAnsi="Montserrat"/>
          <w:sz w:val="18"/>
          <w:szCs w:val="18"/>
        </w:rPr>
        <w:t>-</w:t>
      </w:r>
      <w:r w:rsidR="00E83EC1">
        <w:rPr>
          <w:rFonts w:ascii="Montserrat" w:hAnsi="Montserrat"/>
          <w:sz w:val="18"/>
          <w:szCs w:val="18"/>
        </w:rPr>
        <w:t>5,320,180,306</w:t>
      </w:r>
      <w:r w:rsidR="00E83EC1" w:rsidRPr="00825B26">
        <w:rPr>
          <w:rFonts w:ascii="Montserrat" w:hAnsi="Montserrat"/>
          <w:sz w:val="18"/>
          <w:szCs w:val="18"/>
        </w:rPr>
        <w:t xml:space="preserve"> </w:t>
      </w:r>
      <w:r w:rsidRPr="00825B26">
        <w:rPr>
          <w:rFonts w:ascii="Montserrat" w:hAnsi="Montserrat"/>
          <w:sz w:val="18"/>
          <w:szCs w:val="18"/>
        </w:rPr>
        <w:t>pesos.</w:t>
      </w:r>
    </w:p>
    <w:tbl>
      <w:tblPr>
        <w:tblW w:w="10981" w:type="dxa"/>
        <w:jc w:val="center"/>
        <w:tblCellMar>
          <w:left w:w="70" w:type="dxa"/>
          <w:right w:w="70" w:type="dxa"/>
        </w:tblCellMar>
        <w:tblLook w:val="04A0" w:firstRow="1" w:lastRow="0" w:firstColumn="1" w:lastColumn="0" w:noHBand="0" w:noVBand="1"/>
      </w:tblPr>
      <w:tblGrid>
        <w:gridCol w:w="10"/>
        <w:gridCol w:w="7105"/>
        <w:gridCol w:w="10"/>
        <w:gridCol w:w="1918"/>
        <w:gridCol w:w="10"/>
        <w:gridCol w:w="1728"/>
        <w:gridCol w:w="190"/>
        <w:gridCol w:w="10"/>
      </w:tblGrid>
      <w:tr w:rsidR="00081BA5" w:rsidRPr="00825B26" w14:paraId="38F0704B" w14:textId="77777777" w:rsidTr="00F576E1">
        <w:trPr>
          <w:gridBefore w:val="1"/>
          <w:gridAfter w:val="2"/>
          <w:wBefore w:w="10" w:type="dxa"/>
          <w:wAfter w:w="200" w:type="dxa"/>
          <w:trHeight w:val="255"/>
          <w:jc w:val="center"/>
        </w:trPr>
        <w:tc>
          <w:tcPr>
            <w:tcW w:w="10771" w:type="dxa"/>
            <w:gridSpan w:val="5"/>
            <w:tcBorders>
              <w:top w:val="nil"/>
              <w:left w:val="nil"/>
              <w:bottom w:val="nil"/>
              <w:right w:val="nil"/>
            </w:tcBorders>
            <w:shd w:val="clear" w:color="auto" w:fill="auto"/>
            <w:noWrap/>
            <w:vAlign w:val="center"/>
            <w:hideMark/>
          </w:tcPr>
          <w:p w14:paraId="5F14B855" w14:textId="77777777" w:rsidR="00081BA5" w:rsidRPr="00825B26" w:rsidRDefault="00081BA5" w:rsidP="00201FF3">
            <w:pPr>
              <w:spacing w:after="60" w:line="240" w:lineRule="auto"/>
              <w:jc w:val="center"/>
              <w:rPr>
                <w:rFonts w:ascii="Montserrat" w:eastAsia="Times New Roman" w:hAnsi="Montserrat" w:cs="Arial"/>
                <w:bCs/>
                <w:sz w:val="16"/>
                <w:szCs w:val="16"/>
              </w:rPr>
            </w:pPr>
            <w:r w:rsidRPr="00825B26">
              <w:rPr>
                <w:rFonts w:ascii="Montserrat" w:eastAsia="Times New Roman" w:hAnsi="Montserrat" w:cs="Arial"/>
                <w:bCs/>
                <w:sz w:val="16"/>
                <w:szCs w:val="16"/>
              </w:rPr>
              <w:t>(Pesos)</w:t>
            </w:r>
          </w:p>
        </w:tc>
      </w:tr>
      <w:tr w:rsidR="00081BA5" w:rsidRPr="00825B26" w14:paraId="4B68030C" w14:textId="77777777" w:rsidTr="00F576E1">
        <w:trPr>
          <w:gridBefore w:val="1"/>
          <w:wBefore w:w="10" w:type="dxa"/>
          <w:trHeight w:val="57"/>
          <w:jc w:val="center"/>
        </w:trPr>
        <w:tc>
          <w:tcPr>
            <w:tcW w:w="10971" w:type="dxa"/>
            <w:gridSpan w:val="7"/>
            <w:tcBorders>
              <w:top w:val="single" w:sz="12" w:space="0" w:color="808080"/>
            </w:tcBorders>
            <w:shd w:val="clear" w:color="auto" w:fill="auto"/>
            <w:vAlign w:val="center"/>
          </w:tcPr>
          <w:p w14:paraId="7B10B7CC" w14:textId="77777777" w:rsidR="00081BA5" w:rsidRPr="00825B26" w:rsidRDefault="00081BA5" w:rsidP="00201FF3">
            <w:pPr>
              <w:spacing w:after="0" w:line="240" w:lineRule="auto"/>
              <w:jc w:val="center"/>
              <w:rPr>
                <w:rFonts w:ascii="Montserrat" w:eastAsia="Times New Roman" w:hAnsi="Montserrat" w:cs="Calibri"/>
                <w:b/>
                <w:bCs/>
                <w:color w:val="FFFFFF"/>
                <w:sz w:val="4"/>
                <w:szCs w:val="4"/>
                <w:lang w:val="es-MX" w:eastAsia="es-MX"/>
              </w:rPr>
            </w:pPr>
          </w:p>
        </w:tc>
      </w:tr>
      <w:tr w:rsidR="00081BA5" w:rsidRPr="00825B26" w14:paraId="5A2D7B9B" w14:textId="77777777" w:rsidTr="00F576E1">
        <w:trPr>
          <w:gridAfter w:val="1"/>
          <w:wAfter w:w="10" w:type="dxa"/>
          <w:trHeight w:val="317"/>
          <w:jc w:val="center"/>
        </w:trPr>
        <w:tc>
          <w:tcPr>
            <w:tcW w:w="7115" w:type="dxa"/>
            <w:gridSpan w:val="2"/>
            <w:tcBorders>
              <w:bottom w:val="double" w:sz="12" w:space="0" w:color="808080"/>
              <w:right w:val="single" w:sz="4" w:space="0" w:color="FFFFFF" w:themeColor="background1"/>
            </w:tcBorders>
            <w:shd w:val="clear" w:color="auto" w:fill="D4C19C"/>
            <w:vAlign w:val="center"/>
            <w:hideMark/>
          </w:tcPr>
          <w:p w14:paraId="7049B999" w14:textId="77777777" w:rsidR="00081BA5" w:rsidRPr="00825B26" w:rsidRDefault="00081BA5" w:rsidP="00201FF3">
            <w:pPr>
              <w:spacing w:after="0" w:line="240" w:lineRule="auto"/>
              <w:jc w:val="center"/>
              <w:rPr>
                <w:rFonts w:ascii="Montserrat" w:eastAsia="Times New Roman" w:hAnsi="Montserrat" w:cs="Calibri"/>
                <w:b/>
                <w:bCs/>
                <w:color w:val="FFFFFF"/>
                <w:sz w:val="16"/>
                <w:szCs w:val="16"/>
                <w:lang w:val="es-MX" w:eastAsia="es-MX"/>
              </w:rPr>
            </w:pPr>
            <w:r w:rsidRPr="00825B26">
              <w:rPr>
                <w:rFonts w:ascii="Montserrat" w:eastAsia="Times New Roman" w:hAnsi="Montserrat" w:cs="Calibri"/>
                <w:b/>
                <w:bCs/>
                <w:color w:val="FFFFFF"/>
                <w:sz w:val="16"/>
                <w:szCs w:val="16"/>
                <w:lang w:val="es-MX" w:eastAsia="es-MX"/>
              </w:rPr>
              <w:t>Ente Público</w:t>
            </w:r>
          </w:p>
        </w:tc>
        <w:tc>
          <w:tcPr>
            <w:tcW w:w="1928" w:type="dxa"/>
            <w:gridSpan w:val="2"/>
            <w:tcBorders>
              <w:left w:val="single" w:sz="4" w:space="0" w:color="FFFFFF" w:themeColor="background1"/>
              <w:bottom w:val="double" w:sz="12" w:space="0" w:color="808080"/>
              <w:right w:val="single" w:sz="4" w:space="0" w:color="FFFFFF" w:themeColor="background1"/>
            </w:tcBorders>
            <w:shd w:val="clear" w:color="auto" w:fill="D4C19C"/>
            <w:vAlign w:val="center"/>
            <w:hideMark/>
          </w:tcPr>
          <w:p w14:paraId="57622568" w14:textId="77777777" w:rsidR="00081BA5" w:rsidRPr="00825B26" w:rsidRDefault="00081BA5" w:rsidP="00201FF3">
            <w:pPr>
              <w:spacing w:after="0" w:line="240" w:lineRule="auto"/>
              <w:jc w:val="center"/>
              <w:rPr>
                <w:rFonts w:ascii="Montserrat" w:eastAsia="Times New Roman" w:hAnsi="Montserrat" w:cs="Calibri"/>
                <w:b/>
                <w:bCs/>
                <w:color w:val="FFFFFF"/>
                <w:sz w:val="16"/>
                <w:szCs w:val="16"/>
                <w:lang w:val="es-MX" w:eastAsia="es-MX"/>
              </w:rPr>
            </w:pPr>
            <w:r w:rsidRPr="00825B26">
              <w:rPr>
                <w:rFonts w:ascii="Montserrat" w:eastAsia="Times New Roman" w:hAnsi="Montserrat" w:cs="Calibri"/>
                <w:b/>
                <w:bCs/>
                <w:color w:val="FFFFFF"/>
                <w:sz w:val="16"/>
                <w:szCs w:val="16"/>
                <w:lang w:val="es-MX" w:eastAsia="es-MX"/>
              </w:rPr>
              <w:t>201</w:t>
            </w:r>
            <w:r w:rsidR="005365FD">
              <w:rPr>
                <w:rFonts w:ascii="Montserrat" w:eastAsia="Times New Roman" w:hAnsi="Montserrat" w:cs="Calibri"/>
                <w:b/>
                <w:bCs/>
                <w:color w:val="FFFFFF"/>
                <w:sz w:val="16"/>
                <w:szCs w:val="16"/>
                <w:lang w:val="es-MX" w:eastAsia="es-MX"/>
              </w:rPr>
              <w:t>9</w:t>
            </w:r>
          </w:p>
        </w:tc>
        <w:tc>
          <w:tcPr>
            <w:tcW w:w="1928" w:type="dxa"/>
            <w:gridSpan w:val="3"/>
            <w:tcBorders>
              <w:left w:val="single" w:sz="4" w:space="0" w:color="FFFFFF" w:themeColor="background1"/>
              <w:bottom w:val="double" w:sz="12" w:space="0" w:color="808080"/>
            </w:tcBorders>
            <w:shd w:val="clear" w:color="auto" w:fill="D4C19C"/>
            <w:vAlign w:val="center"/>
            <w:hideMark/>
          </w:tcPr>
          <w:p w14:paraId="6B41E650" w14:textId="77777777" w:rsidR="00081BA5" w:rsidRPr="00825B26" w:rsidRDefault="00081BA5" w:rsidP="00201FF3">
            <w:pPr>
              <w:spacing w:after="0" w:line="240" w:lineRule="auto"/>
              <w:jc w:val="center"/>
              <w:rPr>
                <w:rFonts w:ascii="Montserrat" w:eastAsia="Times New Roman" w:hAnsi="Montserrat" w:cs="Calibri"/>
                <w:b/>
                <w:bCs/>
                <w:color w:val="FFFFFF"/>
                <w:sz w:val="16"/>
                <w:szCs w:val="16"/>
                <w:lang w:val="es-MX" w:eastAsia="es-MX"/>
              </w:rPr>
            </w:pPr>
            <w:r w:rsidRPr="00825B26">
              <w:rPr>
                <w:rFonts w:ascii="Montserrat" w:eastAsia="Times New Roman" w:hAnsi="Montserrat" w:cs="Calibri"/>
                <w:b/>
                <w:bCs/>
                <w:color w:val="FFFFFF"/>
                <w:sz w:val="16"/>
                <w:szCs w:val="16"/>
                <w:lang w:val="es-MX" w:eastAsia="es-MX"/>
              </w:rPr>
              <w:t>201</w:t>
            </w:r>
            <w:r w:rsidR="005365FD">
              <w:rPr>
                <w:rFonts w:ascii="Montserrat" w:eastAsia="Times New Roman" w:hAnsi="Montserrat" w:cs="Calibri"/>
                <w:b/>
                <w:bCs/>
                <w:color w:val="FFFFFF"/>
                <w:sz w:val="16"/>
                <w:szCs w:val="16"/>
                <w:lang w:val="es-MX" w:eastAsia="es-MX"/>
              </w:rPr>
              <w:t>8</w:t>
            </w:r>
          </w:p>
        </w:tc>
      </w:tr>
      <w:tr w:rsidR="005365FD" w:rsidRPr="00825B26" w14:paraId="1A542994" w14:textId="77777777" w:rsidTr="00F576E1">
        <w:trPr>
          <w:gridBefore w:val="1"/>
          <w:wBefore w:w="10" w:type="dxa"/>
          <w:trHeight w:val="255"/>
          <w:jc w:val="center"/>
        </w:trPr>
        <w:tc>
          <w:tcPr>
            <w:tcW w:w="7115" w:type="dxa"/>
            <w:gridSpan w:val="2"/>
            <w:tcBorders>
              <w:top w:val="double" w:sz="12" w:space="0" w:color="808080"/>
            </w:tcBorders>
            <w:shd w:val="clear" w:color="auto" w:fill="F2F2F2"/>
            <w:vAlign w:val="center"/>
            <w:hideMark/>
          </w:tcPr>
          <w:p w14:paraId="1DEBBC8E" w14:textId="77777777" w:rsidR="005365FD" w:rsidRPr="00255081" w:rsidRDefault="005365FD" w:rsidP="005365FD">
            <w:pPr>
              <w:spacing w:after="0"/>
              <w:jc w:val="both"/>
              <w:rPr>
                <w:rFonts w:ascii="Montserrat" w:eastAsia="Times New Roman" w:hAnsi="Montserrat" w:cs="Arial"/>
                <w:sz w:val="15"/>
                <w:szCs w:val="15"/>
              </w:rPr>
            </w:pPr>
            <w:r w:rsidRPr="00255081">
              <w:rPr>
                <w:rFonts w:ascii="Montserrat" w:eastAsia="Times New Roman" w:hAnsi="Montserrat" w:cs="Arial"/>
                <w:sz w:val="15"/>
                <w:szCs w:val="15"/>
              </w:rPr>
              <w:t>Poder Ejecutivo</w:t>
            </w:r>
          </w:p>
        </w:tc>
        <w:tc>
          <w:tcPr>
            <w:tcW w:w="1928" w:type="dxa"/>
            <w:gridSpan w:val="2"/>
            <w:tcBorders>
              <w:top w:val="double" w:sz="12" w:space="0" w:color="808080"/>
            </w:tcBorders>
            <w:shd w:val="clear" w:color="auto" w:fill="F2F2F2"/>
            <w:vAlign w:val="bottom"/>
          </w:tcPr>
          <w:p w14:paraId="77AD65DB" w14:textId="65630F17" w:rsidR="005365FD" w:rsidRPr="00255081" w:rsidRDefault="00E83EC1" w:rsidP="005365FD">
            <w:pPr>
              <w:spacing w:after="0"/>
              <w:jc w:val="right"/>
              <w:rPr>
                <w:rFonts w:ascii="Montserrat" w:eastAsia="Times New Roman" w:hAnsi="Montserrat" w:cs="Arial"/>
                <w:sz w:val="15"/>
                <w:szCs w:val="15"/>
              </w:rPr>
            </w:pPr>
            <w:r w:rsidRPr="00255081">
              <w:rPr>
                <w:rFonts w:ascii="Montserrat" w:eastAsia="Times New Roman" w:hAnsi="Montserrat" w:cs="Arial"/>
                <w:sz w:val="15"/>
                <w:szCs w:val="15"/>
              </w:rPr>
              <w:t>-420,609,322,747</w:t>
            </w:r>
          </w:p>
        </w:tc>
        <w:tc>
          <w:tcPr>
            <w:tcW w:w="1928" w:type="dxa"/>
            <w:gridSpan w:val="3"/>
            <w:tcBorders>
              <w:top w:val="double" w:sz="12" w:space="0" w:color="808080"/>
            </w:tcBorders>
            <w:shd w:val="clear" w:color="auto" w:fill="F2F2F2"/>
            <w:vAlign w:val="bottom"/>
            <w:hideMark/>
          </w:tcPr>
          <w:p w14:paraId="52296D55" w14:textId="77777777" w:rsidR="005365FD" w:rsidRPr="00255081" w:rsidRDefault="005365FD" w:rsidP="005365FD">
            <w:pPr>
              <w:spacing w:after="0"/>
              <w:jc w:val="right"/>
              <w:rPr>
                <w:rFonts w:ascii="Montserrat" w:eastAsia="Times New Roman" w:hAnsi="Montserrat" w:cs="Arial"/>
                <w:sz w:val="15"/>
                <w:szCs w:val="15"/>
              </w:rPr>
            </w:pPr>
            <w:r w:rsidRPr="00255081">
              <w:rPr>
                <w:rFonts w:ascii="Montserrat" w:eastAsia="Times New Roman" w:hAnsi="Montserrat" w:cs="Arial"/>
                <w:sz w:val="15"/>
                <w:szCs w:val="15"/>
              </w:rPr>
              <w:t>-5,320,180,306</w:t>
            </w:r>
          </w:p>
        </w:tc>
      </w:tr>
      <w:tr w:rsidR="005365FD" w:rsidRPr="00825B26" w14:paraId="71BD4FA8" w14:textId="77777777" w:rsidTr="00F576E1">
        <w:trPr>
          <w:gridBefore w:val="1"/>
          <w:wBefore w:w="10" w:type="dxa"/>
          <w:trHeight w:val="255"/>
          <w:jc w:val="center"/>
        </w:trPr>
        <w:tc>
          <w:tcPr>
            <w:tcW w:w="7115" w:type="dxa"/>
            <w:gridSpan w:val="2"/>
            <w:tcBorders>
              <w:bottom w:val="single" w:sz="12" w:space="0" w:color="808080"/>
            </w:tcBorders>
            <w:shd w:val="clear" w:color="auto" w:fill="F2F2F2"/>
            <w:vAlign w:val="center"/>
            <w:hideMark/>
          </w:tcPr>
          <w:p w14:paraId="29CBC21F" w14:textId="77777777" w:rsidR="005365FD" w:rsidRPr="00255081" w:rsidRDefault="005365FD" w:rsidP="005365FD">
            <w:pPr>
              <w:spacing w:after="0"/>
              <w:jc w:val="right"/>
              <w:rPr>
                <w:rFonts w:ascii="Montserrat" w:eastAsia="Times New Roman" w:hAnsi="Montserrat" w:cs="Arial"/>
                <w:b/>
                <w:bCs/>
                <w:sz w:val="15"/>
                <w:szCs w:val="15"/>
              </w:rPr>
            </w:pPr>
            <w:r w:rsidRPr="00255081">
              <w:rPr>
                <w:rFonts w:ascii="Montserrat" w:eastAsia="Times New Roman" w:hAnsi="Montserrat" w:cs="Arial"/>
                <w:b/>
                <w:bCs/>
                <w:sz w:val="15"/>
                <w:szCs w:val="15"/>
              </w:rPr>
              <w:t>Suma de Flujos Netos de Efectivo por Actividades de Financiamiento</w:t>
            </w:r>
          </w:p>
        </w:tc>
        <w:tc>
          <w:tcPr>
            <w:tcW w:w="1928" w:type="dxa"/>
            <w:gridSpan w:val="2"/>
            <w:tcBorders>
              <w:bottom w:val="single" w:sz="12" w:space="0" w:color="808080"/>
            </w:tcBorders>
            <w:shd w:val="clear" w:color="auto" w:fill="F2F2F2"/>
            <w:vAlign w:val="bottom"/>
          </w:tcPr>
          <w:p w14:paraId="08E2F150" w14:textId="20BA159A" w:rsidR="005365FD" w:rsidRPr="00255081" w:rsidRDefault="00E83EC1" w:rsidP="005365FD">
            <w:pPr>
              <w:spacing w:after="0"/>
              <w:jc w:val="right"/>
              <w:rPr>
                <w:rFonts w:ascii="Montserrat" w:eastAsia="Times New Roman" w:hAnsi="Montserrat" w:cs="Arial"/>
                <w:b/>
                <w:sz w:val="15"/>
                <w:szCs w:val="15"/>
              </w:rPr>
            </w:pPr>
            <w:r w:rsidRPr="00255081">
              <w:rPr>
                <w:rFonts w:ascii="Montserrat" w:eastAsia="Times New Roman" w:hAnsi="Montserrat" w:cs="Arial"/>
                <w:b/>
                <w:sz w:val="15"/>
                <w:szCs w:val="15"/>
              </w:rPr>
              <w:t>-420,609,322,747</w:t>
            </w:r>
          </w:p>
        </w:tc>
        <w:tc>
          <w:tcPr>
            <w:tcW w:w="1928" w:type="dxa"/>
            <w:gridSpan w:val="3"/>
            <w:tcBorders>
              <w:bottom w:val="single" w:sz="12" w:space="0" w:color="808080"/>
            </w:tcBorders>
            <w:shd w:val="clear" w:color="auto" w:fill="F2F2F2"/>
            <w:vAlign w:val="bottom"/>
            <w:hideMark/>
          </w:tcPr>
          <w:p w14:paraId="05503992" w14:textId="77777777" w:rsidR="005365FD" w:rsidRPr="00255081" w:rsidRDefault="005365FD" w:rsidP="005365FD">
            <w:pPr>
              <w:spacing w:after="0"/>
              <w:jc w:val="right"/>
              <w:rPr>
                <w:rFonts w:ascii="Montserrat" w:eastAsia="Times New Roman" w:hAnsi="Montserrat" w:cs="Arial"/>
                <w:b/>
                <w:sz w:val="15"/>
                <w:szCs w:val="15"/>
              </w:rPr>
            </w:pPr>
            <w:r w:rsidRPr="00255081">
              <w:rPr>
                <w:rFonts w:ascii="Montserrat" w:eastAsia="Times New Roman" w:hAnsi="Montserrat" w:cs="Arial"/>
                <w:b/>
                <w:sz w:val="15"/>
                <w:szCs w:val="15"/>
              </w:rPr>
              <w:t>-5,320,180,306</w:t>
            </w:r>
          </w:p>
        </w:tc>
      </w:tr>
    </w:tbl>
    <w:p w14:paraId="06A5D406" w14:textId="77777777" w:rsidR="00081BA5" w:rsidRPr="00825B26" w:rsidRDefault="00081BA5" w:rsidP="00081BA5">
      <w:pPr>
        <w:jc w:val="center"/>
        <w:rPr>
          <w:rFonts w:ascii="Montserrat" w:hAnsi="Montserrat"/>
        </w:rPr>
      </w:pPr>
    </w:p>
    <w:p w14:paraId="468C7BCE" w14:textId="77777777" w:rsidR="009C3C24" w:rsidRPr="004E44CE" w:rsidRDefault="009C3C24" w:rsidP="005A5AC5">
      <w:pPr>
        <w:pStyle w:val="VIETAFLECHA"/>
        <w:numPr>
          <w:ilvl w:val="0"/>
          <w:numId w:val="13"/>
        </w:numPr>
        <w:ind w:left="357" w:hanging="357"/>
        <w:rPr>
          <w:rFonts w:cs="Arial"/>
          <w:spacing w:val="-1"/>
        </w:rPr>
      </w:pPr>
      <w:r w:rsidRPr="004E44CE">
        <w:rPr>
          <w:rFonts w:cs="Arial"/>
          <w:spacing w:val="-1"/>
        </w:rPr>
        <w:lastRenderedPageBreak/>
        <w:t>Efectivo y Equivalentes</w:t>
      </w:r>
    </w:p>
    <w:p w14:paraId="16766BB9" w14:textId="77777777" w:rsidR="009C3C24" w:rsidRPr="00D81C7E" w:rsidRDefault="009C3C24" w:rsidP="00D81C7E">
      <w:pPr>
        <w:pStyle w:val="Prrafodelista"/>
        <w:numPr>
          <w:ilvl w:val="0"/>
          <w:numId w:val="14"/>
        </w:numPr>
        <w:spacing w:after="120" w:line="250" w:lineRule="exact"/>
        <w:jc w:val="both"/>
        <w:rPr>
          <w:rFonts w:ascii="Montserrat" w:hAnsi="Montserrat" w:cs="Arial"/>
          <w:spacing w:val="-1"/>
          <w:sz w:val="18"/>
          <w:szCs w:val="18"/>
        </w:rPr>
      </w:pPr>
      <w:r w:rsidRPr="00D81C7E">
        <w:rPr>
          <w:rFonts w:ascii="Montserrat" w:hAnsi="Montserrat" w:cs="Arial"/>
          <w:spacing w:val="-1"/>
          <w:sz w:val="18"/>
          <w:szCs w:val="18"/>
        </w:rPr>
        <w:t>El análisis de los saldos inicial y final que figuran en la última parte del Estado de Flujo de Efectivo en la cuenta de efectivo y equivalentes es como sigue: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62"/>
        <w:gridCol w:w="1984"/>
        <w:gridCol w:w="1985"/>
      </w:tblGrid>
      <w:tr w:rsidR="009C3C24" w:rsidRPr="006F0DF1" w14:paraId="614402CD" w14:textId="77777777" w:rsidTr="00CD6767">
        <w:trPr>
          <w:jc w:val="center"/>
        </w:trPr>
        <w:tc>
          <w:tcPr>
            <w:tcW w:w="8031" w:type="dxa"/>
            <w:gridSpan w:val="3"/>
            <w:tcBorders>
              <w:top w:val="nil"/>
              <w:left w:val="nil"/>
              <w:bottom w:val="single" w:sz="12" w:space="0" w:color="808080" w:themeColor="background1" w:themeShade="80"/>
              <w:right w:val="nil"/>
            </w:tcBorders>
            <w:shd w:val="clear" w:color="auto" w:fill="auto"/>
          </w:tcPr>
          <w:p w14:paraId="580F6289" w14:textId="77777777" w:rsidR="009C3C24" w:rsidRPr="00685332" w:rsidRDefault="009C3C24" w:rsidP="00E52592">
            <w:pPr>
              <w:spacing w:after="60" w:line="250" w:lineRule="exact"/>
              <w:jc w:val="center"/>
              <w:rPr>
                <w:rFonts w:ascii="Montserrat" w:hAnsi="Montserrat" w:cs="Arial"/>
                <w:spacing w:val="-1"/>
                <w:sz w:val="16"/>
                <w:szCs w:val="16"/>
              </w:rPr>
            </w:pPr>
            <w:r w:rsidRPr="00685332">
              <w:rPr>
                <w:rFonts w:ascii="Montserrat" w:hAnsi="Montserrat" w:cs="Arial"/>
                <w:spacing w:val="-1"/>
                <w:sz w:val="16"/>
                <w:szCs w:val="16"/>
              </w:rPr>
              <w:t>(Pesos)</w:t>
            </w:r>
          </w:p>
        </w:tc>
      </w:tr>
      <w:tr w:rsidR="00CD6767" w:rsidRPr="00CD6767" w14:paraId="04C2FBDE" w14:textId="77777777" w:rsidTr="00CC40D5">
        <w:trPr>
          <w:trHeight w:val="57"/>
          <w:jc w:val="center"/>
        </w:trPr>
        <w:tc>
          <w:tcPr>
            <w:tcW w:w="8031" w:type="dxa"/>
            <w:gridSpan w:val="3"/>
            <w:tcBorders>
              <w:top w:val="single" w:sz="12" w:space="0" w:color="808080" w:themeColor="background1" w:themeShade="80"/>
              <w:left w:val="nil"/>
              <w:bottom w:val="nil"/>
              <w:right w:val="nil"/>
            </w:tcBorders>
            <w:shd w:val="clear" w:color="auto" w:fill="auto"/>
          </w:tcPr>
          <w:p w14:paraId="092C54EF" w14:textId="77777777" w:rsidR="00CD6767" w:rsidRPr="00CD6767" w:rsidRDefault="00CD6767" w:rsidP="00CD6767">
            <w:pPr>
              <w:spacing w:after="0" w:line="240" w:lineRule="auto"/>
              <w:jc w:val="center"/>
              <w:rPr>
                <w:rFonts w:ascii="Montserrat" w:eastAsia="Times New Roman" w:hAnsi="Montserrat" w:cs="Calibri"/>
                <w:b/>
                <w:bCs/>
                <w:color w:val="FFFFFF"/>
                <w:sz w:val="4"/>
                <w:szCs w:val="4"/>
                <w:lang w:val="es-MX" w:eastAsia="es-MX"/>
              </w:rPr>
            </w:pPr>
          </w:p>
        </w:tc>
      </w:tr>
      <w:tr w:rsidR="009C3C24" w:rsidRPr="006F0DF1" w14:paraId="17B96950" w14:textId="77777777" w:rsidTr="00F576E1">
        <w:trPr>
          <w:trHeight w:val="317"/>
          <w:jc w:val="center"/>
        </w:trPr>
        <w:tc>
          <w:tcPr>
            <w:tcW w:w="4062" w:type="dxa"/>
            <w:tcBorders>
              <w:top w:val="nil"/>
              <w:left w:val="single" w:sz="8" w:space="0" w:color="FFFFFF" w:themeColor="background1"/>
              <w:bottom w:val="double" w:sz="12" w:space="0" w:color="808080" w:themeColor="background1" w:themeShade="80"/>
              <w:right w:val="single" w:sz="8" w:space="0" w:color="FFFFFF" w:themeColor="background1"/>
            </w:tcBorders>
            <w:shd w:val="clear" w:color="auto" w:fill="D4C19C"/>
          </w:tcPr>
          <w:p w14:paraId="4745191D" w14:textId="77777777" w:rsidR="009C3C24" w:rsidRPr="006F0DF1" w:rsidRDefault="009C3C24" w:rsidP="002F797B">
            <w:pPr>
              <w:spacing w:after="0" w:line="240" w:lineRule="exact"/>
              <w:ind w:right="57"/>
              <w:jc w:val="center"/>
              <w:rPr>
                <w:rFonts w:ascii="Montserrat" w:hAnsi="Montserrat" w:cs="Arial"/>
                <w:b/>
                <w:color w:val="FFFFFF"/>
                <w:spacing w:val="-1"/>
                <w:sz w:val="16"/>
                <w:szCs w:val="16"/>
              </w:rPr>
            </w:pPr>
            <w:r w:rsidRPr="006F0DF1">
              <w:rPr>
                <w:rFonts w:ascii="Montserrat" w:hAnsi="Montserrat" w:cs="Arial"/>
                <w:b/>
                <w:color w:val="FFFFFF"/>
                <w:spacing w:val="-1"/>
                <w:sz w:val="16"/>
                <w:szCs w:val="16"/>
              </w:rPr>
              <w:t>Concepto</w:t>
            </w:r>
          </w:p>
        </w:tc>
        <w:tc>
          <w:tcPr>
            <w:tcW w:w="1984" w:type="dxa"/>
            <w:tcBorders>
              <w:top w:val="nil"/>
              <w:left w:val="single" w:sz="8" w:space="0" w:color="FFFFFF" w:themeColor="background1"/>
              <w:bottom w:val="double" w:sz="12" w:space="0" w:color="808080" w:themeColor="background1" w:themeShade="80"/>
              <w:right w:val="single" w:sz="8" w:space="0" w:color="FFFFFF" w:themeColor="background1"/>
            </w:tcBorders>
            <w:shd w:val="clear" w:color="auto" w:fill="D4C19C"/>
          </w:tcPr>
          <w:p w14:paraId="40E1407B" w14:textId="77777777" w:rsidR="009C3C24" w:rsidRPr="006F0DF1" w:rsidRDefault="009C3C24" w:rsidP="002F797B">
            <w:pPr>
              <w:spacing w:after="0" w:line="240" w:lineRule="exact"/>
              <w:ind w:right="57"/>
              <w:jc w:val="center"/>
              <w:rPr>
                <w:rFonts w:ascii="Montserrat" w:hAnsi="Montserrat" w:cs="Arial"/>
                <w:b/>
                <w:color w:val="FFFFFF"/>
                <w:spacing w:val="-1"/>
                <w:sz w:val="16"/>
                <w:szCs w:val="16"/>
              </w:rPr>
            </w:pPr>
            <w:r>
              <w:rPr>
                <w:rFonts w:ascii="Montserrat" w:hAnsi="Montserrat" w:cs="Arial"/>
                <w:b/>
                <w:color w:val="FFFFFF"/>
                <w:spacing w:val="-1"/>
                <w:sz w:val="16"/>
                <w:szCs w:val="16"/>
              </w:rPr>
              <w:t>201</w:t>
            </w:r>
            <w:r w:rsidR="00D56DC9">
              <w:rPr>
                <w:rFonts w:ascii="Montserrat" w:hAnsi="Montserrat" w:cs="Arial"/>
                <w:b/>
                <w:color w:val="FFFFFF"/>
                <w:spacing w:val="-1"/>
                <w:sz w:val="16"/>
                <w:szCs w:val="16"/>
              </w:rPr>
              <w:t>9</w:t>
            </w:r>
          </w:p>
        </w:tc>
        <w:tc>
          <w:tcPr>
            <w:tcW w:w="1985" w:type="dxa"/>
            <w:tcBorders>
              <w:top w:val="nil"/>
              <w:left w:val="single" w:sz="8" w:space="0" w:color="FFFFFF" w:themeColor="background1"/>
              <w:bottom w:val="double" w:sz="12" w:space="0" w:color="808080" w:themeColor="background1" w:themeShade="80"/>
              <w:right w:val="single" w:sz="8" w:space="0" w:color="FFFFFF" w:themeColor="background1"/>
            </w:tcBorders>
            <w:shd w:val="clear" w:color="auto" w:fill="D4C19C"/>
          </w:tcPr>
          <w:p w14:paraId="1C738B73" w14:textId="77777777" w:rsidR="009C3C24" w:rsidRPr="006F0DF1" w:rsidRDefault="009C3C24" w:rsidP="002F797B">
            <w:pPr>
              <w:spacing w:after="0" w:line="240" w:lineRule="exact"/>
              <w:ind w:right="57"/>
              <w:jc w:val="center"/>
              <w:rPr>
                <w:rFonts w:ascii="Montserrat" w:hAnsi="Montserrat" w:cs="Arial"/>
                <w:b/>
                <w:color w:val="FFFFFF"/>
                <w:spacing w:val="-1"/>
                <w:sz w:val="16"/>
                <w:szCs w:val="16"/>
              </w:rPr>
            </w:pPr>
            <w:r>
              <w:rPr>
                <w:rFonts w:ascii="Montserrat" w:hAnsi="Montserrat" w:cs="Arial"/>
                <w:b/>
                <w:color w:val="FFFFFF"/>
                <w:spacing w:val="-1"/>
                <w:sz w:val="16"/>
                <w:szCs w:val="16"/>
              </w:rPr>
              <w:t>201</w:t>
            </w:r>
            <w:r w:rsidR="00D56DC9">
              <w:rPr>
                <w:rFonts w:ascii="Montserrat" w:hAnsi="Montserrat" w:cs="Arial"/>
                <w:b/>
                <w:color w:val="FFFFFF"/>
                <w:spacing w:val="-1"/>
                <w:sz w:val="16"/>
                <w:szCs w:val="16"/>
              </w:rPr>
              <w:t>8</w:t>
            </w:r>
          </w:p>
        </w:tc>
      </w:tr>
      <w:tr w:rsidR="00CB0034" w:rsidRPr="006F0DF1" w14:paraId="653BF28F" w14:textId="77777777" w:rsidTr="00556DB3">
        <w:trPr>
          <w:trHeight w:val="236"/>
          <w:jc w:val="center"/>
        </w:trPr>
        <w:tc>
          <w:tcPr>
            <w:tcW w:w="4062" w:type="dxa"/>
            <w:tcBorders>
              <w:top w:val="double" w:sz="12" w:space="0" w:color="808080" w:themeColor="background1" w:themeShade="80"/>
              <w:left w:val="nil"/>
              <w:bottom w:val="nil"/>
              <w:right w:val="nil"/>
            </w:tcBorders>
            <w:shd w:val="clear" w:color="auto" w:fill="F2F2F2" w:themeFill="background1" w:themeFillShade="F2"/>
          </w:tcPr>
          <w:p w14:paraId="3F09CDD2" w14:textId="77777777" w:rsidR="00CB0034" w:rsidRPr="00255081" w:rsidRDefault="00CB0034" w:rsidP="00CB0034">
            <w:pPr>
              <w:spacing w:after="0" w:line="240" w:lineRule="auto"/>
              <w:ind w:left="170"/>
              <w:jc w:val="both"/>
              <w:rPr>
                <w:rFonts w:ascii="Montserrat" w:hAnsi="Montserrat" w:cs="Arial"/>
                <w:spacing w:val="-1"/>
                <w:sz w:val="15"/>
                <w:szCs w:val="15"/>
              </w:rPr>
            </w:pPr>
            <w:r w:rsidRPr="00255081">
              <w:rPr>
                <w:rFonts w:ascii="Montserrat" w:hAnsi="Montserrat" w:cs="Arial"/>
                <w:spacing w:val="-1"/>
                <w:sz w:val="15"/>
                <w:szCs w:val="15"/>
              </w:rPr>
              <w:t>Bancos/Tesorería</w:t>
            </w:r>
          </w:p>
        </w:tc>
        <w:tc>
          <w:tcPr>
            <w:tcW w:w="1984" w:type="dxa"/>
            <w:tcBorders>
              <w:top w:val="double" w:sz="12" w:space="0" w:color="808080" w:themeColor="background1" w:themeShade="80"/>
              <w:left w:val="nil"/>
              <w:bottom w:val="nil"/>
              <w:right w:val="nil"/>
            </w:tcBorders>
            <w:shd w:val="clear" w:color="000000" w:fill="F2F2F2"/>
            <w:vAlign w:val="center"/>
          </w:tcPr>
          <w:p w14:paraId="7629CE1F" w14:textId="36B28D5D" w:rsidR="00CB0034" w:rsidRPr="00255081" w:rsidRDefault="00CB0034" w:rsidP="00CB0034">
            <w:pPr>
              <w:spacing w:after="0" w:line="240" w:lineRule="auto"/>
              <w:jc w:val="right"/>
              <w:rPr>
                <w:rFonts w:ascii="Montserrat" w:hAnsi="Montserrat" w:cs="Calibri"/>
                <w:sz w:val="15"/>
                <w:szCs w:val="15"/>
                <w:lang w:val="es-MX" w:eastAsia="es-MX"/>
              </w:rPr>
            </w:pPr>
            <w:r w:rsidRPr="000F0321">
              <w:rPr>
                <w:rFonts w:ascii="Montserrat" w:hAnsi="Montserrat" w:cs="Arial"/>
                <w:color w:val="000000"/>
                <w:sz w:val="15"/>
                <w:szCs w:val="15"/>
              </w:rPr>
              <w:t>579,746,009,192</w:t>
            </w:r>
          </w:p>
        </w:tc>
        <w:tc>
          <w:tcPr>
            <w:tcW w:w="1985" w:type="dxa"/>
            <w:tcBorders>
              <w:top w:val="double" w:sz="12" w:space="0" w:color="808080" w:themeColor="background1" w:themeShade="80"/>
              <w:left w:val="nil"/>
              <w:bottom w:val="nil"/>
              <w:right w:val="nil"/>
            </w:tcBorders>
            <w:shd w:val="clear" w:color="auto" w:fill="F2F2F2" w:themeFill="background1" w:themeFillShade="F2"/>
            <w:vAlign w:val="center"/>
          </w:tcPr>
          <w:p w14:paraId="3CD57D7D" w14:textId="77777777" w:rsidR="00CB0034" w:rsidRPr="00255081" w:rsidRDefault="00CB0034" w:rsidP="00CB0034">
            <w:pPr>
              <w:spacing w:after="0" w:line="240" w:lineRule="auto"/>
              <w:jc w:val="right"/>
              <w:rPr>
                <w:rFonts w:ascii="Montserrat" w:hAnsi="Montserrat" w:cs="Calibri"/>
                <w:sz w:val="15"/>
                <w:szCs w:val="15"/>
                <w:lang w:val="es-MX" w:eastAsia="es-MX"/>
              </w:rPr>
            </w:pPr>
            <w:r w:rsidRPr="00255081">
              <w:rPr>
                <w:rFonts w:ascii="Montserrat" w:hAnsi="Montserrat" w:cs="Calibri"/>
                <w:sz w:val="15"/>
                <w:szCs w:val="15"/>
              </w:rPr>
              <w:t>654,490,162,904</w:t>
            </w:r>
          </w:p>
        </w:tc>
      </w:tr>
      <w:tr w:rsidR="00CB0034" w:rsidRPr="006F0DF1" w14:paraId="47976362" w14:textId="77777777" w:rsidTr="00556DB3">
        <w:trPr>
          <w:jc w:val="center"/>
        </w:trPr>
        <w:tc>
          <w:tcPr>
            <w:tcW w:w="4062" w:type="dxa"/>
            <w:tcBorders>
              <w:top w:val="nil"/>
              <w:left w:val="nil"/>
              <w:bottom w:val="nil"/>
              <w:right w:val="nil"/>
            </w:tcBorders>
            <w:shd w:val="clear" w:color="auto" w:fill="F2F2F2" w:themeFill="background1" w:themeFillShade="F2"/>
          </w:tcPr>
          <w:p w14:paraId="47D54319" w14:textId="77777777" w:rsidR="00CB0034" w:rsidRPr="00255081" w:rsidRDefault="00CB0034" w:rsidP="00CB0034">
            <w:pPr>
              <w:spacing w:after="0" w:line="240" w:lineRule="auto"/>
              <w:ind w:left="170"/>
              <w:jc w:val="both"/>
              <w:rPr>
                <w:rFonts w:ascii="Montserrat" w:hAnsi="Montserrat" w:cs="Arial"/>
                <w:spacing w:val="-1"/>
                <w:sz w:val="15"/>
                <w:szCs w:val="15"/>
              </w:rPr>
            </w:pPr>
            <w:r w:rsidRPr="00255081">
              <w:rPr>
                <w:rFonts w:ascii="Montserrat" w:hAnsi="Montserrat" w:cs="Arial"/>
                <w:spacing w:val="-1"/>
                <w:sz w:val="15"/>
                <w:szCs w:val="15"/>
              </w:rPr>
              <w:t>Bancos/Dependencias y Otros</w:t>
            </w:r>
          </w:p>
        </w:tc>
        <w:tc>
          <w:tcPr>
            <w:tcW w:w="1984" w:type="dxa"/>
            <w:tcBorders>
              <w:top w:val="nil"/>
              <w:left w:val="nil"/>
              <w:bottom w:val="nil"/>
              <w:right w:val="nil"/>
            </w:tcBorders>
            <w:shd w:val="clear" w:color="000000" w:fill="F2F2F2"/>
            <w:vAlign w:val="center"/>
          </w:tcPr>
          <w:p w14:paraId="5B7BE62E" w14:textId="36B90ABE" w:rsidR="00CB0034" w:rsidRPr="00255081" w:rsidRDefault="00CB0034" w:rsidP="00CB0034">
            <w:pPr>
              <w:spacing w:after="0" w:line="240" w:lineRule="auto"/>
              <w:jc w:val="right"/>
              <w:rPr>
                <w:rFonts w:ascii="Montserrat" w:hAnsi="Montserrat" w:cs="Calibri"/>
                <w:sz w:val="15"/>
                <w:szCs w:val="15"/>
              </w:rPr>
            </w:pPr>
            <w:r w:rsidRPr="000F0321">
              <w:rPr>
                <w:rFonts w:ascii="Montserrat" w:hAnsi="Montserrat" w:cs="Arial"/>
                <w:color w:val="000000"/>
                <w:sz w:val="15"/>
                <w:szCs w:val="15"/>
              </w:rPr>
              <w:t>2,150,090,944</w:t>
            </w:r>
          </w:p>
        </w:tc>
        <w:tc>
          <w:tcPr>
            <w:tcW w:w="1985" w:type="dxa"/>
            <w:tcBorders>
              <w:top w:val="nil"/>
              <w:left w:val="nil"/>
              <w:bottom w:val="nil"/>
              <w:right w:val="nil"/>
            </w:tcBorders>
            <w:shd w:val="clear" w:color="auto" w:fill="F2F2F2" w:themeFill="background1" w:themeFillShade="F2"/>
            <w:vAlign w:val="center"/>
          </w:tcPr>
          <w:p w14:paraId="3B3A5338" w14:textId="77777777" w:rsidR="00CB0034" w:rsidRPr="00255081" w:rsidRDefault="00CB0034" w:rsidP="00CB0034">
            <w:pPr>
              <w:spacing w:after="0" w:line="240" w:lineRule="auto"/>
              <w:jc w:val="right"/>
              <w:rPr>
                <w:rFonts w:ascii="Montserrat" w:hAnsi="Montserrat" w:cs="Calibri"/>
                <w:sz w:val="15"/>
                <w:szCs w:val="15"/>
              </w:rPr>
            </w:pPr>
            <w:r w:rsidRPr="00255081">
              <w:rPr>
                <w:rFonts w:ascii="Montserrat" w:hAnsi="Montserrat" w:cs="Calibri"/>
                <w:sz w:val="15"/>
                <w:szCs w:val="15"/>
              </w:rPr>
              <w:t>5,917,471,839</w:t>
            </w:r>
          </w:p>
        </w:tc>
      </w:tr>
      <w:tr w:rsidR="00CB0034" w:rsidRPr="006F0DF1" w14:paraId="02EFA238" w14:textId="77777777" w:rsidTr="00556DB3">
        <w:trPr>
          <w:trHeight w:val="70"/>
          <w:jc w:val="center"/>
        </w:trPr>
        <w:tc>
          <w:tcPr>
            <w:tcW w:w="4062" w:type="dxa"/>
            <w:tcBorders>
              <w:top w:val="nil"/>
              <w:left w:val="nil"/>
              <w:bottom w:val="nil"/>
              <w:right w:val="nil"/>
            </w:tcBorders>
            <w:shd w:val="clear" w:color="auto" w:fill="F2F2F2" w:themeFill="background1" w:themeFillShade="F2"/>
          </w:tcPr>
          <w:p w14:paraId="15CC90DA" w14:textId="77777777" w:rsidR="00CB0034" w:rsidRPr="00255081" w:rsidRDefault="00CB0034" w:rsidP="00CB0034">
            <w:pPr>
              <w:spacing w:after="0" w:line="240" w:lineRule="auto"/>
              <w:ind w:left="170"/>
              <w:jc w:val="both"/>
              <w:rPr>
                <w:rFonts w:ascii="Montserrat" w:hAnsi="Montserrat" w:cs="Arial"/>
                <w:spacing w:val="-1"/>
                <w:sz w:val="15"/>
                <w:szCs w:val="15"/>
              </w:rPr>
            </w:pPr>
            <w:r w:rsidRPr="00255081">
              <w:rPr>
                <w:rFonts w:ascii="Montserrat" w:hAnsi="Montserrat" w:cs="Arial"/>
                <w:spacing w:val="-1"/>
                <w:sz w:val="15"/>
                <w:szCs w:val="15"/>
              </w:rPr>
              <w:t>Inversiones en Moneda Nacional</w:t>
            </w:r>
          </w:p>
        </w:tc>
        <w:tc>
          <w:tcPr>
            <w:tcW w:w="1984" w:type="dxa"/>
            <w:tcBorders>
              <w:top w:val="nil"/>
              <w:left w:val="nil"/>
              <w:bottom w:val="nil"/>
              <w:right w:val="nil"/>
            </w:tcBorders>
            <w:shd w:val="clear" w:color="000000" w:fill="F2F2F2"/>
            <w:vAlign w:val="center"/>
          </w:tcPr>
          <w:p w14:paraId="63DDC466" w14:textId="7258FC47" w:rsidR="00CB0034" w:rsidRPr="00255081" w:rsidRDefault="00CB0034" w:rsidP="00CB0034">
            <w:pPr>
              <w:spacing w:after="0" w:line="240" w:lineRule="auto"/>
              <w:jc w:val="right"/>
              <w:rPr>
                <w:rFonts w:ascii="Montserrat" w:hAnsi="Montserrat" w:cs="Calibri"/>
                <w:sz w:val="15"/>
                <w:szCs w:val="15"/>
              </w:rPr>
            </w:pPr>
            <w:r w:rsidRPr="000F0321">
              <w:rPr>
                <w:rFonts w:ascii="Montserrat" w:hAnsi="Montserrat" w:cs="Arial"/>
                <w:color w:val="000000"/>
                <w:sz w:val="15"/>
                <w:szCs w:val="15"/>
              </w:rPr>
              <w:t>0</w:t>
            </w:r>
          </w:p>
        </w:tc>
        <w:tc>
          <w:tcPr>
            <w:tcW w:w="1985" w:type="dxa"/>
            <w:tcBorders>
              <w:top w:val="nil"/>
              <w:left w:val="nil"/>
              <w:bottom w:val="nil"/>
              <w:right w:val="nil"/>
            </w:tcBorders>
            <w:shd w:val="clear" w:color="auto" w:fill="F2F2F2" w:themeFill="background1" w:themeFillShade="F2"/>
            <w:vAlign w:val="center"/>
          </w:tcPr>
          <w:p w14:paraId="4DC468A7" w14:textId="77777777" w:rsidR="00CB0034" w:rsidRPr="00255081" w:rsidRDefault="00CB0034" w:rsidP="00CB0034">
            <w:pPr>
              <w:spacing w:after="0" w:line="240" w:lineRule="auto"/>
              <w:jc w:val="right"/>
              <w:rPr>
                <w:rFonts w:ascii="Montserrat" w:hAnsi="Montserrat" w:cs="Calibri"/>
                <w:sz w:val="15"/>
                <w:szCs w:val="15"/>
              </w:rPr>
            </w:pPr>
            <w:r w:rsidRPr="00255081">
              <w:rPr>
                <w:rFonts w:ascii="Montserrat" w:hAnsi="Montserrat" w:cs="Calibri"/>
                <w:sz w:val="15"/>
                <w:szCs w:val="15"/>
              </w:rPr>
              <w:t>0</w:t>
            </w:r>
          </w:p>
        </w:tc>
      </w:tr>
      <w:tr w:rsidR="00CB0034" w:rsidRPr="006F0DF1" w14:paraId="4AB4FC22" w14:textId="77777777" w:rsidTr="000F0321">
        <w:trPr>
          <w:trHeight w:val="70"/>
          <w:jc w:val="center"/>
        </w:trPr>
        <w:tc>
          <w:tcPr>
            <w:tcW w:w="4062" w:type="dxa"/>
            <w:tcBorders>
              <w:top w:val="nil"/>
              <w:left w:val="nil"/>
              <w:bottom w:val="nil"/>
              <w:right w:val="nil"/>
            </w:tcBorders>
            <w:shd w:val="clear" w:color="auto" w:fill="F2F2F2" w:themeFill="background1" w:themeFillShade="F2"/>
          </w:tcPr>
          <w:p w14:paraId="3E2EDFC3" w14:textId="77777777" w:rsidR="00CB0034" w:rsidRPr="00255081" w:rsidRDefault="00CB0034" w:rsidP="00CB0034">
            <w:pPr>
              <w:spacing w:after="0" w:line="240" w:lineRule="auto"/>
              <w:ind w:left="170"/>
              <w:jc w:val="both"/>
              <w:rPr>
                <w:rFonts w:ascii="Montserrat" w:hAnsi="Montserrat" w:cs="Arial"/>
                <w:spacing w:val="-1"/>
                <w:sz w:val="15"/>
                <w:szCs w:val="15"/>
              </w:rPr>
            </w:pPr>
            <w:r w:rsidRPr="00255081">
              <w:rPr>
                <w:rFonts w:ascii="Montserrat" w:hAnsi="Montserrat" w:cs="Arial"/>
                <w:spacing w:val="-1"/>
                <w:sz w:val="15"/>
                <w:szCs w:val="15"/>
              </w:rPr>
              <w:t>Otros Efectivos y Equivalentes</w:t>
            </w:r>
          </w:p>
        </w:tc>
        <w:tc>
          <w:tcPr>
            <w:tcW w:w="1984" w:type="dxa"/>
            <w:tcBorders>
              <w:top w:val="nil"/>
              <w:left w:val="nil"/>
              <w:bottom w:val="nil"/>
              <w:right w:val="nil"/>
            </w:tcBorders>
            <w:shd w:val="clear" w:color="000000" w:fill="F2F2F2"/>
            <w:vAlign w:val="center"/>
          </w:tcPr>
          <w:p w14:paraId="274B1622" w14:textId="2D468130" w:rsidR="00CB0034" w:rsidRPr="00255081" w:rsidRDefault="00CB0034" w:rsidP="00CB0034">
            <w:pPr>
              <w:spacing w:after="0" w:line="240" w:lineRule="auto"/>
              <w:jc w:val="right"/>
              <w:rPr>
                <w:rFonts w:ascii="Montserrat" w:eastAsia="Times New Roman" w:hAnsi="Montserrat" w:cs="Calibri"/>
                <w:color w:val="000000"/>
                <w:sz w:val="15"/>
                <w:szCs w:val="15"/>
                <w:lang w:val="es-MX" w:eastAsia="es-MX"/>
              </w:rPr>
            </w:pPr>
            <w:r w:rsidRPr="000F0321">
              <w:rPr>
                <w:rFonts w:ascii="Montserrat" w:hAnsi="Montserrat" w:cs="Arial"/>
                <w:color w:val="000000"/>
                <w:sz w:val="15"/>
                <w:szCs w:val="15"/>
              </w:rPr>
              <w:t>11,550,687,812</w:t>
            </w:r>
          </w:p>
        </w:tc>
        <w:tc>
          <w:tcPr>
            <w:tcW w:w="1985" w:type="dxa"/>
            <w:tcBorders>
              <w:top w:val="nil"/>
              <w:left w:val="nil"/>
              <w:bottom w:val="nil"/>
              <w:right w:val="nil"/>
            </w:tcBorders>
            <w:shd w:val="clear" w:color="auto" w:fill="F2F2F2" w:themeFill="background1" w:themeFillShade="F2"/>
          </w:tcPr>
          <w:p w14:paraId="069CDC1D" w14:textId="77777777" w:rsidR="00CB0034" w:rsidRPr="00255081" w:rsidRDefault="00CB0034" w:rsidP="00CB0034">
            <w:pPr>
              <w:spacing w:after="0" w:line="240" w:lineRule="auto"/>
              <w:jc w:val="right"/>
              <w:rPr>
                <w:rFonts w:ascii="Montserrat" w:eastAsia="Times New Roman" w:hAnsi="Montserrat" w:cs="Calibri"/>
                <w:color w:val="000000"/>
                <w:sz w:val="15"/>
                <w:szCs w:val="15"/>
                <w:lang w:val="es-MX" w:eastAsia="es-MX"/>
              </w:rPr>
            </w:pPr>
            <w:r w:rsidRPr="00255081">
              <w:rPr>
                <w:rFonts w:ascii="Montserrat" w:eastAsia="Times New Roman" w:hAnsi="Montserrat" w:cs="Calibri"/>
                <w:color w:val="000000"/>
                <w:sz w:val="15"/>
                <w:szCs w:val="15"/>
                <w:lang w:val="es-MX" w:eastAsia="es-MX"/>
              </w:rPr>
              <w:t>61,858,349,092</w:t>
            </w:r>
          </w:p>
        </w:tc>
      </w:tr>
      <w:tr w:rsidR="00CB0034" w:rsidRPr="006F0DF1" w14:paraId="244A4372" w14:textId="77777777" w:rsidTr="000F0321">
        <w:trPr>
          <w:trHeight w:val="70"/>
          <w:jc w:val="center"/>
        </w:trPr>
        <w:tc>
          <w:tcPr>
            <w:tcW w:w="4062" w:type="dxa"/>
            <w:tcBorders>
              <w:top w:val="nil"/>
              <w:left w:val="nil"/>
              <w:bottom w:val="single" w:sz="12" w:space="0" w:color="808080" w:themeColor="background1" w:themeShade="80"/>
              <w:right w:val="nil"/>
            </w:tcBorders>
            <w:shd w:val="clear" w:color="auto" w:fill="F2F2F2" w:themeFill="background1" w:themeFillShade="F2"/>
          </w:tcPr>
          <w:p w14:paraId="1C3975A7" w14:textId="77777777" w:rsidR="00CB0034" w:rsidRPr="00255081" w:rsidRDefault="00CB0034" w:rsidP="00CB0034">
            <w:pPr>
              <w:spacing w:after="0" w:line="240" w:lineRule="exact"/>
              <w:ind w:left="170" w:right="57"/>
              <w:jc w:val="right"/>
              <w:rPr>
                <w:rFonts w:ascii="Montserrat" w:hAnsi="Montserrat" w:cs="Arial"/>
                <w:b/>
                <w:spacing w:val="-1"/>
                <w:sz w:val="15"/>
                <w:szCs w:val="15"/>
              </w:rPr>
            </w:pPr>
            <w:r w:rsidRPr="00255081">
              <w:rPr>
                <w:rFonts w:ascii="Montserrat" w:hAnsi="Montserrat" w:cs="Arial"/>
                <w:b/>
                <w:spacing w:val="-1"/>
                <w:sz w:val="15"/>
                <w:szCs w:val="15"/>
              </w:rPr>
              <w:t>Total Efectivo y Equivalentes</w:t>
            </w:r>
          </w:p>
        </w:tc>
        <w:tc>
          <w:tcPr>
            <w:tcW w:w="1984" w:type="dxa"/>
            <w:tcBorders>
              <w:top w:val="nil"/>
              <w:left w:val="nil"/>
              <w:bottom w:val="single" w:sz="12" w:space="0" w:color="808080" w:themeColor="background1" w:themeShade="80"/>
              <w:right w:val="nil"/>
            </w:tcBorders>
            <w:shd w:val="clear" w:color="000000" w:fill="F2F2F2"/>
            <w:vAlign w:val="center"/>
          </w:tcPr>
          <w:p w14:paraId="63633E37" w14:textId="5D1BA22B" w:rsidR="00CB0034" w:rsidRPr="00255081" w:rsidRDefault="00CB0034" w:rsidP="000F0321">
            <w:pPr>
              <w:spacing w:after="0" w:line="240" w:lineRule="exact"/>
              <w:ind w:right="-16"/>
              <w:jc w:val="right"/>
              <w:rPr>
                <w:rFonts w:ascii="Montserrat" w:eastAsia="Times New Roman" w:hAnsi="Montserrat" w:cs="Calibri"/>
                <w:b/>
                <w:color w:val="000000"/>
                <w:sz w:val="15"/>
                <w:szCs w:val="15"/>
                <w:lang w:val="es-MX" w:eastAsia="es-MX"/>
              </w:rPr>
            </w:pPr>
            <w:r w:rsidRPr="000F0321">
              <w:rPr>
                <w:rFonts w:ascii="Montserrat" w:hAnsi="Montserrat" w:cs="Arial"/>
                <w:b/>
                <w:bCs/>
                <w:color w:val="000000"/>
                <w:sz w:val="15"/>
                <w:szCs w:val="15"/>
              </w:rPr>
              <w:t>593,446,787,948</w:t>
            </w:r>
          </w:p>
        </w:tc>
        <w:tc>
          <w:tcPr>
            <w:tcW w:w="1985" w:type="dxa"/>
            <w:tcBorders>
              <w:top w:val="nil"/>
              <w:left w:val="nil"/>
              <w:bottom w:val="single" w:sz="12" w:space="0" w:color="808080" w:themeColor="background1" w:themeShade="80"/>
              <w:right w:val="nil"/>
            </w:tcBorders>
            <w:shd w:val="clear" w:color="auto" w:fill="F2F2F2" w:themeFill="background1" w:themeFillShade="F2"/>
          </w:tcPr>
          <w:p w14:paraId="7156A6CF" w14:textId="77777777" w:rsidR="00CB0034" w:rsidRPr="00255081" w:rsidRDefault="00CB0034" w:rsidP="000F0321">
            <w:pPr>
              <w:spacing w:after="0" w:line="240" w:lineRule="exact"/>
              <w:ind w:right="-15"/>
              <w:jc w:val="right"/>
              <w:rPr>
                <w:rFonts w:ascii="Montserrat" w:eastAsia="Times New Roman" w:hAnsi="Montserrat" w:cs="Calibri"/>
                <w:b/>
                <w:color w:val="000000"/>
                <w:sz w:val="15"/>
                <w:szCs w:val="15"/>
                <w:lang w:val="es-MX" w:eastAsia="es-MX"/>
              </w:rPr>
            </w:pPr>
            <w:r w:rsidRPr="00255081">
              <w:rPr>
                <w:rFonts w:ascii="Montserrat" w:hAnsi="Montserrat"/>
                <w:b/>
                <w:bCs/>
                <w:color w:val="000000"/>
                <w:sz w:val="15"/>
                <w:szCs w:val="15"/>
              </w:rPr>
              <w:t>722,265,983,835</w:t>
            </w:r>
          </w:p>
        </w:tc>
      </w:tr>
    </w:tbl>
    <w:p w14:paraId="500A23C9" w14:textId="77777777" w:rsidR="00201FF3" w:rsidRDefault="00201FF3" w:rsidP="00F576E1">
      <w:pPr>
        <w:spacing w:after="0" w:line="240" w:lineRule="auto"/>
        <w:jc w:val="both"/>
        <w:rPr>
          <w:rFonts w:ascii="Montserrat" w:hAnsi="Montserrat" w:cs="Arial"/>
          <w:spacing w:val="-1"/>
          <w:sz w:val="18"/>
          <w:szCs w:val="18"/>
        </w:rPr>
      </w:pPr>
    </w:p>
    <w:p w14:paraId="5795CAF7" w14:textId="77777777" w:rsidR="009C3C24" w:rsidRPr="00D81C7E" w:rsidRDefault="009C3C24" w:rsidP="00D81C7E">
      <w:pPr>
        <w:pStyle w:val="Prrafodelista"/>
        <w:numPr>
          <w:ilvl w:val="0"/>
          <w:numId w:val="38"/>
        </w:numPr>
        <w:spacing w:after="120" w:line="250" w:lineRule="exact"/>
        <w:jc w:val="both"/>
        <w:rPr>
          <w:rFonts w:ascii="Montserrat" w:hAnsi="Montserrat" w:cs="Arial"/>
          <w:spacing w:val="-1"/>
          <w:sz w:val="18"/>
          <w:szCs w:val="18"/>
        </w:rPr>
      </w:pPr>
      <w:r w:rsidRPr="00D81C7E">
        <w:rPr>
          <w:rFonts w:ascii="Montserrat" w:hAnsi="Montserrat" w:cs="Arial"/>
          <w:spacing w:val="-1"/>
          <w:sz w:val="18"/>
          <w:szCs w:val="18"/>
        </w:rPr>
        <w:t>El importe de otras aplica</w:t>
      </w:r>
      <w:r w:rsidR="00D56DC9">
        <w:rPr>
          <w:rFonts w:ascii="Montserrat" w:hAnsi="Montserrat" w:cs="Arial"/>
          <w:spacing w:val="-1"/>
          <w:sz w:val="18"/>
          <w:szCs w:val="18"/>
        </w:rPr>
        <w:t>ciones de financiamiento de 2019</w:t>
      </w:r>
      <w:r w:rsidRPr="00D81C7E">
        <w:rPr>
          <w:rFonts w:ascii="Montserrat" w:hAnsi="Montserrat" w:cs="Arial"/>
          <w:spacing w:val="-1"/>
          <w:sz w:val="18"/>
          <w:szCs w:val="18"/>
        </w:rPr>
        <w:t xml:space="preserve"> </w:t>
      </w:r>
      <w:r w:rsidR="00671445">
        <w:rPr>
          <w:rFonts w:ascii="Montserrat" w:hAnsi="Montserrat" w:cs="Arial"/>
          <w:spacing w:val="-1"/>
          <w:sz w:val="18"/>
          <w:szCs w:val="18"/>
        </w:rPr>
        <w:t>se compone de</w:t>
      </w:r>
      <w:r w:rsidRPr="00D81C7E">
        <w:rPr>
          <w:rFonts w:ascii="Montserrat" w:hAnsi="Montserrat" w:cs="Arial"/>
          <w:spacing w:val="-1"/>
          <w:sz w:val="18"/>
          <w:szCs w:val="18"/>
        </w:rPr>
        <w:t>:</w:t>
      </w:r>
    </w:p>
    <w:tbl>
      <w:tblPr>
        <w:tblpPr w:leftFromText="141" w:rightFromText="141"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47"/>
        <w:gridCol w:w="1984"/>
      </w:tblGrid>
      <w:tr w:rsidR="009C3C24" w:rsidRPr="006F0DF1" w14:paraId="7577E270" w14:textId="77777777" w:rsidTr="000F0321">
        <w:tc>
          <w:tcPr>
            <w:tcW w:w="8031" w:type="dxa"/>
            <w:gridSpan w:val="2"/>
            <w:tcBorders>
              <w:top w:val="nil"/>
              <w:left w:val="nil"/>
              <w:bottom w:val="single" w:sz="12" w:space="0" w:color="808080" w:themeColor="background1" w:themeShade="80"/>
              <w:right w:val="nil"/>
            </w:tcBorders>
            <w:shd w:val="clear" w:color="auto" w:fill="auto"/>
          </w:tcPr>
          <w:p w14:paraId="28984ABC" w14:textId="77777777" w:rsidR="009C3C24" w:rsidRPr="00685332" w:rsidRDefault="009C3C24">
            <w:pPr>
              <w:spacing w:after="60" w:line="250" w:lineRule="exact"/>
              <w:jc w:val="center"/>
              <w:rPr>
                <w:rFonts w:ascii="Montserrat" w:hAnsi="Montserrat" w:cs="Arial"/>
                <w:color w:val="FFFFFF"/>
                <w:spacing w:val="-1"/>
                <w:sz w:val="16"/>
                <w:szCs w:val="16"/>
              </w:rPr>
            </w:pPr>
            <w:r w:rsidRPr="00685332">
              <w:rPr>
                <w:rFonts w:ascii="Montserrat" w:hAnsi="Montserrat" w:cs="Arial"/>
                <w:spacing w:val="-1"/>
                <w:sz w:val="16"/>
                <w:szCs w:val="16"/>
              </w:rPr>
              <w:t>(Pesos)</w:t>
            </w:r>
          </w:p>
        </w:tc>
      </w:tr>
      <w:tr w:rsidR="00C4519E" w:rsidRPr="006F0DF1" w14:paraId="3B9137D0" w14:textId="77777777" w:rsidTr="000F0321">
        <w:trPr>
          <w:trHeight w:val="57"/>
        </w:trPr>
        <w:tc>
          <w:tcPr>
            <w:tcW w:w="8031" w:type="dxa"/>
            <w:gridSpan w:val="2"/>
            <w:tcBorders>
              <w:top w:val="single" w:sz="12" w:space="0" w:color="808080" w:themeColor="background1" w:themeShade="80"/>
              <w:left w:val="nil"/>
              <w:bottom w:val="nil"/>
              <w:right w:val="nil"/>
            </w:tcBorders>
            <w:shd w:val="clear" w:color="auto" w:fill="auto"/>
          </w:tcPr>
          <w:p w14:paraId="1336E238" w14:textId="77777777" w:rsidR="00C4519E" w:rsidRPr="00CD6767" w:rsidRDefault="00C4519E">
            <w:pPr>
              <w:spacing w:after="0" w:line="240" w:lineRule="auto"/>
              <w:jc w:val="center"/>
              <w:rPr>
                <w:rFonts w:ascii="Montserrat" w:eastAsia="Times New Roman" w:hAnsi="Montserrat" w:cs="Calibri"/>
                <w:b/>
                <w:bCs/>
                <w:color w:val="FFFFFF"/>
                <w:sz w:val="4"/>
                <w:szCs w:val="4"/>
                <w:lang w:val="es-MX" w:eastAsia="es-MX"/>
              </w:rPr>
            </w:pPr>
          </w:p>
        </w:tc>
      </w:tr>
      <w:tr w:rsidR="009C3C24" w:rsidRPr="006F0DF1" w14:paraId="5EDE54EC" w14:textId="77777777" w:rsidTr="000F0321">
        <w:trPr>
          <w:trHeight w:val="317"/>
        </w:trPr>
        <w:tc>
          <w:tcPr>
            <w:tcW w:w="6047" w:type="dxa"/>
            <w:tcBorders>
              <w:top w:val="nil"/>
              <w:left w:val="single" w:sz="8" w:space="0" w:color="FFFFFF" w:themeColor="background1"/>
              <w:bottom w:val="double" w:sz="12" w:space="0" w:color="808080" w:themeColor="background1" w:themeShade="80"/>
              <w:right w:val="single" w:sz="8" w:space="0" w:color="FFFFFF" w:themeColor="background1"/>
            </w:tcBorders>
            <w:shd w:val="clear" w:color="auto" w:fill="D4C19C"/>
          </w:tcPr>
          <w:p w14:paraId="4D170C9D" w14:textId="77777777" w:rsidR="009C3C24" w:rsidRPr="006F0DF1" w:rsidRDefault="009C3C24">
            <w:pPr>
              <w:spacing w:after="0" w:line="240" w:lineRule="exact"/>
              <w:ind w:right="57"/>
              <w:jc w:val="center"/>
              <w:rPr>
                <w:rFonts w:ascii="Montserrat" w:hAnsi="Montserrat" w:cs="Arial"/>
                <w:b/>
                <w:color w:val="FFFFFF"/>
                <w:spacing w:val="-1"/>
                <w:sz w:val="16"/>
                <w:szCs w:val="16"/>
              </w:rPr>
            </w:pPr>
            <w:r w:rsidRPr="006F0DF1">
              <w:rPr>
                <w:rFonts w:ascii="Montserrat" w:hAnsi="Montserrat" w:cs="Arial"/>
                <w:b/>
                <w:color w:val="FFFFFF"/>
                <w:spacing w:val="-1"/>
                <w:sz w:val="16"/>
                <w:szCs w:val="16"/>
              </w:rPr>
              <w:t>Concepto</w:t>
            </w:r>
          </w:p>
        </w:tc>
        <w:tc>
          <w:tcPr>
            <w:tcW w:w="1984" w:type="dxa"/>
            <w:tcBorders>
              <w:top w:val="nil"/>
              <w:left w:val="single" w:sz="8" w:space="0" w:color="FFFFFF" w:themeColor="background1"/>
              <w:bottom w:val="double" w:sz="12" w:space="0" w:color="808080" w:themeColor="background1" w:themeShade="80"/>
              <w:right w:val="single" w:sz="8" w:space="0" w:color="FFFFFF" w:themeColor="background1"/>
            </w:tcBorders>
            <w:shd w:val="clear" w:color="auto" w:fill="D4C19C"/>
          </w:tcPr>
          <w:p w14:paraId="084BCC03" w14:textId="77777777" w:rsidR="009C3C24" w:rsidRPr="006F0DF1" w:rsidRDefault="009C3C24">
            <w:pPr>
              <w:spacing w:after="0" w:line="240" w:lineRule="exact"/>
              <w:ind w:right="57"/>
              <w:jc w:val="center"/>
              <w:rPr>
                <w:rFonts w:ascii="Montserrat" w:hAnsi="Montserrat" w:cs="Arial"/>
                <w:b/>
                <w:color w:val="FFFFFF"/>
                <w:spacing w:val="-1"/>
                <w:sz w:val="16"/>
                <w:szCs w:val="16"/>
              </w:rPr>
            </w:pPr>
            <w:r>
              <w:rPr>
                <w:rFonts w:ascii="Montserrat" w:hAnsi="Montserrat" w:cs="Arial"/>
                <w:b/>
                <w:color w:val="FFFFFF"/>
                <w:spacing w:val="-1"/>
                <w:sz w:val="16"/>
                <w:szCs w:val="16"/>
              </w:rPr>
              <w:t>201</w:t>
            </w:r>
            <w:r w:rsidR="00D56DC9">
              <w:rPr>
                <w:rFonts w:ascii="Montserrat" w:hAnsi="Montserrat" w:cs="Arial"/>
                <w:b/>
                <w:color w:val="FFFFFF"/>
                <w:spacing w:val="-1"/>
                <w:sz w:val="16"/>
                <w:szCs w:val="16"/>
              </w:rPr>
              <w:t>9</w:t>
            </w:r>
          </w:p>
        </w:tc>
      </w:tr>
      <w:tr w:rsidR="00C36558" w:rsidRPr="008F66B2" w14:paraId="2611921D" w14:textId="77777777" w:rsidTr="000F0321">
        <w:trPr>
          <w:trHeight w:val="236"/>
        </w:trPr>
        <w:tc>
          <w:tcPr>
            <w:tcW w:w="6047" w:type="dxa"/>
            <w:tcBorders>
              <w:top w:val="double" w:sz="12" w:space="0" w:color="808080" w:themeColor="background1" w:themeShade="80"/>
              <w:left w:val="nil"/>
              <w:bottom w:val="nil"/>
              <w:right w:val="nil"/>
            </w:tcBorders>
            <w:shd w:val="clear" w:color="auto" w:fill="F2F2F2" w:themeFill="background1" w:themeFillShade="F2"/>
          </w:tcPr>
          <w:p w14:paraId="126CC6AA" w14:textId="77777777" w:rsidR="00C36558" w:rsidRPr="00255081" w:rsidRDefault="00C36558">
            <w:pPr>
              <w:spacing w:after="0" w:line="240" w:lineRule="exact"/>
              <w:ind w:left="170" w:right="57"/>
              <w:rPr>
                <w:rFonts w:ascii="Montserrat" w:hAnsi="Montserrat" w:cs="Arial"/>
                <w:spacing w:val="-1"/>
                <w:sz w:val="15"/>
                <w:szCs w:val="15"/>
              </w:rPr>
            </w:pPr>
            <w:r w:rsidRPr="00255081">
              <w:rPr>
                <w:rFonts w:ascii="Montserrat" w:hAnsi="Montserrat" w:cs="Arial"/>
                <w:spacing w:val="-1"/>
                <w:sz w:val="15"/>
                <w:szCs w:val="15"/>
              </w:rPr>
              <w:t>Asignaciones al Sector Público (Poderes y ramos autónomos)</w:t>
            </w:r>
          </w:p>
        </w:tc>
        <w:tc>
          <w:tcPr>
            <w:tcW w:w="1984" w:type="dxa"/>
            <w:tcBorders>
              <w:top w:val="double" w:sz="12" w:space="0" w:color="808080" w:themeColor="background1" w:themeShade="80"/>
              <w:left w:val="nil"/>
              <w:bottom w:val="nil"/>
              <w:right w:val="nil"/>
            </w:tcBorders>
            <w:shd w:val="clear" w:color="auto" w:fill="F2F2F2" w:themeFill="background1" w:themeFillShade="F2"/>
            <w:vAlign w:val="center"/>
          </w:tcPr>
          <w:p w14:paraId="720E34EE" w14:textId="6B6409D5" w:rsidR="00C36558" w:rsidRPr="00255081" w:rsidRDefault="00AE3789">
            <w:pPr>
              <w:spacing w:after="0" w:line="240" w:lineRule="exact"/>
              <w:ind w:right="57"/>
              <w:jc w:val="right"/>
              <w:rPr>
                <w:rFonts w:ascii="Montserrat" w:hAnsi="Montserrat"/>
                <w:color w:val="000000"/>
                <w:sz w:val="15"/>
                <w:szCs w:val="15"/>
              </w:rPr>
            </w:pPr>
            <w:r w:rsidRPr="00255081">
              <w:rPr>
                <w:rFonts w:ascii="Montserrat" w:hAnsi="Montserrat"/>
                <w:color w:val="000000"/>
                <w:sz w:val="15"/>
                <w:szCs w:val="15"/>
              </w:rPr>
              <w:t>112,451,794,549</w:t>
            </w:r>
          </w:p>
        </w:tc>
      </w:tr>
      <w:tr w:rsidR="00C36558" w:rsidRPr="008F66B2" w14:paraId="6014A823" w14:textId="77777777" w:rsidTr="000F0321">
        <w:tc>
          <w:tcPr>
            <w:tcW w:w="6047" w:type="dxa"/>
            <w:tcBorders>
              <w:top w:val="nil"/>
              <w:left w:val="nil"/>
              <w:bottom w:val="nil"/>
              <w:right w:val="nil"/>
            </w:tcBorders>
            <w:shd w:val="clear" w:color="auto" w:fill="F2F2F2" w:themeFill="background1" w:themeFillShade="F2"/>
          </w:tcPr>
          <w:p w14:paraId="0B1F1B8F" w14:textId="77777777" w:rsidR="00C36558" w:rsidRPr="00255081" w:rsidRDefault="00C36558">
            <w:pPr>
              <w:spacing w:after="0" w:line="240" w:lineRule="exact"/>
              <w:ind w:left="170" w:right="57"/>
              <w:rPr>
                <w:rFonts w:ascii="Montserrat" w:hAnsi="Montserrat" w:cs="Arial"/>
                <w:spacing w:val="-1"/>
                <w:sz w:val="15"/>
                <w:szCs w:val="15"/>
              </w:rPr>
            </w:pPr>
            <w:r w:rsidRPr="00255081">
              <w:rPr>
                <w:rFonts w:ascii="Montserrat" w:hAnsi="Montserrat" w:cs="Arial"/>
                <w:spacing w:val="-1"/>
                <w:sz w:val="15"/>
                <w:szCs w:val="15"/>
              </w:rPr>
              <w:t>Apoyos a ahorradores y deudores de la banca</w:t>
            </w:r>
          </w:p>
        </w:tc>
        <w:tc>
          <w:tcPr>
            <w:tcW w:w="1984" w:type="dxa"/>
            <w:tcBorders>
              <w:top w:val="nil"/>
              <w:left w:val="nil"/>
              <w:bottom w:val="nil"/>
              <w:right w:val="nil"/>
            </w:tcBorders>
            <w:shd w:val="clear" w:color="auto" w:fill="F2F2F2" w:themeFill="background1" w:themeFillShade="F2"/>
            <w:vAlign w:val="center"/>
          </w:tcPr>
          <w:p w14:paraId="4370F931" w14:textId="1686F62B" w:rsidR="00C36558" w:rsidRPr="00255081" w:rsidRDefault="00AE3789">
            <w:pPr>
              <w:spacing w:after="0" w:line="240" w:lineRule="exact"/>
              <w:ind w:right="57"/>
              <w:jc w:val="right"/>
              <w:rPr>
                <w:rFonts w:ascii="Montserrat" w:hAnsi="Montserrat"/>
                <w:color w:val="000000"/>
                <w:sz w:val="15"/>
                <w:szCs w:val="15"/>
              </w:rPr>
            </w:pPr>
            <w:r w:rsidRPr="00255081">
              <w:rPr>
                <w:rFonts w:ascii="Montserrat" w:hAnsi="Montserrat"/>
                <w:color w:val="000000"/>
                <w:sz w:val="15"/>
                <w:szCs w:val="15"/>
              </w:rPr>
              <w:t>51,339,874,851</w:t>
            </w:r>
          </w:p>
        </w:tc>
      </w:tr>
      <w:tr w:rsidR="00AE7A79" w:rsidRPr="008F66B2" w14:paraId="58118A95" w14:textId="77777777" w:rsidTr="000F0321">
        <w:tc>
          <w:tcPr>
            <w:tcW w:w="6047" w:type="dxa"/>
            <w:tcBorders>
              <w:top w:val="nil"/>
              <w:left w:val="nil"/>
              <w:bottom w:val="nil"/>
              <w:right w:val="nil"/>
            </w:tcBorders>
            <w:shd w:val="clear" w:color="auto" w:fill="F2F2F2" w:themeFill="background1" w:themeFillShade="F2"/>
          </w:tcPr>
          <w:p w14:paraId="0CC21F9F" w14:textId="556B6E48" w:rsidR="00AE7A79" w:rsidRPr="00255081" w:rsidRDefault="00AE7A79" w:rsidP="00AE7A79">
            <w:pPr>
              <w:spacing w:after="0" w:line="240" w:lineRule="exact"/>
              <w:ind w:left="170" w:right="57"/>
              <w:rPr>
                <w:rFonts w:ascii="Montserrat" w:hAnsi="Montserrat" w:cs="Arial"/>
                <w:spacing w:val="-1"/>
                <w:sz w:val="15"/>
                <w:szCs w:val="15"/>
              </w:rPr>
            </w:pPr>
            <w:r w:rsidRPr="00255081">
              <w:rPr>
                <w:rFonts w:ascii="Montserrat" w:hAnsi="Montserrat" w:cs="Arial"/>
                <w:spacing w:val="-1"/>
                <w:sz w:val="15"/>
                <w:szCs w:val="15"/>
              </w:rPr>
              <w:t>Fondo de estabilización de los ingresos presupuestarios</w:t>
            </w:r>
          </w:p>
        </w:tc>
        <w:tc>
          <w:tcPr>
            <w:tcW w:w="1984" w:type="dxa"/>
            <w:tcBorders>
              <w:top w:val="nil"/>
              <w:left w:val="nil"/>
              <w:bottom w:val="nil"/>
              <w:right w:val="nil"/>
            </w:tcBorders>
            <w:shd w:val="clear" w:color="auto" w:fill="F2F2F2" w:themeFill="background1" w:themeFillShade="F2"/>
            <w:vAlign w:val="center"/>
          </w:tcPr>
          <w:p w14:paraId="0E43BF60" w14:textId="7A0C5CBB" w:rsidR="00AE7A79" w:rsidRPr="00255081" w:rsidRDefault="00AE3789" w:rsidP="00AE7A79">
            <w:pPr>
              <w:spacing w:after="0" w:line="240" w:lineRule="exact"/>
              <w:ind w:right="57"/>
              <w:jc w:val="right"/>
              <w:rPr>
                <w:rFonts w:ascii="Montserrat" w:hAnsi="Montserrat"/>
                <w:color w:val="000000"/>
                <w:sz w:val="15"/>
                <w:szCs w:val="15"/>
              </w:rPr>
            </w:pPr>
            <w:r w:rsidRPr="00255081">
              <w:rPr>
                <w:rFonts w:ascii="Montserrat" w:hAnsi="Montserrat"/>
                <w:color w:val="000000"/>
                <w:sz w:val="15"/>
                <w:szCs w:val="15"/>
              </w:rPr>
              <w:t>121,226,884,529</w:t>
            </w:r>
          </w:p>
        </w:tc>
      </w:tr>
      <w:tr w:rsidR="00AE7A79" w:rsidRPr="008F66B2" w14:paraId="2FD12D3B" w14:textId="77777777" w:rsidTr="000F0321">
        <w:tc>
          <w:tcPr>
            <w:tcW w:w="6047" w:type="dxa"/>
            <w:tcBorders>
              <w:top w:val="nil"/>
              <w:left w:val="nil"/>
              <w:bottom w:val="nil"/>
              <w:right w:val="nil"/>
            </w:tcBorders>
            <w:shd w:val="clear" w:color="auto" w:fill="F2F2F2" w:themeFill="background1" w:themeFillShade="F2"/>
          </w:tcPr>
          <w:p w14:paraId="67877085" w14:textId="6B1FC047" w:rsidR="00AE7A79" w:rsidRPr="00255081" w:rsidRDefault="00AE7A79" w:rsidP="00AE7A79">
            <w:pPr>
              <w:spacing w:after="0" w:line="240" w:lineRule="exact"/>
              <w:ind w:left="170" w:right="57"/>
              <w:rPr>
                <w:rFonts w:ascii="Montserrat" w:hAnsi="Montserrat" w:cs="Arial"/>
                <w:spacing w:val="-1"/>
                <w:sz w:val="15"/>
                <w:szCs w:val="15"/>
              </w:rPr>
            </w:pPr>
            <w:r w:rsidRPr="00255081">
              <w:rPr>
                <w:rFonts w:ascii="Montserrat" w:hAnsi="Montserrat" w:cs="Arial"/>
                <w:spacing w:val="-1"/>
                <w:sz w:val="15"/>
                <w:szCs w:val="15"/>
              </w:rPr>
              <w:t>Fondos de terceros en administración</w:t>
            </w:r>
          </w:p>
        </w:tc>
        <w:tc>
          <w:tcPr>
            <w:tcW w:w="1984" w:type="dxa"/>
            <w:tcBorders>
              <w:top w:val="nil"/>
              <w:left w:val="nil"/>
              <w:bottom w:val="nil"/>
              <w:right w:val="nil"/>
            </w:tcBorders>
            <w:shd w:val="clear" w:color="auto" w:fill="F2F2F2" w:themeFill="background1" w:themeFillShade="F2"/>
            <w:vAlign w:val="center"/>
          </w:tcPr>
          <w:p w14:paraId="51F49A52" w14:textId="179DA95B" w:rsidR="00AE7A79" w:rsidRPr="00255081" w:rsidRDefault="00AE3789" w:rsidP="00AE7A79">
            <w:pPr>
              <w:spacing w:after="0" w:line="240" w:lineRule="exact"/>
              <w:ind w:right="57"/>
              <w:jc w:val="right"/>
              <w:rPr>
                <w:rFonts w:ascii="Montserrat" w:hAnsi="Montserrat"/>
                <w:color w:val="000000"/>
                <w:sz w:val="15"/>
                <w:szCs w:val="15"/>
              </w:rPr>
            </w:pPr>
            <w:r w:rsidRPr="00255081">
              <w:rPr>
                <w:rFonts w:ascii="Montserrat" w:hAnsi="Montserrat"/>
                <w:color w:val="000000"/>
                <w:sz w:val="15"/>
                <w:szCs w:val="15"/>
              </w:rPr>
              <w:t>16,512,116,756</w:t>
            </w:r>
          </w:p>
        </w:tc>
      </w:tr>
      <w:tr w:rsidR="00C36558" w:rsidRPr="001F6942" w14:paraId="23E6E0DC" w14:textId="77777777" w:rsidTr="000F0321">
        <w:trPr>
          <w:trHeight w:val="70"/>
        </w:trPr>
        <w:tc>
          <w:tcPr>
            <w:tcW w:w="6047" w:type="dxa"/>
            <w:tcBorders>
              <w:top w:val="nil"/>
              <w:left w:val="nil"/>
              <w:bottom w:val="nil"/>
              <w:right w:val="nil"/>
            </w:tcBorders>
            <w:shd w:val="clear" w:color="auto" w:fill="F2F2F2" w:themeFill="background1" w:themeFillShade="F2"/>
          </w:tcPr>
          <w:p w14:paraId="138330AB" w14:textId="77777777" w:rsidR="00C36558" w:rsidRPr="001F6942" w:rsidRDefault="00C36558">
            <w:pPr>
              <w:spacing w:after="0" w:line="240" w:lineRule="exact"/>
              <w:ind w:left="170" w:right="57"/>
              <w:rPr>
                <w:rFonts w:ascii="Montserrat" w:hAnsi="Montserrat" w:cs="Arial"/>
                <w:spacing w:val="-1"/>
                <w:sz w:val="15"/>
                <w:szCs w:val="15"/>
              </w:rPr>
            </w:pPr>
            <w:r w:rsidRPr="001F6942">
              <w:rPr>
                <w:rFonts w:ascii="Montserrat" w:hAnsi="Montserrat" w:cs="Arial"/>
                <w:spacing w:val="-1"/>
                <w:sz w:val="15"/>
                <w:szCs w:val="15"/>
              </w:rPr>
              <w:t>Otras Aplicaciones de Financiamiento</w:t>
            </w:r>
          </w:p>
        </w:tc>
        <w:tc>
          <w:tcPr>
            <w:tcW w:w="1984" w:type="dxa"/>
            <w:tcBorders>
              <w:top w:val="nil"/>
              <w:left w:val="nil"/>
              <w:bottom w:val="nil"/>
              <w:right w:val="nil"/>
            </w:tcBorders>
            <w:shd w:val="clear" w:color="auto" w:fill="F2F2F2" w:themeFill="background1" w:themeFillShade="F2"/>
            <w:vAlign w:val="center"/>
          </w:tcPr>
          <w:p w14:paraId="2AEEBD74" w14:textId="56FAFC0A" w:rsidR="00C36558" w:rsidRPr="001F6942" w:rsidRDefault="00AE3789">
            <w:pPr>
              <w:spacing w:after="0" w:line="240" w:lineRule="exact"/>
              <w:ind w:right="57"/>
              <w:jc w:val="right"/>
              <w:rPr>
                <w:rFonts w:ascii="Montserrat" w:hAnsi="Montserrat"/>
                <w:color w:val="000000"/>
                <w:sz w:val="15"/>
                <w:szCs w:val="15"/>
              </w:rPr>
            </w:pPr>
            <w:r w:rsidRPr="001F6942">
              <w:rPr>
                <w:rFonts w:ascii="Montserrat" w:hAnsi="Montserrat"/>
                <w:color w:val="000000"/>
                <w:sz w:val="15"/>
                <w:szCs w:val="15"/>
              </w:rPr>
              <w:t>148,823,269,943</w:t>
            </w:r>
          </w:p>
        </w:tc>
      </w:tr>
      <w:tr w:rsidR="00C36558" w:rsidRPr="006F0DF1" w14:paraId="360F9180" w14:textId="77777777" w:rsidTr="000F0321">
        <w:trPr>
          <w:trHeight w:val="70"/>
        </w:trPr>
        <w:tc>
          <w:tcPr>
            <w:tcW w:w="6047" w:type="dxa"/>
            <w:tcBorders>
              <w:top w:val="nil"/>
              <w:left w:val="nil"/>
              <w:bottom w:val="single" w:sz="12" w:space="0" w:color="808080" w:themeColor="background1" w:themeShade="80"/>
              <w:right w:val="nil"/>
            </w:tcBorders>
            <w:shd w:val="clear" w:color="auto" w:fill="F2F2F2" w:themeFill="background1" w:themeFillShade="F2"/>
          </w:tcPr>
          <w:p w14:paraId="6B4D29F7" w14:textId="77777777" w:rsidR="00C36558" w:rsidRPr="00255081" w:rsidRDefault="00C36558">
            <w:pPr>
              <w:spacing w:after="0" w:line="240" w:lineRule="exact"/>
              <w:ind w:left="170" w:right="57"/>
              <w:jc w:val="right"/>
              <w:rPr>
                <w:rFonts w:ascii="Montserrat" w:hAnsi="Montserrat" w:cs="Arial"/>
                <w:b/>
                <w:spacing w:val="-1"/>
                <w:sz w:val="15"/>
                <w:szCs w:val="15"/>
              </w:rPr>
            </w:pPr>
            <w:r w:rsidRPr="00255081">
              <w:rPr>
                <w:rFonts w:ascii="Montserrat" w:hAnsi="Montserrat" w:cs="Arial"/>
                <w:b/>
                <w:spacing w:val="-1"/>
                <w:sz w:val="15"/>
                <w:szCs w:val="15"/>
              </w:rPr>
              <w:t>Suma</w:t>
            </w:r>
          </w:p>
        </w:tc>
        <w:tc>
          <w:tcPr>
            <w:tcW w:w="1984" w:type="dxa"/>
            <w:tcBorders>
              <w:top w:val="nil"/>
              <w:left w:val="nil"/>
              <w:bottom w:val="single" w:sz="12" w:space="0" w:color="808080" w:themeColor="background1" w:themeShade="80"/>
              <w:right w:val="nil"/>
            </w:tcBorders>
            <w:shd w:val="clear" w:color="auto" w:fill="F2F2F2" w:themeFill="background1" w:themeFillShade="F2"/>
            <w:vAlign w:val="center"/>
          </w:tcPr>
          <w:p w14:paraId="0A4FE4F7" w14:textId="7488B868" w:rsidR="00C36558" w:rsidRPr="00255081" w:rsidRDefault="00AE3789">
            <w:pPr>
              <w:spacing w:after="0" w:line="240" w:lineRule="exact"/>
              <w:ind w:right="57"/>
              <w:jc w:val="right"/>
              <w:rPr>
                <w:rFonts w:ascii="Montserrat" w:hAnsi="Montserrat"/>
                <w:b/>
                <w:bCs/>
                <w:color w:val="000000"/>
                <w:sz w:val="15"/>
                <w:szCs w:val="15"/>
              </w:rPr>
            </w:pPr>
            <w:r w:rsidRPr="00255081">
              <w:rPr>
                <w:rFonts w:ascii="Montserrat" w:hAnsi="Montserrat"/>
                <w:b/>
                <w:bCs/>
                <w:color w:val="000000"/>
                <w:sz w:val="15"/>
                <w:szCs w:val="15"/>
              </w:rPr>
              <w:t>450,353,940,628</w:t>
            </w:r>
          </w:p>
        </w:tc>
      </w:tr>
    </w:tbl>
    <w:p w14:paraId="0E4DB711" w14:textId="57275C3B" w:rsidR="00F576E1" w:rsidRDefault="00AE7A79" w:rsidP="00F576E1">
      <w:pPr>
        <w:spacing w:after="0" w:line="240" w:lineRule="auto"/>
        <w:jc w:val="both"/>
        <w:rPr>
          <w:rFonts w:ascii="Montserrat" w:hAnsi="Montserrat" w:cs="Arial"/>
          <w:spacing w:val="-1"/>
          <w:sz w:val="18"/>
          <w:szCs w:val="18"/>
        </w:rPr>
      </w:pPr>
      <w:r>
        <w:rPr>
          <w:rFonts w:ascii="Montserrat" w:hAnsi="Montserrat" w:cs="Arial"/>
          <w:spacing w:val="-1"/>
          <w:sz w:val="18"/>
          <w:szCs w:val="18"/>
        </w:rPr>
        <w:br w:type="textWrapping" w:clear="all"/>
      </w:r>
    </w:p>
    <w:p w14:paraId="29EDF2F7" w14:textId="40C0D8ED" w:rsidR="009C3C24" w:rsidRPr="00172E13" w:rsidRDefault="00F576E1" w:rsidP="005A5AC5">
      <w:pPr>
        <w:pStyle w:val="VIETAFLECHA"/>
        <w:numPr>
          <w:ilvl w:val="0"/>
          <w:numId w:val="13"/>
        </w:numPr>
        <w:ind w:left="357" w:hanging="357"/>
        <w:rPr>
          <w:rFonts w:cs="Arial"/>
          <w:spacing w:val="-1"/>
        </w:rPr>
      </w:pPr>
      <w:r>
        <w:rPr>
          <w:rFonts w:cs="Arial"/>
          <w:spacing w:val="-1"/>
        </w:rPr>
        <w:br w:type="page"/>
      </w:r>
      <w:r w:rsidR="009C3C24" w:rsidRPr="00172E13">
        <w:rPr>
          <w:rFonts w:cs="Arial"/>
          <w:spacing w:val="-1"/>
        </w:rPr>
        <w:lastRenderedPageBreak/>
        <w:t xml:space="preserve">Conciliación de los Flujos de Efectivo Netos de las Actividades de Operación y la cuenta de Ahorro/Desahorro </w:t>
      </w:r>
      <w:r w:rsidR="001622D5" w:rsidRPr="00172E13">
        <w:rPr>
          <w:rFonts w:cs="Arial"/>
          <w:spacing w:val="-1"/>
        </w:rPr>
        <w:t>antes de Rubros Extraordinarios</w:t>
      </w:r>
    </w:p>
    <w:p w14:paraId="288EB537" w14:textId="77777777" w:rsidR="00CD6767" w:rsidRPr="00685332" w:rsidRDefault="00CD6767" w:rsidP="00E52592">
      <w:pPr>
        <w:pStyle w:val="TEXTONORMAL"/>
        <w:spacing w:after="60"/>
        <w:jc w:val="center"/>
      </w:pPr>
      <w:r w:rsidRPr="00685332">
        <w:rPr>
          <w:rFonts w:cs="Arial"/>
          <w:spacing w:val="-1"/>
          <w:sz w:val="16"/>
          <w:szCs w:val="16"/>
        </w:rPr>
        <w:t>(Pesos)</w:t>
      </w:r>
    </w:p>
    <w:tbl>
      <w:tblPr>
        <w:tblW w:w="0" w:type="auto"/>
        <w:jc w:val="center"/>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Layout w:type="fixed"/>
        <w:tblCellMar>
          <w:left w:w="30" w:type="dxa"/>
          <w:right w:w="30" w:type="dxa"/>
        </w:tblCellMar>
        <w:tblLook w:val="04A0" w:firstRow="1" w:lastRow="0" w:firstColumn="1" w:lastColumn="0" w:noHBand="0" w:noVBand="1"/>
      </w:tblPr>
      <w:tblGrid>
        <w:gridCol w:w="4534"/>
        <w:gridCol w:w="1800"/>
        <w:gridCol w:w="1746"/>
      </w:tblGrid>
      <w:tr w:rsidR="00C4519E" w:rsidRPr="00CD6767" w14:paraId="4DD0B14B" w14:textId="77777777" w:rsidTr="000F0321">
        <w:trPr>
          <w:trHeight w:val="57"/>
          <w:jc w:val="center"/>
        </w:trPr>
        <w:tc>
          <w:tcPr>
            <w:tcW w:w="8080" w:type="dxa"/>
            <w:gridSpan w:val="3"/>
            <w:tcBorders>
              <w:top w:val="single" w:sz="12" w:space="0" w:color="808080" w:themeColor="background1" w:themeShade="80"/>
              <w:left w:val="nil"/>
              <w:bottom w:val="nil"/>
              <w:right w:val="nil"/>
            </w:tcBorders>
            <w:shd w:val="clear" w:color="auto" w:fill="auto"/>
          </w:tcPr>
          <w:p w14:paraId="05CABD66" w14:textId="77777777" w:rsidR="00C4519E" w:rsidRPr="00CD6767" w:rsidRDefault="00C4519E" w:rsidP="00CD6767">
            <w:pPr>
              <w:spacing w:after="0" w:line="240" w:lineRule="auto"/>
              <w:jc w:val="center"/>
              <w:rPr>
                <w:rFonts w:ascii="Montserrat" w:eastAsia="Times New Roman" w:hAnsi="Montserrat" w:cs="Calibri"/>
                <w:b/>
                <w:bCs/>
                <w:color w:val="FFFFFF"/>
                <w:sz w:val="4"/>
                <w:szCs w:val="4"/>
                <w:lang w:val="es-MX" w:eastAsia="es-MX"/>
              </w:rPr>
            </w:pPr>
          </w:p>
        </w:tc>
      </w:tr>
      <w:tr w:rsidR="009C3C24" w:rsidRPr="006F0DF1" w14:paraId="5FE93FA9" w14:textId="77777777" w:rsidTr="000F0321">
        <w:trPr>
          <w:trHeight w:val="317"/>
          <w:jc w:val="center"/>
        </w:trPr>
        <w:tc>
          <w:tcPr>
            <w:tcW w:w="4534" w:type="dxa"/>
            <w:tcBorders>
              <w:top w:val="nil"/>
              <w:left w:val="single" w:sz="8" w:space="0" w:color="FFFFFF" w:themeColor="background1"/>
              <w:bottom w:val="double" w:sz="12" w:space="0" w:color="808080" w:themeColor="background1" w:themeShade="80"/>
              <w:right w:val="single" w:sz="8" w:space="0" w:color="FFFFFF" w:themeColor="background1"/>
            </w:tcBorders>
            <w:shd w:val="clear" w:color="auto" w:fill="D4C19C"/>
          </w:tcPr>
          <w:p w14:paraId="5A2E6FC6" w14:textId="77777777" w:rsidR="009C3C24" w:rsidRPr="006F0DF1" w:rsidRDefault="00CD6767" w:rsidP="00CD6767">
            <w:pPr>
              <w:tabs>
                <w:tab w:val="left" w:pos="818"/>
              </w:tabs>
              <w:spacing w:after="0" w:line="240" w:lineRule="exact"/>
              <w:ind w:right="57"/>
              <w:jc w:val="center"/>
              <w:rPr>
                <w:rFonts w:ascii="Montserrat" w:hAnsi="Montserrat" w:cs="Arial"/>
                <w:b/>
                <w:color w:val="FFFFFF"/>
                <w:spacing w:val="-1"/>
                <w:sz w:val="16"/>
                <w:szCs w:val="16"/>
              </w:rPr>
            </w:pPr>
            <w:r w:rsidRPr="006F0DF1">
              <w:rPr>
                <w:rFonts w:ascii="Montserrat" w:hAnsi="Montserrat" w:cs="Arial"/>
                <w:b/>
                <w:color w:val="FFFFFF"/>
                <w:spacing w:val="-1"/>
                <w:sz w:val="16"/>
                <w:szCs w:val="16"/>
              </w:rPr>
              <w:t>Concepto</w:t>
            </w:r>
          </w:p>
        </w:tc>
        <w:tc>
          <w:tcPr>
            <w:tcW w:w="1800" w:type="dxa"/>
            <w:tcBorders>
              <w:top w:val="nil"/>
              <w:left w:val="single" w:sz="8" w:space="0" w:color="FFFFFF" w:themeColor="background1"/>
              <w:bottom w:val="double" w:sz="12" w:space="0" w:color="808080" w:themeColor="background1" w:themeShade="80"/>
              <w:right w:val="single" w:sz="8" w:space="0" w:color="FFFFFF" w:themeColor="background1"/>
            </w:tcBorders>
            <w:shd w:val="clear" w:color="auto" w:fill="D4C19C"/>
            <w:hideMark/>
          </w:tcPr>
          <w:p w14:paraId="4282DD7D" w14:textId="77777777" w:rsidR="009C3C24" w:rsidRPr="006F0DF1" w:rsidRDefault="009C3C24" w:rsidP="002F797B">
            <w:pPr>
              <w:spacing w:after="0" w:line="240" w:lineRule="exact"/>
              <w:ind w:right="57"/>
              <w:jc w:val="center"/>
              <w:rPr>
                <w:rFonts w:ascii="Montserrat" w:hAnsi="Montserrat" w:cs="Arial"/>
                <w:b/>
                <w:color w:val="FFFFFF"/>
                <w:spacing w:val="-1"/>
                <w:sz w:val="16"/>
                <w:szCs w:val="16"/>
              </w:rPr>
            </w:pPr>
            <w:r>
              <w:rPr>
                <w:rFonts w:ascii="Montserrat" w:hAnsi="Montserrat" w:cs="Arial"/>
                <w:b/>
                <w:color w:val="FFFFFF"/>
                <w:spacing w:val="-1"/>
                <w:sz w:val="16"/>
                <w:szCs w:val="16"/>
              </w:rPr>
              <w:t>201</w:t>
            </w:r>
            <w:r w:rsidR="00D56DC9">
              <w:rPr>
                <w:rFonts w:ascii="Montserrat" w:hAnsi="Montserrat" w:cs="Arial"/>
                <w:b/>
                <w:color w:val="FFFFFF"/>
                <w:spacing w:val="-1"/>
                <w:sz w:val="16"/>
                <w:szCs w:val="16"/>
              </w:rPr>
              <w:t>9</w:t>
            </w:r>
          </w:p>
        </w:tc>
        <w:tc>
          <w:tcPr>
            <w:tcW w:w="1746" w:type="dxa"/>
            <w:tcBorders>
              <w:top w:val="nil"/>
              <w:left w:val="single" w:sz="8" w:space="0" w:color="FFFFFF" w:themeColor="background1"/>
              <w:bottom w:val="double" w:sz="12" w:space="0" w:color="808080" w:themeColor="background1" w:themeShade="80"/>
              <w:right w:val="single" w:sz="8" w:space="0" w:color="FFFFFF" w:themeColor="background1"/>
            </w:tcBorders>
            <w:shd w:val="clear" w:color="auto" w:fill="D4C19C"/>
            <w:hideMark/>
          </w:tcPr>
          <w:p w14:paraId="3177E718" w14:textId="77777777" w:rsidR="009C3C24" w:rsidRPr="006F0DF1" w:rsidRDefault="009C3C24" w:rsidP="002F797B">
            <w:pPr>
              <w:spacing w:after="0" w:line="240" w:lineRule="exact"/>
              <w:ind w:right="57"/>
              <w:jc w:val="center"/>
              <w:rPr>
                <w:rFonts w:ascii="Montserrat" w:hAnsi="Montserrat" w:cs="Arial"/>
                <w:b/>
                <w:color w:val="FFFFFF"/>
                <w:spacing w:val="-1"/>
                <w:sz w:val="16"/>
                <w:szCs w:val="16"/>
              </w:rPr>
            </w:pPr>
            <w:r>
              <w:rPr>
                <w:rFonts w:ascii="Montserrat" w:hAnsi="Montserrat" w:cs="Arial"/>
                <w:b/>
                <w:color w:val="FFFFFF"/>
                <w:spacing w:val="-1"/>
                <w:sz w:val="16"/>
                <w:szCs w:val="16"/>
              </w:rPr>
              <w:t>201</w:t>
            </w:r>
            <w:r w:rsidR="00D56DC9">
              <w:rPr>
                <w:rFonts w:ascii="Montserrat" w:hAnsi="Montserrat" w:cs="Arial"/>
                <w:b/>
                <w:color w:val="FFFFFF"/>
                <w:spacing w:val="-1"/>
                <w:sz w:val="16"/>
                <w:szCs w:val="16"/>
              </w:rPr>
              <w:t>8</w:t>
            </w:r>
          </w:p>
        </w:tc>
      </w:tr>
      <w:tr w:rsidR="00D56DC9" w:rsidRPr="006F0DF1" w14:paraId="5F2E8D37" w14:textId="77777777" w:rsidTr="000F0321">
        <w:trPr>
          <w:trHeight w:val="75"/>
          <w:jc w:val="center"/>
        </w:trPr>
        <w:tc>
          <w:tcPr>
            <w:tcW w:w="4534" w:type="dxa"/>
            <w:tcBorders>
              <w:top w:val="double" w:sz="12" w:space="0" w:color="808080" w:themeColor="background1" w:themeShade="80"/>
              <w:left w:val="nil"/>
              <w:bottom w:val="nil"/>
              <w:right w:val="nil"/>
            </w:tcBorders>
            <w:shd w:val="clear" w:color="auto" w:fill="F2F2F2" w:themeFill="background1" w:themeFillShade="F2"/>
            <w:vAlign w:val="center"/>
            <w:hideMark/>
          </w:tcPr>
          <w:p w14:paraId="123C1C3A" w14:textId="77777777" w:rsidR="00D56DC9" w:rsidRPr="00255081" w:rsidRDefault="00D56DC9" w:rsidP="00D56DC9">
            <w:pPr>
              <w:spacing w:after="0" w:line="240" w:lineRule="exact"/>
              <w:ind w:left="170" w:right="57"/>
              <w:jc w:val="both"/>
              <w:rPr>
                <w:rFonts w:ascii="Montserrat" w:hAnsi="Montserrat" w:cs="Arial"/>
                <w:spacing w:val="-1"/>
                <w:sz w:val="15"/>
                <w:szCs w:val="15"/>
              </w:rPr>
            </w:pPr>
            <w:r w:rsidRPr="00255081">
              <w:rPr>
                <w:rFonts w:ascii="Montserrat" w:hAnsi="Montserrat" w:cs="Arial"/>
                <w:spacing w:val="-1"/>
                <w:sz w:val="15"/>
                <w:szCs w:val="15"/>
              </w:rPr>
              <w:t>Ahorro/Desahorro antes de Rubros Extraordinarios</w:t>
            </w:r>
          </w:p>
        </w:tc>
        <w:tc>
          <w:tcPr>
            <w:tcW w:w="1800" w:type="dxa"/>
            <w:tcBorders>
              <w:top w:val="double" w:sz="12" w:space="0" w:color="808080" w:themeColor="background1" w:themeShade="80"/>
              <w:left w:val="nil"/>
              <w:bottom w:val="nil"/>
              <w:right w:val="nil"/>
            </w:tcBorders>
            <w:shd w:val="clear" w:color="auto" w:fill="F2F2F2" w:themeFill="background1" w:themeFillShade="F2"/>
            <w:vAlign w:val="center"/>
          </w:tcPr>
          <w:p w14:paraId="27138AC7" w14:textId="13CCE5FF" w:rsidR="00D56DC9" w:rsidRPr="00255081" w:rsidRDefault="00172E13" w:rsidP="00D56DC9">
            <w:pPr>
              <w:spacing w:after="0" w:line="240" w:lineRule="exact"/>
              <w:ind w:right="57"/>
              <w:jc w:val="right"/>
              <w:rPr>
                <w:rFonts w:ascii="Montserrat" w:hAnsi="Montserrat"/>
                <w:spacing w:val="-1"/>
                <w:sz w:val="15"/>
                <w:szCs w:val="15"/>
              </w:rPr>
            </w:pPr>
            <w:r>
              <w:rPr>
                <w:rFonts w:ascii="Montserrat" w:hAnsi="Montserrat"/>
                <w:spacing w:val="-1"/>
                <w:sz w:val="15"/>
                <w:szCs w:val="15"/>
              </w:rPr>
              <w:t>-374,585,310,318</w:t>
            </w:r>
          </w:p>
        </w:tc>
        <w:tc>
          <w:tcPr>
            <w:tcW w:w="1746" w:type="dxa"/>
            <w:tcBorders>
              <w:top w:val="double" w:sz="12" w:space="0" w:color="808080" w:themeColor="background1" w:themeShade="80"/>
              <w:left w:val="nil"/>
              <w:bottom w:val="nil"/>
              <w:right w:val="nil"/>
            </w:tcBorders>
            <w:shd w:val="clear" w:color="auto" w:fill="F2F2F2" w:themeFill="background1" w:themeFillShade="F2"/>
            <w:vAlign w:val="center"/>
            <w:hideMark/>
          </w:tcPr>
          <w:p w14:paraId="33BFC67E" w14:textId="77777777" w:rsidR="00D56DC9" w:rsidRPr="00255081" w:rsidRDefault="00D56DC9" w:rsidP="00D56DC9">
            <w:pPr>
              <w:spacing w:after="0" w:line="240" w:lineRule="exact"/>
              <w:ind w:right="57"/>
              <w:jc w:val="right"/>
              <w:rPr>
                <w:rFonts w:ascii="Montserrat" w:hAnsi="Montserrat"/>
                <w:spacing w:val="-1"/>
                <w:sz w:val="15"/>
                <w:szCs w:val="15"/>
              </w:rPr>
            </w:pPr>
            <w:r w:rsidRPr="00255081">
              <w:rPr>
                <w:rFonts w:ascii="Montserrat" w:hAnsi="Montserrat"/>
                <w:spacing w:val="-1"/>
                <w:sz w:val="15"/>
                <w:szCs w:val="15"/>
              </w:rPr>
              <w:t>-245,677,832,293</w:t>
            </w:r>
          </w:p>
        </w:tc>
      </w:tr>
      <w:tr w:rsidR="00172E13" w:rsidRPr="006F0DF1" w14:paraId="05AC1A07" w14:textId="77777777" w:rsidTr="000F0321">
        <w:trPr>
          <w:trHeight w:val="75"/>
          <w:jc w:val="center"/>
        </w:trPr>
        <w:tc>
          <w:tcPr>
            <w:tcW w:w="4534" w:type="dxa"/>
            <w:tcBorders>
              <w:top w:val="nil"/>
              <w:left w:val="nil"/>
              <w:bottom w:val="nil"/>
              <w:right w:val="nil"/>
            </w:tcBorders>
            <w:shd w:val="clear" w:color="auto" w:fill="F2F2F2" w:themeFill="background1" w:themeFillShade="F2"/>
            <w:vAlign w:val="center"/>
            <w:hideMark/>
          </w:tcPr>
          <w:p w14:paraId="17EC4EB9" w14:textId="77777777" w:rsidR="00172E13" w:rsidRPr="00255081" w:rsidRDefault="00172E13" w:rsidP="00172E13">
            <w:pPr>
              <w:spacing w:after="0" w:line="240" w:lineRule="exact"/>
              <w:ind w:left="170" w:right="57"/>
              <w:jc w:val="both"/>
              <w:rPr>
                <w:rFonts w:ascii="Montserrat" w:hAnsi="Montserrat" w:cs="Arial"/>
                <w:spacing w:val="-1"/>
                <w:sz w:val="15"/>
                <w:szCs w:val="15"/>
              </w:rPr>
            </w:pPr>
            <w:r w:rsidRPr="00255081">
              <w:rPr>
                <w:rFonts w:ascii="Montserrat" w:hAnsi="Montserrat" w:cs="Arial"/>
                <w:spacing w:val="-1"/>
                <w:sz w:val="15"/>
                <w:szCs w:val="15"/>
              </w:rPr>
              <w:t>Movimientos de partidas (o rubros) que no afectan al efectivo:</w:t>
            </w:r>
          </w:p>
        </w:tc>
        <w:tc>
          <w:tcPr>
            <w:tcW w:w="1800" w:type="dxa"/>
            <w:tcBorders>
              <w:top w:val="nil"/>
              <w:left w:val="nil"/>
              <w:bottom w:val="nil"/>
              <w:right w:val="nil"/>
            </w:tcBorders>
            <w:shd w:val="clear" w:color="auto" w:fill="F2F2F2" w:themeFill="background1" w:themeFillShade="F2"/>
            <w:vAlign w:val="center"/>
          </w:tcPr>
          <w:p w14:paraId="5F94DD95" w14:textId="720A74EC" w:rsidR="00172E13" w:rsidRPr="00255081" w:rsidRDefault="00172E13" w:rsidP="00172E13">
            <w:pPr>
              <w:spacing w:after="0" w:line="240" w:lineRule="exact"/>
              <w:ind w:right="57"/>
              <w:jc w:val="right"/>
              <w:rPr>
                <w:rFonts w:ascii="Montserrat" w:hAnsi="Montserrat"/>
                <w:spacing w:val="-1"/>
                <w:sz w:val="15"/>
                <w:szCs w:val="15"/>
              </w:rPr>
            </w:pPr>
            <w:r>
              <w:rPr>
                <w:rFonts w:ascii="Montserrat" w:hAnsi="Montserrat"/>
                <w:spacing w:val="-1"/>
                <w:sz w:val="15"/>
                <w:szCs w:val="15"/>
              </w:rPr>
              <w:t>0</w:t>
            </w:r>
          </w:p>
        </w:tc>
        <w:tc>
          <w:tcPr>
            <w:tcW w:w="1746" w:type="dxa"/>
            <w:tcBorders>
              <w:top w:val="nil"/>
              <w:left w:val="nil"/>
              <w:bottom w:val="nil"/>
              <w:right w:val="nil"/>
            </w:tcBorders>
            <w:shd w:val="clear" w:color="auto" w:fill="F2F2F2" w:themeFill="background1" w:themeFillShade="F2"/>
            <w:vAlign w:val="center"/>
          </w:tcPr>
          <w:p w14:paraId="6D0576D1" w14:textId="50F6134A" w:rsidR="00172E13" w:rsidRPr="00255081" w:rsidRDefault="00172E13" w:rsidP="00172E13">
            <w:pPr>
              <w:spacing w:after="0" w:line="240" w:lineRule="exact"/>
              <w:ind w:right="57"/>
              <w:jc w:val="right"/>
              <w:rPr>
                <w:rFonts w:ascii="Montserrat" w:hAnsi="Montserrat"/>
                <w:spacing w:val="-1"/>
                <w:sz w:val="15"/>
                <w:szCs w:val="15"/>
              </w:rPr>
            </w:pPr>
            <w:r>
              <w:rPr>
                <w:rFonts w:ascii="Montserrat" w:hAnsi="Montserrat"/>
                <w:spacing w:val="-1"/>
                <w:sz w:val="15"/>
                <w:szCs w:val="15"/>
              </w:rPr>
              <w:t>0</w:t>
            </w:r>
          </w:p>
        </w:tc>
      </w:tr>
      <w:tr w:rsidR="00172E13" w:rsidRPr="006F0DF1" w14:paraId="128CB2CA" w14:textId="77777777" w:rsidTr="000F0321">
        <w:trPr>
          <w:trHeight w:val="75"/>
          <w:jc w:val="center"/>
        </w:trPr>
        <w:tc>
          <w:tcPr>
            <w:tcW w:w="4534" w:type="dxa"/>
            <w:tcBorders>
              <w:top w:val="nil"/>
              <w:left w:val="nil"/>
              <w:bottom w:val="nil"/>
              <w:right w:val="nil"/>
            </w:tcBorders>
            <w:shd w:val="clear" w:color="auto" w:fill="F2F2F2" w:themeFill="background1" w:themeFillShade="F2"/>
            <w:vAlign w:val="center"/>
            <w:hideMark/>
          </w:tcPr>
          <w:p w14:paraId="366F39D0" w14:textId="77777777" w:rsidR="00172E13" w:rsidRPr="00255081" w:rsidRDefault="00172E13" w:rsidP="00172E13">
            <w:pPr>
              <w:spacing w:after="0" w:line="240" w:lineRule="exact"/>
              <w:ind w:left="170" w:right="57"/>
              <w:jc w:val="both"/>
              <w:rPr>
                <w:rFonts w:ascii="Montserrat" w:hAnsi="Montserrat" w:cs="Arial"/>
                <w:spacing w:val="-1"/>
                <w:sz w:val="15"/>
                <w:szCs w:val="15"/>
              </w:rPr>
            </w:pPr>
            <w:r w:rsidRPr="00255081">
              <w:rPr>
                <w:rFonts w:ascii="Montserrat" w:hAnsi="Montserrat" w:cs="Arial"/>
                <w:spacing w:val="-1"/>
                <w:sz w:val="15"/>
                <w:szCs w:val="15"/>
              </w:rPr>
              <w:t xml:space="preserve">   Depreciación</w:t>
            </w:r>
          </w:p>
        </w:tc>
        <w:tc>
          <w:tcPr>
            <w:tcW w:w="1800" w:type="dxa"/>
            <w:tcBorders>
              <w:top w:val="nil"/>
              <w:left w:val="nil"/>
              <w:bottom w:val="nil"/>
              <w:right w:val="nil"/>
            </w:tcBorders>
            <w:shd w:val="clear" w:color="auto" w:fill="F2F2F2" w:themeFill="background1" w:themeFillShade="F2"/>
            <w:vAlign w:val="center"/>
          </w:tcPr>
          <w:p w14:paraId="6409AE09" w14:textId="16347B1F" w:rsidR="00172E13" w:rsidRPr="00255081" w:rsidRDefault="00172E13" w:rsidP="00172E13">
            <w:pPr>
              <w:spacing w:after="0" w:line="240" w:lineRule="exact"/>
              <w:ind w:right="57"/>
              <w:jc w:val="right"/>
              <w:rPr>
                <w:rFonts w:ascii="Montserrat" w:hAnsi="Montserrat"/>
                <w:spacing w:val="-1"/>
                <w:sz w:val="15"/>
                <w:szCs w:val="15"/>
              </w:rPr>
            </w:pPr>
            <w:r w:rsidRPr="00255081">
              <w:rPr>
                <w:rFonts w:ascii="Montserrat" w:hAnsi="Montserrat"/>
                <w:spacing w:val="-1"/>
                <w:sz w:val="15"/>
                <w:szCs w:val="15"/>
              </w:rPr>
              <w:t>0</w:t>
            </w:r>
          </w:p>
        </w:tc>
        <w:tc>
          <w:tcPr>
            <w:tcW w:w="1746" w:type="dxa"/>
            <w:tcBorders>
              <w:top w:val="nil"/>
              <w:left w:val="nil"/>
              <w:bottom w:val="nil"/>
              <w:right w:val="nil"/>
            </w:tcBorders>
            <w:shd w:val="clear" w:color="auto" w:fill="F2F2F2" w:themeFill="background1" w:themeFillShade="F2"/>
            <w:vAlign w:val="center"/>
            <w:hideMark/>
          </w:tcPr>
          <w:p w14:paraId="6266886D" w14:textId="77777777" w:rsidR="00172E13" w:rsidRPr="00255081" w:rsidRDefault="00172E13" w:rsidP="00172E13">
            <w:pPr>
              <w:spacing w:after="0" w:line="240" w:lineRule="exact"/>
              <w:ind w:right="57"/>
              <w:jc w:val="right"/>
              <w:rPr>
                <w:rFonts w:ascii="Montserrat" w:hAnsi="Montserrat"/>
                <w:spacing w:val="-1"/>
                <w:sz w:val="15"/>
                <w:szCs w:val="15"/>
              </w:rPr>
            </w:pPr>
            <w:r w:rsidRPr="00255081">
              <w:rPr>
                <w:rFonts w:ascii="Montserrat" w:hAnsi="Montserrat"/>
                <w:spacing w:val="-1"/>
                <w:sz w:val="15"/>
                <w:szCs w:val="15"/>
              </w:rPr>
              <w:t>0</w:t>
            </w:r>
          </w:p>
        </w:tc>
      </w:tr>
      <w:tr w:rsidR="00172E13" w:rsidRPr="006F0DF1" w14:paraId="6F5D12D1" w14:textId="77777777" w:rsidTr="000F0321">
        <w:trPr>
          <w:trHeight w:val="75"/>
          <w:jc w:val="center"/>
        </w:trPr>
        <w:tc>
          <w:tcPr>
            <w:tcW w:w="4534" w:type="dxa"/>
            <w:tcBorders>
              <w:top w:val="nil"/>
              <w:left w:val="nil"/>
              <w:bottom w:val="nil"/>
              <w:right w:val="nil"/>
            </w:tcBorders>
            <w:shd w:val="clear" w:color="auto" w:fill="F2F2F2" w:themeFill="background1" w:themeFillShade="F2"/>
            <w:vAlign w:val="center"/>
            <w:hideMark/>
          </w:tcPr>
          <w:p w14:paraId="3AB3A628" w14:textId="77777777" w:rsidR="00172E13" w:rsidRPr="00255081" w:rsidRDefault="00172E13" w:rsidP="00172E13">
            <w:pPr>
              <w:spacing w:after="0" w:line="240" w:lineRule="exact"/>
              <w:ind w:left="170" w:right="57"/>
              <w:jc w:val="both"/>
              <w:rPr>
                <w:rFonts w:ascii="Montserrat" w:hAnsi="Montserrat" w:cs="Arial"/>
                <w:spacing w:val="-1"/>
                <w:sz w:val="15"/>
                <w:szCs w:val="15"/>
              </w:rPr>
            </w:pPr>
            <w:r w:rsidRPr="00255081">
              <w:rPr>
                <w:rFonts w:ascii="Montserrat" w:hAnsi="Montserrat" w:cs="Arial"/>
                <w:spacing w:val="-1"/>
                <w:sz w:val="15"/>
                <w:szCs w:val="15"/>
              </w:rPr>
              <w:t xml:space="preserve">   Amortización</w:t>
            </w:r>
          </w:p>
        </w:tc>
        <w:tc>
          <w:tcPr>
            <w:tcW w:w="1800" w:type="dxa"/>
            <w:tcBorders>
              <w:top w:val="nil"/>
              <w:left w:val="nil"/>
              <w:bottom w:val="nil"/>
              <w:right w:val="nil"/>
            </w:tcBorders>
            <w:shd w:val="clear" w:color="auto" w:fill="F2F2F2" w:themeFill="background1" w:themeFillShade="F2"/>
            <w:vAlign w:val="center"/>
          </w:tcPr>
          <w:p w14:paraId="18FA1DE8" w14:textId="766411A0" w:rsidR="00172E13" w:rsidRPr="00255081" w:rsidRDefault="00172E13" w:rsidP="00172E13">
            <w:pPr>
              <w:spacing w:after="0" w:line="240" w:lineRule="exact"/>
              <w:ind w:right="57"/>
              <w:jc w:val="right"/>
              <w:rPr>
                <w:rFonts w:ascii="Montserrat" w:hAnsi="Montserrat"/>
                <w:spacing w:val="-1"/>
                <w:sz w:val="15"/>
                <w:szCs w:val="15"/>
              </w:rPr>
            </w:pPr>
            <w:r w:rsidRPr="00255081">
              <w:rPr>
                <w:rFonts w:ascii="Montserrat" w:hAnsi="Montserrat"/>
                <w:spacing w:val="-1"/>
                <w:sz w:val="15"/>
                <w:szCs w:val="15"/>
              </w:rPr>
              <w:t>0</w:t>
            </w:r>
          </w:p>
        </w:tc>
        <w:tc>
          <w:tcPr>
            <w:tcW w:w="1746" w:type="dxa"/>
            <w:tcBorders>
              <w:top w:val="nil"/>
              <w:left w:val="nil"/>
              <w:bottom w:val="nil"/>
              <w:right w:val="nil"/>
            </w:tcBorders>
            <w:shd w:val="clear" w:color="auto" w:fill="F2F2F2" w:themeFill="background1" w:themeFillShade="F2"/>
            <w:vAlign w:val="center"/>
            <w:hideMark/>
          </w:tcPr>
          <w:p w14:paraId="4E5A0ACC" w14:textId="77777777" w:rsidR="00172E13" w:rsidRPr="00255081" w:rsidRDefault="00172E13" w:rsidP="00172E13">
            <w:pPr>
              <w:spacing w:after="0" w:line="240" w:lineRule="exact"/>
              <w:ind w:right="57"/>
              <w:jc w:val="right"/>
              <w:rPr>
                <w:rFonts w:ascii="Montserrat" w:hAnsi="Montserrat"/>
                <w:spacing w:val="-1"/>
                <w:sz w:val="15"/>
                <w:szCs w:val="15"/>
              </w:rPr>
            </w:pPr>
            <w:r w:rsidRPr="00255081">
              <w:rPr>
                <w:rFonts w:ascii="Montserrat" w:hAnsi="Montserrat"/>
                <w:spacing w:val="-1"/>
                <w:sz w:val="15"/>
                <w:szCs w:val="15"/>
              </w:rPr>
              <w:t>0</w:t>
            </w:r>
          </w:p>
        </w:tc>
      </w:tr>
      <w:tr w:rsidR="00172E13" w:rsidRPr="006F0DF1" w14:paraId="18E68FF6" w14:textId="77777777" w:rsidTr="000F0321">
        <w:trPr>
          <w:trHeight w:val="75"/>
          <w:jc w:val="center"/>
        </w:trPr>
        <w:tc>
          <w:tcPr>
            <w:tcW w:w="4534" w:type="dxa"/>
            <w:tcBorders>
              <w:top w:val="nil"/>
              <w:left w:val="nil"/>
              <w:bottom w:val="nil"/>
              <w:right w:val="nil"/>
            </w:tcBorders>
            <w:shd w:val="clear" w:color="auto" w:fill="F2F2F2" w:themeFill="background1" w:themeFillShade="F2"/>
            <w:vAlign w:val="center"/>
            <w:hideMark/>
          </w:tcPr>
          <w:p w14:paraId="60A7CC8B" w14:textId="77777777" w:rsidR="00172E13" w:rsidRPr="00255081" w:rsidRDefault="00172E13" w:rsidP="00172E13">
            <w:pPr>
              <w:spacing w:after="0" w:line="240" w:lineRule="exact"/>
              <w:ind w:left="170" w:right="57"/>
              <w:jc w:val="both"/>
              <w:rPr>
                <w:rFonts w:ascii="Montserrat" w:hAnsi="Montserrat" w:cs="Arial"/>
                <w:spacing w:val="-1"/>
                <w:sz w:val="15"/>
                <w:szCs w:val="15"/>
              </w:rPr>
            </w:pPr>
            <w:r w:rsidRPr="00255081">
              <w:rPr>
                <w:rFonts w:ascii="Montserrat" w:hAnsi="Montserrat" w:cs="Arial"/>
                <w:spacing w:val="-1"/>
                <w:sz w:val="15"/>
                <w:szCs w:val="15"/>
              </w:rPr>
              <w:t>Incrementos en las provisiones</w:t>
            </w:r>
          </w:p>
        </w:tc>
        <w:tc>
          <w:tcPr>
            <w:tcW w:w="1800" w:type="dxa"/>
            <w:tcBorders>
              <w:top w:val="nil"/>
              <w:left w:val="nil"/>
              <w:bottom w:val="nil"/>
              <w:right w:val="nil"/>
            </w:tcBorders>
            <w:shd w:val="clear" w:color="auto" w:fill="F2F2F2" w:themeFill="background1" w:themeFillShade="F2"/>
            <w:vAlign w:val="center"/>
          </w:tcPr>
          <w:p w14:paraId="205ECAA3" w14:textId="78051E42" w:rsidR="00172E13" w:rsidRPr="00255081" w:rsidRDefault="00172E13" w:rsidP="00172E13">
            <w:pPr>
              <w:spacing w:after="0" w:line="240" w:lineRule="exact"/>
              <w:ind w:right="57"/>
              <w:jc w:val="right"/>
              <w:rPr>
                <w:rFonts w:ascii="Montserrat" w:hAnsi="Montserrat"/>
                <w:spacing w:val="-1"/>
                <w:sz w:val="15"/>
                <w:szCs w:val="15"/>
              </w:rPr>
            </w:pPr>
            <w:r w:rsidRPr="00255081">
              <w:rPr>
                <w:rFonts w:ascii="Montserrat" w:hAnsi="Montserrat"/>
                <w:spacing w:val="-1"/>
                <w:sz w:val="15"/>
                <w:szCs w:val="15"/>
              </w:rPr>
              <w:t>0</w:t>
            </w:r>
          </w:p>
        </w:tc>
        <w:tc>
          <w:tcPr>
            <w:tcW w:w="1746" w:type="dxa"/>
            <w:tcBorders>
              <w:top w:val="nil"/>
              <w:left w:val="nil"/>
              <w:bottom w:val="nil"/>
              <w:right w:val="nil"/>
            </w:tcBorders>
            <w:shd w:val="clear" w:color="auto" w:fill="F2F2F2" w:themeFill="background1" w:themeFillShade="F2"/>
            <w:vAlign w:val="center"/>
            <w:hideMark/>
          </w:tcPr>
          <w:p w14:paraId="6F909665" w14:textId="77777777" w:rsidR="00172E13" w:rsidRPr="00255081" w:rsidRDefault="00172E13" w:rsidP="00172E13">
            <w:pPr>
              <w:spacing w:after="0" w:line="240" w:lineRule="exact"/>
              <w:ind w:right="57"/>
              <w:jc w:val="right"/>
              <w:rPr>
                <w:rFonts w:ascii="Montserrat" w:hAnsi="Montserrat"/>
                <w:spacing w:val="-1"/>
                <w:sz w:val="15"/>
                <w:szCs w:val="15"/>
              </w:rPr>
            </w:pPr>
            <w:r w:rsidRPr="00255081">
              <w:rPr>
                <w:rFonts w:ascii="Montserrat" w:hAnsi="Montserrat"/>
                <w:spacing w:val="-1"/>
                <w:sz w:val="15"/>
                <w:szCs w:val="15"/>
              </w:rPr>
              <w:t>0</w:t>
            </w:r>
          </w:p>
        </w:tc>
      </w:tr>
      <w:tr w:rsidR="00172E13" w:rsidRPr="006F0DF1" w14:paraId="6FC7FB76" w14:textId="77777777" w:rsidTr="000F0321">
        <w:trPr>
          <w:trHeight w:val="75"/>
          <w:jc w:val="center"/>
        </w:trPr>
        <w:tc>
          <w:tcPr>
            <w:tcW w:w="4534" w:type="dxa"/>
            <w:tcBorders>
              <w:top w:val="nil"/>
              <w:left w:val="nil"/>
              <w:bottom w:val="nil"/>
              <w:right w:val="nil"/>
            </w:tcBorders>
            <w:shd w:val="clear" w:color="auto" w:fill="F2F2F2" w:themeFill="background1" w:themeFillShade="F2"/>
            <w:vAlign w:val="center"/>
            <w:hideMark/>
          </w:tcPr>
          <w:p w14:paraId="602DA02A" w14:textId="77777777" w:rsidR="00172E13" w:rsidRPr="00255081" w:rsidRDefault="00172E13" w:rsidP="00172E13">
            <w:pPr>
              <w:spacing w:after="0" w:line="240" w:lineRule="exact"/>
              <w:ind w:left="170" w:right="57"/>
              <w:jc w:val="both"/>
              <w:rPr>
                <w:rFonts w:ascii="Montserrat" w:hAnsi="Montserrat" w:cs="Arial"/>
                <w:spacing w:val="-1"/>
                <w:sz w:val="15"/>
                <w:szCs w:val="15"/>
              </w:rPr>
            </w:pPr>
            <w:r w:rsidRPr="00255081">
              <w:rPr>
                <w:rFonts w:ascii="Montserrat" w:hAnsi="Montserrat" w:cs="Arial"/>
                <w:spacing w:val="-1"/>
                <w:sz w:val="15"/>
                <w:szCs w:val="15"/>
              </w:rPr>
              <w:t>Incremento en inversiones producido por revaluación</w:t>
            </w:r>
          </w:p>
        </w:tc>
        <w:tc>
          <w:tcPr>
            <w:tcW w:w="1800" w:type="dxa"/>
            <w:tcBorders>
              <w:top w:val="nil"/>
              <w:left w:val="nil"/>
              <w:bottom w:val="nil"/>
              <w:right w:val="nil"/>
            </w:tcBorders>
            <w:shd w:val="clear" w:color="auto" w:fill="F2F2F2" w:themeFill="background1" w:themeFillShade="F2"/>
            <w:vAlign w:val="center"/>
          </w:tcPr>
          <w:p w14:paraId="51665641" w14:textId="7766C2FC" w:rsidR="00172E13" w:rsidRPr="00255081" w:rsidRDefault="00172E13" w:rsidP="00172E13">
            <w:pPr>
              <w:spacing w:after="0" w:line="240" w:lineRule="exact"/>
              <w:ind w:right="57"/>
              <w:jc w:val="right"/>
              <w:rPr>
                <w:rFonts w:ascii="Montserrat" w:hAnsi="Montserrat"/>
                <w:spacing w:val="-1"/>
                <w:sz w:val="15"/>
                <w:szCs w:val="15"/>
              </w:rPr>
            </w:pPr>
            <w:r w:rsidRPr="00255081">
              <w:rPr>
                <w:rFonts w:ascii="Montserrat" w:hAnsi="Montserrat"/>
                <w:spacing w:val="-1"/>
                <w:sz w:val="15"/>
                <w:szCs w:val="15"/>
              </w:rPr>
              <w:t>0</w:t>
            </w:r>
          </w:p>
        </w:tc>
        <w:tc>
          <w:tcPr>
            <w:tcW w:w="1746" w:type="dxa"/>
            <w:tcBorders>
              <w:top w:val="nil"/>
              <w:left w:val="nil"/>
              <w:bottom w:val="nil"/>
              <w:right w:val="nil"/>
            </w:tcBorders>
            <w:shd w:val="clear" w:color="auto" w:fill="F2F2F2" w:themeFill="background1" w:themeFillShade="F2"/>
            <w:vAlign w:val="center"/>
            <w:hideMark/>
          </w:tcPr>
          <w:p w14:paraId="5E07E423" w14:textId="77777777" w:rsidR="00172E13" w:rsidRPr="00255081" w:rsidRDefault="00172E13" w:rsidP="00172E13">
            <w:pPr>
              <w:spacing w:after="0" w:line="240" w:lineRule="exact"/>
              <w:ind w:right="57"/>
              <w:jc w:val="right"/>
              <w:rPr>
                <w:rFonts w:ascii="Montserrat" w:hAnsi="Montserrat"/>
                <w:spacing w:val="-1"/>
                <w:sz w:val="15"/>
                <w:szCs w:val="15"/>
              </w:rPr>
            </w:pPr>
            <w:r w:rsidRPr="00255081">
              <w:rPr>
                <w:rFonts w:ascii="Montserrat" w:hAnsi="Montserrat"/>
                <w:spacing w:val="-1"/>
                <w:sz w:val="15"/>
                <w:szCs w:val="15"/>
              </w:rPr>
              <w:t>0</w:t>
            </w:r>
          </w:p>
        </w:tc>
      </w:tr>
      <w:tr w:rsidR="00172E13" w:rsidRPr="006F0DF1" w14:paraId="10C764F4" w14:textId="77777777" w:rsidTr="000F0321">
        <w:trPr>
          <w:trHeight w:val="75"/>
          <w:jc w:val="center"/>
        </w:trPr>
        <w:tc>
          <w:tcPr>
            <w:tcW w:w="4534" w:type="dxa"/>
            <w:tcBorders>
              <w:top w:val="nil"/>
              <w:left w:val="nil"/>
              <w:bottom w:val="nil"/>
              <w:right w:val="nil"/>
            </w:tcBorders>
            <w:shd w:val="clear" w:color="auto" w:fill="F2F2F2" w:themeFill="background1" w:themeFillShade="F2"/>
            <w:vAlign w:val="center"/>
            <w:hideMark/>
          </w:tcPr>
          <w:p w14:paraId="6606DB85" w14:textId="77777777" w:rsidR="00172E13" w:rsidRPr="00255081" w:rsidRDefault="00172E13" w:rsidP="00172E13">
            <w:pPr>
              <w:spacing w:after="0" w:line="240" w:lineRule="exact"/>
              <w:ind w:left="170" w:right="57"/>
              <w:jc w:val="both"/>
              <w:rPr>
                <w:rFonts w:ascii="Montserrat" w:hAnsi="Montserrat" w:cs="Arial"/>
                <w:spacing w:val="-1"/>
                <w:sz w:val="15"/>
                <w:szCs w:val="15"/>
              </w:rPr>
            </w:pPr>
            <w:r w:rsidRPr="00255081">
              <w:rPr>
                <w:rFonts w:ascii="Montserrat" w:hAnsi="Montserrat" w:cs="Arial"/>
                <w:spacing w:val="-1"/>
                <w:sz w:val="15"/>
                <w:szCs w:val="15"/>
              </w:rPr>
              <w:t>Ganancia/pérdida en venta de propiedad, planta y equipo</w:t>
            </w:r>
          </w:p>
        </w:tc>
        <w:tc>
          <w:tcPr>
            <w:tcW w:w="1800" w:type="dxa"/>
            <w:tcBorders>
              <w:top w:val="nil"/>
              <w:left w:val="nil"/>
              <w:bottom w:val="nil"/>
              <w:right w:val="nil"/>
            </w:tcBorders>
            <w:shd w:val="clear" w:color="auto" w:fill="F2F2F2" w:themeFill="background1" w:themeFillShade="F2"/>
            <w:vAlign w:val="center"/>
          </w:tcPr>
          <w:p w14:paraId="30206EAF" w14:textId="3C5324E0" w:rsidR="00172E13" w:rsidRPr="00255081" w:rsidRDefault="00172E13" w:rsidP="00172E13">
            <w:pPr>
              <w:spacing w:after="0" w:line="240" w:lineRule="exact"/>
              <w:ind w:right="57"/>
              <w:jc w:val="right"/>
              <w:rPr>
                <w:rFonts w:ascii="Montserrat" w:hAnsi="Montserrat"/>
                <w:spacing w:val="-1"/>
                <w:sz w:val="15"/>
                <w:szCs w:val="15"/>
              </w:rPr>
            </w:pPr>
            <w:r w:rsidRPr="00255081">
              <w:rPr>
                <w:rFonts w:ascii="Montserrat" w:hAnsi="Montserrat"/>
                <w:spacing w:val="-1"/>
                <w:sz w:val="15"/>
                <w:szCs w:val="15"/>
              </w:rPr>
              <w:t>0</w:t>
            </w:r>
          </w:p>
        </w:tc>
        <w:tc>
          <w:tcPr>
            <w:tcW w:w="1746" w:type="dxa"/>
            <w:tcBorders>
              <w:top w:val="nil"/>
              <w:left w:val="nil"/>
              <w:bottom w:val="nil"/>
              <w:right w:val="nil"/>
            </w:tcBorders>
            <w:shd w:val="clear" w:color="auto" w:fill="F2F2F2" w:themeFill="background1" w:themeFillShade="F2"/>
            <w:vAlign w:val="center"/>
            <w:hideMark/>
          </w:tcPr>
          <w:p w14:paraId="67430298" w14:textId="77777777" w:rsidR="00172E13" w:rsidRPr="00255081" w:rsidRDefault="00172E13" w:rsidP="00172E13">
            <w:pPr>
              <w:spacing w:after="0" w:line="240" w:lineRule="exact"/>
              <w:ind w:right="57"/>
              <w:jc w:val="right"/>
              <w:rPr>
                <w:rFonts w:ascii="Montserrat" w:hAnsi="Montserrat"/>
                <w:spacing w:val="-1"/>
                <w:sz w:val="15"/>
                <w:szCs w:val="15"/>
              </w:rPr>
            </w:pPr>
            <w:r w:rsidRPr="00255081">
              <w:rPr>
                <w:rFonts w:ascii="Montserrat" w:hAnsi="Montserrat"/>
                <w:spacing w:val="-1"/>
                <w:sz w:val="15"/>
                <w:szCs w:val="15"/>
              </w:rPr>
              <w:t>0</w:t>
            </w:r>
          </w:p>
        </w:tc>
      </w:tr>
      <w:tr w:rsidR="00172E13" w:rsidRPr="006F0DF1" w14:paraId="4507BBA7" w14:textId="77777777" w:rsidTr="000F0321">
        <w:trPr>
          <w:trHeight w:val="75"/>
          <w:jc w:val="center"/>
        </w:trPr>
        <w:tc>
          <w:tcPr>
            <w:tcW w:w="4534" w:type="dxa"/>
            <w:tcBorders>
              <w:top w:val="nil"/>
              <w:left w:val="nil"/>
              <w:bottom w:val="nil"/>
              <w:right w:val="nil"/>
            </w:tcBorders>
            <w:shd w:val="clear" w:color="auto" w:fill="F2F2F2" w:themeFill="background1" w:themeFillShade="F2"/>
            <w:vAlign w:val="center"/>
            <w:hideMark/>
          </w:tcPr>
          <w:p w14:paraId="4C788F0D" w14:textId="77777777" w:rsidR="00172E13" w:rsidRPr="00255081" w:rsidRDefault="00172E13" w:rsidP="00172E13">
            <w:pPr>
              <w:spacing w:after="0" w:line="240" w:lineRule="exact"/>
              <w:ind w:left="170" w:right="57"/>
              <w:jc w:val="both"/>
              <w:rPr>
                <w:rFonts w:ascii="Montserrat" w:hAnsi="Montserrat" w:cs="Arial"/>
                <w:spacing w:val="-1"/>
                <w:sz w:val="15"/>
                <w:szCs w:val="15"/>
              </w:rPr>
            </w:pPr>
            <w:r w:rsidRPr="00255081">
              <w:rPr>
                <w:rFonts w:ascii="Montserrat" w:hAnsi="Montserrat" w:cs="Arial"/>
                <w:spacing w:val="-1"/>
                <w:sz w:val="15"/>
                <w:szCs w:val="15"/>
              </w:rPr>
              <w:t>Incremento en cuentas por cobrar</w:t>
            </w:r>
          </w:p>
        </w:tc>
        <w:tc>
          <w:tcPr>
            <w:tcW w:w="1800" w:type="dxa"/>
            <w:tcBorders>
              <w:top w:val="nil"/>
              <w:left w:val="nil"/>
              <w:bottom w:val="nil"/>
              <w:right w:val="nil"/>
            </w:tcBorders>
            <w:shd w:val="clear" w:color="auto" w:fill="F2F2F2" w:themeFill="background1" w:themeFillShade="F2"/>
            <w:vAlign w:val="center"/>
          </w:tcPr>
          <w:p w14:paraId="4814B838" w14:textId="5CBA6B6E" w:rsidR="00172E13" w:rsidRPr="00255081" w:rsidRDefault="00172E13" w:rsidP="00172E13">
            <w:pPr>
              <w:spacing w:after="0" w:line="240" w:lineRule="exact"/>
              <w:ind w:right="57"/>
              <w:jc w:val="right"/>
              <w:rPr>
                <w:rFonts w:ascii="Montserrat" w:hAnsi="Montserrat"/>
                <w:spacing w:val="-1"/>
                <w:sz w:val="15"/>
                <w:szCs w:val="15"/>
              </w:rPr>
            </w:pPr>
            <w:r w:rsidRPr="00255081">
              <w:rPr>
                <w:rFonts w:ascii="Montserrat" w:hAnsi="Montserrat"/>
                <w:spacing w:val="-1"/>
                <w:sz w:val="15"/>
                <w:szCs w:val="15"/>
              </w:rPr>
              <w:t>0</w:t>
            </w:r>
          </w:p>
        </w:tc>
        <w:tc>
          <w:tcPr>
            <w:tcW w:w="1746" w:type="dxa"/>
            <w:tcBorders>
              <w:top w:val="nil"/>
              <w:left w:val="nil"/>
              <w:bottom w:val="nil"/>
              <w:right w:val="nil"/>
            </w:tcBorders>
            <w:shd w:val="clear" w:color="auto" w:fill="F2F2F2" w:themeFill="background1" w:themeFillShade="F2"/>
            <w:vAlign w:val="center"/>
            <w:hideMark/>
          </w:tcPr>
          <w:p w14:paraId="5DEC15A8" w14:textId="77777777" w:rsidR="00172E13" w:rsidRPr="00255081" w:rsidRDefault="00172E13" w:rsidP="00172E13">
            <w:pPr>
              <w:spacing w:after="0" w:line="240" w:lineRule="exact"/>
              <w:ind w:right="57"/>
              <w:jc w:val="right"/>
              <w:rPr>
                <w:rFonts w:ascii="Montserrat" w:hAnsi="Montserrat"/>
                <w:spacing w:val="-1"/>
                <w:sz w:val="15"/>
                <w:szCs w:val="15"/>
              </w:rPr>
            </w:pPr>
            <w:r w:rsidRPr="00255081">
              <w:rPr>
                <w:rFonts w:ascii="Montserrat" w:hAnsi="Montserrat"/>
                <w:spacing w:val="-1"/>
                <w:sz w:val="15"/>
                <w:szCs w:val="15"/>
              </w:rPr>
              <w:t>0</w:t>
            </w:r>
          </w:p>
        </w:tc>
      </w:tr>
      <w:tr w:rsidR="00172E13" w:rsidRPr="006F0DF1" w14:paraId="395D2E2D" w14:textId="77777777" w:rsidTr="000F0321">
        <w:trPr>
          <w:trHeight w:val="75"/>
          <w:jc w:val="center"/>
        </w:trPr>
        <w:tc>
          <w:tcPr>
            <w:tcW w:w="4534" w:type="dxa"/>
            <w:tcBorders>
              <w:top w:val="nil"/>
              <w:left w:val="nil"/>
              <w:bottom w:val="single" w:sz="12" w:space="0" w:color="808080" w:themeColor="background1" w:themeShade="80"/>
              <w:right w:val="nil"/>
            </w:tcBorders>
            <w:shd w:val="clear" w:color="auto" w:fill="F2F2F2" w:themeFill="background1" w:themeFillShade="F2"/>
            <w:vAlign w:val="center"/>
            <w:hideMark/>
          </w:tcPr>
          <w:p w14:paraId="54B6C58A" w14:textId="77777777" w:rsidR="00172E13" w:rsidRPr="00255081" w:rsidRDefault="00172E13" w:rsidP="00172E13">
            <w:pPr>
              <w:spacing w:after="0" w:line="240" w:lineRule="exact"/>
              <w:ind w:left="170" w:right="57"/>
              <w:jc w:val="both"/>
              <w:rPr>
                <w:rFonts w:ascii="Montserrat" w:hAnsi="Montserrat" w:cs="Arial"/>
                <w:spacing w:val="-1"/>
                <w:sz w:val="15"/>
                <w:szCs w:val="15"/>
              </w:rPr>
            </w:pPr>
            <w:r w:rsidRPr="00255081">
              <w:rPr>
                <w:rFonts w:ascii="Montserrat" w:hAnsi="Montserrat" w:cs="Arial"/>
                <w:spacing w:val="-1"/>
                <w:sz w:val="15"/>
                <w:szCs w:val="15"/>
              </w:rPr>
              <w:t>Partidas extraordinarias (neto)</w:t>
            </w:r>
          </w:p>
        </w:tc>
        <w:tc>
          <w:tcPr>
            <w:tcW w:w="1800" w:type="dxa"/>
            <w:tcBorders>
              <w:top w:val="nil"/>
              <w:left w:val="nil"/>
              <w:bottom w:val="single" w:sz="12" w:space="0" w:color="808080" w:themeColor="background1" w:themeShade="80"/>
              <w:right w:val="nil"/>
            </w:tcBorders>
            <w:shd w:val="clear" w:color="auto" w:fill="F2F2F2" w:themeFill="background1" w:themeFillShade="F2"/>
            <w:vAlign w:val="center"/>
          </w:tcPr>
          <w:p w14:paraId="02C5311A" w14:textId="21FD3749" w:rsidR="00172E13" w:rsidRPr="00255081" w:rsidRDefault="00172E13" w:rsidP="00172E13">
            <w:pPr>
              <w:spacing w:after="0" w:line="240" w:lineRule="exact"/>
              <w:ind w:right="57"/>
              <w:jc w:val="right"/>
              <w:rPr>
                <w:rFonts w:ascii="Montserrat" w:hAnsi="Montserrat"/>
                <w:spacing w:val="-1"/>
                <w:sz w:val="15"/>
                <w:szCs w:val="15"/>
              </w:rPr>
            </w:pPr>
            <w:r>
              <w:rPr>
                <w:rFonts w:ascii="Montserrat" w:hAnsi="Montserrat"/>
                <w:spacing w:val="-1"/>
                <w:sz w:val="15"/>
                <w:szCs w:val="15"/>
              </w:rPr>
              <w:t>28,544,971,889</w:t>
            </w:r>
          </w:p>
        </w:tc>
        <w:tc>
          <w:tcPr>
            <w:tcW w:w="1746" w:type="dxa"/>
            <w:tcBorders>
              <w:top w:val="nil"/>
              <w:left w:val="nil"/>
              <w:bottom w:val="single" w:sz="12" w:space="0" w:color="808080" w:themeColor="background1" w:themeShade="80"/>
              <w:right w:val="nil"/>
            </w:tcBorders>
            <w:shd w:val="clear" w:color="auto" w:fill="F2F2F2" w:themeFill="background1" w:themeFillShade="F2"/>
            <w:vAlign w:val="center"/>
            <w:hideMark/>
          </w:tcPr>
          <w:p w14:paraId="61F9707C" w14:textId="77777777" w:rsidR="00172E13" w:rsidRPr="00255081" w:rsidRDefault="00172E13" w:rsidP="00172E13">
            <w:pPr>
              <w:spacing w:after="0" w:line="240" w:lineRule="exact"/>
              <w:ind w:right="57"/>
              <w:jc w:val="right"/>
              <w:rPr>
                <w:rFonts w:ascii="Montserrat" w:hAnsi="Montserrat"/>
                <w:spacing w:val="-1"/>
                <w:sz w:val="15"/>
                <w:szCs w:val="15"/>
              </w:rPr>
            </w:pPr>
            <w:r w:rsidRPr="00255081">
              <w:rPr>
                <w:rFonts w:ascii="Montserrat" w:hAnsi="Montserrat"/>
                <w:spacing w:val="-1"/>
                <w:sz w:val="15"/>
                <w:szCs w:val="15"/>
              </w:rPr>
              <w:t>-93,662,116,543</w:t>
            </w:r>
          </w:p>
        </w:tc>
      </w:tr>
    </w:tbl>
    <w:p w14:paraId="46C138C2" w14:textId="77777777" w:rsidR="00F576E1" w:rsidRPr="00F576E1" w:rsidRDefault="00F576E1" w:rsidP="00F576E1">
      <w:pPr>
        <w:spacing w:after="0" w:line="240" w:lineRule="auto"/>
        <w:jc w:val="both"/>
        <w:rPr>
          <w:rFonts w:ascii="Montserrat" w:hAnsi="Montserrat" w:cs="Arial"/>
          <w:spacing w:val="-1"/>
          <w:sz w:val="18"/>
          <w:szCs w:val="18"/>
        </w:rPr>
      </w:pPr>
    </w:p>
    <w:p w14:paraId="7DAB3E18" w14:textId="77777777" w:rsidR="009C3C24" w:rsidRDefault="009C3C24" w:rsidP="00F576E1">
      <w:pPr>
        <w:pStyle w:val="VIETAFLECHA"/>
        <w:numPr>
          <w:ilvl w:val="0"/>
          <w:numId w:val="13"/>
        </w:numPr>
        <w:ind w:left="357" w:hanging="357"/>
        <w:rPr>
          <w:rFonts w:cs="Arial"/>
          <w:spacing w:val="-1"/>
        </w:rPr>
      </w:pPr>
      <w:r w:rsidRPr="004E44CE">
        <w:rPr>
          <w:rFonts w:cs="Arial"/>
          <w:spacing w:val="-1"/>
        </w:rPr>
        <w:t>Conciliación entre los Ingresos Presupuestarios y Contables, así como entre los Egresos Presupuestarios y los Gastos Contables</w:t>
      </w:r>
    </w:p>
    <w:p w14:paraId="2D7A13D5" w14:textId="5E532153" w:rsidR="009C3C24" w:rsidRPr="006F0DF1" w:rsidRDefault="009C3C24" w:rsidP="009C3C24">
      <w:pPr>
        <w:spacing w:after="120" w:line="250" w:lineRule="exact"/>
        <w:jc w:val="both"/>
        <w:rPr>
          <w:rFonts w:ascii="Montserrat" w:hAnsi="Montserrat" w:cs="Arial"/>
          <w:spacing w:val="-1"/>
          <w:sz w:val="18"/>
          <w:szCs w:val="18"/>
        </w:rPr>
      </w:pPr>
      <w:r w:rsidRPr="006F0DF1">
        <w:rPr>
          <w:rFonts w:ascii="Montserrat" w:hAnsi="Montserrat" w:cs="Arial"/>
          <w:spacing w:val="-1"/>
          <w:sz w:val="18"/>
          <w:szCs w:val="18"/>
        </w:rPr>
        <w:t xml:space="preserve">En cumplimiento al </w:t>
      </w:r>
      <w:r w:rsidR="001B3AD1">
        <w:rPr>
          <w:rFonts w:ascii="Montserrat" w:hAnsi="Montserrat" w:cs="Arial"/>
          <w:spacing w:val="-1"/>
          <w:sz w:val="18"/>
          <w:szCs w:val="18"/>
        </w:rPr>
        <w:t>a</w:t>
      </w:r>
      <w:r w:rsidR="001B3AD1" w:rsidRPr="00770AF6">
        <w:rPr>
          <w:rFonts w:ascii="Montserrat" w:hAnsi="Montserrat" w:cs="Arial"/>
          <w:spacing w:val="-1"/>
          <w:sz w:val="18"/>
          <w:szCs w:val="18"/>
        </w:rPr>
        <w:t>cuerdo por el que se emite el formato de conciliación entre los ingresos presupuestarios y contables, así como entre los egresos presupuestarios y los gastos contables</w:t>
      </w:r>
      <w:r w:rsidR="001B3AD1" w:rsidRPr="006F0DF1">
        <w:rPr>
          <w:rFonts w:ascii="Montserrat" w:hAnsi="Montserrat" w:cs="Arial"/>
          <w:spacing w:val="-1"/>
          <w:sz w:val="18"/>
          <w:szCs w:val="18"/>
        </w:rPr>
        <w:t xml:space="preserve"> del </w:t>
      </w:r>
      <w:r w:rsidR="001B3AD1">
        <w:rPr>
          <w:rFonts w:ascii="Montserrat" w:hAnsi="Montserrat" w:cs="Arial"/>
          <w:spacing w:val="-1"/>
          <w:sz w:val="18"/>
          <w:szCs w:val="18"/>
        </w:rPr>
        <w:t>CONAC</w:t>
      </w:r>
      <w:r w:rsidR="001B3AD1" w:rsidRPr="006F0DF1">
        <w:rPr>
          <w:rFonts w:ascii="Montserrat" w:hAnsi="Montserrat" w:cs="Arial"/>
          <w:spacing w:val="-1"/>
          <w:sz w:val="18"/>
          <w:szCs w:val="18"/>
        </w:rPr>
        <w:t xml:space="preserve"> </w:t>
      </w:r>
      <w:r w:rsidRPr="006F0DF1">
        <w:rPr>
          <w:rFonts w:ascii="Montserrat" w:hAnsi="Montserrat" w:cs="Arial"/>
          <w:spacing w:val="-1"/>
          <w:sz w:val="18"/>
          <w:szCs w:val="18"/>
        </w:rPr>
        <w:t>publicado en el Diario Oficial de la Federación el</w:t>
      </w:r>
      <w:r w:rsidR="003731E7">
        <w:rPr>
          <w:rFonts w:ascii="Montserrat" w:hAnsi="Montserrat" w:cs="Arial"/>
          <w:spacing w:val="-1"/>
          <w:sz w:val="18"/>
          <w:szCs w:val="18"/>
        </w:rPr>
        <w:t xml:space="preserve"> 27</w:t>
      </w:r>
      <w:r w:rsidRPr="006F0DF1">
        <w:rPr>
          <w:rFonts w:ascii="Montserrat" w:hAnsi="Montserrat" w:cs="Arial"/>
          <w:spacing w:val="-1"/>
          <w:sz w:val="18"/>
          <w:szCs w:val="18"/>
        </w:rPr>
        <w:t xml:space="preserve"> de </w:t>
      </w:r>
      <w:r w:rsidR="003731E7">
        <w:rPr>
          <w:rFonts w:ascii="Montserrat" w:hAnsi="Montserrat" w:cs="Arial"/>
          <w:spacing w:val="-1"/>
          <w:sz w:val="18"/>
          <w:szCs w:val="18"/>
        </w:rPr>
        <w:t>septiembre</w:t>
      </w:r>
      <w:r w:rsidR="003731E7" w:rsidRPr="006F0DF1">
        <w:rPr>
          <w:rFonts w:ascii="Montserrat" w:hAnsi="Montserrat" w:cs="Arial"/>
          <w:spacing w:val="-1"/>
          <w:sz w:val="18"/>
          <w:szCs w:val="18"/>
        </w:rPr>
        <w:t xml:space="preserve"> </w:t>
      </w:r>
      <w:r w:rsidRPr="006F0DF1">
        <w:rPr>
          <w:rFonts w:ascii="Montserrat" w:hAnsi="Montserrat" w:cs="Arial"/>
          <w:spacing w:val="-1"/>
          <w:sz w:val="18"/>
          <w:szCs w:val="18"/>
        </w:rPr>
        <w:t>de 201</w:t>
      </w:r>
      <w:r w:rsidR="003731E7">
        <w:rPr>
          <w:rFonts w:ascii="Montserrat" w:hAnsi="Montserrat" w:cs="Arial"/>
          <w:spacing w:val="-1"/>
          <w:sz w:val="18"/>
          <w:szCs w:val="18"/>
        </w:rPr>
        <w:t>8</w:t>
      </w:r>
      <w:r w:rsidRPr="006F0DF1">
        <w:rPr>
          <w:rFonts w:ascii="Montserrat" w:hAnsi="Montserrat" w:cs="Arial"/>
          <w:spacing w:val="-1"/>
          <w:sz w:val="18"/>
          <w:szCs w:val="18"/>
        </w:rPr>
        <w:t>, a continuación se presenta la conciliación contable-presupuestaria:</w:t>
      </w:r>
    </w:p>
    <w:p w14:paraId="3F57A89F" w14:textId="77777777" w:rsidR="009C3C24" w:rsidRPr="004E44CE" w:rsidRDefault="009C3C24">
      <w:pPr>
        <w:pStyle w:val="VIETAFLECHA"/>
        <w:numPr>
          <w:ilvl w:val="0"/>
          <w:numId w:val="31"/>
        </w:numPr>
        <w:spacing w:before="240"/>
        <w:ind w:left="714" w:hanging="357"/>
        <w:rPr>
          <w:rFonts w:cs="Arial"/>
          <w:spacing w:val="-1"/>
        </w:rPr>
      </w:pPr>
      <w:r w:rsidRPr="004E44CE">
        <w:rPr>
          <w:rFonts w:cs="Arial"/>
          <w:spacing w:val="-1"/>
        </w:rPr>
        <w:t xml:space="preserve">Ingresos Presupuestarios y Contables </w:t>
      </w:r>
    </w:p>
    <w:p w14:paraId="20ECB83A" w14:textId="77777777" w:rsidR="009C3C24" w:rsidRPr="00685332" w:rsidRDefault="009C3C24" w:rsidP="000F0321">
      <w:pPr>
        <w:spacing w:after="60" w:line="250" w:lineRule="exact"/>
        <w:jc w:val="center"/>
        <w:rPr>
          <w:rFonts w:ascii="Montserrat" w:eastAsia="Times New Roman" w:hAnsi="Montserrat" w:cs="Calibri"/>
          <w:bCs/>
          <w:sz w:val="4"/>
          <w:szCs w:val="4"/>
          <w:lang w:val="es-MX" w:eastAsia="es-MX"/>
        </w:rPr>
      </w:pPr>
      <w:r w:rsidRPr="00685332">
        <w:rPr>
          <w:rFonts w:ascii="Montserrat" w:eastAsia="Times New Roman" w:hAnsi="Montserrat" w:cs="Calibri"/>
          <w:bCs/>
          <w:sz w:val="16"/>
          <w:szCs w:val="16"/>
          <w:lang w:val="es-MX" w:eastAsia="es-MX"/>
        </w:rPr>
        <w:t>(Pesos)</w:t>
      </w:r>
    </w:p>
    <w:tbl>
      <w:tblPr>
        <w:tblW w:w="9923" w:type="dxa"/>
        <w:jc w:val="center"/>
        <w:tblCellMar>
          <w:left w:w="70" w:type="dxa"/>
          <w:right w:w="70" w:type="dxa"/>
        </w:tblCellMar>
        <w:tblLook w:val="04A0" w:firstRow="1" w:lastRow="0" w:firstColumn="1" w:lastColumn="0" w:noHBand="0" w:noVBand="1"/>
      </w:tblPr>
      <w:tblGrid>
        <w:gridCol w:w="5862"/>
        <w:gridCol w:w="2529"/>
        <w:gridCol w:w="1532"/>
      </w:tblGrid>
      <w:tr w:rsidR="00C4519E" w:rsidRPr="0082611E" w14:paraId="05484EF7" w14:textId="77777777" w:rsidTr="000F0321">
        <w:trPr>
          <w:trHeight w:val="57"/>
          <w:jc w:val="center"/>
        </w:trPr>
        <w:tc>
          <w:tcPr>
            <w:tcW w:w="9923" w:type="dxa"/>
            <w:gridSpan w:val="3"/>
            <w:tcBorders>
              <w:top w:val="single" w:sz="12" w:space="0" w:color="808080" w:themeColor="background1" w:themeShade="80"/>
              <w:right w:val="single" w:sz="8" w:space="0" w:color="FFFFFF" w:themeColor="background1"/>
            </w:tcBorders>
            <w:shd w:val="clear" w:color="auto" w:fill="auto"/>
            <w:noWrap/>
            <w:vAlign w:val="center"/>
          </w:tcPr>
          <w:p w14:paraId="34644217" w14:textId="77777777" w:rsidR="00C4519E" w:rsidRPr="0082611E" w:rsidRDefault="00C4519E">
            <w:pPr>
              <w:spacing w:after="0" w:line="240" w:lineRule="auto"/>
              <w:jc w:val="right"/>
              <w:rPr>
                <w:rFonts w:ascii="Montserrat" w:eastAsia="Times New Roman" w:hAnsi="Montserrat" w:cs="Calibri"/>
                <w:b/>
                <w:bCs/>
                <w:color w:val="FFFFFF"/>
                <w:sz w:val="4"/>
                <w:szCs w:val="4"/>
                <w:lang w:val="es-MX" w:eastAsia="es-MX"/>
              </w:rPr>
            </w:pPr>
          </w:p>
        </w:tc>
      </w:tr>
      <w:tr w:rsidR="00031AC3" w:rsidRPr="006F0DF1" w14:paraId="1C84524E" w14:textId="77777777" w:rsidTr="000F0321">
        <w:trPr>
          <w:trHeight w:val="317"/>
          <w:jc w:val="center"/>
        </w:trPr>
        <w:tc>
          <w:tcPr>
            <w:tcW w:w="8391" w:type="dxa"/>
            <w:gridSpan w:val="2"/>
            <w:tcBorders>
              <w:left w:val="single" w:sz="8" w:space="0" w:color="FFFFFF" w:themeColor="background1"/>
              <w:bottom w:val="double" w:sz="12" w:space="0" w:color="808080" w:themeColor="background1" w:themeShade="80"/>
              <w:right w:val="single" w:sz="8" w:space="0" w:color="FFFFFF" w:themeColor="background1"/>
            </w:tcBorders>
            <w:shd w:val="clear" w:color="auto" w:fill="D4C19C"/>
            <w:noWrap/>
            <w:vAlign w:val="center"/>
            <w:hideMark/>
          </w:tcPr>
          <w:p w14:paraId="420A0EB4" w14:textId="77777777" w:rsidR="00F576E1" w:rsidRPr="006F0DF1" w:rsidRDefault="00F576E1" w:rsidP="00F576E1">
            <w:pPr>
              <w:spacing w:after="0" w:line="240" w:lineRule="auto"/>
              <w:rPr>
                <w:rFonts w:ascii="Montserrat" w:eastAsia="Times New Roman" w:hAnsi="Montserrat" w:cs="Calibri"/>
                <w:color w:val="000000"/>
                <w:sz w:val="15"/>
                <w:szCs w:val="15"/>
                <w:lang w:val="es-MX" w:eastAsia="es-MX"/>
              </w:rPr>
            </w:pPr>
            <w:r w:rsidRPr="006F0DF1">
              <w:rPr>
                <w:rFonts w:ascii="Montserrat" w:eastAsia="Times New Roman" w:hAnsi="Montserrat" w:cs="Calibri"/>
                <w:b/>
                <w:bCs/>
                <w:color w:val="FFFFFF"/>
                <w:sz w:val="15"/>
                <w:szCs w:val="15"/>
                <w:lang w:val="es-MX" w:eastAsia="es-MX"/>
              </w:rPr>
              <w:t>1. Ingresos Presupuestarios</w:t>
            </w:r>
          </w:p>
        </w:tc>
        <w:tc>
          <w:tcPr>
            <w:tcW w:w="1532" w:type="dxa"/>
            <w:tcBorders>
              <w:left w:val="single" w:sz="8" w:space="0" w:color="FFFFFF" w:themeColor="background1"/>
              <w:bottom w:val="double" w:sz="12" w:space="0" w:color="808080" w:themeColor="background1" w:themeShade="80"/>
              <w:right w:val="single" w:sz="8" w:space="0" w:color="FFFFFF" w:themeColor="background1"/>
            </w:tcBorders>
            <w:shd w:val="clear" w:color="auto" w:fill="D4C19C"/>
            <w:noWrap/>
            <w:vAlign w:val="center"/>
            <w:hideMark/>
          </w:tcPr>
          <w:p w14:paraId="16E2F958" w14:textId="35A1F7EA" w:rsidR="00F576E1" w:rsidRPr="006F0DF1" w:rsidRDefault="003731E7" w:rsidP="002F797B">
            <w:pPr>
              <w:spacing w:after="0" w:line="240" w:lineRule="auto"/>
              <w:jc w:val="right"/>
              <w:rPr>
                <w:rFonts w:ascii="Montserrat" w:eastAsia="Times New Roman" w:hAnsi="Montserrat" w:cs="Calibri"/>
                <w:b/>
                <w:bCs/>
                <w:color w:val="FFFFFF"/>
                <w:sz w:val="15"/>
                <w:szCs w:val="15"/>
                <w:lang w:val="es-MX" w:eastAsia="es-MX"/>
              </w:rPr>
            </w:pPr>
            <w:r w:rsidRPr="003731E7">
              <w:rPr>
                <w:rFonts w:ascii="Montserrat" w:eastAsia="Times New Roman" w:hAnsi="Montserrat" w:cs="Calibri"/>
                <w:b/>
                <w:bCs/>
                <w:color w:val="FFFFFF"/>
                <w:sz w:val="15"/>
                <w:szCs w:val="15"/>
                <w:lang w:val="es-MX" w:eastAsia="es-MX"/>
              </w:rPr>
              <w:t>4</w:t>
            </w:r>
            <w:r>
              <w:rPr>
                <w:rFonts w:ascii="Montserrat" w:eastAsia="Times New Roman" w:hAnsi="Montserrat" w:cs="Calibri"/>
                <w:b/>
                <w:bCs/>
                <w:color w:val="FFFFFF"/>
                <w:sz w:val="15"/>
                <w:szCs w:val="15"/>
                <w:lang w:val="es-MX" w:eastAsia="es-MX"/>
              </w:rPr>
              <w:t>,</w:t>
            </w:r>
            <w:r w:rsidRPr="003731E7">
              <w:rPr>
                <w:rFonts w:ascii="Montserrat" w:eastAsia="Times New Roman" w:hAnsi="Montserrat" w:cs="Calibri"/>
                <w:b/>
                <w:bCs/>
                <w:color w:val="FFFFFF"/>
                <w:sz w:val="15"/>
                <w:szCs w:val="15"/>
                <w:lang w:val="es-MX" w:eastAsia="es-MX"/>
              </w:rPr>
              <w:t>575</w:t>
            </w:r>
            <w:r>
              <w:rPr>
                <w:rFonts w:ascii="Montserrat" w:eastAsia="Times New Roman" w:hAnsi="Montserrat" w:cs="Calibri"/>
                <w:b/>
                <w:bCs/>
                <w:color w:val="FFFFFF"/>
                <w:sz w:val="15"/>
                <w:szCs w:val="15"/>
                <w:lang w:val="es-MX" w:eastAsia="es-MX"/>
              </w:rPr>
              <w:t>,</w:t>
            </w:r>
            <w:r w:rsidRPr="003731E7">
              <w:rPr>
                <w:rFonts w:ascii="Montserrat" w:eastAsia="Times New Roman" w:hAnsi="Montserrat" w:cs="Calibri"/>
                <w:b/>
                <w:bCs/>
                <w:color w:val="FFFFFF"/>
                <w:sz w:val="15"/>
                <w:szCs w:val="15"/>
                <w:lang w:val="es-MX" w:eastAsia="es-MX"/>
              </w:rPr>
              <w:t>725</w:t>
            </w:r>
            <w:r>
              <w:rPr>
                <w:rFonts w:ascii="Montserrat" w:eastAsia="Times New Roman" w:hAnsi="Montserrat" w:cs="Calibri"/>
                <w:b/>
                <w:bCs/>
                <w:color w:val="FFFFFF"/>
                <w:sz w:val="15"/>
                <w:szCs w:val="15"/>
                <w:lang w:val="es-MX" w:eastAsia="es-MX"/>
              </w:rPr>
              <w:t>,</w:t>
            </w:r>
            <w:r w:rsidRPr="003731E7">
              <w:rPr>
                <w:rFonts w:ascii="Montserrat" w:eastAsia="Times New Roman" w:hAnsi="Montserrat" w:cs="Calibri"/>
                <w:b/>
                <w:bCs/>
                <w:color w:val="FFFFFF"/>
                <w:sz w:val="15"/>
                <w:szCs w:val="15"/>
                <w:lang w:val="es-MX" w:eastAsia="es-MX"/>
              </w:rPr>
              <w:t>032</w:t>
            </w:r>
            <w:r>
              <w:rPr>
                <w:rFonts w:ascii="Montserrat" w:eastAsia="Times New Roman" w:hAnsi="Montserrat" w:cs="Calibri"/>
                <w:b/>
                <w:bCs/>
                <w:color w:val="FFFFFF"/>
                <w:sz w:val="15"/>
                <w:szCs w:val="15"/>
                <w:lang w:val="es-MX" w:eastAsia="es-MX"/>
              </w:rPr>
              <w:t>,</w:t>
            </w:r>
            <w:r w:rsidRPr="003731E7">
              <w:rPr>
                <w:rFonts w:ascii="Montserrat" w:eastAsia="Times New Roman" w:hAnsi="Montserrat" w:cs="Calibri"/>
                <w:b/>
                <w:bCs/>
                <w:color w:val="FFFFFF"/>
                <w:sz w:val="15"/>
                <w:szCs w:val="15"/>
                <w:lang w:val="es-MX" w:eastAsia="es-MX"/>
              </w:rPr>
              <w:t>170</w:t>
            </w:r>
          </w:p>
        </w:tc>
      </w:tr>
      <w:tr w:rsidR="00031AC3" w:rsidRPr="006F0DF1" w14:paraId="7FB16582" w14:textId="77777777" w:rsidTr="000F0321">
        <w:trPr>
          <w:trHeight w:val="215"/>
          <w:jc w:val="center"/>
        </w:trPr>
        <w:tc>
          <w:tcPr>
            <w:tcW w:w="5862" w:type="dxa"/>
            <w:tcBorders>
              <w:top w:val="double" w:sz="12" w:space="0" w:color="808080" w:themeColor="background1" w:themeShade="80"/>
            </w:tcBorders>
            <w:shd w:val="clear" w:color="auto" w:fill="F2F2F2" w:themeFill="background1" w:themeFillShade="F2"/>
            <w:vAlign w:val="center"/>
            <w:hideMark/>
          </w:tcPr>
          <w:p w14:paraId="1B5629B1" w14:textId="77777777" w:rsidR="009C3C24" w:rsidRPr="00255081" w:rsidRDefault="009C3C24" w:rsidP="002F797B">
            <w:pPr>
              <w:spacing w:after="0" w:line="240" w:lineRule="auto"/>
              <w:rPr>
                <w:rFonts w:ascii="Montserrat" w:eastAsia="Times New Roman" w:hAnsi="Montserrat" w:cs="Calibri"/>
                <w:b/>
                <w:bCs/>
                <w:color w:val="000000"/>
                <w:sz w:val="15"/>
                <w:szCs w:val="15"/>
                <w:lang w:val="es-MX" w:eastAsia="es-MX"/>
              </w:rPr>
            </w:pPr>
            <w:r w:rsidRPr="00255081">
              <w:rPr>
                <w:rFonts w:ascii="Montserrat" w:eastAsia="Times New Roman" w:hAnsi="Montserrat" w:cs="Calibri"/>
                <w:b/>
                <w:bCs/>
                <w:color w:val="000000"/>
                <w:sz w:val="15"/>
                <w:szCs w:val="15"/>
                <w:lang w:val="es-MX" w:eastAsia="es-MX"/>
              </w:rPr>
              <w:t>2. Más ingresos contables no presupuestarios</w:t>
            </w:r>
          </w:p>
        </w:tc>
        <w:tc>
          <w:tcPr>
            <w:tcW w:w="2529" w:type="dxa"/>
            <w:tcBorders>
              <w:top w:val="double" w:sz="12" w:space="0" w:color="808080" w:themeColor="background1" w:themeShade="80"/>
            </w:tcBorders>
            <w:shd w:val="clear" w:color="auto" w:fill="F2F2F2" w:themeFill="background1" w:themeFillShade="F2"/>
            <w:noWrap/>
            <w:vAlign w:val="center"/>
            <w:hideMark/>
          </w:tcPr>
          <w:p w14:paraId="538A3D59" w14:textId="77777777" w:rsidR="009C3C24" w:rsidRPr="00255081" w:rsidRDefault="009C3C24" w:rsidP="00146918">
            <w:pPr>
              <w:spacing w:after="0" w:line="240" w:lineRule="auto"/>
              <w:jc w:val="right"/>
              <w:rPr>
                <w:rFonts w:ascii="Montserrat" w:eastAsia="Times New Roman" w:hAnsi="Montserrat" w:cs="Calibri"/>
                <w:color w:val="000000"/>
                <w:sz w:val="15"/>
                <w:szCs w:val="15"/>
                <w:highlight w:val="yellow"/>
                <w:lang w:val="es-MX" w:eastAsia="es-MX"/>
              </w:rPr>
            </w:pPr>
            <w:r w:rsidRPr="00255081">
              <w:rPr>
                <w:rFonts w:ascii="Montserrat" w:eastAsia="Times New Roman" w:hAnsi="Montserrat" w:cs="Calibri"/>
                <w:color w:val="000000"/>
                <w:sz w:val="15"/>
                <w:szCs w:val="15"/>
                <w:lang w:val="es-MX" w:eastAsia="es-MX"/>
              </w:rPr>
              <w:t> </w:t>
            </w:r>
          </w:p>
        </w:tc>
        <w:tc>
          <w:tcPr>
            <w:tcW w:w="1532" w:type="dxa"/>
            <w:tcBorders>
              <w:top w:val="double" w:sz="12" w:space="0" w:color="808080" w:themeColor="background1" w:themeShade="80"/>
              <w:right w:val="single" w:sz="8" w:space="0" w:color="FFFFFF" w:themeColor="background1"/>
            </w:tcBorders>
            <w:shd w:val="clear" w:color="auto" w:fill="F2F2F2" w:themeFill="background1" w:themeFillShade="F2"/>
            <w:noWrap/>
            <w:vAlign w:val="center"/>
            <w:hideMark/>
          </w:tcPr>
          <w:p w14:paraId="79605532" w14:textId="2624E5C0" w:rsidR="009C3C24" w:rsidRPr="00255081" w:rsidRDefault="003731E7" w:rsidP="002F797B">
            <w:pPr>
              <w:spacing w:after="0" w:line="240" w:lineRule="auto"/>
              <w:jc w:val="right"/>
              <w:rPr>
                <w:rFonts w:ascii="Montserrat" w:eastAsia="Times New Roman" w:hAnsi="Montserrat" w:cs="Calibri"/>
                <w:b/>
                <w:bCs/>
                <w:color w:val="000000"/>
                <w:sz w:val="15"/>
                <w:szCs w:val="15"/>
                <w:highlight w:val="yellow"/>
                <w:lang w:val="es-MX" w:eastAsia="es-MX"/>
              </w:rPr>
            </w:pPr>
            <w:r w:rsidRPr="00255081">
              <w:rPr>
                <w:rFonts w:ascii="Montserrat" w:eastAsia="Times New Roman" w:hAnsi="Montserrat" w:cs="Calibri"/>
                <w:b/>
                <w:bCs/>
                <w:color w:val="000000"/>
                <w:sz w:val="15"/>
                <w:szCs w:val="15"/>
                <w:lang w:val="es-MX" w:eastAsia="es-MX"/>
              </w:rPr>
              <w:t>554,920,544,406</w:t>
            </w:r>
          </w:p>
        </w:tc>
      </w:tr>
      <w:tr w:rsidR="00031AC3" w:rsidRPr="006F0DF1" w14:paraId="3959B2CB" w14:textId="77777777" w:rsidTr="000F0321">
        <w:trPr>
          <w:trHeight w:val="215"/>
          <w:jc w:val="center"/>
        </w:trPr>
        <w:tc>
          <w:tcPr>
            <w:tcW w:w="5862" w:type="dxa"/>
            <w:tcBorders>
              <w:top w:val="nil"/>
            </w:tcBorders>
            <w:shd w:val="clear" w:color="auto" w:fill="F2F2F2" w:themeFill="background1" w:themeFillShade="F2"/>
            <w:vAlign w:val="center"/>
          </w:tcPr>
          <w:p w14:paraId="5390204A" w14:textId="3032F60F" w:rsidR="009C3C24" w:rsidRPr="00255081" w:rsidRDefault="003731E7" w:rsidP="002F797B">
            <w:pPr>
              <w:spacing w:after="0" w:line="240" w:lineRule="auto"/>
              <w:ind w:firstLineChars="400" w:firstLine="600"/>
              <w:rPr>
                <w:rFonts w:ascii="Montserrat" w:eastAsia="Times New Roman" w:hAnsi="Montserrat" w:cs="Calibri"/>
                <w:color w:val="000000"/>
                <w:sz w:val="15"/>
                <w:szCs w:val="15"/>
                <w:lang w:val="es-MX" w:eastAsia="es-MX"/>
              </w:rPr>
            </w:pPr>
            <w:r w:rsidRPr="00255081">
              <w:rPr>
                <w:rFonts w:ascii="Montserrat" w:eastAsia="Times New Roman" w:hAnsi="Montserrat" w:cs="Calibri"/>
                <w:color w:val="000000"/>
                <w:sz w:val="15"/>
                <w:szCs w:val="15"/>
                <w:lang w:val="es-MX" w:eastAsia="es-MX"/>
              </w:rPr>
              <w:t>Ingresos financieros</w:t>
            </w:r>
          </w:p>
        </w:tc>
        <w:tc>
          <w:tcPr>
            <w:tcW w:w="2529" w:type="dxa"/>
            <w:tcBorders>
              <w:top w:val="nil"/>
            </w:tcBorders>
            <w:shd w:val="clear" w:color="auto" w:fill="F2F2F2" w:themeFill="background1" w:themeFillShade="F2"/>
            <w:noWrap/>
            <w:vAlign w:val="center"/>
            <w:hideMark/>
          </w:tcPr>
          <w:p w14:paraId="5B339EA8" w14:textId="53169709" w:rsidR="009C3C24" w:rsidRPr="00255081" w:rsidRDefault="003731E7" w:rsidP="002F797B">
            <w:pPr>
              <w:spacing w:after="0" w:line="240" w:lineRule="auto"/>
              <w:jc w:val="right"/>
              <w:rPr>
                <w:rFonts w:ascii="Montserrat" w:eastAsia="Times New Roman" w:hAnsi="Montserrat" w:cs="Calibri"/>
                <w:color w:val="000000"/>
                <w:sz w:val="15"/>
                <w:szCs w:val="15"/>
                <w:highlight w:val="yellow"/>
                <w:lang w:val="es-MX" w:eastAsia="es-MX"/>
              </w:rPr>
            </w:pPr>
            <w:r w:rsidRPr="00255081">
              <w:rPr>
                <w:rFonts w:ascii="Montserrat" w:eastAsia="Times New Roman" w:hAnsi="Montserrat" w:cs="Calibri"/>
                <w:color w:val="000000"/>
                <w:sz w:val="15"/>
                <w:szCs w:val="15"/>
                <w:lang w:val="es-MX" w:eastAsia="es-MX"/>
              </w:rPr>
              <w:t>54,334,419,682</w:t>
            </w:r>
          </w:p>
        </w:tc>
        <w:tc>
          <w:tcPr>
            <w:tcW w:w="1532" w:type="dxa"/>
            <w:tcBorders>
              <w:top w:val="nil"/>
              <w:right w:val="single" w:sz="8" w:space="0" w:color="FFFFFF" w:themeColor="background1"/>
            </w:tcBorders>
            <w:shd w:val="clear" w:color="auto" w:fill="F2F2F2" w:themeFill="background1" w:themeFillShade="F2"/>
            <w:noWrap/>
            <w:vAlign w:val="center"/>
            <w:hideMark/>
          </w:tcPr>
          <w:p w14:paraId="665A82D2" w14:textId="77777777" w:rsidR="009C3C24" w:rsidRPr="00255081" w:rsidRDefault="009C3C24" w:rsidP="002F797B">
            <w:pPr>
              <w:spacing w:after="0" w:line="240" w:lineRule="auto"/>
              <w:jc w:val="right"/>
              <w:rPr>
                <w:rFonts w:ascii="Montserrat" w:eastAsia="Times New Roman" w:hAnsi="Montserrat" w:cs="Calibri"/>
                <w:color w:val="000000"/>
                <w:sz w:val="15"/>
                <w:szCs w:val="15"/>
                <w:lang w:val="es-MX" w:eastAsia="es-MX"/>
              </w:rPr>
            </w:pPr>
            <w:r w:rsidRPr="00255081">
              <w:rPr>
                <w:rFonts w:ascii="Montserrat" w:eastAsia="Times New Roman" w:hAnsi="Montserrat" w:cs="Calibri"/>
                <w:color w:val="000000"/>
                <w:sz w:val="15"/>
                <w:szCs w:val="15"/>
                <w:lang w:val="es-MX" w:eastAsia="es-MX"/>
              </w:rPr>
              <w:t> </w:t>
            </w:r>
          </w:p>
        </w:tc>
      </w:tr>
      <w:tr w:rsidR="003731E7" w:rsidRPr="006F0DF1" w14:paraId="465F04F5" w14:textId="77777777" w:rsidTr="000F0321">
        <w:trPr>
          <w:trHeight w:val="215"/>
          <w:jc w:val="center"/>
        </w:trPr>
        <w:tc>
          <w:tcPr>
            <w:tcW w:w="5862" w:type="dxa"/>
            <w:tcBorders>
              <w:top w:val="nil"/>
            </w:tcBorders>
            <w:shd w:val="clear" w:color="auto" w:fill="F2F2F2" w:themeFill="background1" w:themeFillShade="F2"/>
            <w:vAlign w:val="center"/>
          </w:tcPr>
          <w:p w14:paraId="5B739D3C" w14:textId="6F363D5D" w:rsidR="003731E7" w:rsidRPr="00255081" w:rsidRDefault="003731E7" w:rsidP="003731E7">
            <w:pPr>
              <w:spacing w:after="0" w:line="240" w:lineRule="auto"/>
              <w:ind w:firstLineChars="400" w:firstLine="600"/>
              <w:rPr>
                <w:rFonts w:ascii="Montserrat" w:eastAsia="Times New Roman" w:hAnsi="Montserrat" w:cs="Calibri"/>
                <w:color w:val="000000"/>
                <w:sz w:val="15"/>
                <w:szCs w:val="15"/>
                <w:lang w:val="es-MX" w:eastAsia="es-MX"/>
              </w:rPr>
            </w:pPr>
            <w:r w:rsidRPr="00255081">
              <w:rPr>
                <w:rFonts w:ascii="Montserrat" w:eastAsia="Times New Roman" w:hAnsi="Montserrat" w:cs="Calibri"/>
                <w:color w:val="000000"/>
                <w:sz w:val="15"/>
                <w:szCs w:val="15"/>
                <w:lang w:val="es-MX" w:eastAsia="es-MX"/>
              </w:rPr>
              <w:t>Incremento por variación de inventarios</w:t>
            </w:r>
          </w:p>
        </w:tc>
        <w:tc>
          <w:tcPr>
            <w:tcW w:w="2529" w:type="dxa"/>
            <w:tcBorders>
              <w:top w:val="nil"/>
            </w:tcBorders>
            <w:shd w:val="clear" w:color="auto" w:fill="F2F2F2" w:themeFill="background1" w:themeFillShade="F2"/>
            <w:noWrap/>
            <w:vAlign w:val="center"/>
          </w:tcPr>
          <w:p w14:paraId="7D63F311" w14:textId="0A3023CC" w:rsidR="003731E7" w:rsidRPr="00255081" w:rsidRDefault="003731E7" w:rsidP="003731E7">
            <w:pPr>
              <w:spacing w:after="0" w:line="240" w:lineRule="auto"/>
              <w:jc w:val="right"/>
              <w:rPr>
                <w:rFonts w:ascii="Montserrat" w:eastAsia="Times New Roman" w:hAnsi="Montserrat" w:cs="Calibri"/>
                <w:color w:val="000000"/>
                <w:sz w:val="15"/>
                <w:szCs w:val="15"/>
                <w:lang w:val="es-MX" w:eastAsia="es-MX"/>
              </w:rPr>
            </w:pPr>
            <w:r w:rsidRPr="00255081">
              <w:rPr>
                <w:rFonts w:ascii="Montserrat" w:eastAsia="Times New Roman" w:hAnsi="Montserrat" w:cs="Calibri"/>
                <w:color w:val="000000"/>
                <w:sz w:val="15"/>
                <w:szCs w:val="15"/>
                <w:lang w:val="es-MX" w:eastAsia="es-MX"/>
              </w:rPr>
              <w:t>437,443,889</w:t>
            </w:r>
          </w:p>
        </w:tc>
        <w:tc>
          <w:tcPr>
            <w:tcW w:w="1532" w:type="dxa"/>
            <w:tcBorders>
              <w:top w:val="nil"/>
              <w:right w:val="single" w:sz="8" w:space="0" w:color="FFFFFF" w:themeColor="background1"/>
            </w:tcBorders>
            <w:shd w:val="clear" w:color="auto" w:fill="F2F2F2" w:themeFill="background1" w:themeFillShade="F2"/>
            <w:noWrap/>
            <w:vAlign w:val="center"/>
          </w:tcPr>
          <w:p w14:paraId="7E70BF12" w14:textId="77777777" w:rsidR="003731E7" w:rsidRPr="00255081" w:rsidRDefault="003731E7" w:rsidP="003731E7">
            <w:pPr>
              <w:spacing w:after="0" w:line="240" w:lineRule="auto"/>
              <w:jc w:val="right"/>
              <w:rPr>
                <w:rFonts w:ascii="Montserrat" w:eastAsia="Times New Roman" w:hAnsi="Montserrat" w:cs="Calibri"/>
                <w:color w:val="000000"/>
                <w:sz w:val="15"/>
                <w:szCs w:val="15"/>
                <w:lang w:val="es-MX" w:eastAsia="es-MX"/>
              </w:rPr>
            </w:pPr>
          </w:p>
        </w:tc>
      </w:tr>
      <w:tr w:rsidR="00031AC3" w:rsidRPr="006F0DF1" w14:paraId="45B7C747" w14:textId="77777777" w:rsidTr="000F0321">
        <w:trPr>
          <w:trHeight w:val="215"/>
          <w:jc w:val="center"/>
        </w:trPr>
        <w:tc>
          <w:tcPr>
            <w:tcW w:w="5862" w:type="dxa"/>
            <w:tcBorders>
              <w:top w:val="nil"/>
            </w:tcBorders>
            <w:shd w:val="clear" w:color="auto" w:fill="F2F2F2" w:themeFill="background1" w:themeFillShade="F2"/>
            <w:vAlign w:val="center"/>
            <w:hideMark/>
          </w:tcPr>
          <w:p w14:paraId="412CDCEE" w14:textId="77777777" w:rsidR="003731E7" w:rsidRPr="00255081" w:rsidRDefault="003731E7" w:rsidP="003731E7">
            <w:pPr>
              <w:spacing w:after="0" w:line="240" w:lineRule="auto"/>
              <w:ind w:left="504" w:firstLineChars="64" w:firstLine="96"/>
              <w:rPr>
                <w:rFonts w:ascii="Montserrat" w:eastAsia="Times New Roman" w:hAnsi="Montserrat" w:cs="Calibri"/>
                <w:color w:val="000000"/>
                <w:sz w:val="15"/>
                <w:szCs w:val="15"/>
                <w:lang w:val="es-MX" w:eastAsia="es-MX"/>
              </w:rPr>
            </w:pPr>
            <w:r w:rsidRPr="00255081">
              <w:rPr>
                <w:rFonts w:ascii="Montserrat" w:eastAsia="Times New Roman" w:hAnsi="Montserrat" w:cs="Calibri"/>
                <w:color w:val="000000"/>
                <w:sz w:val="15"/>
                <w:szCs w:val="15"/>
                <w:lang w:val="es-MX" w:eastAsia="es-MX"/>
              </w:rPr>
              <w:t>Disminución del exceso de estimaciones por pérdida o deterioro u</w:t>
            </w:r>
          </w:p>
          <w:p w14:paraId="71245F5D" w14:textId="77777777" w:rsidR="003731E7" w:rsidRPr="00255081" w:rsidRDefault="003731E7" w:rsidP="003731E7">
            <w:pPr>
              <w:spacing w:after="0" w:line="240" w:lineRule="auto"/>
              <w:ind w:left="504" w:firstLineChars="64" w:firstLine="96"/>
              <w:rPr>
                <w:rFonts w:ascii="Montserrat" w:eastAsia="Times New Roman" w:hAnsi="Montserrat" w:cs="Calibri"/>
                <w:color w:val="000000"/>
                <w:sz w:val="15"/>
                <w:szCs w:val="15"/>
                <w:lang w:val="es-MX" w:eastAsia="es-MX"/>
              </w:rPr>
            </w:pPr>
            <w:r w:rsidRPr="00255081">
              <w:rPr>
                <w:rFonts w:ascii="Montserrat" w:eastAsia="Times New Roman" w:hAnsi="Montserrat" w:cs="Calibri"/>
                <w:color w:val="000000"/>
                <w:sz w:val="15"/>
                <w:szCs w:val="15"/>
                <w:lang w:val="es-MX" w:eastAsia="es-MX"/>
              </w:rPr>
              <w:t>obsolescencia</w:t>
            </w:r>
          </w:p>
        </w:tc>
        <w:tc>
          <w:tcPr>
            <w:tcW w:w="2529" w:type="dxa"/>
            <w:tcBorders>
              <w:top w:val="nil"/>
            </w:tcBorders>
            <w:shd w:val="clear" w:color="auto" w:fill="F2F2F2" w:themeFill="background1" w:themeFillShade="F2"/>
            <w:noWrap/>
            <w:vAlign w:val="center"/>
            <w:hideMark/>
          </w:tcPr>
          <w:p w14:paraId="1B6B68E0" w14:textId="77777777" w:rsidR="003731E7" w:rsidRPr="00255081" w:rsidRDefault="003731E7" w:rsidP="003731E7">
            <w:pPr>
              <w:spacing w:after="0" w:line="240" w:lineRule="auto"/>
              <w:jc w:val="right"/>
              <w:rPr>
                <w:rFonts w:ascii="Montserrat" w:eastAsia="Times New Roman" w:hAnsi="Montserrat" w:cs="Calibri"/>
                <w:color w:val="000000"/>
                <w:sz w:val="15"/>
                <w:szCs w:val="15"/>
                <w:highlight w:val="yellow"/>
                <w:lang w:val="es-MX" w:eastAsia="es-MX"/>
              </w:rPr>
            </w:pPr>
            <w:r w:rsidRPr="00255081">
              <w:rPr>
                <w:rFonts w:ascii="Montserrat" w:eastAsia="Times New Roman" w:hAnsi="Montserrat" w:cs="Calibri"/>
                <w:color w:val="000000"/>
                <w:sz w:val="15"/>
                <w:szCs w:val="15"/>
                <w:lang w:val="es-MX" w:eastAsia="es-MX"/>
              </w:rPr>
              <w:t>0</w:t>
            </w:r>
          </w:p>
        </w:tc>
        <w:tc>
          <w:tcPr>
            <w:tcW w:w="1532" w:type="dxa"/>
            <w:tcBorders>
              <w:top w:val="nil"/>
              <w:right w:val="single" w:sz="8" w:space="0" w:color="FFFFFF" w:themeColor="background1"/>
            </w:tcBorders>
            <w:shd w:val="clear" w:color="auto" w:fill="F2F2F2" w:themeFill="background1" w:themeFillShade="F2"/>
            <w:noWrap/>
            <w:vAlign w:val="center"/>
            <w:hideMark/>
          </w:tcPr>
          <w:p w14:paraId="02A3170C" w14:textId="77777777" w:rsidR="003731E7" w:rsidRPr="00255081" w:rsidRDefault="003731E7" w:rsidP="003731E7">
            <w:pPr>
              <w:spacing w:after="0" w:line="240" w:lineRule="auto"/>
              <w:jc w:val="right"/>
              <w:rPr>
                <w:rFonts w:ascii="Montserrat" w:eastAsia="Times New Roman" w:hAnsi="Montserrat" w:cs="Calibri"/>
                <w:color w:val="000000"/>
                <w:sz w:val="15"/>
                <w:szCs w:val="15"/>
                <w:lang w:val="es-MX" w:eastAsia="es-MX"/>
              </w:rPr>
            </w:pPr>
            <w:r w:rsidRPr="00255081">
              <w:rPr>
                <w:rFonts w:ascii="Montserrat" w:eastAsia="Times New Roman" w:hAnsi="Montserrat" w:cs="Calibri"/>
                <w:color w:val="000000"/>
                <w:sz w:val="15"/>
                <w:szCs w:val="15"/>
                <w:lang w:val="es-MX" w:eastAsia="es-MX"/>
              </w:rPr>
              <w:t> </w:t>
            </w:r>
          </w:p>
        </w:tc>
      </w:tr>
      <w:tr w:rsidR="00031AC3" w:rsidRPr="006F0DF1" w14:paraId="56AF7A89" w14:textId="77777777" w:rsidTr="000F0321">
        <w:trPr>
          <w:trHeight w:val="215"/>
          <w:jc w:val="center"/>
        </w:trPr>
        <w:tc>
          <w:tcPr>
            <w:tcW w:w="5862" w:type="dxa"/>
            <w:tcBorders>
              <w:top w:val="nil"/>
            </w:tcBorders>
            <w:shd w:val="clear" w:color="auto" w:fill="F2F2F2" w:themeFill="background1" w:themeFillShade="F2"/>
            <w:vAlign w:val="center"/>
            <w:hideMark/>
          </w:tcPr>
          <w:p w14:paraId="3664D72C" w14:textId="77777777" w:rsidR="003731E7" w:rsidRPr="00255081" w:rsidRDefault="003731E7" w:rsidP="003731E7">
            <w:pPr>
              <w:spacing w:after="0" w:line="240" w:lineRule="auto"/>
              <w:ind w:firstLineChars="400" w:firstLine="600"/>
              <w:rPr>
                <w:rFonts w:ascii="Montserrat" w:eastAsia="Times New Roman" w:hAnsi="Montserrat" w:cs="Calibri"/>
                <w:color w:val="000000"/>
                <w:sz w:val="15"/>
                <w:szCs w:val="15"/>
                <w:lang w:val="es-MX" w:eastAsia="es-MX"/>
              </w:rPr>
            </w:pPr>
            <w:r w:rsidRPr="00255081">
              <w:rPr>
                <w:rFonts w:ascii="Montserrat" w:eastAsia="Times New Roman" w:hAnsi="Montserrat" w:cs="Calibri"/>
                <w:color w:val="000000"/>
                <w:sz w:val="15"/>
                <w:szCs w:val="15"/>
                <w:lang w:val="es-MX" w:eastAsia="es-MX"/>
              </w:rPr>
              <w:t>Disminución del exceso de provisiones</w:t>
            </w:r>
          </w:p>
        </w:tc>
        <w:tc>
          <w:tcPr>
            <w:tcW w:w="2529" w:type="dxa"/>
            <w:tcBorders>
              <w:top w:val="nil"/>
            </w:tcBorders>
            <w:shd w:val="clear" w:color="auto" w:fill="F2F2F2" w:themeFill="background1" w:themeFillShade="F2"/>
            <w:noWrap/>
            <w:vAlign w:val="center"/>
            <w:hideMark/>
          </w:tcPr>
          <w:p w14:paraId="559F7E70" w14:textId="77777777" w:rsidR="003731E7" w:rsidRPr="00255081" w:rsidRDefault="003731E7" w:rsidP="003731E7">
            <w:pPr>
              <w:spacing w:after="0" w:line="240" w:lineRule="auto"/>
              <w:jc w:val="right"/>
              <w:rPr>
                <w:rFonts w:ascii="Montserrat" w:eastAsia="Times New Roman" w:hAnsi="Montserrat" w:cs="Calibri"/>
                <w:color w:val="000000"/>
                <w:sz w:val="15"/>
                <w:szCs w:val="15"/>
                <w:highlight w:val="yellow"/>
                <w:lang w:val="es-MX" w:eastAsia="es-MX"/>
              </w:rPr>
            </w:pPr>
            <w:r w:rsidRPr="00255081">
              <w:rPr>
                <w:rFonts w:ascii="Montserrat" w:eastAsia="Times New Roman" w:hAnsi="Montserrat" w:cs="Calibri"/>
                <w:color w:val="000000"/>
                <w:sz w:val="15"/>
                <w:szCs w:val="15"/>
                <w:lang w:val="es-MX" w:eastAsia="es-MX"/>
              </w:rPr>
              <w:t>0</w:t>
            </w:r>
          </w:p>
        </w:tc>
        <w:tc>
          <w:tcPr>
            <w:tcW w:w="1532" w:type="dxa"/>
            <w:tcBorders>
              <w:top w:val="nil"/>
              <w:right w:val="single" w:sz="8" w:space="0" w:color="FFFFFF" w:themeColor="background1"/>
            </w:tcBorders>
            <w:shd w:val="clear" w:color="auto" w:fill="F2F2F2" w:themeFill="background1" w:themeFillShade="F2"/>
            <w:noWrap/>
            <w:vAlign w:val="center"/>
            <w:hideMark/>
          </w:tcPr>
          <w:p w14:paraId="62C26527" w14:textId="77777777" w:rsidR="003731E7" w:rsidRPr="00255081" w:rsidRDefault="003731E7" w:rsidP="003731E7">
            <w:pPr>
              <w:spacing w:after="0" w:line="240" w:lineRule="auto"/>
              <w:jc w:val="right"/>
              <w:rPr>
                <w:rFonts w:ascii="Montserrat" w:eastAsia="Times New Roman" w:hAnsi="Montserrat" w:cs="Calibri"/>
                <w:color w:val="000000"/>
                <w:sz w:val="15"/>
                <w:szCs w:val="15"/>
                <w:lang w:val="es-MX" w:eastAsia="es-MX"/>
              </w:rPr>
            </w:pPr>
            <w:r w:rsidRPr="00255081">
              <w:rPr>
                <w:rFonts w:ascii="Montserrat" w:eastAsia="Times New Roman" w:hAnsi="Montserrat" w:cs="Calibri"/>
                <w:color w:val="000000"/>
                <w:sz w:val="15"/>
                <w:szCs w:val="15"/>
                <w:lang w:val="es-MX" w:eastAsia="es-MX"/>
              </w:rPr>
              <w:t> </w:t>
            </w:r>
          </w:p>
        </w:tc>
      </w:tr>
      <w:tr w:rsidR="00031AC3" w:rsidRPr="006F0DF1" w14:paraId="28E21B32" w14:textId="77777777" w:rsidTr="000F0321">
        <w:trPr>
          <w:trHeight w:val="215"/>
          <w:jc w:val="center"/>
        </w:trPr>
        <w:tc>
          <w:tcPr>
            <w:tcW w:w="5862" w:type="dxa"/>
            <w:tcBorders>
              <w:top w:val="nil"/>
            </w:tcBorders>
            <w:shd w:val="clear" w:color="auto" w:fill="F2F2F2" w:themeFill="background1" w:themeFillShade="F2"/>
            <w:vAlign w:val="center"/>
            <w:hideMark/>
          </w:tcPr>
          <w:p w14:paraId="24FCACCB" w14:textId="77777777" w:rsidR="003731E7" w:rsidRPr="00255081" w:rsidRDefault="003731E7" w:rsidP="003731E7">
            <w:pPr>
              <w:spacing w:after="0" w:line="240" w:lineRule="auto"/>
              <w:ind w:firstLineChars="400" w:firstLine="600"/>
              <w:rPr>
                <w:rFonts w:ascii="Montserrat" w:eastAsia="Times New Roman" w:hAnsi="Montserrat" w:cs="Calibri"/>
                <w:color w:val="000000"/>
                <w:sz w:val="15"/>
                <w:szCs w:val="15"/>
                <w:lang w:val="es-MX" w:eastAsia="es-MX"/>
              </w:rPr>
            </w:pPr>
            <w:r w:rsidRPr="00255081">
              <w:rPr>
                <w:rFonts w:ascii="Montserrat" w:eastAsia="Times New Roman" w:hAnsi="Montserrat" w:cs="Calibri"/>
                <w:color w:val="000000"/>
                <w:sz w:val="15"/>
                <w:szCs w:val="15"/>
                <w:lang w:val="es-MX" w:eastAsia="es-MX"/>
              </w:rPr>
              <w:t>Otros ingresos y beneficios varios</w:t>
            </w:r>
          </w:p>
        </w:tc>
        <w:tc>
          <w:tcPr>
            <w:tcW w:w="2529" w:type="dxa"/>
            <w:tcBorders>
              <w:top w:val="nil"/>
            </w:tcBorders>
            <w:shd w:val="clear" w:color="auto" w:fill="F2F2F2" w:themeFill="background1" w:themeFillShade="F2"/>
            <w:noWrap/>
            <w:vAlign w:val="center"/>
            <w:hideMark/>
          </w:tcPr>
          <w:p w14:paraId="0C7DA51E" w14:textId="24AD2650" w:rsidR="003731E7" w:rsidRPr="00255081" w:rsidRDefault="003731E7" w:rsidP="003731E7">
            <w:pPr>
              <w:spacing w:after="0" w:line="240" w:lineRule="auto"/>
              <w:jc w:val="right"/>
              <w:rPr>
                <w:rFonts w:ascii="Montserrat" w:eastAsia="Times New Roman" w:hAnsi="Montserrat" w:cs="Calibri"/>
                <w:color w:val="000000"/>
                <w:sz w:val="15"/>
                <w:szCs w:val="15"/>
                <w:highlight w:val="yellow"/>
                <w:lang w:val="es-MX" w:eastAsia="es-MX"/>
              </w:rPr>
            </w:pPr>
            <w:r w:rsidRPr="00255081">
              <w:rPr>
                <w:rFonts w:ascii="Montserrat" w:eastAsia="Times New Roman" w:hAnsi="Montserrat" w:cs="Calibri"/>
                <w:color w:val="000000"/>
                <w:sz w:val="15"/>
                <w:szCs w:val="15"/>
                <w:lang w:val="es-MX" w:eastAsia="es-MX"/>
              </w:rPr>
              <w:t>500,148,680,835</w:t>
            </w:r>
          </w:p>
        </w:tc>
        <w:tc>
          <w:tcPr>
            <w:tcW w:w="1532" w:type="dxa"/>
            <w:tcBorders>
              <w:top w:val="nil"/>
              <w:right w:val="single" w:sz="8" w:space="0" w:color="FFFFFF" w:themeColor="background1"/>
            </w:tcBorders>
            <w:shd w:val="clear" w:color="auto" w:fill="F2F2F2" w:themeFill="background1" w:themeFillShade="F2"/>
            <w:noWrap/>
            <w:vAlign w:val="center"/>
            <w:hideMark/>
          </w:tcPr>
          <w:p w14:paraId="4B341A4F" w14:textId="77777777" w:rsidR="003731E7" w:rsidRPr="00255081" w:rsidRDefault="003731E7" w:rsidP="003731E7">
            <w:pPr>
              <w:spacing w:after="0" w:line="240" w:lineRule="auto"/>
              <w:jc w:val="right"/>
              <w:rPr>
                <w:rFonts w:ascii="Montserrat" w:eastAsia="Times New Roman" w:hAnsi="Montserrat" w:cs="Calibri"/>
                <w:color w:val="000000"/>
                <w:sz w:val="15"/>
                <w:szCs w:val="15"/>
                <w:lang w:val="es-MX" w:eastAsia="es-MX"/>
              </w:rPr>
            </w:pPr>
            <w:r w:rsidRPr="00255081">
              <w:rPr>
                <w:rFonts w:ascii="Montserrat" w:eastAsia="Times New Roman" w:hAnsi="Montserrat" w:cs="Calibri"/>
                <w:color w:val="000000"/>
                <w:sz w:val="15"/>
                <w:szCs w:val="15"/>
                <w:lang w:val="es-MX" w:eastAsia="es-MX"/>
              </w:rPr>
              <w:t> </w:t>
            </w:r>
          </w:p>
        </w:tc>
      </w:tr>
      <w:tr w:rsidR="00031AC3" w:rsidRPr="006F0DF1" w14:paraId="79859532" w14:textId="77777777" w:rsidTr="000F0321">
        <w:trPr>
          <w:trHeight w:val="215"/>
          <w:jc w:val="center"/>
        </w:trPr>
        <w:tc>
          <w:tcPr>
            <w:tcW w:w="5862" w:type="dxa"/>
            <w:tcBorders>
              <w:top w:val="nil"/>
            </w:tcBorders>
            <w:shd w:val="clear" w:color="auto" w:fill="F2F2F2" w:themeFill="background1" w:themeFillShade="F2"/>
            <w:vAlign w:val="center"/>
            <w:hideMark/>
          </w:tcPr>
          <w:p w14:paraId="053A267C" w14:textId="77777777" w:rsidR="003731E7" w:rsidRPr="00255081" w:rsidRDefault="003731E7" w:rsidP="003731E7">
            <w:pPr>
              <w:spacing w:after="0" w:line="240" w:lineRule="auto"/>
              <w:ind w:firstLineChars="400" w:firstLine="600"/>
              <w:rPr>
                <w:rFonts w:ascii="Montserrat" w:eastAsia="Times New Roman" w:hAnsi="Montserrat" w:cs="Calibri"/>
                <w:color w:val="000000"/>
                <w:sz w:val="15"/>
                <w:szCs w:val="15"/>
                <w:lang w:val="es-MX" w:eastAsia="es-MX"/>
              </w:rPr>
            </w:pPr>
            <w:r w:rsidRPr="00255081">
              <w:rPr>
                <w:rFonts w:ascii="Montserrat" w:eastAsia="Times New Roman" w:hAnsi="Montserrat" w:cs="Calibri"/>
                <w:color w:val="000000"/>
                <w:sz w:val="15"/>
                <w:szCs w:val="15"/>
                <w:lang w:val="es-MX" w:eastAsia="es-MX"/>
              </w:rPr>
              <w:t>Otros ingresos contables no presupuestarios</w:t>
            </w:r>
          </w:p>
        </w:tc>
        <w:tc>
          <w:tcPr>
            <w:tcW w:w="2529" w:type="dxa"/>
            <w:tcBorders>
              <w:top w:val="nil"/>
            </w:tcBorders>
            <w:shd w:val="clear" w:color="auto" w:fill="F2F2F2" w:themeFill="background1" w:themeFillShade="F2"/>
            <w:noWrap/>
            <w:vAlign w:val="center"/>
            <w:hideMark/>
          </w:tcPr>
          <w:p w14:paraId="22E303F1" w14:textId="21A39013" w:rsidR="003731E7" w:rsidRPr="00255081" w:rsidRDefault="003731E7" w:rsidP="003731E7">
            <w:pPr>
              <w:spacing w:after="0" w:line="240" w:lineRule="auto"/>
              <w:jc w:val="right"/>
              <w:rPr>
                <w:rFonts w:ascii="Montserrat" w:eastAsia="Times New Roman" w:hAnsi="Montserrat" w:cs="Calibri"/>
                <w:color w:val="000000"/>
                <w:sz w:val="15"/>
                <w:szCs w:val="15"/>
                <w:highlight w:val="yellow"/>
                <w:lang w:val="es-MX" w:eastAsia="es-MX"/>
              </w:rPr>
            </w:pPr>
            <w:r w:rsidRPr="00255081">
              <w:rPr>
                <w:rFonts w:ascii="Montserrat" w:eastAsia="Times New Roman" w:hAnsi="Montserrat" w:cs="Calibri"/>
                <w:color w:val="000000"/>
                <w:sz w:val="15"/>
                <w:szCs w:val="15"/>
                <w:lang w:val="es-MX" w:eastAsia="es-MX"/>
              </w:rPr>
              <w:t>0</w:t>
            </w:r>
          </w:p>
        </w:tc>
        <w:tc>
          <w:tcPr>
            <w:tcW w:w="1532" w:type="dxa"/>
            <w:tcBorders>
              <w:top w:val="nil"/>
              <w:right w:val="single" w:sz="8" w:space="0" w:color="FFFFFF" w:themeColor="background1"/>
            </w:tcBorders>
            <w:shd w:val="clear" w:color="auto" w:fill="F2F2F2" w:themeFill="background1" w:themeFillShade="F2"/>
            <w:noWrap/>
            <w:vAlign w:val="center"/>
            <w:hideMark/>
          </w:tcPr>
          <w:p w14:paraId="7A1B046C" w14:textId="77777777" w:rsidR="003731E7" w:rsidRPr="00255081" w:rsidRDefault="003731E7" w:rsidP="003731E7">
            <w:pPr>
              <w:spacing w:after="0" w:line="240" w:lineRule="auto"/>
              <w:jc w:val="right"/>
              <w:rPr>
                <w:rFonts w:ascii="Montserrat" w:eastAsia="Times New Roman" w:hAnsi="Montserrat" w:cs="Calibri"/>
                <w:color w:val="000000"/>
                <w:sz w:val="15"/>
                <w:szCs w:val="15"/>
                <w:lang w:val="es-MX" w:eastAsia="es-MX"/>
              </w:rPr>
            </w:pPr>
            <w:r w:rsidRPr="00255081">
              <w:rPr>
                <w:rFonts w:ascii="Montserrat" w:eastAsia="Times New Roman" w:hAnsi="Montserrat" w:cs="Calibri"/>
                <w:color w:val="000000"/>
                <w:sz w:val="15"/>
                <w:szCs w:val="15"/>
                <w:lang w:val="es-MX" w:eastAsia="es-MX"/>
              </w:rPr>
              <w:t> </w:t>
            </w:r>
          </w:p>
        </w:tc>
      </w:tr>
      <w:tr w:rsidR="00031AC3" w:rsidRPr="006F0DF1" w14:paraId="4763AF1F" w14:textId="77777777" w:rsidTr="000F0321">
        <w:trPr>
          <w:trHeight w:val="215"/>
          <w:jc w:val="center"/>
        </w:trPr>
        <w:tc>
          <w:tcPr>
            <w:tcW w:w="5862" w:type="dxa"/>
            <w:tcBorders>
              <w:top w:val="nil"/>
            </w:tcBorders>
            <w:shd w:val="clear" w:color="auto" w:fill="F2F2F2" w:themeFill="background1" w:themeFillShade="F2"/>
            <w:noWrap/>
            <w:vAlign w:val="center"/>
            <w:hideMark/>
          </w:tcPr>
          <w:p w14:paraId="14B9AA02" w14:textId="77777777" w:rsidR="003731E7" w:rsidRPr="00255081" w:rsidRDefault="003731E7" w:rsidP="003731E7">
            <w:pPr>
              <w:spacing w:after="0" w:line="240" w:lineRule="auto"/>
              <w:rPr>
                <w:rFonts w:ascii="Montserrat" w:eastAsia="Times New Roman" w:hAnsi="Montserrat" w:cs="Calibri"/>
                <w:color w:val="000000"/>
                <w:sz w:val="15"/>
                <w:szCs w:val="15"/>
                <w:lang w:val="es-MX" w:eastAsia="es-MX"/>
              </w:rPr>
            </w:pPr>
            <w:r w:rsidRPr="00255081">
              <w:rPr>
                <w:rFonts w:ascii="Montserrat" w:eastAsia="Times New Roman" w:hAnsi="Montserrat" w:cs="Calibri"/>
                <w:color w:val="000000"/>
                <w:sz w:val="15"/>
                <w:szCs w:val="15"/>
                <w:lang w:val="es-MX" w:eastAsia="es-MX"/>
              </w:rPr>
              <w:t> </w:t>
            </w:r>
          </w:p>
        </w:tc>
        <w:tc>
          <w:tcPr>
            <w:tcW w:w="2529" w:type="dxa"/>
            <w:tcBorders>
              <w:top w:val="nil"/>
            </w:tcBorders>
            <w:shd w:val="clear" w:color="auto" w:fill="F2F2F2" w:themeFill="background1" w:themeFillShade="F2"/>
            <w:noWrap/>
            <w:vAlign w:val="center"/>
            <w:hideMark/>
          </w:tcPr>
          <w:p w14:paraId="31BBD888" w14:textId="77777777" w:rsidR="003731E7" w:rsidRPr="00255081" w:rsidRDefault="003731E7" w:rsidP="003731E7">
            <w:pPr>
              <w:spacing w:after="0" w:line="240" w:lineRule="auto"/>
              <w:jc w:val="right"/>
              <w:rPr>
                <w:rFonts w:ascii="Montserrat" w:eastAsia="Times New Roman" w:hAnsi="Montserrat" w:cs="Calibri"/>
                <w:color w:val="000000"/>
                <w:sz w:val="15"/>
                <w:szCs w:val="15"/>
                <w:lang w:val="es-MX" w:eastAsia="es-MX"/>
              </w:rPr>
            </w:pPr>
            <w:r w:rsidRPr="00255081">
              <w:rPr>
                <w:rFonts w:ascii="Montserrat" w:eastAsia="Times New Roman" w:hAnsi="Montserrat" w:cs="Calibri"/>
                <w:color w:val="000000"/>
                <w:sz w:val="15"/>
                <w:szCs w:val="15"/>
                <w:lang w:val="es-MX" w:eastAsia="es-MX"/>
              </w:rPr>
              <w:t> </w:t>
            </w:r>
          </w:p>
        </w:tc>
        <w:tc>
          <w:tcPr>
            <w:tcW w:w="1532" w:type="dxa"/>
            <w:tcBorders>
              <w:top w:val="nil"/>
              <w:right w:val="single" w:sz="8" w:space="0" w:color="FFFFFF" w:themeColor="background1"/>
            </w:tcBorders>
            <w:shd w:val="clear" w:color="auto" w:fill="F2F2F2" w:themeFill="background1" w:themeFillShade="F2"/>
            <w:noWrap/>
            <w:vAlign w:val="center"/>
            <w:hideMark/>
          </w:tcPr>
          <w:p w14:paraId="0E6EB007" w14:textId="77777777" w:rsidR="003731E7" w:rsidRPr="00255081" w:rsidRDefault="003731E7" w:rsidP="003731E7">
            <w:pPr>
              <w:spacing w:after="0" w:line="240" w:lineRule="auto"/>
              <w:jc w:val="right"/>
              <w:rPr>
                <w:rFonts w:ascii="Montserrat" w:eastAsia="Times New Roman" w:hAnsi="Montserrat" w:cs="Calibri"/>
                <w:color w:val="000000"/>
                <w:sz w:val="15"/>
                <w:szCs w:val="15"/>
                <w:lang w:val="es-MX" w:eastAsia="es-MX"/>
              </w:rPr>
            </w:pPr>
            <w:r w:rsidRPr="00255081">
              <w:rPr>
                <w:rFonts w:ascii="Montserrat" w:eastAsia="Times New Roman" w:hAnsi="Montserrat" w:cs="Calibri"/>
                <w:color w:val="000000"/>
                <w:sz w:val="15"/>
                <w:szCs w:val="15"/>
                <w:lang w:val="es-MX" w:eastAsia="es-MX"/>
              </w:rPr>
              <w:t> </w:t>
            </w:r>
          </w:p>
        </w:tc>
      </w:tr>
      <w:tr w:rsidR="00031AC3" w:rsidRPr="006F0DF1" w14:paraId="301EED5A" w14:textId="77777777" w:rsidTr="000F0321">
        <w:trPr>
          <w:trHeight w:val="215"/>
          <w:jc w:val="center"/>
        </w:trPr>
        <w:tc>
          <w:tcPr>
            <w:tcW w:w="5862" w:type="dxa"/>
            <w:tcBorders>
              <w:top w:val="nil"/>
            </w:tcBorders>
            <w:shd w:val="clear" w:color="auto" w:fill="F2F2F2" w:themeFill="background1" w:themeFillShade="F2"/>
            <w:vAlign w:val="center"/>
            <w:hideMark/>
          </w:tcPr>
          <w:p w14:paraId="5642030A" w14:textId="77777777" w:rsidR="003731E7" w:rsidRPr="00255081" w:rsidRDefault="003731E7" w:rsidP="003731E7">
            <w:pPr>
              <w:spacing w:after="0" w:line="240" w:lineRule="auto"/>
              <w:rPr>
                <w:rFonts w:ascii="Montserrat" w:eastAsia="Times New Roman" w:hAnsi="Montserrat" w:cs="Calibri"/>
                <w:b/>
                <w:bCs/>
                <w:color w:val="000000"/>
                <w:sz w:val="15"/>
                <w:szCs w:val="15"/>
                <w:lang w:val="es-MX" w:eastAsia="es-MX"/>
              </w:rPr>
            </w:pPr>
            <w:r w:rsidRPr="00255081">
              <w:rPr>
                <w:rFonts w:ascii="Montserrat" w:eastAsia="Times New Roman" w:hAnsi="Montserrat" w:cs="Calibri"/>
                <w:b/>
                <w:bCs/>
                <w:color w:val="000000"/>
                <w:sz w:val="15"/>
                <w:szCs w:val="15"/>
                <w:lang w:val="es-MX" w:eastAsia="es-MX"/>
              </w:rPr>
              <w:t>3. Menos ingresos presupuestarios no contables</w:t>
            </w:r>
          </w:p>
        </w:tc>
        <w:tc>
          <w:tcPr>
            <w:tcW w:w="2529" w:type="dxa"/>
            <w:tcBorders>
              <w:top w:val="nil"/>
            </w:tcBorders>
            <w:shd w:val="clear" w:color="auto" w:fill="F2F2F2" w:themeFill="background1" w:themeFillShade="F2"/>
            <w:noWrap/>
            <w:vAlign w:val="center"/>
            <w:hideMark/>
          </w:tcPr>
          <w:p w14:paraId="3D7B7B1D" w14:textId="77777777" w:rsidR="003731E7" w:rsidRPr="00255081" w:rsidRDefault="003731E7" w:rsidP="003731E7">
            <w:pPr>
              <w:spacing w:after="0" w:line="240" w:lineRule="auto"/>
              <w:jc w:val="right"/>
              <w:rPr>
                <w:rFonts w:ascii="Montserrat" w:eastAsia="Times New Roman" w:hAnsi="Montserrat" w:cs="Calibri"/>
                <w:b/>
                <w:bCs/>
                <w:color w:val="000000"/>
                <w:sz w:val="15"/>
                <w:szCs w:val="15"/>
                <w:lang w:val="es-MX" w:eastAsia="es-MX"/>
              </w:rPr>
            </w:pPr>
            <w:r w:rsidRPr="00255081">
              <w:rPr>
                <w:rFonts w:ascii="Montserrat" w:eastAsia="Times New Roman" w:hAnsi="Montserrat" w:cs="Calibri"/>
                <w:b/>
                <w:bCs/>
                <w:color w:val="000000"/>
                <w:sz w:val="15"/>
                <w:szCs w:val="15"/>
                <w:lang w:val="es-MX" w:eastAsia="es-MX"/>
              </w:rPr>
              <w:t> </w:t>
            </w:r>
          </w:p>
        </w:tc>
        <w:tc>
          <w:tcPr>
            <w:tcW w:w="1532" w:type="dxa"/>
            <w:tcBorders>
              <w:top w:val="nil"/>
              <w:right w:val="single" w:sz="8" w:space="0" w:color="FFFFFF" w:themeColor="background1"/>
            </w:tcBorders>
            <w:shd w:val="clear" w:color="auto" w:fill="F2F2F2" w:themeFill="background1" w:themeFillShade="F2"/>
            <w:noWrap/>
            <w:vAlign w:val="center"/>
            <w:hideMark/>
          </w:tcPr>
          <w:p w14:paraId="452ED144" w14:textId="1ADAE78C" w:rsidR="003731E7" w:rsidRPr="00255081" w:rsidRDefault="003731E7" w:rsidP="003731E7">
            <w:pPr>
              <w:spacing w:after="0" w:line="240" w:lineRule="auto"/>
              <w:jc w:val="right"/>
              <w:rPr>
                <w:rFonts w:ascii="Montserrat" w:eastAsia="Times New Roman" w:hAnsi="Montserrat" w:cs="Calibri"/>
                <w:b/>
                <w:bCs/>
                <w:color w:val="000000"/>
                <w:sz w:val="15"/>
                <w:szCs w:val="15"/>
                <w:lang w:val="es-MX" w:eastAsia="es-MX"/>
              </w:rPr>
            </w:pPr>
            <w:r w:rsidRPr="00255081">
              <w:rPr>
                <w:rFonts w:ascii="Montserrat" w:eastAsia="Times New Roman" w:hAnsi="Montserrat" w:cs="Calibri"/>
                <w:b/>
                <w:bCs/>
                <w:color w:val="000000"/>
                <w:sz w:val="15"/>
                <w:szCs w:val="15"/>
                <w:lang w:val="es-MX" w:eastAsia="es-MX"/>
              </w:rPr>
              <w:t>677,928,773,228</w:t>
            </w:r>
          </w:p>
        </w:tc>
      </w:tr>
      <w:tr w:rsidR="00031AC3" w:rsidRPr="006F0DF1" w14:paraId="455AA656" w14:textId="77777777" w:rsidTr="000F0321">
        <w:trPr>
          <w:trHeight w:val="215"/>
          <w:jc w:val="center"/>
        </w:trPr>
        <w:tc>
          <w:tcPr>
            <w:tcW w:w="5862" w:type="dxa"/>
            <w:tcBorders>
              <w:top w:val="nil"/>
            </w:tcBorders>
            <w:shd w:val="clear" w:color="auto" w:fill="F2F2F2" w:themeFill="background1" w:themeFillShade="F2"/>
            <w:vAlign w:val="center"/>
            <w:hideMark/>
          </w:tcPr>
          <w:p w14:paraId="3CF7A96A" w14:textId="5AF193A4" w:rsidR="003731E7" w:rsidRPr="00255081" w:rsidRDefault="003731E7">
            <w:pPr>
              <w:spacing w:after="0" w:line="240" w:lineRule="auto"/>
              <w:ind w:firstLineChars="400" w:firstLine="600"/>
              <w:rPr>
                <w:rFonts w:ascii="Montserrat" w:eastAsia="Times New Roman" w:hAnsi="Montserrat" w:cs="Calibri"/>
                <w:color w:val="000000"/>
                <w:sz w:val="15"/>
                <w:szCs w:val="15"/>
                <w:lang w:val="es-MX" w:eastAsia="es-MX"/>
              </w:rPr>
            </w:pPr>
            <w:r w:rsidRPr="00255081">
              <w:rPr>
                <w:rFonts w:ascii="Montserrat" w:eastAsia="Times New Roman" w:hAnsi="Montserrat" w:cs="Calibri"/>
                <w:color w:val="000000"/>
                <w:sz w:val="15"/>
                <w:szCs w:val="15"/>
                <w:lang w:val="es-MX" w:eastAsia="es-MX"/>
              </w:rPr>
              <w:t xml:space="preserve">Aprovechamientos </w:t>
            </w:r>
            <w:r w:rsidR="00031AC3" w:rsidRPr="00255081">
              <w:rPr>
                <w:rFonts w:ascii="Montserrat" w:eastAsia="Times New Roman" w:hAnsi="Montserrat" w:cs="Calibri"/>
                <w:color w:val="000000"/>
                <w:sz w:val="15"/>
                <w:szCs w:val="15"/>
                <w:lang w:val="es-MX" w:eastAsia="es-MX"/>
              </w:rPr>
              <w:t>patrimoniales</w:t>
            </w:r>
          </w:p>
        </w:tc>
        <w:tc>
          <w:tcPr>
            <w:tcW w:w="2529" w:type="dxa"/>
            <w:tcBorders>
              <w:top w:val="nil"/>
            </w:tcBorders>
            <w:shd w:val="clear" w:color="auto" w:fill="F2F2F2" w:themeFill="background1" w:themeFillShade="F2"/>
            <w:noWrap/>
            <w:vAlign w:val="center"/>
            <w:hideMark/>
          </w:tcPr>
          <w:p w14:paraId="042B0FD1" w14:textId="00B9D3BF" w:rsidR="003731E7" w:rsidRPr="00255081" w:rsidRDefault="00031AC3" w:rsidP="003731E7">
            <w:pPr>
              <w:spacing w:after="0" w:line="240" w:lineRule="auto"/>
              <w:jc w:val="right"/>
              <w:rPr>
                <w:rFonts w:ascii="Montserrat" w:eastAsia="Times New Roman" w:hAnsi="Montserrat" w:cs="Calibri"/>
                <w:color w:val="000000"/>
                <w:sz w:val="15"/>
                <w:szCs w:val="15"/>
                <w:highlight w:val="yellow"/>
                <w:lang w:val="es-MX" w:eastAsia="es-MX"/>
              </w:rPr>
            </w:pPr>
            <w:r w:rsidRPr="00255081">
              <w:rPr>
                <w:rFonts w:ascii="Montserrat" w:eastAsia="Times New Roman" w:hAnsi="Montserrat" w:cs="Calibri"/>
                <w:color w:val="000000"/>
                <w:sz w:val="15"/>
                <w:szCs w:val="15"/>
                <w:lang w:val="es-MX" w:eastAsia="es-MX"/>
              </w:rPr>
              <w:t>134,761,197,291</w:t>
            </w:r>
          </w:p>
        </w:tc>
        <w:tc>
          <w:tcPr>
            <w:tcW w:w="1532" w:type="dxa"/>
            <w:tcBorders>
              <w:top w:val="nil"/>
              <w:right w:val="single" w:sz="8" w:space="0" w:color="FFFFFF" w:themeColor="background1"/>
            </w:tcBorders>
            <w:shd w:val="clear" w:color="auto" w:fill="F2F2F2" w:themeFill="background1" w:themeFillShade="F2"/>
            <w:noWrap/>
            <w:vAlign w:val="center"/>
            <w:hideMark/>
          </w:tcPr>
          <w:p w14:paraId="030A8345" w14:textId="77777777" w:rsidR="003731E7" w:rsidRPr="00255081" w:rsidRDefault="003731E7" w:rsidP="003731E7">
            <w:pPr>
              <w:spacing w:after="0" w:line="240" w:lineRule="auto"/>
              <w:jc w:val="right"/>
              <w:rPr>
                <w:rFonts w:ascii="Montserrat" w:eastAsia="Times New Roman" w:hAnsi="Montserrat" w:cs="Calibri"/>
                <w:color w:val="000000"/>
                <w:sz w:val="15"/>
                <w:szCs w:val="15"/>
                <w:lang w:val="es-MX" w:eastAsia="es-MX"/>
              </w:rPr>
            </w:pPr>
            <w:r w:rsidRPr="00255081">
              <w:rPr>
                <w:rFonts w:ascii="Montserrat" w:eastAsia="Times New Roman" w:hAnsi="Montserrat" w:cs="Calibri"/>
                <w:color w:val="000000"/>
                <w:sz w:val="15"/>
                <w:szCs w:val="15"/>
                <w:lang w:val="es-MX" w:eastAsia="es-MX"/>
              </w:rPr>
              <w:t> </w:t>
            </w:r>
          </w:p>
        </w:tc>
      </w:tr>
      <w:tr w:rsidR="00031AC3" w:rsidRPr="006F0DF1" w14:paraId="1BD7F23C" w14:textId="77777777" w:rsidTr="000F0321">
        <w:trPr>
          <w:trHeight w:val="215"/>
          <w:jc w:val="center"/>
        </w:trPr>
        <w:tc>
          <w:tcPr>
            <w:tcW w:w="5862" w:type="dxa"/>
            <w:tcBorders>
              <w:top w:val="nil"/>
            </w:tcBorders>
            <w:shd w:val="clear" w:color="auto" w:fill="F2F2F2" w:themeFill="background1" w:themeFillShade="F2"/>
            <w:vAlign w:val="center"/>
            <w:hideMark/>
          </w:tcPr>
          <w:p w14:paraId="41AC1AE5" w14:textId="77777777" w:rsidR="003731E7" w:rsidRPr="00255081" w:rsidRDefault="003731E7" w:rsidP="003731E7">
            <w:pPr>
              <w:spacing w:after="0" w:line="240" w:lineRule="auto"/>
              <w:ind w:firstLineChars="400" w:firstLine="600"/>
              <w:rPr>
                <w:rFonts w:ascii="Montserrat" w:eastAsia="Times New Roman" w:hAnsi="Montserrat" w:cs="Calibri"/>
                <w:color w:val="000000"/>
                <w:sz w:val="15"/>
                <w:szCs w:val="15"/>
                <w:lang w:val="es-MX" w:eastAsia="es-MX"/>
              </w:rPr>
            </w:pPr>
            <w:r w:rsidRPr="00255081">
              <w:rPr>
                <w:rFonts w:ascii="Montserrat" w:eastAsia="Times New Roman" w:hAnsi="Montserrat" w:cs="Calibri"/>
                <w:color w:val="000000"/>
                <w:sz w:val="15"/>
                <w:szCs w:val="15"/>
                <w:lang w:val="es-MX" w:eastAsia="es-MX"/>
              </w:rPr>
              <w:t>Ingresos derivados de financiamientos</w:t>
            </w:r>
          </w:p>
        </w:tc>
        <w:tc>
          <w:tcPr>
            <w:tcW w:w="2529" w:type="dxa"/>
            <w:tcBorders>
              <w:top w:val="nil"/>
            </w:tcBorders>
            <w:shd w:val="clear" w:color="auto" w:fill="F2F2F2" w:themeFill="background1" w:themeFillShade="F2"/>
            <w:noWrap/>
            <w:vAlign w:val="center"/>
            <w:hideMark/>
          </w:tcPr>
          <w:p w14:paraId="02909205" w14:textId="73FCFFB4" w:rsidR="003731E7" w:rsidRPr="00255081" w:rsidRDefault="00031AC3" w:rsidP="003731E7">
            <w:pPr>
              <w:spacing w:after="0" w:line="240" w:lineRule="auto"/>
              <w:jc w:val="right"/>
              <w:rPr>
                <w:rFonts w:ascii="Montserrat" w:eastAsia="Times New Roman" w:hAnsi="Montserrat" w:cs="Calibri"/>
                <w:color w:val="000000"/>
                <w:sz w:val="15"/>
                <w:szCs w:val="15"/>
                <w:highlight w:val="yellow"/>
                <w:lang w:val="es-MX" w:eastAsia="es-MX"/>
              </w:rPr>
            </w:pPr>
            <w:r w:rsidRPr="00255081">
              <w:rPr>
                <w:rFonts w:ascii="Montserrat" w:eastAsia="Times New Roman" w:hAnsi="Montserrat" w:cs="Calibri"/>
                <w:color w:val="000000"/>
                <w:sz w:val="15"/>
                <w:szCs w:val="15"/>
                <w:lang w:val="es-MX" w:eastAsia="es-MX"/>
              </w:rPr>
              <w:t>543,047,585,967</w:t>
            </w:r>
          </w:p>
        </w:tc>
        <w:tc>
          <w:tcPr>
            <w:tcW w:w="1532" w:type="dxa"/>
            <w:tcBorders>
              <w:top w:val="nil"/>
              <w:right w:val="single" w:sz="8" w:space="0" w:color="FFFFFF" w:themeColor="background1"/>
            </w:tcBorders>
            <w:shd w:val="clear" w:color="auto" w:fill="F2F2F2" w:themeFill="background1" w:themeFillShade="F2"/>
            <w:noWrap/>
            <w:vAlign w:val="center"/>
            <w:hideMark/>
          </w:tcPr>
          <w:p w14:paraId="7F3E8096" w14:textId="77777777" w:rsidR="003731E7" w:rsidRPr="00255081" w:rsidRDefault="003731E7" w:rsidP="003731E7">
            <w:pPr>
              <w:spacing w:after="0" w:line="240" w:lineRule="auto"/>
              <w:jc w:val="right"/>
              <w:rPr>
                <w:rFonts w:ascii="Montserrat" w:eastAsia="Times New Roman" w:hAnsi="Montserrat" w:cs="Calibri"/>
                <w:color w:val="000000"/>
                <w:sz w:val="15"/>
                <w:szCs w:val="15"/>
                <w:lang w:val="es-MX" w:eastAsia="es-MX"/>
              </w:rPr>
            </w:pPr>
            <w:r w:rsidRPr="00255081">
              <w:rPr>
                <w:rFonts w:ascii="Montserrat" w:eastAsia="Times New Roman" w:hAnsi="Montserrat" w:cs="Calibri"/>
                <w:color w:val="000000"/>
                <w:sz w:val="15"/>
                <w:szCs w:val="15"/>
                <w:lang w:val="es-MX" w:eastAsia="es-MX"/>
              </w:rPr>
              <w:t> </w:t>
            </w:r>
          </w:p>
        </w:tc>
      </w:tr>
      <w:tr w:rsidR="00031AC3" w:rsidRPr="006F0DF1" w14:paraId="2B9705C7" w14:textId="77777777" w:rsidTr="000F0321">
        <w:trPr>
          <w:trHeight w:val="215"/>
          <w:jc w:val="center"/>
        </w:trPr>
        <w:tc>
          <w:tcPr>
            <w:tcW w:w="5862" w:type="dxa"/>
            <w:tcBorders>
              <w:top w:val="nil"/>
              <w:bottom w:val="single" w:sz="12" w:space="0" w:color="808080" w:themeColor="background1" w:themeShade="80"/>
            </w:tcBorders>
            <w:shd w:val="clear" w:color="auto" w:fill="F2F2F2" w:themeFill="background1" w:themeFillShade="F2"/>
            <w:noWrap/>
            <w:vAlign w:val="center"/>
            <w:hideMark/>
          </w:tcPr>
          <w:p w14:paraId="46749607" w14:textId="4BEA9ADF" w:rsidR="003731E7" w:rsidRPr="00255081" w:rsidRDefault="003731E7" w:rsidP="003731E7">
            <w:pPr>
              <w:spacing w:after="0" w:line="240" w:lineRule="auto"/>
              <w:ind w:firstLineChars="400" w:firstLine="600"/>
              <w:rPr>
                <w:rFonts w:ascii="Montserrat" w:eastAsia="Times New Roman" w:hAnsi="Montserrat" w:cs="Calibri"/>
                <w:color w:val="000000"/>
                <w:sz w:val="15"/>
                <w:szCs w:val="15"/>
                <w:lang w:val="es-MX" w:eastAsia="es-MX"/>
              </w:rPr>
            </w:pPr>
            <w:r w:rsidRPr="00255081">
              <w:rPr>
                <w:rFonts w:ascii="Montserrat" w:eastAsia="Times New Roman" w:hAnsi="Montserrat" w:cs="Calibri"/>
                <w:color w:val="000000"/>
                <w:sz w:val="15"/>
                <w:szCs w:val="15"/>
                <w:lang w:val="es-MX" w:eastAsia="es-MX"/>
              </w:rPr>
              <w:t xml:space="preserve">Otros </w:t>
            </w:r>
            <w:r w:rsidR="00031AC3" w:rsidRPr="00255081">
              <w:rPr>
                <w:rFonts w:ascii="Montserrat" w:eastAsia="Times New Roman" w:hAnsi="Montserrat" w:cs="Calibri"/>
                <w:color w:val="000000"/>
                <w:sz w:val="15"/>
                <w:szCs w:val="15"/>
                <w:lang w:val="es-MX" w:eastAsia="es-MX"/>
              </w:rPr>
              <w:t>i</w:t>
            </w:r>
            <w:r w:rsidRPr="00255081">
              <w:rPr>
                <w:rFonts w:ascii="Montserrat" w:eastAsia="Times New Roman" w:hAnsi="Montserrat" w:cs="Calibri"/>
                <w:color w:val="000000"/>
                <w:sz w:val="15"/>
                <w:szCs w:val="15"/>
                <w:lang w:val="es-MX" w:eastAsia="es-MX"/>
              </w:rPr>
              <w:t>ngresos presupuestarios no contables</w:t>
            </w:r>
          </w:p>
        </w:tc>
        <w:tc>
          <w:tcPr>
            <w:tcW w:w="2529" w:type="dxa"/>
            <w:tcBorders>
              <w:top w:val="nil"/>
              <w:bottom w:val="single" w:sz="12" w:space="0" w:color="808080" w:themeColor="background1" w:themeShade="80"/>
            </w:tcBorders>
            <w:shd w:val="clear" w:color="auto" w:fill="F2F2F2" w:themeFill="background1" w:themeFillShade="F2"/>
            <w:noWrap/>
            <w:vAlign w:val="center"/>
            <w:hideMark/>
          </w:tcPr>
          <w:p w14:paraId="01AC6729" w14:textId="02443368" w:rsidR="003731E7" w:rsidRPr="00255081" w:rsidRDefault="00031AC3" w:rsidP="003731E7">
            <w:pPr>
              <w:spacing w:after="0" w:line="240" w:lineRule="auto"/>
              <w:jc w:val="right"/>
              <w:rPr>
                <w:rFonts w:ascii="Montserrat" w:eastAsia="Times New Roman" w:hAnsi="Montserrat" w:cs="Calibri"/>
                <w:color w:val="000000"/>
                <w:sz w:val="15"/>
                <w:szCs w:val="15"/>
                <w:highlight w:val="yellow"/>
                <w:lang w:val="es-MX" w:eastAsia="es-MX"/>
              </w:rPr>
            </w:pPr>
            <w:r w:rsidRPr="00255081">
              <w:rPr>
                <w:rFonts w:ascii="Montserrat" w:eastAsia="Times New Roman" w:hAnsi="Montserrat" w:cs="Calibri"/>
                <w:color w:val="000000"/>
                <w:sz w:val="15"/>
                <w:szCs w:val="15"/>
                <w:lang w:val="es-MX" w:eastAsia="es-MX"/>
              </w:rPr>
              <w:t>119,989,970</w:t>
            </w:r>
          </w:p>
        </w:tc>
        <w:tc>
          <w:tcPr>
            <w:tcW w:w="1532" w:type="dxa"/>
            <w:tcBorders>
              <w:top w:val="nil"/>
              <w:bottom w:val="single" w:sz="12" w:space="0" w:color="808080" w:themeColor="background1" w:themeShade="80"/>
              <w:right w:val="single" w:sz="8" w:space="0" w:color="FFFFFF" w:themeColor="background1"/>
            </w:tcBorders>
            <w:shd w:val="clear" w:color="auto" w:fill="F2F2F2" w:themeFill="background1" w:themeFillShade="F2"/>
            <w:noWrap/>
            <w:vAlign w:val="center"/>
            <w:hideMark/>
          </w:tcPr>
          <w:p w14:paraId="4DFE307D" w14:textId="77777777" w:rsidR="003731E7" w:rsidRPr="00255081" w:rsidRDefault="003731E7" w:rsidP="003731E7">
            <w:pPr>
              <w:spacing w:after="0" w:line="240" w:lineRule="auto"/>
              <w:jc w:val="right"/>
              <w:rPr>
                <w:rFonts w:ascii="Montserrat" w:eastAsia="Times New Roman" w:hAnsi="Montserrat" w:cs="Calibri"/>
                <w:color w:val="000000"/>
                <w:sz w:val="15"/>
                <w:szCs w:val="15"/>
                <w:lang w:val="es-MX" w:eastAsia="es-MX"/>
              </w:rPr>
            </w:pPr>
            <w:r w:rsidRPr="00255081">
              <w:rPr>
                <w:rFonts w:ascii="Montserrat" w:eastAsia="Times New Roman" w:hAnsi="Montserrat" w:cs="Calibri"/>
                <w:color w:val="000000"/>
                <w:sz w:val="15"/>
                <w:szCs w:val="15"/>
                <w:lang w:val="es-MX" w:eastAsia="es-MX"/>
              </w:rPr>
              <w:t> </w:t>
            </w:r>
          </w:p>
        </w:tc>
      </w:tr>
      <w:tr w:rsidR="00031AC3" w:rsidRPr="006F0DF1" w14:paraId="558183B4" w14:textId="77777777" w:rsidTr="000F0321">
        <w:trPr>
          <w:trHeight w:val="317"/>
          <w:jc w:val="center"/>
        </w:trPr>
        <w:tc>
          <w:tcPr>
            <w:tcW w:w="8391" w:type="dxa"/>
            <w:gridSpan w:val="2"/>
            <w:tcBorders>
              <w:top w:val="single" w:sz="12" w:space="0" w:color="808080" w:themeColor="background1" w:themeShade="80"/>
              <w:left w:val="single" w:sz="8" w:space="0" w:color="BFBFBF"/>
              <w:bottom w:val="single" w:sz="12" w:space="0" w:color="808080" w:themeColor="background1" w:themeShade="80"/>
              <w:right w:val="single" w:sz="8" w:space="0" w:color="FFFFFF" w:themeColor="background1"/>
            </w:tcBorders>
            <w:shd w:val="clear" w:color="auto" w:fill="D4C19C"/>
            <w:noWrap/>
            <w:vAlign w:val="center"/>
            <w:hideMark/>
          </w:tcPr>
          <w:p w14:paraId="5BC57005" w14:textId="77777777" w:rsidR="003731E7" w:rsidRPr="006F0DF1" w:rsidRDefault="003731E7" w:rsidP="003731E7">
            <w:pPr>
              <w:spacing w:after="0" w:line="240" w:lineRule="auto"/>
              <w:rPr>
                <w:rFonts w:ascii="Montserrat" w:eastAsia="Times New Roman" w:hAnsi="Montserrat" w:cs="Calibri"/>
                <w:b/>
                <w:bCs/>
                <w:color w:val="FFFFFF"/>
                <w:sz w:val="15"/>
                <w:szCs w:val="15"/>
                <w:lang w:val="es-MX" w:eastAsia="es-MX"/>
              </w:rPr>
            </w:pPr>
            <w:r w:rsidRPr="006F0DF1">
              <w:rPr>
                <w:rFonts w:ascii="Montserrat" w:eastAsia="Times New Roman" w:hAnsi="Montserrat" w:cs="Calibri"/>
                <w:b/>
                <w:bCs/>
                <w:color w:val="FFFFFF"/>
                <w:sz w:val="15"/>
                <w:szCs w:val="15"/>
                <w:lang w:val="es-MX" w:eastAsia="es-MX"/>
              </w:rPr>
              <w:t>4. Ingresos Contables (4 = 1 + 2 - 3)</w:t>
            </w:r>
          </w:p>
        </w:tc>
        <w:tc>
          <w:tcPr>
            <w:tcW w:w="1532" w:type="dxa"/>
            <w:tcBorders>
              <w:top w:val="single" w:sz="12" w:space="0" w:color="808080" w:themeColor="background1" w:themeShade="80"/>
              <w:left w:val="single" w:sz="8" w:space="0" w:color="FFFFFF" w:themeColor="background1"/>
              <w:bottom w:val="single" w:sz="12" w:space="0" w:color="808080" w:themeColor="background1" w:themeShade="80"/>
              <w:right w:val="single" w:sz="8" w:space="0" w:color="FFFFFF" w:themeColor="background1"/>
            </w:tcBorders>
            <w:shd w:val="clear" w:color="auto" w:fill="D4C19C"/>
            <w:noWrap/>
            <w:vAlign w:val="center"/>
            <w:hideMark/>
          </w:tcPr>
          <w:p w14:paraId="406749A8" w14:textId="0D74E0D2" w:rsidR="003731E7" w:rsidRPr="006F0DF1" w:rsidRDefault="00031AC3" w:rsidP="003731E7">
            <w:pPr>
              <w:spacing w:after="0" w:line="240" w:lineRule="auto"/>
              <w:jc w:val="right"/>
              <w:rPr>
                <w:rFonts w:ascii="Montserrat" w:eastAsia="Times New Roman" w:hAnsi="Montserrat" w:cs="Calibri"/>
                <w:b/>
                <w:bCs/>
                <w:color w:val="FFFFFF"/>
                <w:sz w:val="15"/>
                <w:szCs w:val="15"/>
                <w:lang w:val="es-MX" w:eastAsia="es-MX"/>
              </w:rPr>
            </w:pPr>
            <w:r w:rsidRPr="00031AC3">
              <w:rPr>
                <w:rFonts w:ascii="Montserrat" w:eastAsia="Times New Roman" w:hAnsi="Montserrat" w:cs="Calibri"/>
                <w:b/>
                <w:bCs/>
                <w:color w:val="FFFFFF"/>
                <w:sz w:val="15"/>
                <w:szCs w:val="15"/>
                <w:lang w:val="es-MX" w:eastAsia="es-MX"/>
              </w:rPr>
              <w:t>4</w:t>
            </w:r>
            <w:r>
              <w:rPr>
                <w:rFonts w:ascii="Montserrat" w:eastAsia="Times New Roman" w:hAnsi="Montserrat" w:cs="Calibri"/>
                <w:b/>
                <w:bCs/>
                <w:color w:val="FFFFFF"/>
                <w:sz w:val="15"/>
                <w:szCs w:val="15"/>
                <w:lang w:val="es-MX" w:eastAsia="es-MX"/>
              </w:rPr>
              <w:t>,</w:t>
            </w:r>
            <w:r w:rsidRPr="00031AC3">
              <w:rPr>
                <w:rFonts w:ascii="Montserrat" w:eastAsia="Times New Roman" w:hAnsi="Montserrat" w:cs="Calibri"/>
                <w:b/>
                <w:bCs/>
                <w:color w:val="FFFFFF"/>
                <w:sz w:val="15"/>
                <w:szCs w:val="15"/>
                <w:lang w:val="es-MX" w:eastAsia="es-MX"/>
              </w:rPr>
              <w:t>452</w:t>
            </w:r>
            <w:r>
              <w:rPr>
                <w:rFonts w:ascii="Montserrat" w:eastAsia="Times New Roman" w:hAnsi="Montserrat" w:cs="Calibri"/>
                <w:b/>
                <w:bCs/>
                <w:color w:val="FFFFFF"/>
                <w:sz w:val="15"/>
                <w:szCs w:val="15"/>
                <w:lang w:val="es-MX" w:eastAsia="es-MX"/>
              </w:rPr>
              <w:t>,</w:t>
            </w:r>
            <w:r w:rsidRPr="00031AC3">
              <w:rPr>
                <w:rFonts w:ascii="Montserrat" w:eastAsia="Times New Roman" w:hAnsi="Montserrat" w:cs="Calibri"/>
                <w:b/>
                <w:bCs/>
                <w:color w:val="FFFFFF"/>
                <w:sz w:val="15"/>
                <w:szCs w:val="15"/>
                <w:lang w:val="es-MX" w:eastAsia="es-MX"/>
              </w:rPr>
              <w:t>716</w:t>
            </w:r>
            <w:r>
              <w:rPr>
                <w:rFonts w:ascii="Montserrat" w:eastAsia="Times New Roman" w:hAnsi="Montserrat" w:cs="Calibri"/>
                <w:b/>
                <w:bCs/>
                <w:color w:val="FFFFFF"/>
                <w:sz w:val="15"/>
                <w:szCs w:val="15"/>
                <w:lang w:val="es-MX" w:eastAsia="es-MX"/>
              </w:rPr>
              <w:t>,</w:t>
            </w:r>
            <w:r w:rsidRPr="00031AC3">
              <w:rPr>
                <w:rFonts w:ascii="Montserrat" w:eastAsia="Times New Roman" w:hAnsi="Montserrat" w:cs="Calibri"/>
                <w:b/>
                <w:bCs/>
                <w:color w:val="FFFFFF"/>
                <w:sz w:val="15"/>
                <w:szCs w:val="15"/>
                <w:lang w:val="es-MX" w:eastAsia="es-MX"/>
              </w:rPr>
              <w:t>803</w:t>
            </w:r>
            <w:r>
              <w:rPr>
                <w:rFonts w:ascii="Montserrat" w:eastAsia="Times New Roman" w:hAnsi="Montserrat" w:cs="Calibri"/>
                <w:b/>
                <w:bCs/>
                <w:color w:val="FFFFFF"/>
                <w:sz w:val="15"/>
                <w:szCs w:val="15"/>
                <w:lang w:val="es-MX" w:eastAsia="es-MX"/>
              </w:rPr>
              <w:t>,</w:t>
            </w:r>
            <w:r w:rsidRPr="00031AC3">
              <w:rPr>
                <w:rFonts w:ascii="Montserrat" w:eastAsia="Times New Roman" w:hAnsi="Montserrat" w:cs="Calibri"/>
                <w:b/>
                <w:bCs/>
                <w:color w:val="FFFFFF"/>
                <w:sz w:val="15"/>
                <w:szCs w:val="15"/>
                <w:lang w:val="es-MX" w:eastAsia="es-MX"/>
              </w:rPr>
              <w:t>348</w:t>
            </w:r>
          </w:p>
        </w:tc>
      </w:tr>
    </w:tbl>
    <w:p w14:paraId="64A669C7" w14:textId="77777777" w:rsidR="00671445" w:rsidRDefault="00671445" w:rsidP="00F576E1">
      <w:pPr>
        <w:spacing w:after="0" w:line="240" w:lineRule="auto"/>
        <w:jc w:val="both"/>
        <w:rPr>
          <w:rFonts w:ascii="Montserrat" w:hAnsi="Montserrat" w:cs="Arial"/>
          <w:spacing w:val="-1"/>
          <w:sz w:val="18"/>
          <w:szCs w:val="18"/>
        </w:rPr>
      </w:pPr>
    </w:p>
    <w:p w14:paraId="5F34EBE1" w14:textId="77777777" w:rsidR="00B11B7A" w:rsidRPr="00F576E1" w:rsidRDefault="00B11B7A" w:rsidP="00F576E1">
      <w:pPr>
        <w:spacing w:after="0" w:line="240" w:lineRule="auto"/>
        <w:jc w:val="both"/>
        <w:rPr>
          <w:rFonts w:ascii="Montserrat" w:hAnsi="Montserrat" w:cs="Arial"/>
          <w:spacing w:val="-1"/>
          <w:sz w:val="18"/>
          <w:szCs w:val="18"/>
        </w:rPr>
      </w:pPr>
    </w:p>
    <w:p w14:paraId="0C4A08DC" w14:textId="77777777" w:rsidR="009C3C24" w:rsidRPr="004E44CE" w:rsidRDefault="009C3C24" w:rsidP="00C844EE">
      <w:pPr>
        <w:pStyle w:val="VIETAFLECHA"/>
        <w:numPr>
          <w:ilvl w:val="0"/>
          <w:numId w:val="32"/>
        </w:numPr>
        <w:ind w:left="851" w:hanging="284"/>
        <w:rPr>
          <w:rFonts w:cs="Arial"/>
          <w:spacing w:val="-1"/>
        </w:rPr>
      </w:pPr>
      <w:r w:rsidRPr="004E44CE">
        <w:rPr>
          <w:rFonts w:cs="Arial"/>
          <w:spacing w:val="-1"/>
        </w:rPr>
        <w:t>Otros Ingresos y Beneficios Varios</w:t>
      </w:r>
    </w:p>
    <w:p w14:paraId="0F42858A" w14:textId="77777777" w:rsidR="009C3C24" w:rsidRDefault="009C3C24" w:rsidP="00F576E1">
      <w:pPr>
        <w:spacing w:after="0" w:line="240" w:lineRule="auto"/>
        <w:jc w:val="both"/>
        <w:rPr>
          <w:rFonts w:ascii="Montserrat" w:hAnsi="Montserrat" w:cs="Arial"/>
          <w:spacing w:val="-1"/>
          <w:sz w:val="18"/>
          <w:szCs w:val="18"/>
        </w:rPr>
      </w:pPr>
    </w:p>
    <w:tbl>
      <w:tblPr>
        <w:tblW w:w="8930" w:type="dxa"/>
        <w:tblInd w:w="2410" w:type="dxa"/>
        <w:tblLayout w:type="fixed"/>
        <w:tblCellMar>
          <w:left w:w="0" w:type="dxa"/>
          <w:right w:w="0" w:type="dxa"/>
        </w:tblCellMar>
        <w:tblLook w:val="04A0" w:firstRow="1" w:lastRow="0" w:firstColumn="1" w:lastColumn="0" w:noHBand="0" w:noVBand="1"/>
      </w:tblPr>
      <w:tblGrid>
        <w:gridCol w:w="6237"/>
        <w:gridCol w:w="2693"/>
      </w:tblGrid>
      <w:tr w:rsidR="003E77F5" w:rsidRPr="006F0DF1" w14:paraId="3E241030" w14:textId="77777777" w:rsidTr="000F0321">
        <w:trPr>
          <w:trHeight w:val="315"/>
        </w:trPr>
        <w:tc>
          <w:tcPr>
            <w:tcW w:w="8930" w:type="dxa"/>
            <w:gridSpan w:val="2"/>
            <w:tcBorders>
              <w:bottom w:val="single" w:sz="12" w:space="0" w:color="808080" w:themeColor="background1" w:themeShade="80"/>
            </w:tcBorders>
            <w:shd w:val="clear" w:color="auto" w:fill="auto"/>
            <w:tcMar>
              <w:top w:w="0" w:type="dxa"/>
              <w:left w:w="70" w:type="dxa"/>
              <w:bottom w:w="0" w:type="dxa"/>
              <w:right w:w="70" w:type="dxa"/>
            </w:tcMar>
            <w:vAlign w:val="center"/>
            <w:hideMark/>
          </w:tcPr>
          <w:p w14:paraId="0609B9A8" w14:textId="77777777" w:rsidR="003E77F5" w:rsidRPr="00936371" w:rsidRDefault="003E77F5" w:rsidP="00201FF3">
            <w:pPr>
              <w:spacing w:after="60" w:line="250" w:lineRule="exact"/>
              <w:jc w:val="center"/>
              <w:rPr>
                <w:rFonts w:ascii="Montserrat" w:hAnsi="Montserrat" w:cs="Calibri"/>
                <w:color w:val="000000"/>
                <w:sz w:val="24"/>
                <w:szCs w:val="24"/>
                <w:lang w:val="es-MX" w:eastAsia="es-MX"/>
              </w:rPr>
            </w:pPr>
            <w:r w:rsidRPr="00102018">
              <w:rPr>
                <w:rFonts w:ascii="Montserrat" w:eastAsia="Times New Roman" w:hAnsi="Montserrat" w:cs="Calibri"/>
                <w:bCs/>
                <w:sz w:val="16"/>
                <w:szCs w:val="16"/>
                <w:lang w:val="es-MX" w:eastAsia="es-MX"/>
              </w:rPr>
              <w:t>(Pesos)</w:t>
            </w:r>
            <w:r w:rsidRPr="002C3281">
              <w:rPr>
                <w:rFonts w:ascii="Montserrat" w:eastAsia="Times New Roman" w:hAnsi="Montserrat" w:cs="Calibri"/>
                <w:color w:val="000000"/>
                <w:sz w:val="15"/>
                <w:szCs w:val="15"/>
                <w:lang w:val="es-MX" w:eastAsia="es-MX"/>
              </w:rPr>
              <w:t xml:space="preserve"> </w:t>
            </w:r>
          </w:p>
        </w:tc>
      </w:tr>
      <w:tr w:rsidR="003E77F5" w:rsidRPr="006F0DF1" w14:paraId="44810BB5" w14:textId="77777777" w:rsidTr="000F0321">
        <w:trPr>
          <w:trHeight w:val="57"/>
        </w:trPr>
        <w:tc>
          <w:tcPr>
            <w:tcW w:w="8930" w:type="dxa"/>
            <w:gridSpan w:val="2"/>
            <w:tcBorders>
              <w:top w:val="single" w:sz="12" w:space="0" w:color="808080" w:themeColor="background1" w:themeShade="80"/>
            </w:tcBorders>
            <w:shd w:val="clear" w:color="auto" w:fill="auto"/>
            <w:tcMar>
              <w:top w:w="0" w:type="dxa"/>
              <w:left w:w="70" w:type="dxa"/>
              <w:bottom w:w="0" w:type="dxa"/>
              <w:right w:w="70" w:type="dxa"/>
            </w:tcMar>
            <w:vAlign w:val="center"/>
          </w:tcPr>
          <w:p w14:paraId="088DD716" w14:textId="77777777" w:rsidR="003E77F5" w:rsidRPr="00BC0F30" w:rsidRDefault="003E77F5" w:rsidP="00201FF3">
            <w:pPr>
              <w:spacing w:after="0" w:line="240" w:lineRule="auto"/>
              <w:jc w:val="center"/>
              <w:rPr>
                <w:rFonts w:ascii="Montserrat" w:eastAsia="Times New Roman" w:hAnsi="Montserrat" w:cs="Calibri"/>
                <w:b/>
                <w:bCs/>
                <w:color w:val="FFFFFF"/>
                <w:sz w:val="4"/>
                <w:szCs w:val="4"/>
                <w:lang w:val="es-MX" w:eastAsia="es-MX"/>
              </w:rPr>
            </w:pPr>
          </w:p>
        </w:tc>
      </w:tr>
      <w:tr w:rsidR="003E77F5" w:rsidRPr="006F0DF1" w14:paraId="708EC7FF" w14:textId="77777777" w:rsidTr="000F0321">
        <w:trPr>
          <w:trHeight w:val="317"/>
        </w:trPr>
        <w:tc>
          <w:tcPr>
            <w:tcW w:w="6237" w:type="dxa"/>
            <w:tcBorders>
              <w:left w:val="single" w:sz="8" w:space="0" w:color="FFFFFF" w:themeColor="background1"/>
              <w:bottom w:val="double" w:sz="12" w:space="0" w:color="808080" w:themeColor="background1" w:themeShade="80"/>
              <w:right w:val="single" w:sz="8" w:space="0" w:color="FFFFFF" w:themeColor="background1"/>
            </w:tcBorders>
            <w:shd w:val="clear" w:color="auto" w:fill="D4C19C"/>
            <w:tcMar>
              <w:top w:w="0" w:type="dxa"/>
              <w:left w:w="70" w:type="dxa"/>
              <w:bottom w:w="0" w:type="dxa"/>
              <w:right w:w="70" w:type="dxa"/>
            </w:tcMar>
            <w:vAlign w:val="center"/>
            <w:hideMark/>
          </w:tcPr>
          <w:p w14:paraId="25AAF8BF" w14:textId="77777777" w:rsidR="003E77F5" w:rsidRPr="00F576E1" w:rsidRDefault="003E77F5" w:rsidP="00201FF3">
            <w:pPr>
              <w:spacing w:after="0" w:line="240" w:lineRule="auto"/>
              <w:jc w:val="center"/>
              <w:rPr>
                <w:rFonts w:ascii="Montserrat" w:eastAsia="Times New Roman" w:hAnsi="Montserrat" w:cs="Calibri"/>
                <w:b/>
                <w:bCs/>
                <w:color w:val="FFFFFF"/>
                <w:sz w:val="16"/>
                <w:szCs w:val="16"/>
                <w:lang w:val="es-MX" w:eastAsia="es-MX"/>
              </w:rPr>
            </w:pPr>
            <w:r w:rsidRPr="00F576E1">
              <w:rPr>
                <w:rFonts w:ascii="Montserrat" w:eastAsia="Times New Roman" w:hAnsi="Montserrat" w:cs="Calibri"/>
                <w:b/>
                <w:bCs/>
                <w:color w:val="FFFFFF"/>
                <w:sz w:val="16"/>
                <w:szCs w:val="16"/>
                <w:lang w:val="es-MX" w:eastAsia="es-MX"/>
              </w:rPr>
              <w:t>Concepto</w:t>
            </w:r>
          </w:p>
        </w:tc>
        <w:tc>
          <w:tcPr>
            <w:tcW w:w="2693" w:type="dxa"/>
            <w:tcBorders>
              <w:left w:val="single" w:sz="8" w:space="0" w:color="FFFFFF" w:themeColor="background1"/>
              <w:bottom w:val="double" w:sz="12" w:space="0" w:color="808080" w:themeColor="background1" w:themeShade="80"/>
              <w:right w:val="single" w:sz="8" w:space="0" w:color="FFFFFF" w:themeColor="background1"/>
            </w:tcBorders>
            <w:shd w:val="clear" w:color="auto" w:fill="D4C19C"/>
            <w:tcMar>
              <w:top w:w="0" w:type="dxa"/>
              <w:left w:w="70" w:type="dxa"/>
              <w:bottom w:w="0" w:type="dxa"/>
              <w:right w:w="70" w:type="dxa"/>
            </w:tcMar>
            <w:vAlign w:val="center"/>
            <w:hideMark/>
          </w:tcPr>
          <w:p w14:paraId="2B1570A2" w14:textId="77777777" w:rsidR="003E77F5" w:rsidRPr="00F576E1" w:rsidRDefault="003E77F5" w:rsidP="00201FF3">
            <w:pPr>
              <w:spacing w:after="0" w:line="240" w:lineRule="auto"/>
              <w:jc w:val="center"/>
              <w:rPr>
                <w:rFonts w:ascii="Montserrat" w:eastAsia="Times New Roman" w:hAnsi="Montserrat" w:cs="Calibri"/>
                <w:b/>
                <w:bCs/>
                <w:color w:val="FFFFFF"/>
                <w:sz w:val="16"/>
                <w:szCs w:val="16"/>
                <w:lang w:val="es-MX" w:eastAsia="es-MX"/>
              </w:rPr>
            </w:pPr>
            <w:r w:rsidRPr="00F576E1">
              <w:rPr>
                <w:rFonts w:ascii="Montserrat" w:eastAsia="Times New Roman" w:hAnsi="Montserrat" w:cs="Calibri"/>
                <w:b/>
                <w:bCs/>
                <w:color w:val="FFFFFF"/>
                <w:sz w:val="16"/>
                <w:szCs w:val="16"/>
                <w:lang w:val="es-MX" w:eastAsia="es-MX"/>
              </w:rPr>
              <w:t>Importe</w:t>
            </w:r>
          </w:p>
        </w:tc>
      </w:tr>
      <w:tr w:rsidR="00CB0034" w:rsidRPr="00C844EE" w14:paraId="6B55FF46" w14:textId="77777777" w:rsidTr="000F0321">
        <w:trPr>
          <w:trHeight w:val="215"/>
        </w:trPr>
        <w:tc>
          <w:tcPr>
            <w:tcW w:w="6237" w:type="dxa"/>
            <w:tcBorders>
              <w:top w:val="double" w:sz="12" w:space="0" w:color="808080" w:themeColor="background1" w:themeShade="80"/>
            </w:tcBorders>
            <w:shd w:val="clear" w:color="auto" w:fill="F2F2F2" w:themeFill="background1" w:themeFillShade="F2"/>
            <w:tcMar>
              <w:top w:w="0" w:type="dxa"/>
              <w:left w:w="70" w:type="dxa"/>
              <w:bottom w:w="0" w:type="dxa"/>
              <w:right w:w="70" w:type="dxa"/>
            </w:tcMar>
            <w:vAlign w:val="center"/>
          </w:tcPr>
          <w:p w14:paraId="309B76FA" w14:textId="57E18912" w:rsidR="00CB0034" w:rsidRPr="00255081" w:rsidRDefault="00CB0034" w:rsidP="00CB0034">
            <w:pPr>
              <w:spacing w:before="40" w:after="40" w:line="240" w:lineRule="auto"/>
              <w:ind w:left="170"/>
              <w:jc w:val="both"/>
              <w:rPr>
                <w:rFonts w:ascii="Montserrat" w:eastAsia="Times New Roman" w:hAnsi="Montserrat" w:cs="Calibri"/>
                <w:b/>
                <w:color w:val="000000"/>
                <w:sz w:val="15"/>
                <w:szCs w:val="15"/>
                <w:lang w:val="es-MX" w:eastAsia="es-MX"/>
              </w:rPr>
            </w:pPr>
            <w:r w:rsidRPr="000F0321">
              <w:rPr>
                <w:rFonts w:ascii="Montserrat" w:hAnsi="Montserrat" w:cs="Arial"/>
                <w:color w:val="000000"/>
                <w:sz w:val="15"/>
                <w:szCs w:val="15"/>
              </w:rPr>
              <w:t>Diferencias por Tipo de Cambio a Favor en Efectivo y Equivalentes</w:t>
            </w:r>
          </w:p>
        </w:tc>
        <w:tc>
          <w:tcPr>
            <w:tcW w:w="2693" w:type="dxa"/>
            <w:tcBorders>
              <w:top w:val="double" w:sz="12" w:space="0" w:color="808080" w:themeColor="background1" w:themeShade="80"/>
            </w:tcBorders>
            <w:shd w:val="clear" w:color="auto" w:fill="F2F2F2" w:themeFill="background1" w:themeFillShade="F2"/>
            <w:tcMar>
              <w:top w:w="0" w:type="dxa"/>
              <w:left w:w="70" w:type="dxa"/>
              <w:bottom w:w="0" w:type="dxa"/>
              <w:right w:w="70" w:type="dxa"/>
            </w:tcMar>
            <w:vAlign w:val="center"/>
          </w:tcPr>
          <w:p w14:paraId="573019AE" w14:textId="02544B8A" w:rsidR="00CB0034" w:rsidRPr="00255081" w:rsidRDefault="00102018" w:rsidP="00CB0034">
            <w:pPr>
              <w:spacing w:before="40" w:after="40" w:line="240" w:lineRule="auto"/>
              <w:jc w:val="right"/>
              <w:rPr>
                <w:rFonts w:ascii="Montserrat" w:hAnsi="Montserrat" w:cs="Calibri"/>
                <w:b/>
                <w:color w:val="000000"/>
                <w:sz w:val="15"/>
                <w:szCs w:val="15"/>
              </w:rPr>
            </w:pPr>
            <w:r w:rsidRPr="000F0321">
              <w:rPr>
                <w:rFonts w:ascii="Montserrat" w:hAnsi="Montserrat" w:cs="Arial"/>
                <w:color w:val="000000"/>
                <w:sz w:val="15"/>
                <w:szCs w:val="15"/>
              </w:rPr>
              <w:t>320,663,852,648</w:t>
            </w:r>
          </w:p>
        </w:tc>
      </w:tr>
      <w:tr w:rsidR="00CB0034" w:rsidRPr="006F0DF1" w14:paraId="7327B638" w14:textId="77777777" w:rsidTr="000F0321">
        <w:trPr>
          <w:trHeight w:val="215"/>
        </w:trPr>
        <w:tc>
          <w:tcPr>
            <w:tcW w:w="6237" w:type="dxa"/>
            <w:tcBorders>
              <w:top w:val="nil"/>
            </w:tcBorders>
            <w:shd w:val="clear" w:color="auto" w:fill="F2F2F2" w:themeFill="background1" w:themeFillShade="F2"/>
            <w:tcMar>
              <w:top w:w="0" w:type="dxa"/>
              <w:left w:w="70" w:type="dxa"/>
              <w:bottom w:w="0" w:type="dxa"/>
              <w:right w:w="70" w:type="dxa"/>
            </w:tcMar>
            <w:vAlign w:val="center"/>
          </w:tcPr>
          <w:p w14:paraId="5D2F232E" w14:textId="76E291FF" w:rsidR="00CB0034" w:rsidRPr="00255081" w:rsidRDefault="00CB0034" w:rsidP="00CB0034">
            <w:pPr>
              <w:spacing w:before="40" w:after="40" w:line="240" w:lineRule="auto"/>
              <w:ind w:left="170"/>
              <w:jc w:val="both"/>
              <w:rPr>
                <w:rFonts w:ascii="Montserrat" w:eastAsia="Times New Roman" w:hAnsi="Montserrat" w:cs="Calibri"/>
                <w:color w:val="000000"/>
                <w:sz w:val="15"/>
                <w:szCs w:val="15"/>
                <w:lang w:val="es-MX" w:eastAsia="es-MX"/>
              </w:rPr>
            </w:pPr>
            <w:r w:rsidRPr="000F0321">
              <w:rPr>
                <w:rFonts w:ascii="Montserrat" w:hAnsi="Montserrat" w:cs="Arial"/>
                <w:color w:val="000000"/>
                <w:sz w:val="15"/>
                <w:szCs w:val="15"/>
              </w:rPr>
              <w:t>Diferencias de Cotizaciones a Favor en Valores Negociables</w:t>
            </w:r>
          </w:p>
        </w:tc>
        <w:tc>
          <w:tcPr>
            <w:tcW w:w="2693" w:type="dxa"/>
            <w:tcBorders>
              <w:top w:val="nil"/>
            </w:tcBorders>
            <w:shd w:val="clear" w:color="auto" w:fill="F2F2F2" w:themeFill="background1" w:themeFillShade="F2"/>
            <w:tcMar>
              <w:top w:w="0" w:type="dxa"/>
              <w:left w:w="70" w:type="dxa"/>
              <w:bottom w:w="0" w:type="dxa"/>
              <w:right w:w="70" w:type="dxa"/>
            </w:tcMar>
            <w:vAlign w:val="center"/>
          </w:tcPr>
          <w:p w14:paraId="74657433" w14:textId="6D07CB90" w:rsidR="00CB0034" w:rsidRPr="00255081" w:rsidRDefault="00102018" w:rsidP="00CB0034">
            <w:pPr>
              <w:spacing w:before="40" w:after="40" w:line="240" w:lineRule="auto"/>
              <w:jc w:val="right"/>
              <w:rPr>
                <w:rFonts w:ascii="Montserrat" w:hAnsi="Montserrat" w:cs="Calibri"/>
                <w:color w:val="000000"/>
                <w:sz w:val="15"/>
                <w:szCs w:val="15"/>
                <w:lang w:val="es-MX" w:eastAsia="es-MX"/>
              </w:rPr>
            </w:pPr>
            <w:r w:rsidRPr="000F0321">
              <w:rPr>
                <w:rFonts w:ascii="Montserrat" w:hAnsi="Montserrat" w:cs="Arial"/>
                <w:color w:val="000000"/>
                <w:sz w:val="15"/>
                <w:szCs w:val="15"/>
              </w:rPr>
              <w:t>6,804,708,596</w:t>
            </w:r>
          </w:p>
        </w:tc>
      </w:tr>
      <w:tr w:rsidR="00CB0034" w:rsidRPr="006F0DF1" w14:paraId="3248BD0A" w14:textId="77777777" w:rsidTr="000F0321">
        <w:trPr>
          <w:trHeight w:val="215"/>
        </w:trPr>
        <w:tc>
          <w:tcPr>
            <w:tcW w:w="6237" w:type="dxa"/>
            <w:tcBorders>
              <w:top w:val="nil"/>
            </w:tcBorders>
            <w:shd w:val="clear" w:color="auto" w:fill="F2F2F2" w:themeFill="background1" w:themeFillShade="F2"/>
            <w:tcMar>
              <w:top w:w="0" w:type="dxa"/>
              <w:left w:w="70" w:type="dxa"/>
              <w:bottom w:w="0" w:type="dxa"/>
              <w:right w:w="70" w:type="dxa"/>
            </w:tcMar>
            <w:vAlign w:val="center"/>
          </w:tcPr>
          <w:p w14:paraId="55867F8C" w14:textId="5F1941AE" w:rsidR="00CB0034" w:rsidRPr="00255081" w:rsidRDefault="00CB0034" w:rsidP="00CB0034">
            <w:pPr>
              <w:spacing w:before="40" w:after="40" w:line="240" w:lineRule="auto"/>
              <w:ind w:left="170"/>
              <w:jc w:val="both"/>
              <w:rPr>
                <w:rFonts w:ascii="Montserrat" w:eastAsia="Times New Roman" w:hAnsi="Montserrat" w:cs="Calibri"/>
                <w:color w:val="000000"/>
                <w:sz w:val="15"/>
                <w:szCs w:val="15"/>
                <w:lang w:val="es-MX" w:eastAsia="es-MX"/>
              </w:rPr>
            </w:pPr>
            <w:r w:rsidRPr="000F0321">
              <w:rPr>
                <w:rFonts w:ascii="Montserrat" w:hAnsi="Montserrat" w:cs="Arial"/>
                <w:color w:val="000000"/>
                <w:sz w:val="15"/>
                <w:szCs w:val="15"/>
              </w:rPr>
              <w:t>Resultados Positivos en la Actualización del Patrimonio o Inversiones en las Entidades Paraestatales</w:t>
            </w:r>
          </w:p>
        </w:tc>
        <w:tc>
          <w:tcPr>
            <w:tcW w:w="2693" w:type="dxa"/>
            <w:tcBorders>
              <w:top w:val="nil"/>
            </w:tcBorders>
            <w:shd w:val="clear" w:color="auto" w:fill="F2F2F2" w:themeFill="background1" w:themeFillShade="F2"/>
            <w:tcMar>
              <w:top w:w="0" w:type="dxa"/>
              <w:left w:w="70" w:type="dxa"/>
              <w:bottom w:w="0" w:type="dxa"/>
              <w:right w:w="70" w:type="dxa"/>
            </w:tcMar>
            <w:vAlign w:val="center"/>
          </w:tcPr>
          <w:p w14:paraId="23D80BC8" w14:textId="66F99F7A" w:rsidR="00CB0034" w:rsidRPr="00255081" w:rsidRDefault="00CB0034" w:rsidP="00CB0034">
            <w:pPr>
              <w:spacing w:before="40" w:after="40" w:line="240" w:lineRule="auto"/>
              <w:jc w:val="right"/>
              <w:rPr>
                <w:rFonts w:ascii="Montserrat" w:eastAsia="Times New Roman" w:hAnsi="Montserrat" w:cs="Calibri"/>
                <w:color w:val="000000"/>
                <w:sz w:val="15"/>
                <w:szCs w:val="15"/>
                <w:lang w:val="es-MX" w:eastAsia="es-MX"/>
              </w:rPr>
            </w:pPr>
            <w:r w:rsidRPr="000F0321">
              <w:rPr>
                <w:rFonts w:ascii="Montserrat" w:hAnsi="Montserrat" w:cs="Arial"/>
                <w:color w:val="000000"/>
                <w:sz w:val="15"/>
                <w:szCs w:val="15"/>
              </w:rPr>
              <w:t>153,051,712,2</w:t>
            </w:r>
            <w:r w:rsidR="00102018" w:rsidRPr="000F0321">
              <w:rPr>
                <w:rFonts w:ascii="Montserrat" w:hAnsi="Montserrat" w:cs="Arial"/>
                <w:color w:val="000000"/>
                <w:sz w:val="15"/>
                <w:szCs w:val="15"/>
              </w:rPr>
              <w:t>30</w:t>
            </w:r>
          </w:p>
        </w:tc>
      </w:tr>
      <w:tr w:rsidR="00CB0034" w:rsidRPr="006F0DF1" w14:paraId="509003BA" w14:textId="77777777" w:rsidTr="000F0321">
        <w:trPr>
          <w:trHeight w:val="215"/>
        </w:trPr>
        <w:tc>
          <w:tcPr>
            <w:tcW w:w="6237" w:type="dxa"/>
            <w:tcBorders>
              <w:top w:val="nil"/>
            </w:tcBorders>
            <w:shd w:val="clear" w:color="auto" w:fill="F2F2F2" w:themeFill="background1" w:themeFillShade="F2"/>
            <w:tcMar>
              <w:top w:w="0" w:type="dxa"/>
              <w:left w:w="70" w:type="dxa"/>
              <w:bottom w:w="0" w:type="dxa"/>
              <w:right w:w="70" w:type="dxa"/>
            </w:tcMar>
            <w:vAlign w:val="center"/>
          </w:tcPr>
          <w:p w14:paraId="2B890A1E" w14:textId="5E0AD6CF" w:rsidR="00CB0034" w:rsidRPr="00255081" w:rsidRDefault="00CB0034" w:rsidP="00CB0034">
            <w:pPr>
              <w:spacing w:before="40" w:after="40" w:line="240" w:lineRule="auto"/>
              <w:ind w:left="170"/>
              <w:jc w:val="both"/>
              <w:rPr>
                <w:rFonts w:ascii="Montserrat" w:eastAsia="Times New Roman" w:hAnsi="Montserrat" w:cs="Calibri"/>
                <w:color w:val="000000"/>
                <w:sz w:val="15"/>
                <w:szCs w:val="15"/>
                <w:lang w:val="es-MX" w:eastAsia="es-MX"/>
              </w:rPr>
            </w:pPr>
            <w:r w:rsidRPr="000F0321">
              <w:rPr>
                <w:rFonts w:ascii="Montserrat" w:hAnsi="Montserrat" w:cs="Arial"/>
                <w:color w:val="000000"/>
                <w:sz w:val="15"/>
                <w:szCs w:val="15"/>
              </w:rPr>
              <w:t>Resultados Positivos en la Actualización del Patrimonio de Fideicomisos</w:t>
            </w:r>
          </w:p>
        </w:tc>
        <w:tc>
          <w:tcPr>
            <w:tcW w:w="2693" w:type="dxa"/>
            <w:tcBorders>
              <w:top w:val="nil"/>
            </w:tcBorders>
            <w:shd w:val="clear" w:color="auto" w:fill="F2F2F2" w:themeFill="background1" w:themeFillShade="F2"/>
            <w:tcMar>
              <w:top w:w="0" w:type="dxa"/>
              <w:left w:w="70" w:type="dxa"/>
              <w:bottom w:w="0" w:type="dxa"/>
              <w:right w:w="70" w:type="dxa"/>
            </w:tcMar>
            <w:vAlign w:val="center"/>
          </w:tcPr>
          <w:p w14:paraId="4355E070" w14:textId="60DFAFD8" w:rsidR="00CB0034" w:rsidRPr="00255081" w:rsidRDefault="00102018" w:rsidP="00CB0034">
            <w:pPr>
              <w:spacing w:before="40" w:after="40" w:line="240" w:lineRule="auto"/>
              <w:jc w:val="right"/>
              <w:rPr>
                <w:rFonts w:ascii="Montserrat" w:eastAsia="Times New Roman" w:hAnsi="Montserrat" w:cs="Calibri"/>
                <w:color w:val="000000"/>
                <w:sz w:val="15"/>
                <w:szCs w:val="15"/>
                <w:lang w:val="es-MX" w:eastAsia="es-MX"/>
              </w:rPr>
            </w:pPr>
            <w:r w:rsidRPr="000F0321">
              <w:rPr>
                <w:rFonts w:ascii="Montserrat" w:hAnsi="Montserrat" w:cs="Arial"/>
                <w:color w:val="000000"/>
                <w:sz w:val="15"/>
                <w:szCs w:val="15"/>
              </w:rPr>
              <w:t>14,423,171,386</w:t>
            </w:r>
          </w:p>
        </w:tc>
      </w:tr>
      <w:tr w:rsidR="00CB0034" w:rsidRPr="006F0DF1" w14:paraId="0900C37C" w14:textId="77777777" w:rsidTr="000F0321">
        <w:trPr>
          <w:trHeight w:val="215"/>
        </w:trPr>
        <w:tc>
          <w:tcPr>
            <w:tcW w:w="6237" w:type="dxa"/>
            <w:tcBorders>
              <w:top w:val="nil"/>
            </w:tcBorders>
            <w:shd w:val="clear" w:color="auto" w:fill="F2F2F2" w:themeFill="background1" w:themeFillShade="F2"/>
            <w:tcMar>
              <w:top w:w="0" w:type="dxa"/>
              <w:left w:w="70" w:type="dxa"/>
              <w:bottom w:w="0" w:type="dxa"/>
              <w:right w:w="70" w:type="dxa"/>
            </w:tcMar>
            <w:vAlign w:val="center"/>
          </w:tcPr>
          <w:p w14:paraId="3FEBC4A5" w14:textId="0069D9D9" w:rsidR="00CB0034" w:rsidRPr="00255081" w:rsidRDefault="00CB0034" w:rsidP="00CB0034">
            <w:pPr>
              <w:spacing w:before="40" w:after="40" w:line="240" w:lineRule="auto"/>
              <w:ind w:left="170"/>
              <w:jc w:val="both"/>
              <w:rPr>
                <w:rFonts w:ascii="Montserrat" w:eastAsia="Times New Roman" w:hAnsi="Montserrat" w:cs="Calibri"/>
                <w:color w:val="000000"/>
                <w:sz w:val="15"/>
                <w:szCs w:val="15"/>
                <w:lang w:val="es-MX" w:eastAsia="es-MX"/>
              </w:rPr>
            </w:pPr>
            <w:r w:rsidRPr="000F0321">
              <w:rPr>
                <w:rFonts w:ascii="Montserrat" w:hAnsi="Montserrat" w:cs="Arial"/>
                <w:color w:val="000000"/>
                <w:sz w:val="15"/>
                <w:szCs w:val="15"/>
              </w:rPr>
              <w:t>Otros Ingresos y Beneficios Varios</w:t>
            </w:r>
          </w:p>
        </w:tc>
        <w:tc>
          <w:tcPr>
            <w:tcW w:w="2693" w:type="dxa"/>
            <w:tcBorders>
              <w:top w:val="nil"/>
            </w:tcBorders>
            <w:shd w:val="clear" w:color="auto" w:fill="F2F2F2" w:themeFill="background1" w:themeFillShade="F2"/>
            <w:tcMar>
              <w:top w:w="0" w:type="dxa"/>
              <w:left w:w="70" w:type="dxa"/>
              <w:bottom w:w="0" w:type="dxa"/>
              <w:right w:w="70" w:type="dxa"/>
            </w:tcMar>
            <w:vAlign w:val="center"/>
          </w:tcPr>
          <w:p w14:paraId="52E3D21F" w14:textId="77D70E47" w:rsidR="00CB0034" w:rsidRPr="00255081" w:rsidRDefault="00102018" w:rsidP="00CB0034">
            <w:pPr>
              <w:spacing w:before="40" w:after="40" w:line="240" w:lineRule="auto"/>
              <w:jc w:val="right"/>
              <w:rPr>
                <w:rFonts w:ascii="Montserrat" w:eastAsia="Times New Roman" w:hAnsi="Montserrat" w:cs="Calibri"/>
                <w:color w:val="000000"/>
                <w:sz w:val="15"/>
                <w:szCs w:val="15"/>
                <w:lang w:val="es-MX" w:eastAsia="es-MX"/>
              </w:rPr>
            </w:pPr>
            <w:r w:rsidRPr="000F0321">
              <w:rPr>
                <w:rFonts w:ascii="Montserrat" w:hAnsi="Montserrat" w:cs="Arial"/>
                <w:color w:val="000000"/>
                <w:sz w:val="15"/>
                <w:szCs w:val="15"/>
              </w:rPr>
              <w:t>5,092,598,528</w:t>
            </w:r>
          </w:p>
        </w:tc>
      </w:tr>
      <w:tr w:rsidR="00CB0034" w:rsidRPr="006F0DF1" w14:paraId="215FFA0D" w14:textId="77777777" w:rsidTr="000F0321">
        <w:trPr>
          <w:trHeight w:val="215"/>
        </w:trPr>
        <w:tc>
          <w:tcPr>
            <w:tcW w:w="6237" w:type="dxa"/>
            <w:tcBorders>
              <w:top w:val="nil"/>
            </w:tcBorders>
            <w:shd w:val="clear" w:color="auto" w:fill="F2F2F2" w:themeFill="background1" w:themeFillShade="F2"/>
            <w:tcMar>
              <w:top w:w="0" w:type="dxa"/>
              <w:left w:w="70" w:type="dxa"/>
              <w:bottom w:w="0" w:type="dxa"/>
              <w:right w:w="70" w:type="dxa"/>
            </w:tcMar>
            <w:vAlign w:val="center"/>
          </w:tcPr>
          <w:p w14:paraId="7D5825D0" w14:textId="59F17426" w:rsidR="00CB0034" w:rsidRPr="00255081" w:rsidRDefault="00CB0034" w:rsidP="00CB0034">
            <w:pPr>
              <w:spacing w:before="40" w:after="40" w:line="240" w:lineRule="auto"/>
              <w:ind w:left="170"/>
              <w:jc w:val="both"/>
              <w:rPr>
                <w:rFonts w:ascii="Montserrat" w:eastAsia="Times New Roman" w:hAnsi="Montserrat" w:cs="Calibri"/>
                <w:color w:val="000000"/>
                <w:sz w:val="15"/>
                <w:szCs w:val="15"/>
                <w:lang w:val="es-MX" w:eastAsia="es-MX"/>
              </w:rPr>
            </w:pPr>
            <w:r w:rsidRPr="000F0321">
              <w:rPr>
                <w:rFonts w:ascii="Montserrat" w:hAnsi="Montserrat" w:cs="Arial"/>
                <w:color w:val="000000"/>
                <w:sz w:val="15"/>
                <w:szCs w:val="15"/>
              </w:rPr>
              <w:t>Beneficios Derivado</w:t>
            </w:r>
            <w:r w:rsidR="00BF6E75">
              <w:rPr>
                <w:rFonts w:ascii="Montserrat" w:hAnsi="Montserrat" w:cs="Arial"/>
                <w:color w:val="000000"/>
                <w:sz w:val="15"/>
                <w:szCs w:val="15"/>
              </w:rPr>
              <w:t>s de Redención Anticipada Pensió</w:t>
            </w:r>
            <w:r w:rsidRPr="000F0321">
              <w:rPr>
                <w:rFonts w:ascii="Montserrat" w:hAnsi="Montserrat" w:cs="Arial"/>
                <w:color w:val="000000"/>
                <w:sz w:val="15"/>
                <w:szCs w:val="15"/>
              </w:rPr>
              <w:t>nissste</w:t>
            </w:r>
          </w:p>
        </w:tc>
        <w:tc>
          <w:tcPr>
            <w:tcW w:w="2693" w:type="dxa"/>
            <w:tcBorders>
              <w:top w:val="nil"/>
            </w:tcBorders>
            <w:shd w:val="clear" w:color="auto" w:fill="F2F2F2" w:themeFill="background1" w:themeFillShade="F2"/>
            <w:tcMar>
              <w:top w:w="0" w:type="dxa"/>
              <w:left w:w="70" w:type="dxa"/>
              <w:bottom w:w="0" w:type="dxa"/>
              <w:right w:w="70" w:type="dxa"/>
            </w:tcMar>
            <w:vAlign w:val="center"/>
          </w:tcPr>
          <w:p w14:paraId="39AF9E7D" w14:textId="08EE0FD3" w:rsidR="00CB0034" w:rsidRPr="00255081" w:rsidRDefault="00102018" w:rsidP="00CB0034">
            <w:pPr>
              <w:spacing w:before="40" w:after="40" w:line="240" w:lineRule="auto"/>
              <w:jc w:val="right"/>
              <w:rPr>
                <w:rFonts w:ascii="Montserrat" w:eastAsia="Times New Roman" w:hAnsi="Montserrat" w:cs="Calibri"/>
                <w:color w:val="000000"/>
                <w:sz w:val="15"/>
                <w:szCs w:val="15"/>
                <w:lang w:val="es-MX" w:eastAsia="es-MX"/>
              </w:rPr>
            </w:pPr>
            <w:r w:rsidRPr="000F0321">
              <w:rPr>
                <w:rFonts w:ascii="Montserrat" w:hAnsi="Montserrat" w:cs="Arial"/>
                <w:color w:val="000000"/>
                <w:sz w:val="15"/>
                <w:szCs w:val="15"/>
              </w:rPr>
              <w:t>67,374,442</w:t>
            </w:r>
          </w:p>
        </w:tc>
      </w:tr>
      <w:tr w:rsidR="00CB0034" w:rsidRPr="006F0DF1" w14:paraId="5A5220AE" w14:textId="77777777" w:rsidTr="000F0321">
        <w:trPr>
          <w:trHeight w:val="215"/>
        </w:trPr>
        <w:tc>
          <w:tcPr>
            <w:tcW w:w="6237" w:type="dxa"/>
            <w:tcBorders>
              <w:top w:val="nil"/>
            </w:tcBorders>
            <w:shd w:val="clear" w:color="auto" w:fill="F2F2F2" w:themeFill="background1" w:themeFillShade="F2"/>
            <w:tcMar>
              <w:top w:w="0" w:type="dxa"/>
              <w:left w:w="70" w:type="dxa"/>
              <w:bottom w:w="0" w:type="dxa"/>
              <w:right w:w="70" w:type="dxa"/>
            </w:tcMar>
            <w:vAlign w:val="center"/>
          </w:tcPr>
          <w:p w14:paraId="7A0899FD" w14:textId="2FE1B9E4" w:rsidR="00CB0034" w:rsidRPr="00255081" w:rsidRDefault="00CB0034" w:rsidP="00CB0034">
            <w:pPr>
              <w:spacing w:before="40" w:after="40" w:line="240" w:lineRule="auto"/>
              <w:ind w:left="170"/>
              <w:jc w:val="both"/>
              <w:rPr>
                <w:rFonts w:ascii="Montserrat" w:eastAsia="Times New Roman" w:hAnsi="Montserrat" w:cs="Calibri"/>
                <w:color w:val="000000"/>
                <w:sz w:val="15"/>
                <w:szCs w:val="15"/>
                <w:lang w:val="es-MX" w:eastAsia="es-MX"/>
              </w:rPr>
            </w:pPr>
            <w:r w:rsidRPr="000F0321">
              <w:rPr>
                <w:rFonts w:ascii="Montserrat" w:hAnsi="Montserrat" w:cs="Arial"/>
                <w:color w:val="000000"/>
                <w:sz w:val="15"/>
                <w:szCs w:val="15"/>
              </w:rPr>
              <w:t>Resultados Positivos por Reestructuración de la Deuda</w:t>
            </w:r>
          </w:p>
        </w:tc>
        <w:tc>
          <w:tcPr>
            <w:tcW w:w="2693" w:type="dxa"/>
            <w:tcBorders>
              <w:top w:val="nil"/>
            </w:tcBorders>
            <w:shd w:val="clear" w:color="auto" w:fill="F2F2F2" w:themeFill="background1" w:themeFillShade="F2"/>
            <w:tcMar>
              <w:top w:w="0" w:type="dxa"/>
              <w:left w:w="70" w:type="dxa"/>
              <w:bottom w:w="0" w:type="dxa"/>
              <w:right w:w="70" w:type="dxa"/>
            </w:tcMar>
            <w:vAlign w:val="center"/>
          </w:tcPr>
          <w:p w14:paraId="370873E0" w14:textId="01A52810" w:rsidR="00CB0034" w:rsidRPr="00255081" w:rsidRDefault="00102018" w:rsidP="00CB0034">
            <w:pPr>
              <w:spacing w:before="40" w:after="40" w:line="240" w:lineRule="auto"/>
              <w:jc w:val="right"/>
              <w:rPr>
                <w:rFonts w:ascii="Montserrat" w:eastAsia="Times New Roman" w:hAnsi="Montserrat" w:cs="Calibri"/>
                <w:color w:val="000000"/>
                <w:sz w:val="15"/>
                <w:szCs w:val="15"/>
                <w:lang w:val="es-MX" w:eastAsia="es-MX"/>
              </w:rPr>
            </w:pPr>
            <w:r w:rsidRPr="000F0321">
              <w:rPr>
                <w:rFonts w:ascii="Montserrat" w:hAnsi="Montserrat" w:cs="Arial"/>
                <w:color w:val="000000"/>
                <w:sz w:val="15"/>
                <w:szCs w:val="15"/>
              </w:rPr>
              <w:t>0</w:t>
            </w:r>
          </w:p>
        </w:tc>
      </w:tr>
      <w:tr w:rsidR="00CB0034" w:rsidRPr="006F0DF1" w14:paraId="4496DF3A" w14:textId="77777777" w:rsidTr="000F0321">
        <w:trPr>
          <w:trHeight w:val="215"/>
        </w:trPr>
        <w:tc>
          <w:tcPr>
            <w:tcW w:w="6237" w:type="dxa"/>
            <w:tcBorders>
              <w:top w:val="nil"/>
            </w:tcBorders>
            <w:shd w:val="clear" w:color="auto" w:fill="F2F2F2" w:themeFill="background1" w:themeFillShade="F2"/>
            <w:tcMar>
              <w:top w:w="0" w:type="dxa"/>
              <w:left w:w="70" w:type="dxa"/>
              <w:bottom w:w="0" w:type="dxa"/>
              <w:right w:w="70" w:type="dxa"/>
            </w:tcMar>
            <w:vAlign w:val="center"/>
          </w:tcPr>
          <w:p w14:paraId="1BBC97EB" w14:textId="3F13DED5" w:rsidR="00CB0034" w:rsidRPr="00255081" w:rsidRDefault="00CB0034" w:rsidP="00CB0034">
            <w:pPr>
              <w:spacing w:before="40" w:after="40" w:line="240" w:lineRule="auto"/>
              <w:ind w:left="170"/>
              <w:jc w:val="both"/>
              <w:rPr>
                <w:rFonts w:ascii="Montserrat" w:eastAsia="Times New Roman" w:hAnsi="Montserrat" w:cs="Calibri"/>
                <w:color w:val="000000"/>
                <w:sz w:val="15"/>
                <w:szCs w:val="15"/>
                <w:lang w:val="es-MX" w:eastAsia="es-MX"/>
              </w:rPr>
            </w:pPr>
            <w:r w:rsidRPr="000F0321">
              <w:rPr>
                <w:rFonts w:ascii="Montserrat" w:hAnsi="Montserrat" w:cs="Arial"/>
                <w:color w:val="000000"/>
                <w:sz w:val="15"/>
                <w:szCs w:val="15"/>
              </w:rPr>
              <w:t>Beneficios por Bienes Sobrantes de Contratos</w:t>
            </w:r>
          </w:p>
        </w:tc>
        <w:tc>
          <w:tcPr>
            <w:tcW w:w="2693" w:type="dxa"/>
            <w:tcBorders>
              <w:top w:val="nil"/>
            </w:tcBorders>
            <w:shd w:val="clear" w:color="auto" w:fill="F2F2F2" w:themeFill="background1" w:themeFillShade="F2"/>
            <w:tcMar>
              <w:top w:w="0" w:type="dxa"/>
              <w:left w:w="70" w:type="dxa"/>
              <w:bottom w:w="0" w:type="dxa"/>
              <w:right w:w="70" w:type="dxa"/>
            </w:tcMar>
            <w:vAlign w:val="center"/>
          </w:tcPr>
          <w:p w14:paraId="2D1CCAA5" w14:textId="78585FC0" w:rsidR="00CB0034" w:rsidRPr="00255081" w:rsidRDefault="00102018" w:rsidP="00CB0034">
            <w:pPr>
              <w:spacing w:before="40" w:after="40" w:line="240" w:lineRule="auto"/>
              <w:jc w:val="right"/>
              <w:rPr>
                <w:rFonts w:ascii="Montserrat" w:eastAsia="Times New Roman" w:hAnsi="Montserrat" w:cs="Calibri"/>
                <w:color w:val="000000"/>
                <w:sz w:val="15"/>
                <w:szCs w:val="15"/>
                <w:lang w:val="es-MX" w:eastAsia="es-MX"/>
              </w:rPr>
            </w:pPr>
            <w:r w:rsidRPr="000F0321">
              <w:rPr>
                <w:rFonts w:ascii="Montserrat" w:hAnsi="Montserrat" w:cs="Arial"/>
                <w:color w:val="000000"/>
                <w:sz w:val="15"/>
                <w:szCs w:val="15"/>
              </w:rPr>
              <w:t>326,386</w:t>
            </w:r>
          </w:p>
        </w:tc>
      </w:tr>
      <w:tr w:rsidR="00CB0034" w:rsidRPr="006F0DF1" w14:paraId="3041FB7A" w14:textId="77777777" w:rsidTr="000F0321">
        <w:trPr>
          <w:trHeight w:val="215"/>
        </w:trPr>
        <w:tc>
          <w:tcPr>
            <w:tcW w:w="6237" w:type="dxa"/>
            <w:tcBorders>
              <w:top w:val="nil"/>
            </w:tcBorders>
            <w:shd w:val="clear" w:color="auto" w:fill="F2F2F2" w:themeFill="background1" w:themeFillShade="F2"/>
            <w:tcMar>
              <w:top w:w="0" w:type="dxa"/>
              <w:left w:w="70" w:type="dxa"/>
              <w:bottom w:w="0" w:type="dxa"/>
              <w:right w:w="70" w:type="dxa"/>
            </w:tcMar>
            <w:vAlign w:val="center"/>
          </w:tcPr>
          <w:p w14:paraId="6AFE9241" w14:textId="715E48CD" w:rsidR="00CB0034" w:rsidRPr="00255081" w:rsidRDefault="00CB0034" w:rsidP="00CB0034">
            <w:pPr>
              <w:spacing w:before="40" w:after="40" w:line="240" w:lineRule="auto"/>
              <w:ind w:left="170"/>
              <w:jc w:val="both"/>
              <w:rPr>
                <w:rFonts w:ascii="Montserrat" w:eastAsia="Times New Roman" w:hAnsi="Montserrat" w:cs="Calibri"/>
                <w:color w:val="000000"/>
                <w:sz w:val="15"/>
                <w:szCs w:val="15"/>
                <w:highlight w:val="magenta"/>
                <w:lang w:val="es-MX" w:eastAsia="es-MX"/>
              </w:rPr>
            </w:pPr>
            <w:r w:rsidRPr="000F0321">
              <w:rPr>
                <w:rFonts w:ascii="Montserrat" w:hAnsi="Montserrat" w:cs="Arial"/>
                <w:color w:val="000000"/>
                <w:sz w:val="15"/>
                <w:szCs w:val="15"/>
              </w:rPr>
              <w:t>Bienes Muebles e Inmuebles Recibidos Derivados de Convenios</w:t>
            </w:r>
          </w:p>
        </w:tc>
        <w:tc>
          <w:tcPr>
            <w:tcW w:w="2693" w:type="dxa"/>
            <w:tcBorders>
              <w:top w:val="nil"/>
            </w:tcBorders>
            <w:shd w:val="clear" w:color="auto" w:fill="F2F2F2" w:themeFill="background1" w:themeFillShade="F2"/>
            <w:tcMar>
              <w:top w:w="0" w:type="dxa"/>
              <w:left w:w="70" w:type="dxa"/>
              <w:bottom w:w="0" w:type="dxa"/>
              <w:right w:w="70" w:type="dxa"/>
            </w:tcMar>
            <w:vAlign w:val="center"/>
          </w:tcPr>
          <w:p w14:paraId="433DADD1" w14:textId="491BCAA5" w:rsidR="00CB0034" w:rsidRPr="00255081" w:rsidRDefault="00102018" w:rsidP="00CB0034">
            <w:pPr>
              <w:spacing w:before="40" w:after="40" w:line="240" w:lineRule="auto"/>
              <w:jc w:val="right"/>
              <w:rPr>
                <w:rFonts w:ascii="Montserrat" w:eastAsia="Times New Roman" w:hAnsi="Montserrat" w:cs="Calibri"/>
                <w:color w:val="000000"/>
                <w:sz w:val="15"/>
                <w:szCs w:val="15"/>
                <w:highlight w:val="magenta"/>
                <w:lang w:val="es-MX" w:eastAsia="es-MX"/>
              </w:rPr>
            </w:pPr>
            <w:r w:rsidRPr="000F0321">
              <w:rPr>
                <w:rFonts w:ascii="Montserrat" w:hAnsi="Montserrat" w:cs="Arial"/>
                <w:color w:val="000000"/>
                <w:sz w:val="15"/>
                <w:szCs w:val="15"/>
              </w:rPr>
              <w:t>44,936,619</w:t>
            </w:r>
          </w:p>
        </w:tc>
      </w:tr>
      <w:tr w:rsidR="00CB0034" w:rsidRPr="00B53993" w14:paraId="037E6655" w14:textId="77777777" w:rsidTr="000F0321">
        <w:trPr>
          <w:trHeight w:val="215"/>
        </w:trPr>
        <w:tc>
          <w:tcPr>
            <w:tcW w:w="6237" w:type="dxa"/>
            <w:tcBorders>
              <w:bottom w:val="single" w:sz="12" w:space="0" w:color="808080" w:themeColor="background1" w:themeShade="80"/>
            </w:tcBorders>
            <w:shd w:val="clear" w:color="auto" w:fill="F2F2F2" w:themeFill="background1" w:themeFillShade="F2"/>
            <w:tcMar>
              <w:top w:w="0" w:type="dxa"/>
              <w:left w:w="70" w:type="dxa"/>
              <w:bottom w:w="0" w:type="dxa"/>
              <w:right w:w="70" w:type="dxa"/>
            </w:tcMar>
            <w:vAlign w:val="center"/>
          </w:tcPr>
          <w:p w14:paraId="3ABF9CE7" w14:textId="4A3A049E" w:rsidR="00CB0034" w:rsidRPr="00255081" w:rsidRDefault="00CB0034" w:rsidP="00CB0034">
            <w:pPr>
              <w:spacing w:before="40" w:after="40" w:line="240" w:lineRule="auto"/>
              <w:ind w:left="170"/>
              <w:jc w:val="both"/>
              <w:rPr>
                <w:rFonts w:ascii="Montserrat" w:eastAsia="Times New Roman" w:hAnsi="Montserrat" w:cs="Calibri"/>
                <w:color w:val="000000"/>
                <w:sz w:val="15"/>
                <w:szCs w:val="15"/>
                <w:lang w:val="es-MX" w:eastAsia="es-MX"/>
              </w:rPr>
            </w:pPr>
            <w:r w:rsidRPr="000F0321">
              <w:rPr>
                <w:rFonts w:ascii="Montserrat" w:hAnsi="Montserrat" w:cs="Arial"/>
                <w:b/>
                <w:bCs/>
                <w:color w:val="000000"/>
                <w:sz w:val="15"/>
                <w:szCs w:val="15"/>
              </w:rPr>
              <w:t>Total de Otros Ingresos y Beneficios Varios</w:t>
            </w:r>
          </w:p>
        </w:tc>
        <w:tc>
          <w:tcPr>
            <w:tcW w:w="2693" w:type="dxa"/>
            <w:tcBorders>
              <w:bottom w:val="single" w:sz="12" w:space="0" w:color="808080" w:themeColor="background1" w:themeShade="80"/>
            </w:tcBorders>
            <w:shd w:val="clear" w:color="auto" w:fill="F2F2F2" w:themeFill="background1" w:themeFillShade="F2"/>
            <w:tcMar>
              <w:top w:w="0" w:type="dxa"/>
              <w:left w:w="70" w:type="dxa"/>
              <w:bottom w:w="0" w:type="dxa"/>
              <w:right w:w="70" w:type="dxa"/>
            </w:tcMar>
            <w:vAlign w:val="center"/>
          </w:tcPr>
          <w:p w14:paraId="63F32FD2" w14:textId="2ECFF1B9" w:rsidR="00CB0034" w:rsidRPr="00255081" w:rsidRDefault="00102018" w:rsidP="00CB0034">
            <w:pPr>
              <w:spacing w:before="40" w:after="40" w:line="240" w:lineRule="auto"/>
              <w:jc w:val="right"/>
              <w:rPr>
                <w:rFonts w:ascii="Montserrat" w:eastAsia="Times New Roman" w:hAnsi="Montserrat" w:cs="Calibri"/>
                <w:color w:val="000000"/>
                <w:sz w:val="15"/>
                <w:szCs w:val="15"/>
                <w:lang w:val="es-MX" w:eastAsia="es-MX"/>
              </w:rPr>
            </w:pPr>
            <w:r w:rsidRPr="000F0321">
              <w:rPr>
                <w:rFonts w:ascii="Montserrat" w:hAnsi="Montserrat" w:cs="Arial"/>
                <w:b/>
                <w:bCs/>
                <w:color w:val="000000"/>
                <w:sz w:val="15"/>
                <w:szCs w:val="15"/>
              </w:rPr>
              <w:t>500,148,680,835</w:t>
            </w:r>
          </w:p>
        </w:tc>
      </w:tr>
    </w:tbl>
    <w:p w14:paraId="23287298" w14:textId="77777777" w:rsidR="009978F7" w:rsidRDefault="009978F7" w:rsidP="009978F7">
      <w:pPr>
        <w:pStyle w:val="TEXTONORMAL"/>
      </w:pPr>
      <w:r>
        <w:br w:type="page"/>
      </w:r>
    </w:p>
    <w:p w14:paraId="61C0EF08" w14:textId="77777777" w:rsidR="00F576E1" w:rsidRPr="00F576E1" w:rsidRDefault="00F576E1" w:rsidP="00F576E1">
      <w:pPr>
        <w:spacing w:after="0" w:line="240" w:lineRule="auto"/>
        <w:jc w:val="both"/>
        <w:rPr>
          <w:rFonts w:ascii="Montserrat" w:hAnsi="Montserrat" w:cs="Arial"/>
          <w:spacing w:val="-1"/>
          <w:sz w:val="18"/>
          <w:szCs w:val="18"/>
        </w:rPr>
      </w:pPr>
    </w:p>
    <w:p w14:paraId="419F007D" w14:textId="0B5676E2" w:rsidR="009C3C24" w:rsidRPr="00F468B1" w:rsidRDefault="009C3C24" w:rsidP="00F576E1">
      <w:pPr>
        <w:pStyle w:val="VIETAFLECHA"/>
        <w:numPr>
          <w:ilvl w:val="0"/>
          <w:numId w:val="31"/>
        </w:numPr>
        <w:ind w:left="714" w:hanging="357"/>
        <w:rPr>
          <w:rFonts w:cs="Arial"/>
          <w:spacing w:val="-1"/>
        </w:rPr>
      </w:pPr>
      <w:r w:rsidRPr="004E44CE">
        <w:rPr>
          <w:rFonts w:cs="Arial"/>
          <w:spacing w:val="-1"/>
        </w:rPr>
        <w:t xml:space="preserve">Egresos Presupuestarios y </w:t>
      </w:r>
      <w:r w:rsidR="00DF4FF6">
        <w:rPr>
          <w:rFonts w:cs="Arial"/>
          <w:spacing w:val="-1"/>
        </w:rPr>
        <w:t xml:space="preserve">Gastos </w:t>
      </w:r>
      <w:r w:rsidRPr="00F468B1">
        <w:rPr>
          <w:rFonts w:cs="Arial"/>
          <w:spacing w:val="-1"/>
        </w:rPr>
        <w:t xml:space="preserve">Contables </w:t>
      </w:r>
    </w:p>
    <w:tbl>
      <w:tblPr>
        <w:tblW w:w="10266" w:type="dxa"/>
        <w:jc w:val="center"/>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CellMar>
          <w:left w:w="0" w:type="dxa"/>
          <w:right w:w="0" w:type="dxa"/>
        </w:tblCellMar>
        <w:tblLook w:val="04A0" w:firstRow="1" w:lastRow="0" w:firstColumn="1" w:lastColumn="0" w:noHBand="0" w:noVBand="1"/>
      </w:tblPr>
      <w:tblGrid>
        <w:gridCol w:w="419"/>
        <w:gridCol w:w="5290"/>
        <w:gridCol w:w="23"/>
        <w:gridCol w:w="1826"/>
        <w:gridCol w:w="22"/>
        <w:gridCol w:w="2686"/>
      </w:tblGrid>
      <w:tr w:rsidR="00C4519E" w:rsidRPr="006F0DF1" w14:paraId="0F75FF10" w14:textId="77777777" w:rsidTr="000F0321">
        <w:trPr>
          <w:trHeight w:val="57"/>
          <w:jc w:val="center"/>
        </w:trPr>
        <w:tc>
          <w:tcPr>
            <w:tcW w:w="10266" w:type="dxa"/>
            <w:gridSpan w:val="6"/>
            <w:tcBorders>
              <w:top w:val="nil"/>
              <w:left w:val="nil"/>
              <w:bottom w:val="single" w:sz="12" w:space="0" w:color="808080" w:themeColor="background1" w:themeShade="80"/>
              <w:right w:val="nil"/>
            </w:tcBorders>
            <w:shd w:val="clear" w:color="auto" w:fill="auto"/>
            <w:noWrap/>
            <w:tcMar>
              <w:top w:w="0" w:type="dxa"/>
              <w:left w:w="70" w:type="dxa"/>
              <w:bottom w:w="0" w:type="dxa"/>
              <w:right w:w="70" w:type="dxa"/>
            </w:tcMar>
            <w:vAlign w:val="center"/>
          </w:tcPr>
          <w:p w14:paraId="0BE29B8C" w14:textId="77777777" w:rsidR="00C4519E" w:rsidRPr="00685332" w:rsidRDefault="009C3C24" w:rsidP="00E52592">
            <w:pPr>
              <w:spacing w:after="60" w:line="250" w:lineRule="exact"/>
              <w:jc w:val="center"/>
              <w:rPr>
                <w:rFonts w:ascii="Montserrat" w:hAnsi="Montserrat"/>
                <w:bCs/>
                <w:color w:val="FFFFFF"/>
                <w:spacing w:val="-1"/>
                <w:sz w:val="4"/>
                <w:szCs w:val="4"/>
              </w:rPr>
            </w:pPr>
            <w:r w:rsidRPr="00F468B1">
              <w:rPr>
                <w:rFonts w:ascii="Montserrat" w:eastAsia="Times New Roman" w:hAnsi="Montserrat" w:cs="Calibri"/>
                <w:bCs/>
                <w:sz w:val="16"/>
                <w:szCs w:val="16"/>
                <w:lang w:val="es-MX" w:eastAsia="es-MX"/>
              </w:rPr>
              <w:t>(Pesos)</w:t>
            </w:r>
          </w:p>
        </w:tc>
      </w:tr>
      <w:tr w:rsidR="00CD6767" w:rsidRPr="00E76AF3" w14:paraId="2EFE76E2" w14:textId="77777777" w:rsidTr="00031AC3">
        <w:trPr>
          <w:trHeight w:val="57"/>
          <w:jc w:val="center"/>
        </w:trPr>
        <w:tc>
          <w:tcPr>
            <w:tcW w:w="10266" w:type="dxa"/>
            <w:gridSpan w:val="6"/>
            <w:tcBorders>
              <w:top w:val="single" w:sz="12" w:space="0" w:color="808080" w:themeColor="background1" w:themeShade="80"/>
              <w:left w:val="nil"/>
              <w:bottom w:val="nil"/>
              <w:right w:val="nil"/>
            </w:tcBorders>
            <w:shd w:val="clear" w:color="auto" w:fill="auto"/>
            <w:noWrap/>
            <w:tcMar>
              <w:top w:w="0" w:type="dxa"/>
              <w:left w:w="70" w:type="dxa"/>
              <w:bottom w:w="0" w:type="dxa"/>
              <w:right w:w="70" w:type="dxa"/>
            </w:tcMar>
            <w:vAlign w:val="center"/>
          </w:tcPr>
          <w:p w14:paraId="3CC6BAF1" w14:textId="77777777" w:rsidR="00CD6767" w:rsidRPr="00E76AF3" w:rsidRDefault="00CD6767" w:rsidP="00E76AF3">
            <w:pPr>
              <w:spacing w:after="0" w:line="240" w:lineRule="auto"/>
              <w:jc w:val="center"/>
              <w:rPr>
                <w:rFonts w:ascii="Montserrat" w:eastAsia="Times New Roman" w:hAnsi="Montserrat" w:cs="Calibri"/>
                <w:b/>
                <w:bCs/>
                <w:color w:val="FFFFFF"/>
                <w:sz w:val="4"/>
                <w:szCs w:val="4"/>
                <w:lang w:val="es-MX" w:eastAsia="es-MX"/>
              </w:rPr>
            </w:pPr>
          </w:p>
        </w:tc>
      </w:tr>
      <w:tr w:rsidR="00F576E1" w:rsidRPr="006F0DF1" w14:paraId="5B46A89E" w14:textId="77777777" w:rsidTr="00031AC3">
        <w:trPr>
          <w:trHeight w:val="317"/>
          <w:jc w:val="center"/>
        </w:trPr>
        <w:tc>
          <w:tcPr>
            <w:tcW w:w="7580" w:type="dxa"/>
            <w:gridSpan w:val="5"/>
            <w:tcBorders>
              <w:top w:val="nil"/>
              <w:left w:val="single" w:sz="8" w:space="0" w:color="FFFFFF" w:themeColor="background1"/>
              <w:bottom w:val="double" w:sz="12" w:space="0" w:color="808080" w:themeColor="background1" w:themeShade="80"/>
              <w:right w:val="single" w:sz="8" w:space="0" w:color="FFFFFF" w:themeColor="background1"/>
            </w:tcBorders>
            <w:shd w:val="clear" w:color="auto" w:fill="D4C19C"/>
            <w:noWrap/>
            <w:tcMar>
              <w:top w:w="0" w:type="dxa"/>
              <w:left w:w="70" w:type="dxa"/>
              <w:bottom w:w="0" w:type="dxa"/>
              <w:right w:w="70" w:type="dxa"/>
            </w:tcMar>
            <w:vAlign w:val="center"/>
            <w:hideMark/>
          </w:tcPr>
          <w:p w14:paraId="732392F1" w14:textId="77777777" w:rsidR="00F576E1" w:rsidRPr="006F0DF1" w:rsidRDefault="00F576E1" w:rsidP="00F576E1">
            <w:pPr>
              <w:spacing w:after="0" w:line="240" w:lineRule="exact"/>
              <w:ind w:right="57"/>
              <w:rPr>
                <w:rFonts w:ascii="Montserrat" w:hAnsi="Montserrat"/>
                <w:b/>
                <w:bCs/>
                <w:color w:val="FFFFFF"/>
                <w:sz w:val="16"/>
                <w:szCs w:val="16"/>
              </w:rPr>
            </w:pPr>
            <w:r w:rsidRPr="006F0DF1">
              <w:rPr>
                <w:rFonts w:ascii="Montserrat" w:hAnsi="Montserrat"/>
                <w:b/>
                <w:bCs/>
                <w:color w:val="FFFFFF"/>
                <w:spacing w:val="-1"/>
                <w:sz w:val="16"/>
                <w:szCs w:val="16"/>
              </w:rPr>
              <w:t>1. Total de egresos (presupuestarios)</w:t>
            </w:r>
          </w:p>
        </w:tc>
        <w:tc>
          <w:tcPr>
            <w:tcW w:w="2686" w:type="dxa"/>
            <w:tcBorders>
              <w:top w:val="nil"/>
              <w:left w:val="single" w:sz="8" w:space="0" w:color="FFFFFF" w:themeColor="background1"/>
              <w:bottom w:val="double" w:sz="12" w:space="0" w:color="808080" w:themeColor="background1" w:themeShade="80"/>
              <w:right w:val="single" w:sz="8" w:space="0" w:color="FFFFFF" w:themeColor="background1"/>
            </w:tcBorders>
            <w:shd w:val="clear" w:color="auto" w:fill="D4C19C"/>
            <w:noWrap/>
            <w:tcMar>
              <w:top w:w="0" w:type="dxa"/>
              <w:left w:w="70" w:type="dxa"/>
              <w:bottom w:w="0" w:type="dxa"/>
              <w:right w:w="70" w:type="dxa"/>
            </w:tcMar>
            <w:vAlign w:val="center"/>
          </w:tcPr>
          <w:p w14:paraId="36C91566" w14:textId="04A29999" w:rsidR="00F576E1" w:rsidRPr="006F0DF1" w:rsidRDefault="00031AC3" w:rsidP="000F0321">
            <w:pPr>
              <w:spacing w:after="0" w:line="240" w:lineRule="exact"/>
              <w:ind w:right="41"/>
              <w:jc w:val="right"/>
              <w:rPr>
                <w:rFonts w:ascii="Montserrat" w:hAnsi="Montserrat"/>
                <w:b/>
                <w:bCs/>
                <w:color w:val="FFFFFF"/>
                <w:spacing w:val="-1"/>
                <w:sz w:val="15"/>
                <w:szCs w:val="15"/>
              </w:rPr>
            </w:pPr>
            <w:r w:rsidRPr="00031AC3">
              <w:rPr>
                <w:rFonts w:ascii="Montserrat" w:hAnsi="Montserrat"/>
                <w:b/>
                <w:bCs/>
                <w:color w:val="FFFFFF"/>
                <w:spacing w:val="-1"/>
                <w:sz w:val="15"/>
                <w:szCs w:val="15"/>
              </w:rPr>
              <w:t>4</w:t>
            </w:r>
            <w:r w:rsidR="00F468B1">
              <w:rPr>
                <w:rFonts w:ascii="Montserrat" w:hAnsi="Montserrat"/>
                <w:b/>
                <w:bCs/>
                <w:color w:val="FFFFFF"/>
                <w:spacing w:val="-1"/>
                <w:sz w:val="15"/>
                <w:szCs w:val="15"/>
              </w:rPr>
              <w:t>,</w:t>
            </w:r>
            <w:r w:rsidRPr="00031AC3">
              <w:rPr>
                <w:rFonts w:ascii="Montserrat" w:hAnsi="Montserrat"/>
                <w:b/>
                <w:bCs/>
                <w:color w:val="FFFFFF"/>
                <w:spacing w:val="-1"/>
                <w:sz w:val="15"/>
                <w:szCs w:val="15"/>
              </w:rPr>
              <w:t>441</w:t>
            </w:r>
            <w:r w:rsidR="00F468B1">
              <w:rPr>
                <w:rFonts w:ascii="Montserrat" w:hAnsi="Montserrat"/>
                <w:b/>
                <w:bCs/>
                <w:color w:val="FFFFFF"/>
                <w:spacing w:val="-1"/>
                <w:sz w:val="15"/>
                <w:szCs w:val="15"/>
              </w:rPr>
              <w:t>,</w:t>
            </w:r>
            <w:r w:rsidRPr="00031AC3">
              <w:rPr>
                <w:rFonts w:ascii="Montserrat" w:hAnsi="Montserrat"/>
                <w:b/>
                <w:bCs/>
                <w:color w:val="FFFFFF"/>
                <w:spacing w:val="-1"/>
                <w:sz w:val="15"/>
                <w:szCs w:val="15"/>
              </w:rPr>
              <w:t>383</w:t>
            </w:r>
            <w:r w:rsidR="00F468B1">
              <w:rPr>
                <w:rFonts w:ascii="Montserrat" w:hAnsi="Montserrat"/>
                <w:b/>
                <w:bCs/>
                <w:color w:val="FFFFFF"/>
                <w:spacing w:val="-1"/>
                <w:sz w:val="15"/>
                <w:szCs w:val="15"/>
              </w:rPr>
              <w:t>,</w:t>
            </w:r>
            <w:r w:rsidRPr="00031AC3">
              <w:rPr>
                <w:rFonts w:ascii="Montserrat" w:hAnsi="Montserrat"/>
                <w:b/>
                <w:bCs/>
                <w:color w:val="FFFFFF"/>
                <w:spacing w:val="-1"/>
                <w:sz w:val="15"/>
                <w:szCs w:val="15"/>
              </w:rPr>
              <w:t>586</w:t>
            </w:r>
            <w:r w:rsidR="00F468B1">
              <w:rPr>
                <w:rFonts w:ascii="Montserrat" w:hAnsi="Montserrat"/>
                <w:b/>
                <w:bCs/>
                <w:color w:val="FFFFFF"/>
                <w:spacing w:val="-1"/>
                <w:sz w:val="15"/>
                <w:szCs w:val="15"/>
              </w:rPr>
              <w:t>,</w:t>
            </w:r>
            <w:r w:rsidRPr="00031AC3">
              <w:rPr>
                <w:rFonts w:ascii="Montserrat" w:hAnsi="Montserrat"/>
                <w:b/>
                <w:bCs/>
                <w:color w:val="FFFFFF"/>
                <w:spacing w:val="-1"/>
                <w:sz w:val="15"/>
                <w:szCs w:val="15"/>
              </w:rPr>
              <w:t>871</w:t>
            </w:r>
          </w:p>
        </w:tc>
      </w:tr>
      <w:tr w:rsidR="009C3C24" w:rsidRPr="006F0DF1" w14:paraId="18592558" w14:textId="77777777" w:rsidTr="00031AC3">
        <w:trPr>
          <w:trHeight w:val="215"/>
          <w:jc w:val="center"/>
        </w:trPr>
        <w:tc>
          <w:tcPr>
            <w:tcW w:w="5709" w:type="dxa"/>
            <w:gridSpan w:val="2"/>
            <w:tcBorders>
              <w:top w:val="double" w:sz="12" w:space="0" w:color="808080" w:themeColor="background1" w:themeShade="80"/>
              <w:left w:val="nil"/>
              <w:bottom w:val="nil"/>
              <w:right w:val="nil"/>
            </w:tcBorders>
            <w:shd w:val="clear" w:color="auto" w:fill="F2F2F2" w:themeFill="background1" w:themeFillShade="F2"/>
            <w:noWrap/>
            <w:tcMar>
              <w:top w:w="0" w:type="dxa"/>
              <w:left w:w="70" w:type="dxa"/>
              <w:bottom w:w="0" w:type="dxa"/>
              <w:right w:w="70" w:type="dxa"/>
            </w:tcMar>
            <w:vAlign w:val="center"/>
            <w:hideMark/>
          </w:tcPr>
          <w:p w14:paraId="40BFA8F0" w14:textId="77777777" w:rsidR="009C3C24" w:rsidRPr="000F0321" w:rsidRDefault="009C3C24" w:rsidP="002F797B">
            <w:pPr>
              <w:spacing w:after="0" w:line="240" w:lineRule="exact"/>
              <w:ind w:right="57"/>
              <w:rPr>
                <w:rFonts w:ascii="Montserrat" w:hAnsi="Montserrat"/>
                <w:b/>
                <w:bCs/>
                <w:sz w:val="15"/>
                <w:szCs w:val="15"/>
              </w:rPr>
            </w:pPr>
            <w:r w:rsidRPr="000F0321">
              <w:rPr>
                <w:rFonts w:ascii="Montserrat" w:hAnsi="Montserrat"/>
                <w:b/>
                <w:bCs/>
                <w:sz w:val="15"/>
                <w:szCs w:val="15"/>
              </w:rPr>
              <w:t>2. Menos egresos presupuestarios no contables</w:t>
            </w:r>
          </w:p>
        </w:tc>
        <w:tc>
          <w:tcPr>
            <w:tcW w:w="1849" w:type="dxa"/>
            <w:gridSpan w:val="2"/>
            <w:tcBorders>
              <w:top w:val="double" w:sz="12" w:space="0" w:color="808080" w:themeColor="background1" w:themeShade="80"/>
              <w:left w:val="nil"/>
              <w:bottom w:val="nil"/>
              <w:right w:val="nil"/>
            </w:tcBorders>
            <w:shd w:val="clear" w:color="auto" w:fill="F2F2F2" w:themeFill="background1" w:themeFillShade="F2"/>
            <w:noWrap/>
            <w:tcMar>
              <w:top w:w="0" w:type="dxa"/>
              <w:left w:w="70" w:type="dxa"/>
              <w:bottom w:w="0" w:type="dxa"/>
              <w:right w:w="70" w:type="dxa"/>
            </w:tcMar>
            <w:vAlign w:val="bottom"/>
          </w:tcPr>
          <w:p w14:paraId="13C0DC7A" w14:textId="77777777" w:rsidR="009C3C24" w:rsidRPr="00255081" w:rsidRDefault="009C3C24" w:rsidP="002F797B">
            <w:pPr>
              <w:spacing w:after="0" w:line="240" w:lineRule="auto"/>
              <w:jc w:val="right"/>
              <w:rPr>
                <w:rFonts w:ascii="Montserrat" w:eastAsia="Times New Roman" w:hAnsi="Montserrat" w:cs="Calibri"/>
                <w:color w:val="000000"/>
                <w:sz w:val="15"/>
                <w:szCs w:val="15"/>
                <w:highlight w:val="yellow"/>
                <w:lang w:val="es-MX" w:eastAsia="es-MX"/>
              </w:rPr>
            </w:pPr>
          </w:p>
        </w:tc>
        <w:tc>
          <w:tcPr>
            <w:tcW w:w="2708" w:type="dxa"/>
            <w:gridSpan w:val="2"/>
            <w:tcBorders>
              <w:top w:val="double" w:sz="12" w:space="0" w:color="808080" w:themeColor="background1" w:themeShade="80"/>
              <w:left w:val="nil"/>
              <w:bottom w:val="nil"/>
              <w:right w:val="nil"/>
            </w:tcBorders>
            <w:shd w:val="clear" w:color="auto" w:fill="F2F2F2" w:themeFill="background1" w:themeFillShade="F2"/>
            <w:noWrap/>
            <w:tcMar>
              <w:top w:w="0" w:type="dxa"/>
              <w:left w:w="70" w:type="dxa"/>
              <w:bottom w:w="0" w:type="dxa"/>
              <w:right w:w="70" w:type="dxa"/>
            </w:tcMar>
            <w:vAlign w:val="center"/>
          </w:tcPr>
          <w:p w14:paraId="68D6ED43" w14:textId="0C953228" w:rsidR="009C3C24" w:rsidRPr="00255081" w:rsidRDefault="00031AC3" w:rsidP="002F797B">
            <w:pPr>
              <w:spacing w:after="0" w:line="240" w:lineRule="exact"/>
              <w:ind w:right="57"/>
              <w:jc w:val="right"/>
              <w:rPr>
                <w:rFonts w:ascii="Montserrat" w:hAnsi="Montserrat"/>
                <w:b/>
                <w:bCs/>
                <w:sz w:val="15"/>
                <w:szCs w:val="15"/>
                <w:highlight w:val="yellow"/>
              </w:rPr>
            </w:pPr>
            <w:r w:rsidRPr="00255081">
              <w:rPr>
                <w:rFonts w:ascii="Montserrat" w:hAnsi="Montserrat"/>
                <w:b/>
                <w:bCs/>
                <w:sz w:val="15"/>
                <w:szCs w:val="15"/>
              </w:rPr>
              <w:t>327</w:t>
            </w:r>
            <w:r w:rsidR="00F468B1" w:rsidRPr="00255081">
              <w:rPr>
                <w:rFonts w:ascii="Montserrat" w:hAnsi="Montserrat"/>
                <w:b/>
                <w:bCs/>
                <w:sz w:val="15"/>
                <w:szCs w:val="15"/>
              </w:rPr>
              <w:t>,</w:t>
            </w:r>
            <w:r w:rsidRPr="00255081">
              <w:rPr>
                <w:rFonts w:ascii="Montserrat" w:hAnsi="Montserrat"/>
                <w:b/>
                <w:bCs/>
                <w:sz w:val="15"/>
                <w:szCs w:val="15"/>
              </w:rPr>
              <w:t>702</w:t>
            </w:r>
            <w:r w:rsidR="00F468B1" w:rsidRPr="00255081">
              <w:rPr>
                <w:rFonts w:ascii="Montserrat" w:hAnsi="Montserrat"/>
                <w:b/>
                <w:bCs/>
                <w:sz w:val="15"/>
                <w:szCs w:val="15"/>
              </w:rPr>
              <w:t>,</w:t>
            </w:r>
            <w:r w:rsidRPr="00255081">
              <w:rPr>
                <w:rFonts w:ascii="Montserrat" w:hAnsi="Montserrat"/>
                <w:b/>
                <w:bCs/>
                <w:sz w:val="15"/>
                <w:szCs w:val="15"/>
              </w:rPr>
              <w:t>033</w:t>
            </w:r>
            <w:r w:rsidR="00F468B1" w:rsidRPr="00255081">
              <w:rPr>
                <w:rFonts w:ascii="Montserrat" w:hAnsi="Montserrat"/>
                <w:b/>
                <w:bCs/>
                <w:sz w:val="15"/>
                <w:szCs w:val="15"/>
              </w:rPr>
              <w:t>,</w:t>
            </w:r>
            <w:r w:rsidRPr="00255081">
              <w:rPr>
                <w:rFonts w:ascii="Montserrat" w:hAnsi="Montserrat"/>
                <w:b/>
                <w:bCs/>
                <w:sz w:val="15"/>
                <w:szCs w:val="15"/>
              </w:rPr>
              <w:t>792</w:t>
            </w:r>
          </w:p>
        </w:tc>
      </w:tr>
      <w:tr w:rsidR="009C3C24" w:rsidRPr="006F0DF1" w14:paraId="1B0C3672" w14:textId="77777777" w:rsidTr="000F0321">
        <w:trPr>
          <w:trHeight w:val="215"/>
          <w:jc w:val="center"/>
        </w:trPr>
        <w:tc>
          <w:tcPr>
            <w:tcW w:w="419" w:type="dxa"/>
            <w:tcBorders>
              <w:top w:val="nil"/>
              <w:left w:val="nil"/>
              <w:bottom w:val="nil"/>
              <w:right w:val="nil"/>
            </w:tcBorders>
            <w:shd w:val="clear" w:color="auto" w:fill="F2F2F2" w:themeFill="background1" w:themeFillShade="F2"/>
            <w:noWrap/>
            <w:tcMar>
              <w:top w:w="0" w:type="dxa"/>
              <w:left w:w="70" w:type="dxa"/>
              <w:bottom w:w="0" w:type="dxa"/>
              <w:right w:w="70" w:type="dxa"/>
            </w:tcMar>
            <w:vAlign w:val="center"/>
          </w:tcPr>
          <w:p w14:paraId="2EFA5A11" w14:textId="77777777" w:rsidR="009C3C24" w:rsidRPr="000F0321" w:rsidRDefault="009C3C24" w:rsidP="002F797B">
            <w:pPr>
              <w:spacing w:after="0" w:line="240" w:lineRule="exact"/>
              <w:ind w:right="57" w:firstLine="180"/>
              <w:rPr>
                <w:rFonts w:ascii="Montserrat" w:hAnsi="Montserrat"/>
                <w:sz w:val="15"/>
                <w:szCs w:val="15"/>
              </w:rPr>
            </w:pPr>
          </w:p>
        </w:tc>
        <w:tc>
          <w:tcPr>
            <w:tcW w:w="5290" w:type="dxa"/>
            <w:tcBorders>
              <w:top w:val="nil"/>
              <w:left w:val="nil"/>
              <w:bottom w:val="nil"/>
              <w:right w:val="nil"/>
            </w:tcBorders>
            <w:shd w:val="clear" w:color="auto" w:fill="F2F2F2" w:themeFill="background1" w:themeFillShade="F2"/>
            <w:tcMar>
              <w:top w:w="0" w:type="dxa"/>
              <w:left w:w="70" w:type="dxa"/>
              <w:bottom w:w="0" w:type="dxa"/>
              <w:right w:w="70" w:type="dxa"/>
            </w:tcMar>
            <w:vAlign w:val="center"/>
          </w:tcPr>
          <w:p w14:paraId="555E0163" w14:textId="52B1E380" w:rsidR="009C3C24" w:rsidRPr="00255081" w:rsidRDefault="00031AC3" w:rsidP="002F797B">
            <w:pPr>
              <w:spacing w:after="0" w:line="240" w:lineRule="auto"/>
              <w:ind w:firstLineChars="132" w:firstLine="198"/>
              <w:rPr>
                <w:rFonts w:ascii="Montserrat" w:eastAsia="Times New Roman" w:hAnsi="Montserrat" w:cs="Calibri"/>
                <w:color w:val="000000"/>
                <w:sz w:val="15"/>
                <w:szCs w:val="15"/>
                <w:lang w:val="es-MX" w:eastAsia="es-MX"/>
              </w:rPr>
            </w:pPr>
            <w:r w:rsidRPr="00255081">
              <w:rPr>
                <w:rFonts w:ascii="Montserrat" w:eastAsia="Times New Roman" w:hAnsi="Montserrat" w:cs="Calibri"/>
                <w:color w:val="000000"/>
                <w:sz w:val="15"/>
                <w:szCs w:val="15"/>
                <w:lang w:val="es-MX" w:eastAsia="es-MX"/>
              </w:rPr>
              <w:t>Materias primas y materiales de producción y comercialización</w:t>
            </w:r>
          </w:p>
        </w:tc>
        <w:tc>
          <w:tcPr>
            <w:tcW w:w="1849" w:type="dxa"/>
            <w:gridSpan w:val="2"/>
            <w:tcBorders>
              <w:top w:val="nil"/>
              <w:left w:val="nil"/>
              <w:bottom w:val="nil"/>
              <w:right w:val="nil"/>
            </w:tcBorders>
            <w:shd w:val="clear" w:color="auto" w:fill="F2F2F2" w:themeFill="background1" w:themeFillShade="F2"/>
            <w:noWrap/>
            <w:tcMar>
              <w:top w:w="0" w:type="dxa"/>
              <w:left w:w="70" w:type="dxa"/>
              <w:bottom w:w="0" w:type="dxa"/>
              <w:right w:w="70" w:type="dxa"/>
            </w:tcMar>
            <w:vAlign w:val="center"/>
          </w:tcPr>
          <w:p w14:paraId="12680A2F" w14:textId="5CE43D80" w:rsidR="009C3C24" w:rsidRPr="00255081" w:rsidRDefault="00031AC3" w:rsidP="002F797B">
            <w:pPr>
              <w:spacing w:after="0" w:line="240" w:lineRule="auto"/>
              <w:jc w:val="right"/>
              <w:rPr>
                <w:rFonts w:ascii="Montserrat" w:eastAsia="Times New Roman" w:hAnsi="Montserrat" w:cs="Calibri"/>
                <w:color w:val="000000"/>
                <w:sz w:val="15"/>
                <w:szCs w:val="15"/>
                <w:highlight w:val="yellow"/>
                <w:lang w:val="es-MX" w:eastAsia="es-MX"/>
              </w:rPr>
            </w:pPr>
            <w:r w:rsidRPr="00255081">
              <w:rPr>
                <w:rFonts w:ascii="Montserrat" w:eastAsia="Times New Roman" w:hAnsi="Montserrat" w:cs="Calibri"/>
                <w:color w:val="000000"/>
                <w:sz w:val="15"/>
                <w:szCs w:val="15"/>
                <w:lang w:val="es-MX" w:eastAsia="es-MX"/>
              </w:rPr>
              <w:t>1</w:t>
            </w:r>
            <w:r w:rsidR="00F468B1" w:rsidRPr="00255081">
              <w:rPr>
                <w:rFonts w:ascii="Montserrat" w:eastAsia="Times New Roman" w:hAnsi="Montserrat" w:cs="Calibri"/>
                <w:color w:val="000000"/>
                <w:sz w:val="15"/>
                <w:szCs w:val="15"/>
                <w:lang w:val="es-MX" w:eastAsia="es-MX"/>
              </w:rPr>
              <w:t>,</w:t>
            </w:r>
            <w:r w:rsidRPr="00255081">
              <w:rPr>
                <w:rFonts w:ascii="Montserrat" w:eastAsia="Times New Roman" w:hAnsi="Montserrat" w:cs="Calibri"/>
                <w:color w:val="000000"/>
                <w:sz w:val="15"/>
                <w:szCs w:val="15"/>
                <w:lang w:val="es-MX" w:eastAsia="es-MX"/>
              </w:rPr>
              <w:t>934</w:t>
            </w:r>
            <w:r w:rsidR="00F468B1" w:rsidRPr="00255081">
              <w:rPr>
                <w:rFonts w:ascii="Montserrat" w:eastAsia="Times New Roman" w:hAnsi="Montserrat" w:cs="Calibri"/>
                <w:color w:val="000000"/>
                <w:sz w:val="15"/>
                <w:szCs w:val="15"/>
                <w:lang w:val="es-MX" w:eastAsia="es-MX"/>
              </w:rPr>
              <w:t>,</w:t>
            </w:r>
            <w:r w:rsidRPr="00255081">
              <w:rPr>
                <w:rFonts w:ascii="Montserrat" w:eastAsia="Times New Roman" w:hAnsi="Montserrat" w:cs="Calibri"/>
                <w:color w:val="000000"/>
                <w:sz w:val="15"/>
                <w:szCs w:val="15"/>
                <w:lang w:val="es-MX" w:eastAsia="es-MX"/>
              </w:rPr>
              <w:t>280</w:t>
            </w:r>
            <w:r w:rsidR="00F468B1" w:rsidRPr="00255081">
              <w:rPr>
                <w:rFonts w:ascii="Montserrat" w:eastAsia="Times New Roman" w:hAnsi="Montserrat" w:cs="Calibri"/>
                <w:color w:val="000000"/>
                <w:sz w:val="15"/>
                <w:szCs w:val="15"/>
                <w:lang w:val="es-MX" w:eastAsia="es-MX"/>
              </w:rPr>
              <w:t>,</w:t>
            </w:r>
            <w:r w:rsidRPr="00255081">
              <w:rPr>
                <w:rFonts w:ascii="Montserrat" w:eastAsia="Times New Roman" w:hAnsi="Montserrat" w:cs="Calibri"/>
                <w:color w:val="000000"/>
                <w:sz w:val="15"/>
                <w:szCs w:val="15"/>
                <w:lang w:val="es-MX" w:eastAsia="es-MX"/>
              </w:rPr>
              <w:t>932</w:t>
            </w:r>
          </w:p>
        </w:tc>
        <w:tc>
          <w:tcPr>
            <w:tcW w:w="2708" w:type="dxa"/>
            <w:gridSpan w:val="2"/>
            <w:tcBorders>
              <w:top w:val="nil"/>
              <w:left w:val="nil"/>
              <w:bottom w:val="nil"/>
              <w:right w:val="nil"/>
            </w:tcBorders>
            <w:shd w:val="clear" w:color="auto" w:fill="F2F2F2" w:themeFill="background1" w:themeFillShade="F2"/>
            <w:tcMar>
              <w:top w:w="0" w:type="dxa"/>
              <w:left w:w="70" w:type="dxa"/>
              <w:bottom w:w="0" w:type="dxa"/>
              <w:right w:w="70" w:type="dxa"/>
            </w:tcMar>
            <w:vAlign w:val="center"/>
          </w:tcPr>
          <w:p w14:paraId="3C5B7109" w14:textId="77777777" w:rsidR="009C3C24" w:rsidRPr="00255081" w:rsidRDefault="009C3C24" w:rsidP="002F797B">
            <w:pPr>
              <w:spacing w:after="0" w:line="240" w:lineRule="exact"/>
              <w:ind w:right="57"/>
              <w:rPr>
                <w:rFonts w:ascii="Montserrat" w:hAnsi="Montserrat"/>
                <w:sz w:val="15"/>
                <w:szCs w:val="15"/>
                <w:highlight w:val="yellow"/>
              </w:rPr>
            </w:pPr>
          </w:p>
        </w:tc>
      </w:tr>
      <w:tr w:rsidR="00031AC3" w:rsidRPr="006F0DF1" w14:paraId="7A345079" w14:textId="77777777" w:rsidTr="00031AC3">
        <w:trPr>
          <w:trHeight w:val="215"/>
          <w:jc w:val="center"/>
        </w:trPr>
        <w:tc>
          <w:tcPr>
            <w:tcW w:w="419" w:type="dxa"/>
            <w:tcBorders>
              <w:top w:val="nil"/>
              <w:left w:val="nil"/>
              <w:bottom w:val="nil"/>
              <w:right w:val="nil"/>
            </w:tcBorders>
            <w:shd w:val="clear" w:color="auto" w:fill="F2F2F2" w:themeFill="background1" w:themeFillShade="F2"/>
            <w:noWrap/>
            <w:tcMar>
              <w:top w:w="0" w:type="dxa"/>
              <w:left w:w="70" w:type="dxa"/>
              <w:bottom w:w="0" w:type="dxa"/>
              <w:right w:w="70" w:type="dxa"/>
            </w:tcMar>
            <w:vAlign w:val="center"/>
          </w:tcPr>
          <w:p w14:paraId="6941C27A" w14:textId="77777777" w:rsidR="00031AC3" w:rsidRPr="000F0321" w:rsidRDefault="00031AC3" w:rsidP="002F797B">
            <w:pPr>
              <w:spacing w:after="0" w:line="240" w:lineRule="exact"/>
              <w:ind w:right="57" w:firstLine="180"/>
              <w:rPr>
                <w:rFonts w:ascii="Montserrat" w:hAnsi="Montserrat"/>
                <w:sz w:val="15"/>
                <w:szCs w:val="15"/>
              </w:rPr>
            </w:pPr>
          </w:p>
        </w:tc>
        <w:tc>
          <w:tcPr>
            <w:tcW w:w="5290" w:type="dxa"/>
            <w:tcBorders>
              <w:top w:val="nil"/>
              <w:left w:val="nil"/>
              <w:bottom w:val="nil"/>
              <w:right w:val="nil"/>
            </w:tcBorders>
            <w:shd w:val="clear" w:color="auto" w:fill="F2F2F2" w:themeFill="background1" w:themeFillShade="F2"/>
            <w:tcMar>
              <w:top w:w="0" w:type="dxa"/>
              <w:left w:w="70" w:type="dxa"/>
              <w:bottom w:w="0" w:type="dxa"/>
              <w:right w:w="70" w:type="dxa"/>
            </w:tcMar>
            <w:vAlign w:val="center"/>
          </w:tcPr>
          <w:p w14:paraId="1ACEB3D7" w14:textId="7C734986" w:rsidR="00031AC3" w:rsidRPr="00255081" w:rsidRDefault="00031AC3" w:rsidP="002F797B">
            <w:pPr>
              <w:spacing w:after="0" w:line="240" w:lineRule="auto"/>
              <w:ind w:firstLineChars="132" w:firstLine="198"/>
              <w:rPr>
                <w:rFonts w:ascii="Montserrat" w:eastAsia="Times New Roman" w:hAnsi="Montserrat" w:cs="Calibri"/>
                <w:color w:val="000000"/>
                <w:sz w:val="15"/>
                <w:szCs w:val="15"/>
                <w:lang w:val="es-MX" w:eastAsia="es-MX"/>
              </w:rPr>
            </w:pPr>
            <w:r w:rsidRPr="00255081">
              <w:rPr>
                <w:rFonts w:ascii="Montserrat" w:eastAsia="Times New Roman" w:hAnsi="Montserrat" w:cs="Calibri"/>
                <w:color w:val="000000"/>
                <w:sz w:val="15"/>
                <w:szCs w:val="15"/>
                <w:lang w:val="es-MX" w:eastAsia="es-MX"/>
              </w:rPr>
              <w:t>Materiales y suministros</w:t>
            </w:r>
          </w:p>
        </w:tc>
        <w:tc>
          <w:tcPr>
            <w:tcW w:w="1849" w:type="dxa"/>
            <w:gridSpan w:val="2"/>
            <w:tcBorders>
              <w:top w:val="nil"/>
              <w:left w:val="nil"/>
              <w:bottom w:val="nil"/>
              <w:right w:val="nil"/>
            </w:tcBorders>
            <w:shd w:val="clear" w:color="auto" w:fill="F2F2F2" w:themeFill="background1" w:themeFillShade="F2"/>
            <w:noWrap/>
            <w:tcMar>
              <w:top w:w="0" w:type="dxa"/>
              <w:left w:w="70" w:type="dxa"/>
              <w:bottom w:w="0" w:type="dxa"/>
              <w:right w:w="70" w:type="dxa"/>
            </w:tcMar>
            <w:vAlign w:val="center"/>
          </w:tcPr>
          <w:p w14:paraId="06D5F9B4" w14:textId="6DCAF5CD" w:rsidR="00031AC3" w:rsidRPr="00255081" w:rsidRDefault="00F468B1" w:rsidP="002F797B">
            <w:pPr>
              <w:spacing w:after="0" w:line="240" w:lineRule="auto"/>
              <w:jc w:val="right"/>
              <w:rPr>
                <w:rFonts w:ascii="Montserrat" w:eastAsia="Times New Roman" w:hAnsi="Montserrat" w:cs="Calibri"/>
                <w:color w:val="000000"/>
                <w:sz w:val="15"/>
                <w:szCs w:val="15"/>
                <w:lang w:val="es-MX" w:eastAsia="es-MX"/>
              </w:rPr>
            </w:pPr>
            <w:r w:rsidRPr="00255081">
              <w:rPr>
                <w:rFonts w:ascii="Montserrat" w:eastAsia="Times New Roman" w:hAnsi="Montserrat" w:cs="Calibri"/>
                <w:color w:val="000000"/>
                <w:sz w:val="15"/>
                <w:szCs w:val="15"/>
                <w:lang w:val="es-MX" w:eastAsia="es-MX"/>
              </w:rPr>
              <w:t>6,676,482,588</w:t>
            </w:r>
          </w:p>
        </w:tc>
        <w:tc>
          <w:tcPr>
            <w:tcW w:w="2708" w:type="dxa"/>
            <w:gridSpan w:val="2"/>
            <w:tcBorders>
              <w:top w:val="nil"/>
              <w:left w:val="nil"/>
              <w:bottom w:val="nil"/>
              <w:right w:val="nil"/>
            </w:tcBorders>
            <w:shd w:val="clear" w:color="auto" w:fill="F2F2F2" w:themeFill="background1" w:themeFillShade="F2"/>
            <w:tcMar>
              <w:top w:w="0" w:type="dxa"/>
              <w:left w:w="70" w:type="dxa"/>
              <w:bottom w:w="0" w:type="dxa"/>
              <w:right w:w="70" w:type="dxa"/>
            </w:tcMar>
            <w:vAlign w:val="center"/>
          </w:tcPr>
          <w:p w14:paraId="59D92383" w14:textId="77777777" w:rsidR="00031AC3" w:rsidRPr="00255081" w:rsidRDefault="00031AC3" w:rsidP="002F797B">
            <w:pPr>
              <w:spacing w:after="0" w:line="240" w:lineRule="exact"/>
              <w:ind w:right="57"/>
              <w:rPr>
                <w:rFonts w:ascii="Montserrat" w:hAnsi="Montserrat"/>
                <w:sz w:val="15"/>
                <w:szCs w:val="15"/>
                <w:highlight w:val="yellow"/>
              </w:rPr>
            </w:pPr>
          </w:p>
        </w:tc>
      </w:tr>
      <w:tr w:rsidR="00031AC3" w:rsidRPr="006F0DF1" w14:paraId="7664B7B0" w14:textId="77777777" w:rsidTr="00031AC3">
        <w:trPr>
          <w:trHeight w:val="215"/>
          <w:jc w:val="center"/>
        </w:trPr>
        <w:tc>
          <w:tcPr>
            <w:tcW w:w="419" w:type="dxa"/>
            <w:tcBorders>
              <w:top w:val="nil"/>
              <w:left w:val="nil"/>
              <w:bottom w:val="nil"/>
              <w:right w:val="nil"/>
            </w:tcBorders>
            <w:shd w:val="clear" w:color="auto" w:fill="F2F2F2" w:themeFill="background1" w:themeFillShade="F2"/>
            <w:noWrap/>
            <w:tcMar>
              <w:top w:w="0" w:type="dxa"/>
              <w:left w:w="70" w:type="dxa"/>
              <w:bottom w:w="0" w:type="dxa"/>
              <w:right w:w="70" w:type="dxa"/>
            </w:tcMar>
            <w:vAlign w:val="center"/>
          </w:tcPr>
          <w:p w14:paraId="3DEAF23D" w14:textId="77777777" w:rsidR="00031AC3" w:rsidRPr="000F0321" w:rsidRDefault="00031AC3" w:rsidP="00031AC3">
            <w:pPr>
              <w:spacing w:after="0" w:line="240" w:lineRule="exact"/>
              <w:ind w:right="57" w:firstLine="180"/>
              <w:rPr>
                <w:rFonts w:ascii="Montserrat" w:hAnsi="Montserrat"/>
                <w:sz w:val="15"/>
                <w:szCs w:val="15"/>
              </w:rPr>
            </w:pPr>
          </w:p>
        </w:tc>
        <w:tc>
          <w:tcPr>
            <w:tcW w:w="5290" w:type="dxa"/>
            <w:tcBorders>
              <w:top w:val="nil"/>
              <w:left w:val="nil"/>
              <w:bottom w:val="nil"/>
              <w:right w:val="nil"/>
            </w:tcBorders>
            <w:shd w:val="clear" w:color="auto" w:fill="F2F2F2" w:themeFill="background1" w:themeFillShade="F2"/>
            <w:tcMar>
              <w:top w:w="0" w:type="dxa"/>
              <w:left w:w="70" w:type="dxa"/>
              <w:bottom w:w="0" w:type="dxa"/>
              <w:right w:w="70" w:type="dxa"/>
            </w:tcMar>
            <w:vAlign w:val="center"/>
          </w:tcPr>
          <w:p w14:paraId="795BDDBB" w14:textId="74ABFEB6" w:rsidR="00031AC3" w:rsidRPr="00255081" w:rsidRDefault="00031AC3" w:rsidP="00031AC3">
            <w:pPr>
              <w:spacing w:after="0" w:line="240" w:lineRule="auto"/>
              <w:ind w:firstLineChars="132" w:firstLine="198"/>
              <w:rPr>
                <w:rFonts w:ascii="Montserrat" w:eastAsia="Times New Roman" w:hAnsi="Montserrat" w:cs="Calibri"/>
                <w:color w:val="000000"/>
                <w:sz w:val="15"/>
                <w:szCs w:val="15"/>
                <w:lang w:val="es-MX" w:eastAsia="es-MX"/>
              </w:rPr>
            </w:pPr>
            <w:r w:rsidRPr="00255081">
              <w:rPr>
                <w:rFonts w:ascii="Montserrat" w:eastAsia="Times New Roman" w:hAnsi="Montserrat" w:cs="Calibri"/>
                <w:color w:val="000000"/>
                <w:sz w:val="15"/>
                <w:szCs w:val="15"/>
                <w:lang w:val="es-MX" w:eastAsia="es-MX"/>
              </w:rPr>
              <w:t>Mobiliario y equipo de administración</w:t>
            </w:r>
          </w:p>
        </w:tc>
        <w:tc>
          <w:tcPr>
            <w:tcW w:w="1849" w:type="dxa"/>
            <w:gridSpan w:val="2"/>
            <w:tcBorders>
              <w:top w:val="nil"/>
              <w:left w:val="nil"/>
              <w:bottom w:val="nil"/>
              <w:right w:val="nil"/>
            </w:tcBorders>
            <w:shd w:val="clear" w:color="auto" w:fill="F2F2F2" w:themeFill="background1" w:themeFillShade="F2"/>
            <w:noWrap/>
            <w:tcMar>
              <w:top w:w="0" w:type="dxa"/>
              <w:left w:w="70" w:type="dxa"/>
              <w:bottom w:w="0" w:type="dxa"/>
              <w:right w:w="70" w:type="dxa"/>
            </w:tcMar>
            <w:vAlign w:val="center"/>
          </w:tcPr>
          <w:p w14:paraId="54564B63" w14:textId="29212771" w:rsidR="00031AC3" w:rsidRPr="00255081" w:rsidRDefault="00F468B1" w:rsidP="00031AC3">
            <w:pPr>
              <w:spacing w:after="0" w:line="240" w:lineRule="auto"/>
              <w:jc w:val="right"/>
              <w:rPr>
                <w:rFonts w:ascii="Montserrat" w:eastAsia="Times New Roman" w:hAnsi="Montserrat" w:cs="Calibri"/>
                <w:color w:val="000000"/>
                <w:sz w:val="15"/>
                <w:szCs w:val="15"/>
                <w:lang w:val="es-MX" w:eastAsia="es-MX"/>
              </w:rPr>
            </w:pPr>
            <w:r w:rsidRPr="00255081">
              <w:rPr>
                <w:rFonts w:ascii="Montserrat" w:eastAsia="Times New Roman" w:hAnsi="Montserrat" w:cs="Calibri"/>
                <w:color w:val="000000"/>
                <w:sz w:val="15"/>
                <w:szCs w:val="15"/>
                <w:lang w:val="es-MX" w:eastAsia="es-MX"/>
              </w:rPr>
              <w:t>357,891,068</w:t>
            </w:r>
          </w:p>
        </w:tc>
        <w:tc>
          <w:tcPr>
            <w:tcW w:w="2708" w:type="dxa"/>
            <w:gridSpan w:val="2"/>
            <w:tcBorders>
              <w:top w:val="nil"/>
              <w:left w:val="nil"/>
              <w:bottom w:val="nil"/>
              <w:right w:val="nil"/>
            </w:tcBorders>
            <w:shd w:val="clear" w:color="auto" w:fill="F2F2F2" w:themeFill="background1" w:themeFillShade="F2"/>
            <w:tcMar>
              <w:top w:w="0" w:type="dxa"/>
              <w:left w:w="70" w:type="dxa"/>
              <w:bottom w:w="0" w:type="dxa"/>
              <w:right w:w="70" w:type="dxa"/>
            </w:tcMar>
            <w:vAlign w:val="center"/>
          </w:tcPr>
          <w:p w14:paraId="0D9709EE" w14:textId="77777777" w:rsidR="00031AC3" w:rsidRPr="00255081" w:rsidRDefault="00031AC3" w:rsidP="00031AC3">
            <w:pPr>
              <w:spacing w:after="0" w:line="240" w:lineRule="exact"/>
              <w:ind w:right="57"/>
              <w:rPr>
                <w:rFonts w:ascii="Montserrat" w:hAnsi="Montserrat"/>
                <w:sz w:val="15"/>
                <w:szCs w:val="15"/>
                <w:highlight w:val="yellow"/>
              </w:rPr>
            </w:pPr>
          </w:p>
        </w:tc>
      </w:tr>
      <w:tr w:rsidR="00031AC3" w:rsidRPr="006F0DF1" w14:paraId="1A4B07F2" w14:textId="77777777" w:rsidTr="00031AC3">
        <w:trPr>
          <w:trHeight w:val="215"/>
          <w:jc w:val="center"/>
        </w:trPr>
        <w:tc>
          <w:tcPr>
            <w:tcW w:w="419" w:type="dxa"/>
            <w:tcBorders>
              <w:top w:val="nil"/>
              <w:left w:val="nil"/>
              <w:bottom w:val="nil"/>
              <w:right w:val="nil"/>
            </w:tcBorders>
            <w:shd w:val="clear" w:color="auto" w:fill="F2F2F2" w:themeFill="background1" w:themeFillShade="F2"/>
            <w:noWrap/>
            <w:tcMar>
              <w:top w:w="0" w:type="dxa"/>
              <w:left w:w="70" w:type="dxa"/>
              <w:bottom w:w="0" w:type="dxa"/>
              <w:right w:w="70" w:type="dxa"/>
            </w:tcMar>
            <w:vAlign w:val="center"/>
          </w:tcPr>
          <w:p w14:paraId="3E917487" w14:textId="77777777" w:rsidR="00031AC3" w:rsidRPr="000F0321" w:rsidRDefault="00031AC3" w:rsidP="00031AC3">
            <w:pPr>
              <w:spacing w:after="0" w:line="240" w:lineRule="exact"/>
              <w:ind w:right="57" w:firstLine="180"/>
              <w:rPr>
                <w:rFonts w:ascii="Montserrat" w:hAnsi="Montserrat"/>
                <w:sz w:val="15"/>
                <w:szCs w:val="15"/>
              </w:rPr>
            </w:pPr>
          </w:p>
        </w:tc>
        <w:tc>
          <w:tcPr>
            <w:tcW w:w="5290" w:type="dxa"/>
            <w:tcBorders>
              <w:top w:val="nil"/>
              <w:left w:val="nil"/>
              <w:bottom w:val="nil"/>
              <w:right w:val="nil"/>
            </w:tcBorders>
            <w:shd w:val="clear" w:color="auto" w:fill="F2F2F2" w:themeFill="background1" w:themeFillShade="F2"/>
            <w:tcMar>
              <w:top w:w="0" w:type="dxa"/>
              <w:left w:w="70" w:type="dxa"/>
              <w:bottom w:w="0" w:type="dxa"/>
              <w:right w:w="70" w:type="dxa"/>
            </w:tcMar>
            <w:vAlign w:val="center"/>
            <w:hideMark/>
          </w:tcPr>
          <w:p w14:paraId="6D3032F6" w14:textId="77777777" w:rsidR="00031AC3" w:rsidRPr="00255081" w:rsidRDefault="00031AC3" w:rsidP="00031AC3">
            <w:pPr>
              <w:spacing w:after="0" w:line="240" w:lineRule="auto"/>
              <w:ind w:firstLineChars="132" w:firstLine="198"/>
              <w:rPr>
                <w:rFonts w:ascii="Montserrat" w:eastAsia="Times New Roman" w:hAnsi="Montserrat" w:cs="Calibri"/>
                <w:color w:val="000000"/>
                <w:sz w:val="15"/>
                <w:szCs w:val="15"/>
                <w:lang w:val="es-MX" w:eastAsia="es-MX"/>
              </w:rPr>
            </w:pPr>
            <w:r w:rsidRPr="00255081">
              <w:rPr>
                <w:rFonts w:ascii="Montserrat" w:eastAsia="Times New Roman" w:hAnsi="Montserrat" w:cs="Calibri"/>
                <w:color w:val="000000"/>
                <w:sz w:val="15"/>
                <w:szCs w:val="15"/>
                <w:lang w:val="es-MX" w:eastAsia="es-MX"/>
              </w:rPr>
              <w:t>Mobiliario y equipo educacional y recreativo</w:t>
            </w:r>
          </w:p>
        </w:tc>
        <w:tc>
          <w:tcPr>
            <w:tcW w:w="1849" w:type="dxa"/>
            <w:gridSpan w:val="2"/>
            <w:tcBorders>
              <w:top w:val="nil"/>
              <w:left w:val="nil"/>
              <w:bottom w:val="nil"/>
              <w:right w:val="nil"/>
            </w:tcBorders>
            <w:shd w:val="clear" w:color="auto" w:fill="F2F2F2" w:themeFill="background1" w:themeFillShade="F2"/>
            <w:noWrap/>
            <w:tcMar>
              <w:top w:w="0" w:type="dxa"/>
              <w:left w:w="70" w:type="dxa"/>
              <w:bottom w:w="0" w:type="dxa"/>
              <w:right w:w="70" w:type="dxa"/>
            </w:tcMar>
            <w:vAlign w:val="center"/>
          </w:tcPr>
          <w:p w14:paraId="6D1FF1FD" w14:textId="3B183409" w:rsidR="00031AC3" w:rsidRPr="00255081" w:rsidRDefault="00F468B1" w:rsidP="00031AC3">
            <w:pPr>
              <w:spacing w:after="0" w:line="240" w:lineRule="auto"/>
              <w:jc w:val="right"/>
              <w:rPr>
                <w:rFonts w:ascii="Montserrat" w:eastAsia="Times New Roman" w:hAnsi="Montserrat" w:cs="Calibri"/>
                <w:color w:val="000000"/>
                <w:sz w:val="15"/>
                <w:szCs w:val="15"/>
                <w:highlight w:val="yellow"/>
                <w:lang w:val="es-MX" w:eastAsia="es-MX"/>
              </w:rPr>
            </w:pPr>
            <w:r w:rsidRPr="00255081">
              <w:rPr>
                <w:rFonts w:ascii="Montserrat" w:eastAsia="Times New Roman" w:hAnsi="Montserrat" w:cs="Calibri"/>
                <w:color w:val="000000"/>
                <w:sz w:val="15"/>
                <w:szCs w:val="15"/>
                <w:lang w:val="es-MX" w:eastAsia="es-MX"/>
              </w:rPr>
              <w:t>51,791,274</w:t>
            </w:r>
          </w:p>
        </w:tc>
        <w:tc>
          <w:tcPr>
            <w:tcW w:w="2708" w:type="dxa"/>
            <w:gridSpan w:val="2"/>
            <w:tcBorders>
              <w:top w:val="nil"/>
              <w:left w:val="nil"/>
              <w:bottom w:val="nil"/>
              <w:right w:val="nil"/>
            </w:tcBorders>
            <w:shd w:val="clear" w:color="auto" w:fill="F2F2F2" w:themeFill="background1" w:themeFillShade="F2"/>
            <w:tcMar>
              <w:top w:w="0" w:type="dxa"/>
              <w:left w:w="70" w:type="dxa"/>
              <w:bottom w:w="0" w:type="dxa"/>
              <w:right w:w="70" w:type="dxa"/>
            </w:tcMar>
            <w:vAlign w:val="center"/>
          </w:tcPr>
          <w:p w14:paraId="7D936307" w14:textId="77777777" w:rsidR="00031AC3" w:rsidRPr="00255081" w:rsidRDefault="00031AC3" w:rsidP="00031AC3">
            <w:pPr>
              <w:spacing w:after="0" w:line="240" w:lineRule="exact"/>
              <w:ind w:right="57"/>
              <w:rPr>
                <w:rFonts w:ascii="Montserrat" w:hAnsi="Montserrat"/>
                <w:sz w:val="15"/>
                <w:szCs w:val="15"/>
                <w:highlight w:val="yellow"/>
              </w:rPr>
            </w:pPr>
          </w:p>
        </w:tc>
      </w:tr>
      <w:tr w:rsidR="00031AC3" w:rsidRPr="006F0DF1" w14:paraId="336041F6" w14:textId="77777777" w:rsidTr="00031AC3">
        <w:trPr>
          <w:trHeight w:val="215"/>
          <w:jc w:val="center"/>
        </w:trPr>
        <w:tc>
          <w:tcPr>
            <w:tcW w:w="419" w:type="dxa"/>
            <w:tcBorders>
              <w:top w:val="nil"/>
              <w:left w:val="nil"/>
              <w:bottom w:val="nil"/>
              <w:right w:val="nil"/>
            </w:tcBorders>
            <w:shd w:val="clear" w:color="auto" w:fill="F2F2F2" w:themeFill="background1" w:themeFillShade="F2"/>
            <w:noWrap/>
            <w:tcMar>
              <w:top w:w="0" w:type="dxa"/>
              <w:left w:w="70" w:type="dxa"/>
              <w:bottom w:w="0" w:type="dxa"/>
              <w:right w:w="70" w:type="dxa"/>
            </w:tcMar>
            <w:vAlign w:val="center"/>
          </w:tcPr>
          <w:p w14:paraId="4B7C80E4" w14:textId="77777777" w:rsidR="00031AC3" w:rsidRPr="000F0321" w:rsidRDefault="00031AC3" w:rsidP="00031AC3">
            <w:pPr>
              <w:spacing w:after="0" w:line="240" w:lineRule="exact"/>
              <w:ind w:right="57" w:firstLine="180"/>
              <w:rPr>
                <w:rFonts w:ascii="Montserrat" w:hAnsi="Montserrat"/>
                <w:sz w:val="15"/>
                <w:szCs w:val="15"/>
              </w:rPr>
            </w:pPr>
          </w:p>
        </w:tc>
        <w:tc>
          <w:tcPr>
            <w:tcW w:w="5290" w:type="dxa"/>
            <w:tcBorders>
              <w:top w:val="nil"/>
              <w:left w:val="nil"/>
              <w:bottom w:val="nil"/>
              <w:right w:val="nil"/>
            </w:tcBorders>
            <w:shd w:val="clear" w:color="auto" w:fill="F2F2F2" w:themeFill="background1" w:themeFillShade="F2"/>
            <w:tcMar>
              <w:top w:w="0" w:type="dxa"/>
              <w:left w:w="70" w:type="dxa"/>
              <w:bottom w:w="0" w:type="dxa"/>
              <w:right w:w="70" w:type="dxa"/>
            </w:tcMar>
            <w:vAlign w:val="center"/>
            <w:hideMark/>
          </w:tcPr>
          <w:p w14:paraId="02698A97" w14:textId="77777777" w:rsidR="00031AC3" w:rsidRPr="00255081" w:rsidRDefault="00031AC3" w:rsidP="00031AC3">
            <w:pPr>
              <w:spacing w:after="0" w:line="240" w:lineRule="auto"/>
              <w:ind w:firstLineChars="132" w:firstLine="198"/>
              <w:rPr>
                <w:rFonts w:ascii="Montserrat" w:eastAsia="Times New Roman" w:hAnsi="Montserrat" w:cs="Calibri"/>
                <w:color w:val="000000"/>
                <w:sz w:val="15"/>
                <w:szCs w:val="15"/>
                <w:lang w:val="es-MX" w:eastAsia="es-MX"/>
              </w:rPr>
            </w:pPr>
            <w:r w:rsidRPr="00255081">
              <w:rPr>
                <w:rFonts w:ascii="Montserrat" w:eastAsia="Times New Roman" w:hAnsi="Montserrat" w:cs="Calibri"/>
                <w:color w:val="000000"/>
                <w:sz w:val="15"/>
                <w:szCs w:val="15"/>
                <w:lang w:val="es-MX" w:eastAsia="es-MX"/>
              </w:rPr>
              <w:t>Equipo e instrumental médico y de laboratorio</w:t>
            </w:r>
          </w:p>
        </w:tc>
        <w:tc>
          <w:tcPr>
            <w:tcW w:w="1849" w:type="dxa"/>
            <w:gridSpan w:val="2"/>
            <w:tcBorders>
              <w:top w:val="nil"/>
              <w:left w:val="nil"/>
              <w:bottom w:val="nil"/>
              <w:right w:val="nil"/>
            </w:tcBorders>
            <w:shd w:val="clear" w:color="auto" w:fill="F2F2F2" w:themeFill="background1" w:themeFillShade="F2"/>
            <w:noWrap/>
            <w:tcMar>
              <w:top w:w="0" w:type="dxa"/>
              <w:left w:w="70" w:type="dxa"/>
              <w:bottom w:w="0" w:type="dxa"/>
              <w:right w:w="70" w:type="dxa"/>
            </w:tcMar>
            <w:vAlign w:val="center"/>
          </w:tcPr>
          <w:p w14:paraId="25F67B94" w14:textId="2A9123A0" w:rsidR="00031AC3" w:rsidRPr="00255081" w:rsidRDefault="00F468B1" w:rsidP="00031AC3">
            <w:pPr>
              <w:spacing w:after="0" w:line="240" w:lineRule="auto"/>
              <w:jc w:val="right"/>
              <w:rPr>
                <w:rFonts w:ascii="Montserrat" w:eastAsia="Times New Roman" w:hAnsi="Montserrat" w:cs="Calibri"/>
                <w:color w:val="000000"/>
                <w:sz w:val="15"/>
                <w:szCs w:val="15"/>
                <w:highlight w:val="yellow"/>
                <w:lang w:val="es-MX" w:eastAsia="es-MX"/>
              </w:rPr>
            </w:pPr>
            <w:r w:rsidRPr="00255081">
              <w:rPr>
                <w:rFonts w:ascii="Montserrat" w:eastAsia="Times New Roman" w:hAnsi="Montserrat" w:cs="Calibri"/>
                <w:color w:val="000000"/>
                <w:sz w:val="15"/>
                <w:szCs w:val="15"/>
                <w:lang w:val="es-MX" w:eastAsia="es-MX"/>
              </w:rPr>
              <w:t>213,250,020</w:t>
            </w:r>
          </w:p>
        </w:tc>
        <w:tc>
          <w:tcPr>
            <w:tcW w:w="2708" w:type="dxa"/>
            <w:gridSpan w:val="2"/>
            <w:tcBorders>
              <w:top w:val="nil"/>
              <w:left w:val="nil"/>
              <w:bottom w:val="nil"/>
              <w:right w:val="nil"/>
            </w:tcBorders>
            <w:shd w:val="clear" w:color="auto" w:fill="F2F2F2" w:themeFill="background1" w:themeFillShade="F2"/>
            <w:tcMar>
              <w:top w:w="0" w:type="dxa"/>
              <w:left w:w="70" w:type="dxa"/>
              <w:bottom w:w="0" w:type="dxa"/>
              <w:right w:w="70" w:type="dxa"/>
            </w:tcMar>
            <w:vAlign w:val="center"/>
          </w:tcPr>
          <w:p w14:paraId="7BEFA37F" w14:textId="77777777" w:rsidR="00031AC3" w:rsidRPr="00255081" w:rsidRDefault="00031AC3" w:rsidP="00031AC3">
            <w:pPr>
              <w:spacing w:after="0" w:line="240" w:lineRule="exact"/>
              <w:ind w:right="57"/>
              <w:rPr>
                <w:rFonts w:ascii="Montserrat" w:hAnsi="Montserrat"/>
                <w:sz w:val="15"/>
                <w:szCs w:val="15"/>
                <w:highlight w:val="yellow"/>
              </w:rPr>
            </w:pPr>
          </w:p>
        </w:tc>
      </w:tr>
      <w:tr w:rsidR="00031AC3" w:rsidRPr="006F0DF1" w14:paraId="33595103" w14:textId="77777777" w:rsidTr="00031AC3">
        <w:trPr>
          <w:trHeight w:val="215"/>
          <w:jc w:val="center"/>
        </w:trPr>
        <w:tc>
          <w:tcPr>
            <w:tcW w:w="419" w:type="dxa"/>
            <w:tcBorders>
              <w:top w:val="nil"/>
              <w:left w:val="nil"/>
              <w:bottom w:val="nil"/>
              <w:right w:val="nil"/>
            </w:tcBorders>
            <w:shd w:val="clear" w:color="auto" w:fill="F2F2F2" w:themeFill="background1" w:themeFillShade="F2"/>
            <w:noWrap/>
            <w:tcMar>
              <w:top w:w="0" w:type="dxa"/>
              <w:left w:w="70" w:type="dxa"/>
              <w:bottom w:w="0" w:type="dxa"/>
              <w:right w:w="70" w:type="dxa"/>
            </w:tcMar>
            <w:vAlign w:val="center"/>
          </w:tcPr>
          <w:p w14:paraId="0ECF59E7" w14:textId="77777777" w:rsidR="00031AC3" w:rsidRPr="000F0321" w:rsidRDefault="00031AC3" w:rsidP="00031AC3">
            <w:pPr>
              <w:spacing w:after="0" w:line="240" w:lineRule="exact"/>
              <w:ind w:right="57" w:firstLine="180"/>
              <w:rPr>
                <w:rFonts w:ascii="Montserrat" w:hAnsi="Montserrat"/>
                <w:sz w:val="15"/>
                <w:szCs w:val="15"/>
              </w:rPr>
            </w:pPr>
          </w:p>
        </w:tc>
        <w:tc>
          <w:tcPr>
            <w:tcW w:w="5290" w:type="dxa"/>
            <w:tcBorders>
              <w:top w:val="nil"/>
              <w:left w:val="nil"/>
              <w:bottom w:val="nil"/>
              <w:right w:val="nil"/>
            </w:tcBorders>
            <w:shd w:val="clear" w:color="auto" w:fill="F2F2F2" w:themeFill="background1" w:themeFillShade="F2"/>
            <w:tcMar>
              <w:top w:w="0" w:type="dxa"/>
              <w:left w:w="70" w:type="dxa"/>
              <w:bottom w:w="0" w:type="dxa"/>
              <w:right w:w="70" w:type="dxa"/>
            </w:tcMar>
            <w:vAlign w:val="center"/>
            <w:hideMark/>
          </w:tcPr>
          <w:p w14:paraId="43B8BD19" w14:textId="77777777" w:rsidR="00031AC3" w:rsidRPr="00255081" w:rsidRDefault="00031AC3" w:rsidP="00031AC3">
            <w:pPr>
              <w:spacing w:after="0" w:line="240" w:lineRule="auto"/>
              <w:ind w:firstLineChars="132" w:firstLine="198"/>
              <w:rPr>
                <w:rFonts w:ascii="Montserrat" w:eastAsia="Times New Roman" w:hAnsi="Montserrat" w:cs="Calibri"/>
                <w:color w:val="000000"/>
                <w:sz w:val="15"/>
                <w:szCs w:val="15"/>
                <w:lang w:val="es-MX" w:eastAsia="es-MX"/>
              </w:rPr>
            </w:pPr>
            <w:r w:rsidRPr="00255081">
              <w:rPr>
                <w:rFonts w:ascii="Montserrat" w:eastAsia="Times New Roman" w:hAnsi="Montserrat" w:cs="Calibri"/>
                <w:color w:val="000000"/>
                <w:sz w:val="15"/>
                <w:szCs w:val="15"/>
                <w:lang w:val="es-MX" w:eastAsia="es-MX"/>
              </w:rPr>
              <w:t>Vehículos y equipo de transporte</w:t>
            </w:r>
          </w:p>
        </w:tc>
        <w:tc>
          <w:tcPr>
            <w:tcW w:w="1849" w:type="dxa"/>
            <w:gridSpan w:val="2"/>
            <w:tcBorders>
              <w:top w:val="nil"/>
              <w:left w:val="nil"/>
              <w:bottom w:val="nil"/>
              <w:right w:val="nil"/>
            </w:tcBorders>
            <w:shd w:val="clear" w:color="auto" w:fill="F2F2F2" w:themeFill="background1" w:themeFillShade="F2"/>
            <w:noWrap/>
            <w:tcMar>
              <w:top w:w="0" w:type="dxa"/>
              <w:left w:w="70" w:type="dxa"/>
              <w:bottom w:w="0" w:type="dxa"/>
              <w:right w:w="70" w:type="dxa"/>
            </w:tcMar>
            <w:vAlign w:val="center"/>
          </w:tcPr>
          <w:p w14:paraId="213B3B2E" w14:textId="1D106940" w:rsidR="00031AC3" w:rsidRPr="00255081" w:rsidRDefault="00F468B1" w:rsidP="00031AC3">
            <w:pPr>
              <w:spacing w:after="0" w:line="240" w:lineRule="auto"/>
              <w:jc w:val="right"/>
              <w:rPr>
                <w:rFonts w:ascii="Montserrat" w:eastAsia="Times New Roman" w:hAnsi="Montserrat" w:cs="Calibri"/>
                <w:color w:val="000000"/>
                <w:sz w:val="15"/>
                <w:szCs w:val="15"/>
                <w:highlight w:val="yellow"/>
                <w:lang w:val="es-MX" w:eastAsia="es-MX"/>
              </w:rPr>
            </w:pPr>
            <w:r w:rsidRPr="00255081">
              <w:rPr>
                <w:rFonts w:ascii="Montserrat" w:eastAsia="Times New Roman" w:hAnsi="Montserrat" w:cs="Calibri"/>
                <w:color w:val="000000"/>
                <w:sz w:val="15"/>
                <w:szCs w:val="15"/>
                <w:lang w:val="es-MX" w:eastAsia="es-MX"/>
              </w:rPr>
              <w:t>245,499,404</w:t>
            </w:r>
          </w:p>
        </w:tc>
        <w:tc>
          <w:tcPr>
            <w:tcW w:w="2708" w:type="dxa"/>
            <w:gridSpan w:val="2"/>
            <w:tcBorders>
              <w:top w:val="nil"/>
              <w:left w:val="nil"/>
              <w:bottom w:val="nil"/>
              <w:right w:val="nil"/>
            </w:tcBorders>
            <w:shd w:val="clear" w:color="auto" w:fill="F2F2F2" w:themeFill="background1" w:themeFillShade="F2"/>
            <w:tcMar>
              <w:top w:w="0" w:type="dxa"/>
              <w:left w:w="70" w:type="dxa"/>
              <w:bottom w:w="0" w:type="dxa"/>
              <w:right w:w="70" w:type="dxa"/>
            </w:tcMar>
            <w:vAlign w:val="center"/>
          </w:tcPr>
          <w:p w14:paraId="785A180B" w14:textId="77777777" w:rsidR="00031AC3" w:rsidRPr="00255081" w:rsidRDefault="00031AC3" w:rsidP="00031AC3">
            <w:pPr>
              <w:spacing w:after="0" w:line="240" w:lineRule="exact"/>
              <w:ind w:right="57"/>
              <w:rPr>
                <w:rFonts w:ascii="Montserrat" w:hAnsi="Montserrat"/>
                <w:sz w:val="15"/>
                <w:szCs w:val="15"/>
                <w:highlight w:val="yellow"/>
              </w:rPr>
            </w:pPr>
          </w:p>
        </w:tc>
      </w:tr>
      <w:tr w:rsidR="00031AC3" w:rsidRPr="006F0DF1" w14:paraId="4242760E" w14:textId="77777777" w:rsidTr="00031AC3">
        <w:trPr>
          <w:trHeight w:val="215"/>
          <w:jc w:val="center"/>
        </w:trPr>
        <w:tc>
          <w:tcPr>
            <w:tcW w:w="419" w:type="dxa"/>
            <w:tcBorders>
              <w:top w:val="nil"/>
              <w:left w:val="nil"/>
              <w:bottom w:val="nil"/>
              <w:right w:val="nil"/>
            </w:tcBorders>
            <w:shd w:val="clear" w:color="auto" w:fill="F2F2F2" w:themeFill="background1" w:themeFillShade="F2"/>
            <w:noWrap/>
            <w:tcMar>
              <w:top w:w="0" w:type="dxa"/>
              <w:left w:w="70" w:type="dxa"/>
              <w:bottom w:w="0" w:type="dxa"/>
              <w:right w:w="70" w:type="dxa"/>
            </w:tcMar>
            <w:vAlign w:val="center"/>
          </w:tcPr>
          <w:p w14:paraId="0485B30A" w14:textId="77777777" w:rsidR="00031AC3" w:rsidRPr="000F0321" w:rsidRDefault="00031AC3" w:rsidP="00031AC3">
            <w:pPr>
              <w:spacing w:after="0" w:line="240" w:lineRule="exact"/>
              <w:ind w:right="57" w:firstLine="180"/>
              <w:rPr>
                <w:rFonts w:ascii="Montserrat" w:hAnsi="Montserrat"/>
                <w:sz w:val="15"/>
                <w:szCs w:val="15"/>
              </w:rPr>
            </w:pPr>
          </w:p>
        </w:tc>
        <w:tc>
          <w:tcPr>
            <w:tcW w:w="5290" w:type="dxa"/>
            <w:tcBorders>
              <w:top w:val="nil"/>
              <w:left w:val="nil"/>
              <w:bottom w:val="nil"/>
              <w:right w:val="nil"/>
            </w:tcBorders>
            <w:shd w:val="clear" w:color="auto" w:fill="F2F2F2" w:themeFill="background1" w:themeFillShade="F2"/>
            <w:tcMar>
              <w:top w:w="0" w:type="dxa"/>
              <w:left w:w="70" w:type="dxa"/>
              <w:bottom w:w="0" w:type="dxa"/>
              <w:right w:w="70" w:type="dxa"/>
            </w:tcMar>
            <w:vAlign w:val="center"/>
            <w:hideMark/>
          </w:tcPr>
          <w:p w14:paraId="18323D09" w14:textId="77777777" w:rsidR="00031AC3" w:rsidRPr="00255081" w:rsidRDefault="00031AC3" w:rsidP="00031AC3">
            <w:pPr>
              <w:spacing w:after="0" w:line="240" w:lineRule="auto"/>
              <w:ind w:firstLineChars="132" w:firstLine="198"/>
              <w:rPr>
                <w:rFonts w:ascii="Montserrat" w:eastAsia="Times New Roman" w:hAnsi="Montserrat" w:cs="Calibri"/>
                <w:color w:val="000000"/>
                <w:sz w:val="15"/>
                <w:szCs w:val="15"/>
                <w:lang w:val="es-MX" w:eastAsia="es-MX"/>
              </w:rPr>
            </w:pPr>
            <w:r w:rsidRPr="00255081">
              <w:rPr>
                <w:rFonts w:ascii="Montserrat" w:eastAsia="Times New Roman" w:hAnsi="Montserrat" w:cs="Calibri"/>
                <w:color w:val="000000"/>
                <w:sz w:val="15"/>
                <w:szCs w:val="15"/>
                <w:lang w:val="es-MX" w:eastAsia="es-MX"/>
              </w:rPr>
              <w:t>Equipo de defensa y seguridad</w:t>
            </w:r>
          </w:p>
        </w:tc>
        <w:tc>
          <w:tcPr>
            <w:tcW w:w="1849" w:type="dxa"/>
            <w:gridSpan w:val="2"/>
            <w:tcBorders>
              <w:top w:val="nil"/>
              <w:left w:val="nil"/>
              <w:bottom w:val="nil"/>
              <w:right w:val="nil"/>
            </w:tcBorders>
            <w:shd w:val="clear" w:color="auto" w:fill="F2F2F2" w:themeFill="background1" w:themeFillShade="F2"/>
            <w:noWrap/>
            <w:tcMar>
              <w:top w:w="0" w:type="dxa"/>
              <w:left w:w="70" w:type="dxa"/>
              <w:bottom w:w="0" w:type="dxa"/>
              <w:right w:w="70" w:type="dxa"/>
            </w:tcMar>
            <w:vAlign w:val="center"/>
          </w:tcPr>
          <w:p w14:paraId="5A5C30CC" w14:textId="19A2719A" w:rsidR="00031AC3" w:rsidRPr="00255081" w:rsidRDefault="00F468B1" w:rsidP="00031AC3">
            <w:pPr>
              <w:spacing w:after="0" w:line="240" w:lineRule="auto"/>
              <w:jc w:val="right"/>
              <w:rPr>
                <w:rFonts w:ascii="Montserrat" w:eastAsia="Times New Roman" w:hAnsi="Montserrat" w:cs="Calibri"/>
                <w:color w:val="000000"/>
                <w:sz w:val="15"/>
                <w:szCs w:val="15"/>
                <w:highlight w:val="yellow"/>
                <w:lang w:val="es-MX" w:eastAsia="es-MX"/>
              </w:rPr>
            </w:pPr>
            <w:r w:rsidRPr="00255081">
              <w:rPr>
                <w:rFonts w:ascii="Montserrat" w:eastAsia="Times New Roman" w:hAnsi="Montserrat" w:cs="Calibri"/>
                <w:color w:val="000000"/>
                <w:sz w:val="15"/>
                <w:szCs w:val="15"/>
                <w:lang w:val="es-MX" w:eastAsia="es-MX"/>
              </w:rPr>
              <w:t>39,315,281</w:t>
            </w:r>
          </w:p>
        </w:tc>
        <w:tc>
          <w:tcPr>
            <w:tcW w:w="2708" w:type="dxa"/>
            <w:gridSpan w:val="2"/>
            <w:tcBorders>
              <w:top w:val="nil"/>
              <w:left w:val="nil"/>
              <w:bottom w:val="nil"/>
              <w:right w:val="nil"/>
            </w:tcBorders>
            <w:shd w:val="clear" w:color="auto" w:fill="F2F2F2" w:themeFill="background1" w:themeFillShade="F2"/>
            <w:tcMar>
              <w:top w:w="0" w:type="dxa"/>
              <w:left w:w="70" w:type="dxa"/>
              <w:bottom w:w="0" w:type="dxa"/>
              <w:right w:w="70" w:type="dxa"/>
            </w:tcMar>
            <w:vAlign w:val="center"/>
          </w:tcPr>
          <w:p w14:paraId="1DC8FA99" w14:textId="77777777" w:rsidR="00031AC3" w:rsidRPr="00255081" w:rsidRDefault="00031AC3" w:rsidP="00031AC3">
            <w:pPr>
              <w:spacing w:after="0" w:line="240" w:lineRule="exact"/>
              <w:ind w:right="57"/>
              <w:rPr>
                <w:rFonts w:ascii="Montserrat" w:hAnsi="Montserrat"/>
                <w:sz w:val="15"/>
                <w:szCs w:val="15"/>
                <w:highlight w:val="yellow"/>
              </w:rPr>
            </w:pPr>
          </w:p>
        </w:tc>
      </w:tr>
      <w:tr w:rsidR="00031AC3" w:rsidRPr="006F0DF1" w14:paraId="548BF226" w14:textId="77777777" w:rsidTr="00031AC3">
        <w:trPr>
          <w:trHeight w:val="215"/>
          <w:jc w:val="center"/>
        </w:trPr>
        <w:tc>
          <w:tcPr>
            <w:tcW w:w="419" w:type="dxa"/>
            <w:tcBorders>
              <w:top w:val="nil"/>
              <w:left w:val="nil"/>
              <w:bottom w:val="nil"/>
              <w:right w:val="nil"/>
            </w:tcBorders>
            <w:shd w:val="clear" w:color="auto" w:fill="F2F2F2" w:themeFill="background1" w:themeFillShade="F2"/>
            <w:noWrap/>
            <w:tcMar>
              <w:top w:w="0" w:type="dxa"/>
              <w:left w:w="70" w:type="dxa"/>
              <w:bottom w:w="0" w:type="dxa"/>
              <w:right w:w="70" w:type="dxa"/>
            </w:tcMar>
            <w:vAlign w:val="center"/>
          </w:tcPr>
          <w:p w14:paraId="0AB7D2F4" w14:textId="77777777" w:rsidR="00031AC3" w:rsidRPr="000F0321" w:rsidRDefault="00031AC3" w:rsidP="00031AC3">
            <w:pPr>
              <w:spacing w:after="0" w:line="240" w:lineRule="exact"/>
              <w:ind w:right="57" w:firstLine="180"/>
              <w:rPr>
                <w:rFonts w:ascii="Montserrat" w:hAnsi="Montserrat"/>
                <w:sz w:val="15"/>
                <w:szCs w:val="15"/>
              </w:rPr>
            </w:pPr>
          </w:p>
        </w:tc>
        <w:tc>
          <w:tcPr>
            <w:tcW w:w="5290" w:type="dxa"/>
            <w:tcBorders>
              <w:top w:val="nil"/>
              <w:left w:val="nil"/>
              <w:bottom w:val="nil"/>
              <w:right w:val="nil"/>
            </w:tcBorders>
            <w:shd w:val="clear" w:color="auto" w:fill="F2F2F2" w:themeFill="background1" w:themeFillShade="F2"/>
            <w:tcMar>
              <w:top w:w="0" w:type="dxa"/>
              <w:left w:w="70" w:type="dxa"/>
              <w:bottom w:w="0" w:type="dxa"/>
              <w:right w:w="70" w:type="dxa"/>
            </w:tcMar>
            <w:vAlign w:val="center"/>
            <w:hideMark/>
          </w:tcPr>
          <w:p w14:paraId="49248247" w14:textId="77777777" w:rsidR="00031AC3" w:rsidRPr="00255081" w:rsidRDefault="00031AC3" w:rsidP="00031AC3">
            <w:pPr>
              <w:spacing w:after="0" w:line="240" w:lineRule="auto"/>
              <w:ind w:firstLineChars="132" w:firstLine="198"/>
              <w:rPr>
                <w:rFonts w:ascii="Montserrat" w:eastAsia="Times New Roman" w:hAnsi="Montserrat" w:cs="Calibri"/>
                <w:color w:val="000000"/>
                <w:sz w:val="15"/>
                <w:szCs w:val="15"/>
                <w:lang w:val="es-MX" w:eastAsia="es-MX"/>
              </w:rPr>
            </w:pPr>
            <w:r w:rsidRPr="00255081">
              <w:rPr>
                <w:rFonts w:ascii="Montserrat" w:eastAsia="Times New Roman" w:hAnsi="Montserrat" w:cs="Calibri"/>
                <w:color w:val="000000"/>
                <w:sz w:val="15"/>
                <w:szCs w:val="15"/>
                <w:lang w:val="es-MX" w:eastAsia="es-MX"/>
              </w:rPr>
              <w:t>Maquinaria, otros equipos y herramientas</w:t>
            </w:r>
          </w:p>
        </w:tc>
        <w:tc>
          <w:tcPr>
            <w:tcW w:w="1849" w:type="dxa"/>
            <w:gridSpan w:val="2"/>
            <w:tcBorders>
              <w:top w:val="nil"/>
              <w:left w:val="nil"/>
              <w:bottom w:val="nil"/>
              <w:right w:val="nil"/>
            </w:tcBorders>
            <w:shd w:val="clear" w:color="auto" w:fill="F2F2F2" w:themeFill="background1" w:themeFillShade="F2"/>
            <w:noWrap/>
            <w:tcMar>
              <w:top w:w="0" w:type="dxa"/>
              <w:left w:w="70" w:type="dxa"/>
              <w:bottom w:w="0" w:type="dxa"/>
              <w:right w:w="70" w:type="dxa"/>
            </w:tcMar>
            <w:vAlign w:val="center"/>
          </w:tcPr>
          <w:p w14:paraId="18A6BB02" w14:textId="07ECE103" w:rsidR="00031AC3" w:rsidRPr="00255081" w:rsidRDefault="00F468B1">
            <w:pPr>
              <w:spacing w:after="0" w:line="240" w:lineRule="auto"/>
              <w:jc w:val="right"/>
              <w:rPr>
                <w:rFonts w:ascii="Montserrat" w:eastAsia="Times New Roman" w:hAnsi="Montserrat" w:cs="Calibri"/>
                <w:color w:val="000000"/>
                <w:sz w:val="15"/>
                <w:szCs w:val="15"/>
                <w:highlight w:val="yellow"/>
                <w:lang w:val="es-MX" w:eastAsia="es-MX"/>
              </w:rPr>
            </w:pPr>
            <w:r w:rsidRPr="00255081">
              <w:rPr>
                <w:rFonts w:ascii="Montserrat" w:eastAsia="Times New Roman" w:hAnsi="Montserrat" w:cs="Calibri"/>
                <w:color w:val="000000"/>
                <w:sz w:val="15"/>
                <w:szCs w:val="15"/>
                <w:lang w:val="es-MX" w:eastAsia="es-MX"/>
              </w:rPr>
              <w:t>508,254,043</w:t>
            </w:r>
          </w:p>
        </w:tc>
        <w:tc>
          <w:tcPr>
            <w:tcW w:w="2708" w:type="dxa"/>
            <w:gridSpan w:val="2"/>
            <w:tcBorders>
              <w:top w:val="nil"/>
              <w:left w:val="nil"/>
              <w:bottom w:val="nil"/>
              <w:right w:val="nil"/>
            </w:tcBorders>
            <w:shd w:val="clear" w:color="auto" w:fill="F2F2F2" w:themeFill="background1" w:themeFillShade="F2"/>
            <w:tcMar>
              <w:top w:w="0" w:type="dxa"/>
              <w:left w:w="70" w:type="dxa"/>
              <w:bottom w:w="0" w:type="dxa"/>
              <w:right w:w="70" w:type="dxa"/>
            </w:tcMar>
            <w:vAlign w:val="center"/>
          </w:tcPr>
          <w:p w14:paraId="4F60EDB4" w14:textId="77777777" w:rsidR="00031AC3" w:rsidRPr="00255081" w:rsidRDefault="00031AC3" w:rsidP="00031AC3">
            <w:pPr>
              <w:spacing w:after="0" w:line="240" w:lineRule="exact"/>
              <w:ind w:right="57"/>
              <w:rPr>
                <w:rFonts w:ascii="Montserrat" w:hAnsi="Montserrat"/>
                <w:sz w:val="15"/>
                <w:szCs w:val="15"/>
                <w:highlight w:val="yellow"/>
              </w:rPr>
            </w:pPr>
          </w:p>
        </w:tc>
      </w:tr>
      <w:tr w:rsidR="00031AC3" w:rsidRPr="006F0DF1" w14:paraId="470C811B" w14:textId="77777777" w:rsidTr="00031AC3">
        <w:trPr>
          <w:trHeight w:val="215"/>
          <w:jc w:val="center"/>
        </w:trPr>
        <w:tc>
          <w:tcPr>
            <w:tcW w:w="419" w:type="dxa"/>
            <w:tcBorders>
              <w:top w:val="nil"/>
              <w:left w:val="nil"/>
              <w:bottom w:val="nil"/>
              <w:right w:val="nil"/>
            </w:tcBorders>
            <w:shd w:val="clear" w:color="auto" w:fill="F2F2F2" w:themeFill="background1" w:themeFillShade="F2"/>
            <w:noWrap/>
            <w:tcMar>
              <w:top w:w="0" w:type="dxa"/>
              <w:left w:w="70" w:type="dxa"/>
              <w:bottom w:w="0" w:type="dxa"/>
              <w:right w:w="70" w:type="dxa"/>
            </w:tcMar>
            <w:vAlign w:val="center"/>
          </w:tcPr>
          <w:p w14:paraId="17D57AE4" w14:textId="77777777" w:rsidR="00031AC3" w:rsidRPr="000F0321" w:rsidRDefault="00031AC3" w:rsidP="00031AC3">
            <w:pPr>
              <w:spacing w:after="0" w:line="240" w:lineRule="exact"/>
              <w:ind w:right="57" w:firstLine="180"/>
              <w:rPr>
                <w:rFonts w:ascii="Montserrat" w:hAnsi="Montserrat"/>
                <w:sz w:val="15"/>
                <w:szCs w:val="15"/>
              </w:rPr>
            </w:pPr>
          </w:p>
        </w:tc>
        <w:tc>
          <w:tcPr>
            <w:tcW w:w="5290" w:type="dxa"/>
            <w:tcBorders>
              <w:top w:val="nil"/>
              <w:left w:val="nil"/>
              <w:bottom w:val="nil"/>
              <w:right w:val="nil"/>
            </w:tcBorders>
            <w:shd w:val="clear" w:color="auto" w:fill="F2F2F2" w:themeFill="background1" w:themeFillShade="F2"/>
            <w:tcMar>
              <w:top w:w="0" w:type="dxa"/>
              <w:left w:w="70" w:type="dxa"/>
              <w:bottom w:w="0" w:type="dxa"/>
              <w:right w:w="70" w:type="dxa"/>
            </w:tcMar>
            <w:vAlign w:val="center"/>
            <w:hideMark/>
          </w:tcPr>
          <w:p w14:paraId="73D8438F" w14:textId="77777777" w:rsidR="00031AC3" w:rsidRPr="00255081" w:rsidRDefault="00031AC3" w:rsidP="00031AC3">
            <w:pPr>
              <w:spacing w:after="0" w:line="240" w:lineRule="auto"/>
              <w:ind w:firstLineChars="132" w:firstLine="198"/>
              <w:rPr>
                <w:rFonts w:ascii="Montserrat" w:eastAsia="Times New Roman" w:hAnsi="Montserrat" w:cs="Calibri"/>
                <w:color w:val="000000"/>
                <w:sz w:val="15"/>
                <w:szCs w:val="15"/>
                <w:lang w:val="es-MX" w:eastAsia="es-MX"/>
              </w:rPr>
            </w:pPr>
            <w:r w:rsidRPr="00255081">
              <w:rPr>
                <w:rFonts w:ascii="Montserrat" w:eastAsia="Times New Roman" w:hAnsi="Montserrat" w:cs="Calibri"/>
                <w:color w:val="000000"/>
                <w:sz w:val="15"/>
                <w:szCs w:val="15"/>
                <w:lang w:val="es-MX" w:eastAsia="es-MX"/>
              </w:rPr>
              <w:t>Activos biológicos</w:t>
            </w:r>
          </w:p>
        </w:tc>
        <w:tc>
          <w:tcPr>
            <w:tcW w:w="1849" w:type="dxa"/>
            <w:gridSpan w:val="2"/>
            <w:tcBorders>
              <w:top w:val="nil"/>
              <w:left w:val="nil"/>
              <w:bottom w:val="nil"/>
              <w:right w:val="nil"/>
            </w:tcBorders>
            <w:shd w:val="clear" w:color="auto" w:fill="F2F2F2" w:themeFill="background1" w:themeFillShade="F2"/>
            <w:noWrap/>
            <w:tcMar>
              <w:top w:w="0" w:type="dxa"/>
              <w:left w:w="70" w:type="dxa"/>
              <w:bottom w:w="0" w:type="dxa"/>
              <w:right w:w="70" w:type="dxa"/>
            </w:tcMar>
            <w:vAlign w:val="center"/>
          </w:tcPr>
          <w:p w14:paraId="4AA4B0C5" w14:textId="2580EF2E" w:rsidR="00031AC3" w:rsidRPr="00255081" w:rsidRDefault="00031AC3" w:rsidP="00031AC3">
            <w:pPr>
              <w:spacing w:after="0" w:line="240" w:lineRule="auto"/>
              <w:jc w:val="right"/>
              <w:rPr>
                <w:rFonts w:ascii="Montserrat" w:eastAsia="Times New Roman" w:hAnsi="Montserrat" w:cs="Calibri"/>
                <w:color w:val="000000"/>
                <w:sz w:val="15"/>
                <w:szCs w:val="15"/>
                <w:highlight w:val="yellow"/>
                <w:lang w:val="es-MX" w:eastAsia="es-MX"/>
              </w:rPr>
            </w:pPr>
            <w:r w:rsidRPr="00255081">
              <w:rPr>
                <w:rFonts w:ascii="Montserrat" w:eastAsia="Times New Roman" w:hAnsi="Montserrat" w:cs="Calibri"/>
                <w:color w:val="000000"/>
                <w:sz w:val="15"/>
                <w:szCs w:val="15"/>
                <w:lang w:val="es-MX" w:eastAsia="es-MX"/>
              </w:rPr>
              <w:t>0</w:t>
            </w:r>
          </w:p>
        </w:tc>
        <w:tc>
          <w:tcPr>
            <w:tcW w:w="2708" w:type="dxa"/>
            <w:gridSpan w:val="2"/>
            <w:tcBorders>
              <w:top w:val="nil"/>
              <w:left w:val="nil"/>
              <w:bottom w:val="nil"/>
              <w:right w:val="nil"/>
            </w:tcBorders>
            <w:shd w:val="clear" w:color="auto" w:fill="F2F2F2" w:themeFill="background1" w:themeFillShade="F2"/>
            <w:tcMar>
              <w:top w:w="0" w:type="dxa"/>
              <w:left w:w="70" w:type="dxa"/>
              <w:bottom w:w="0" w:type="dxa"/>
              <w:right w:w="70" w:type="dxa"/>
            </w:tcMar>
            <w:vAlign w:val="center"/>
          </w:tcPr>
          <w:p w14:paraId="2B1E5E18" w14:textId="77777777" w:rsidR="00031AC3" w:rsidRPr="00255081" w:rsidRDefault="00031AC3" w:rsidP="00031AC3">
            <w:pPr>
              <w:spacing w:after="0" w:line="240" w:lineRule="exact"/>
              <w:ind w:right="57"/>
              <w:rPr>
                <w:rFonts w:ascii="Montserrat" w:hAnsi="Montserrat"/>
                <w:sz w:val="15"/>
                <w:szCs w:val="15"/>
                <w:highlight w:val="yellow"/>
              </w:rPr>
            </w:pPr>
          </w:p>
        </w:tc>
      </w:tr>
      <w:tr w:rsidR="00031AC3" w:rsidRPr="006F0DF1" w14:paraId="5F3867D3" w14:textId="77777777" w:rsidTr="00031AC3">
        <w:trPr>
          <w:trHeight w:val="215"/>
          <w:jc w:val="center"/>
        </w:trPr>
        <w:tc>
          <w:tcPr>
            <w:tcW w:w="419" w:type="dxa"/>
            <w:tcBorders>
              <w:top w:val="nil"/>
              <w:left w:val="nil"/>
              <w:bottom w:val="nil"/>
              <w:right w:val="nil"/>
            </w:tcBorders>
            <w:shd w:val="clear" w:color="auto" w:fill="F2F2F2" w:themeFill="background1" w:themeFillShade="F2"/>
            <w:noWrap/>
            <w:tcMar>
              <w:top w:w="0" w:type="dxa"/>
              <w:left w:w="70" w:type="dxa"/>
              <w:bottom w:w="0" w:type="dxa"/>
              <w:right w:w="70" w:type="dxa"/>
            </w:tcMar>
            <w:vAlign w:val="center"/>
          </w:tcPr>
          <w:p w14:paraId="45C1C01A" w14:textId="77777777" w:rsidR="00031AC3" w:rsidRPr="000F0321" w:rsidRDefault="00031AC3" w:rsidP="00031AC3">
            <w:pPr>
              <w:spacing w:after="0" w:line="240" w:lineRule="exact"/>
              <w:ind w:right="57" w:firstLine="180"/>
              <w:rPr>
                <w:rFonts w:ascii="Montserrat" w:hAnsi="Montserrat"/>
                <w:sz w:val="15"/>
                <w:szCs w:val="15"/>
              </w:rPr>
            </w:pPr>
          </w:p>
        </w:tc>
        <w:tc>
          <w:tcPr>
            <w:tcW w:w="5290" w:type="dxa"/>
            <w:tcBorders>
              <w:top w:val="nil"/>
              <w:left w:val="nil"/>
              <w:bottom w:val="nil"/>
              <w:right w:val="nil"/>
            </w:tcBorders>
            <w:shd w:val="clear" w:color="auto" w:fill="F2F2F2" w:themeFill="background1" w:themeFillShade="F2"/>
            <w:tcMar>
              <w:top w:w="0" w:type="dxa"/>
              <w:left w:w="70" w:type="dxa"/>
              <w:bottom w:w="0" w:type="dxa"/>
              <w:right w:w="70" w:type="dxa"/>
            </w:tcMar>
            <w:vAlign w:val="center"/>
            <w:hideMark/>
          </w:tcPr>
          <w:p w14:paraId="34F37060" w14:textId="77777777" w:rsidR="00031AC3" w:rsidRPr="00255081" w:rsidRDefault="00031AC3" w:rsidP="00031AC3">
            <w:pPr>
              <w:spacing w:after="0" w:line="240" w:lineRule="auto"/>
              <w:ind w:firstLineChars="132" w:firstLine="198"/>
              <w:rPr>
                <w:rFonts w:ascii="Montserrat" w:eastAsia="Times New Roman" w:hAnsi="Montserrat" w:cs="Calibri"/>
                <w:color w:val="000000"/>
                <w:sz w:val="15"/>
                <w:szCs w:val="15"/>
                <w:lang w:val="es-MX" w:eastAsia="es-MX"/>
              </w:rPr>
            </w:pPr>
            <w:r w:rsidRPr="00255081">
              <w:rPr>
                <w:rFonts w:ascii="Montserrat" w:eastAsia="Times New Roman" w:hAnsi="Montserrat" w:cs="Calibri"/>
                <w:color w:val="000000"/>
                <w:sz w:val="15"/>
                <w:szCs w:val="15"/>
                <w:lang w:val="es-MX" w:eastAsia="es-MX"/>
              </w:rPr>
              <w:t>Bienes inmuebles</w:t>
            </w:r>
          </w:p>
        </w:tc>
        <w:tc>
          <w:tcPr>
            <w:tcW w:w="1849" w:type="dxa"/>
            <w:gridSpan w:val="2"/>
            <w:tcBorders>
              <w:top w:val="nil"/>
              <w:left w:val="nil"/>
              <w:bottom w:val="nil"/>
              <w:right w:val="nil"/>
            </w:tcBorders>
            <w:shd w:val="clear" w:color="auto" w:fill="F2F2F2" w:themeFill="background1" w:themeFillShade="F2"/>
            <w:noWrap/>
            <w:tcMar>
              <w:top w:w="0" w:type="dxa"/>
              <w:left w:w="70" w:type="dxa"/>
              <w:bottom w:w="0" w:type="dxa"/>
              <w:right w:w="70" w:type="dxa"/>
            </w:tcMar>
            <w:vAlign w:val="center"/>
          </w:tcPr>
          <w:p w14:paraId="7A2ADEED" w14:textId="5E648F4D" w:rsidR="00031AC3" w:rsidRPr="00255081" w:rsidRDefault="00F468B1" w:rsidP="00031AC3">
            <w:pPr>
              <w:spacing w:after="0" w:line="240" w:lineRule="auto"/>
              <w:jc w:val="right"/>
              <w:rPr>
                <w:rFonts w:ascii="Montserrat" w:eastAsia="Times New Roman" w:hAnsi="Montserrat" w:cs="Calibri"/>
                <w:color w:val="000000"/>
                <w:sz w:val="15"/>
                <w:szCs w:val="15"/>
                <w:highlight w:val="yellow"/>
                <w:lang w:val="es-MX" w:eastAsia="es-MX"/>
              </w:rPr>
            </w:pPr>
            <w:r w:rsidRPr="00255081">
              <w:rPr>
                <w:rFonts w:ascii="Montserrat" w:eastAsia="Times New Roman" w:hAnsi="Montserrat" w:cs="Calibri"/>
                <w:color w:val="000000"/>
                <w:sz w:val="15"/>
                <w:szCs w:val="15"/>
                <w:lang w:val="es-MX" w:eastAsia="es-MX"/>
              </w:rPr>
              <w:t>4,892,724,434</w:t>
            </w:r>
          </w:p>
        </w:tc>
        <w:tc>
          <w:tcPr>
            <w:tcW w:w="2708" w:type="dxa"/>
            <w:gridSpan w:val="2"/>
            <w:tcBorders>
              <w:top w:val="nil"/>
              <w:left w:val="nil"/>
              <w:bottom w:val="nil"/>
              <w:right w:val="nil"/>
            </w:tcBorders>
            <w:shd w:val="clear" w:color="auto" w:fill="F2F2F2" w:themeFill="background1" w:themeFillShade="F2"/>
            <w:tcMar>
              <w:top w:w="0" w:type="dxa"/>
              <w:left w:w="70" w:type="dxa"/>
              <w:bottom w:w="0" w:type="dxa"/>
              <w:right w:w="70" w:type="dxa"/>
            </w:tcMar>
            <w:vAlign w:val="center"/>
          </w:tcPr>
          <w:p w14:paraId="59B711F2" w14:textId="77777777" w:rsidR="00031AC3" w:rsidRPr="00255081" w:rsidRDefault="00031AC3" w:rsidP="00031AC3">
            <w:pPr>
              <w:spacing w:after="0" w:line="240" w:lineRule="exact"/>
              <w:ind w:right="57"/>
              <w:rPr>
                <w:rFonts w:ascii="Montserrat" w:hAnsi="Montserrat"/>
                <w:sz w:val="15"/>
                <w:szCs w:val="15"/>
                <w:highlight w:val="yellow"/>
              </w:rPr>
            </w:pPr>
          </w:p>
        </w:tc>
      </w:tr>
      <w:tr w:rsidR="00031AC3" w:rsidRPr="006F0DF1" w14:paraId="668A4D61" w14:textId="77777777" w:rsidTr="00031AC3">
        <w:trPr>
          <w:trHeight w:val="215"/>
          <w:jc w:val="center"/>
        </w:trPr>
        <w:tc>
          <w:tcPr>
            <w:tcW w:w="419" w:type="dxa"/>
            <w:tcBorders>
              <w:top w:val="nil"/>
              <w:left w:val="nil"/>
              <w:bottom w:val="nil"/>
              <w:right w:val="nil"/>
            </w:tcBorders>
            <w:shd w:val="clear" w:color="auto" w:fill="F2F2F2" w:themeFill="background1" w:themeFillShade="F2"/>
            <w:noWrap/>
            <w:tcMar>
              <w:top w:w="0" w:type="dxa"/>
              <w:left w:w="70" w:type="dxa"/>
              <w:bottom w:w="0" w:type="dxa"/>
              <w:right w:w="70" w:type="dxa"/>
            </w:tcMar>
            <w:vAlign w:val="center"/>
          </w:tcPr>
          <w:p w14:paraId="11F3ED9C" w14:textId="77777777" w:rsidR="00031AC3" w:rsidRPr="000F0321" w:rsidRDefault="00031AC3" w:rsidP="00031AC3">
            <w:pPr>
              <w:spacing w:after="0" w:line="240" w:lineRule="exact"/>
              <w:ind w:right="57" w:firstLine="180"/>
              <w:rPr>
                <w:rFonts w:ascii="Montserrat" w:hAnsi="Montserrat"/>
                <w:sz w:val="15"/>
                <w:szCs w:val="15"/>
              </w:rPr>
            </w:pPr>
          </w:p>
        </w:tc>
        <w:tc>
          <w:tcPr>
            <w:tcW w:w="5290" w:type="dxa"/>
            <w:tcBorders>
              <w:top w:val="nil"/>
              <w:left w:val="nil"/>
              <w:bottom w:val="nil"/>
              <w:right w:val="nil"/>
            </w:tcBorders>
            <w:shd w:val="clear" w:color="auto" w:fill="F2F2F2" w:themeFill="background1" w:themeFillShade="F2"/>
            <w:tcMar>
              <w:top w:w="0" w:type="dxa"/>
              <w:left w:w="70" w:type="dxa"/>
              <w:bottom w:w="0" w:type="dxa"/>
              <w:right w:w="70" w:type="dxa"/>
            </w:tcMar>
            <w:vAlign w:val="center"/>
            <w:hideMark/>
          </w:tcPr>
          <w:p w14:paraId="55EF38FC" w14:textId="77777777" w:rsidR="00031AC3" w:rsidRPr="00255081" w:rsidRDefault="00031AC3" w:rsidP="00031AC3">
            <w:pPr>
              <w:spacing w:after="0" w:line="240" w:lineRule="auto"/>
              <w:ind w:firstLineChars="132" w:firstLine="198"/>
              <w:rPr>
                <w:rFonts w:ascii="Montserrat" w:eastAsia="Times New Roman" w:hAnsi="Montserrat" w:cs="Calibri"/>
                <w:color w:val="000000"/>
                <w:sz w:val="15"/>
                <w:szCs w:val="15"/>
                <w:lang w:val="es-MX" w:eastAsia="es-MX"/>
              </w:rPr>
            </w:pPr>
            <w:r w:rsidRPr="00255081">
              <w:rPr>
                <w:rFonts w:ascii="Montserrat" w:eastAsia="Times New Roman" w:hAnsi="Montserrat" w:cs="Calibri"/>
                <w:color w:val="000000"/>
                <w:sz w:val="15"/>
                <w:szCs w:val="15"/>
                <w:lang w:val="es-MX" w:eastAsia="es-MX"/>
              </w:rPr>
              <w:t>Activos intangibles</w:t>
            </w:r>
          </w:p>
        </w:tc>
        <w:tc>
          <w:tcPr>
            <w:tcW w:w="1849" w:type="dxa"/>
            <w:gridSpan w:val="2"/>
            <w:tcBorders>
              <w:top w:val="nil"/>
              <w:left w:val="nil"/>
              <w:bottom w:val="nil"/>
              <w:right w:val="nil"/>
            </w:tcBorders>
            <w:shd w:val="clear" w:color="auto" w:fill="F2F2F2" w:themeFill="background1" w:themeFillShade="F2"/>
            <w:noWrap/>
            <w:tcMar>
              <w:top w:w="0" w:type="dxa"/>
              <w:left w:w="70" w:type="dxa"/>
              <w:bottom w:w="0" w:type="dxa"/>
              <w:right w:w="70" w:type="dxa"/>
            </w:tcMar>
            <w:vAlign w:val="center"/>
          </w:tcPr>
          <w:p w14:paraId="556A080B" w14:textId="52DA63C6" w:rsidR="00031AC3" w:rsidRPr="00255081" w:rsidRDefault="00F468B1" w:rsidP="00031AC3">
            <w:pPr>
              <w:spacing w:after="0" w:line="240" w:lineRule="auto"/>
              <w:jc w:val="right"/>
              <w:rPr>
                <w:rFonts w:ascii="Montserrat" w:eastAsia="Times New Roman" w:hAnsi="Montserrat" w:cs="Calibri"/>
                <w:color w:val="000000"/>
                <w:sz w:val="15"/>
                <w:szCs w:val="15"/>
                <w:highlight w:val="yellow"/>
                <w:lang w:val="es-MX" w:eastAsia="es-MX"/>
              </w:rPr>
            </w:pPr>
            <w:r w:rsidRPr="00255081">
              <w:rPr>
                <w:rFonts w:ascii="Montserrat" w:eastAsia="Times New Roman" w:hAnsi="Montserrat" w:cs="Calibri"/>
                <w:color w:val="000000"/>
                <w:sz w:val="15"/>
                <w:szCs w:val="15"/>
                <w:lang w:val="es-MX" w:eastAsia="es-MX"/>
              </w:rPr>
              <w:t>20,519,770</w:t>
            </w:r>
          </w:p>
        </w:tc>
        <w:tc>
          <w:tcPr>
            <w:tcW w:w="2708" w:type="dxa"/>
            <w:gridSpan w:val="2"/>
            <w:tcBorders>
              <w:top w:val="nil"/>
              <w:left w:val="nil"/>
              <w:bottom w:val="nil"/>
              <w:right w:val="nil"/>
            </w:tcBorders>
            <w:shd w:val="clear" w:color="auto" w:fill="F2F2F2" w:themeFill="background1" w:themeFillShade="F2"/>
            <w:tcMar>
              <w:top w:w="0" w:type="dxa"/>
              <w:left w:w="70" w:type="dxa"/>
              <w:bottom w:w="0" w:type="dxa"/>
              <w:right w:w="70" w:type="dxa"/>
            </w:tcMar>
            <w:vAlign w:val="center"/>
          </w:tcPr>
          <w:p w14:paraId="5FC3686F" w14:textId="77777777" w:rsidR="00031AC3" w:rsidRPr="00255081" w:rsidRDefault="00031AC3" w:rsidP="00031AC3">
            <w:pPr>
              <w:spacing w:after="0" w:line="240" w:lineRule="exact"/>
              <w:ind w:right="57"/>
              <w:rPr>
                <w:rFonts w:ascii="Montserrat" w:hAnsi="Montserrat"/>
                <w:sz w:val="15"/>
                <w:szCs w:val="15"/>
                <w:highlight w:val="yellow"/>
              </w:rPr>
            </w:pPr>
          </w:p>
        </w:tc>
      </w:tr>
      <w:tr w:rsidR="00031AC3" w:rsidRPr="006F0DF1" w14:paraId="6B8ED086" w14:textId="77777777" w:rsidTr="00031AC3">
        <w:trPr>
          <w:trHeight w:val="215"/>
          <w:jc w:val="center"/>
        </w:trPr>
        <w:tc>
          <w:tcPr>
            <w:tcW w:w="419" w:type="dxa"/>
            <w:tcBorders>
              <w:top w:val="nil"/>
              <w:left w:val="nil"/>
              <w:bottom w:val="nil"/>
              <w:right w:val="nil"/>
            </w:tcBorders>
            <w:shd w:val="clear" w:color="auto" w:fill="F2F2F2" w:themeFill="background1" w:themeFillShade="F2"/>
            <w:noWrap/>
            <w:tcMar>
              <w:top w:w="0" w:type="dxa"/>
              <w:left w:w="70" w:type="dxa"/>
              <w:bottom w:w="0" w:type="dxa"/>
              <w:right w:w="70" w:type="dxa"/>
            </w:tcMar>
            <w:vAlign w:val="center"/>
          </w:tcPr>
          <w:p w14:paraId="1BED0CE6" w14:textId="77777777" w:rsidR="00031AC3" w:rsidRPr="000F0321" w:rsidRDefault="00031AC3" w:rsidP="00031AC3">
            <w:pPr>
              <w:spacing w:after="0" w:line="240" w:lineRule="exact"/>
              <w:ind w:right="57" w:firstLine="180"/>
              <w:rPr>
                <w:rFonts w:ascii="Montserrat" w:hAnsi="Montserrat"/>
                <w:sz w:val="15"/>
                <w:szCs w:val="15"/>
              </w:rPr>
            </w:pPr>
          </w:p>
        </w:tc>
        <w:tc>
          <w:tcPr>
            <w:tcW w:w="5290" w:type="dxa"/>
            <w:tcBorders>
              <w:top w:val="nil"/>
              <w:left w:val="nil"/>
              <w:bottom w:val="nil"/>
              <w:right w:val="nil"/>
            </w:tcBorders>
            <w:shd w:val="clear" w:color="auto" w:fill="F2F2F2" w:themeFill="background1" w:themeFillShade="F2"/>
            <w:tcMar>
              <w:top w:w="0" w:type="dxa"/>
              <w:left w:w="70" w:type="dxa"/>
              <w:bottom w:w="0" w:type="dxa"/>
              <w:right w:w="70" w:type="dxa"/>
            </w:tcMar>
            <w:vAlign w:val="center"/>
          </w:tcPr>
          <w:p w14:paraId="70149F61" w14:textId="1AAE6178" w:rsidR="00031AC3" w:rsidRPr="00255081" w:rsidRDefault="00031AC3" w:rsidP="00031AC3">
            <w:pPr>
              <w:spacing w:after="0" w:line="240" w:lineRule="auto"/>
              <w:ind w:firstLineChars="132" w:firstLine="198"/>
              <w:rPr>
                <w:rFonts w:ascii="Montserrat" w:eastAsia="Times New Roman" w:hAnsi="Montserrat" w:cs="Calibri"/>
                <w:color w:val="000000"/>
                <w:sz w:val="15"/>
                <w:szCs w:val="15"/>
                <w:lang w:val="es-MX" w:eastAsia="es-MX"/>
              </w:rPr>
            </w:pPr>
            <w:r w:rsidRPr="00255081">
              <w:rPr>
                <w:rFonts w:ascii="Montserrat" w:eastAsia="Times New Roman" w:hAnsi="Montserrat" w:cs="Calibri"/>
                <w:color w:val="000000"/>
                <w:sz w:val="15"/>
                <w:szCs w:val="15"/>
                <w:lang w:val="es-MX" w:eastAsia="es-MX"/>
              </w:rPr>
              <w:t>Obra pública en bienes de dominio público</w:t>
            </w:r>
          </w:p>
        </w:tc>
        <w:tc>
          <w:tcPr>
            <w:tcW w:w="1849" w:type="dxa"/>
            <w:gridSpan w:val="2"/>
            <w:tcBorders>
              <w:top w:val="nil"/>
              <w:left w:val="nil"/>
              <w:bottom w:val="nil"/>
              <w:right w:val="nil"/>
            </w:tcBorders>
            <w:shd w:val="clear" w:color="auto" w:fill="F2F2F2" w:themeFill="background1" w:themeFillShade="F2"/>
            <w:noWrap/>
            <w:tcMar>
              <w:top w:w="0" w:type="dxa"/>
              <w:left w:w="70" w:type="dxa"/>
              <w:bottom w:w="0" w:type="dxa"/>
              <w:right w:w="70" w:type="dxa"/>
            </w:tcMar>
            <w:vAlign w:val="center"/>
          </w:tcPr>
          <w:p w14:paraId="6233458C" w14:textId="508B09A3" w:rsidR="00031AC3" w:rsidRPr="00255081" w:rsidRDefault="00F468B1" w:rsidP="00031AC3">
            <w:pPr>
              <w:spacing w:after="0" w:line="240" w:lineRule="auto"/>
              <w:jc w:val="right"/>
              <w:rPr>
                <w:rFonts w:ascii="Montserrat" w:eastAsia="Times New Roman" w:hAnsi="Montserrat" w:cs="Calibri"/>
                <w:color w:val="000000"/>
                <w:sz w:val="15"/>
                <w:szCs w:val="15"/>
                <w:lang w:val="es-MX" w:eastAsia="es-MX"/>
              </w:rPr>
            </w:pPr>
            <w:r w:rsidRPr="00255081">
              <w:rPr>
                <w:rFonts w:ascii="Montserrat" w:eastAsia="Times New Roman" w:hAnsi="Montserrat" w:cs="Calibri"/>
                <w:color w:val="000000"/>
                <w:sz w:val="15"/>
                <w:szCs w:val="15"/>
                <w:lang w:val="es-MX" w:eastAsia="es-MX"/>
              </w:rPr>
              <w:t>0</w:t>
            </w:r>
          </w:p>
        </w:tc>
        <w:tc>
          <w:tcPr>
            <w:tcW w:w="2708" w:type="dxa"/>
            <w:gridSpan w:val="2"/>
            <w:tcBorders>
              <w:top w:val="nil"/>
              <w:left w:val="nil"/>
              <w:bottom w:val="nil"/>
              <w:right w:val="nil"/>
            </w:tcBorders>
            <w:shd w:val="clear" w:color="auto" w:fill="F2F2F2" w:themeFill="background1" w:themeFillShade="F2"/>
            <w:tcMar>
              <w:top w:w="0" w:type="dxa"/>
              <w:left w:w="70" w:type="dxa"/>
              <w:bottom w:w="0" w:type="dxa"/>
              <w:right w:w="70" w:type="dxa"/>
            </w:tcMar>
            <w:vAlign w:val="center"/>
          </w:tcPr>
          <w:p w14:paraId="63FFE8B2" w14:textId="77777777" w:rsidR="00031AC3" w:rsidRPr="00255081" w:rsidRDefault="00031AC3" w:rsidP="00031AC3">
            <w:pPr>
              <w:spacing w:after="0" w:line="240" w:lineRule="exact"/>
              <w:ind w:right="57"/>
              <w:rPr>
                <w:rFonts w:ascii="Montserrat" w:hAnsi="Montserrat"/>
                <w:sz w:val="15"/>
                <w:szCs w:val="15"/>
                <w:highlight w:val="yellow"/>
              </w:rPr>
            </w:pPr>
          </w:p>
        </w:tc>
      </w:tr>
      <w:tr w:rsidR="00031AC3" w:rsidRPr="006F0DF1" w14:paraId="1D1A0D62" w14:textId="77777777" w:rsidTr="00031AC3">
        <w:trPr>
          <w:trHeight w:val="215"/>
          <w:jc w:val="center"/>
        </w:trPr>
        <w:tc>
          <w:tcPr>
            <w:tcW w:w="419" w:type="dxa"/>
            <w:tcBorders>
              <w:top w:val="nil"/>
              <w:left w:val="nil"/>
              <w:bottom w:val="nil"/>
              <w:right w:val="nil"/>
            </w:tcBorders>
            <w:shd w:val="clear" w:color="auto" w:fill="F2F2F2" w:themeFill="background1" w:themeFillShade="F2"/>
            <w:noWrap/>
            <w:tcMar>
              <w:top w:w="0" w:type="dxa"/>
              <w:left w:w="70" w:type="dxa"/>
              <w:bottom w:w="0" w:type="dxa"/>
              <w:right w:w="70" w:type="dxa"/>
            </w:tcMar>
            <w:vAlign w:val="center"/>
          </w:tcPr>
          <w:p w14:paraId="62C76105" w14:textId="77777777" w:rsidR="00031AC3" w:rsidRPr="000F0321" w:rsidRDefault="00031AC3" w:rsidP="00031AC3">
            <w:pPr>
              <w:spacing w:after="0" w:line="240" w:lineRule="exact"/>
              <w:ind w:right="57" w:firstLine="180"/>
              <w:rPr>
                <w:rFonts w:ascii="Montserrat" w:hAnsi="Montserrat"/>
                <w:sz w:val="15"/>
                <w:szCs w:val="15"/>
              </w:rPr>
            </w:pPr>
          </w:p>
        </w:tc>
        <w:tc>
          <w:tcPr>
            <w:tcW w:w="5290" w:type="dxa"/>
            <w:tcBorders>
              <w:top w:val="nil"/>
              <w:left w:val="nil"/>
              <w:bottom w:val="nil"/>
              <w:right w:val="nil"/>
            </w:tcBorders>
            <w:shd w:val="clear" w:color="auto" w:fill="F2F2F2" w:themeFill="background1" w:themeFillShade="F2"/>
            <w:tcMar>
              <w:top w:w="0" w:type="dxa"/>
              <w:left w:w="70" w:type="dxa"/>
              <w:bottom w:w="0" w:type="dxa"/>
              <w:right w:w="70" w:type="dxa"/>
            </w:tcMar>
            <w:vAlign w:val="center"/>
            <w:hideMark/>
          </w:tcPr>
          <w:p w14:paraId="15E1F468" w14:textId="77777777" w:rsidR="00031AC3" w:rsidRPr="00255081" w:rsidRDefault="00031AC3" w:rsidP="00031AC3">
            <w:pPr>
              <w:spacing w:after="0" w:line="240" w:lineRule="auto"/>
              <w:ind w:firstLineChars="132" w:firstLine="198"/>
              <w:rPr>
                <w:rFonts w:ascii="Montserrat" w:eastAsia="Times New Roman" w:hAnsi="Montserrat" w:cs="Calibri"/>
                <w:color w:val="000000"/>
                <w:sz w:val="15"/>
                <w:szCs w:val="15"/>
                <w:lang w:val="es-MX" w:eastAsia="es-MX"/>
              </w:rPr>
            </w:pPr>
            <w:r w:rsidRPr="00255081">
              <w:rPr>
                <w:rFonts w:ascii="Montserrat" w:eastAsia="Times New Roman" w:hAnsi="Montserrat" w:cs="Calibri"/>
                <w:color w:val="000000"/>
                <w:sz w:val="15"/>
                <w:szCs w:val="15"/>
                <w:lang w:val="es-MX" w:eastAsia="es-MX"/>
              </w:rPr>
              <w:t>Obra pública en bienes propios</w:t>
            </w:r>
          </w:p>
        </w:tc>
        <w:tc>
          <w:tcPr>
            <w:tcW w:w="1849" w:type="dxa"/>
            <w:gridSpan w:val="2"/>
            <w:tcBorders>
              <w:top w:val="nil"/>
              <w:left w:val="nil"/>
              <w:bottom w:val="nil"/>
              <w:right w:val="nil"/>
            </w:tcBorders>
            <w:shd w:val="clear" w:color="auto" w:fill="F2F2F2" w:themeFill="background1" w:themeFillShade="F2"/>
            <w:noWrap/>
            <w:tcMar>
              <w:top w:w="0" w:type="dxa"/>
              <w:left w:w="70" w:type="dxa"/>
              <w:bottom w:w="0" w:type="dxa"/>
              <w:right w:w="70" w:type="dxa"/>
            </w:tcMar>
            <w:vAlign w:val="center"/>
          </w:tcPr>
          <w:p w14:paraId="1869E95D" w14:textId="1F3284DD" w:rsidR="00031AC3" w:rsidRPr="00255081" w:rsidRDefault="00F468B1" w:rsidP="00031AC3">
            <w:pPr>
              <w:spacing w:after="0" w:line="240" w:lineRule="auto"/>
              <w:jc w:val="right"/>
              <w:rPr>
                <w:rFonts w:ascii="Montserrat" w:eastAsia="Times New Roman" w:hAnsi="Montserrat" w:cs="Calibri"/>
                <w:color w:val="000000"/>
                <w:sz w:val="15"/>
                <w:szCs w:val="15"/>
                <w:highlight w:val="yellow"/>
                <w:lang w:val="es-MX" w:eastAsia="es-MX"/>
              </w:rPr>
            </w:pPr>
            <w:r w:rsidRPr="00255081">
              <w:rPr>
                <w:rFonts w:ascii="Montserrat" w:eastAsia="Times New Roman" w:hAnsi="Montserrat" w:cs="Calibri"/>
                <w:color w:val="000000"/>
                <w:sz w:val="15"/>
                <w:szCs w:val="15"/>
                <w:lang w:val="es-MX" w:eastAsia="es-MX"/>
              </w:rPr>
              <w:t>44,308,172,274</w:t>
            </w:r>
          </w:p>
        </w:tc>
        <w:tc>
          <w:tcPr>
            <w:tcW w:w="2708" w:type="dxa"/>
            <w:gridSpan w:val="2"/>
            <w:tcBorders>
              <w:top w:val="nil"/>
              <w:left w:val="nil"/>
              <w:bottom w:val="nil"/>
              <w:right w:val="nil"/>
            </w:tcBorders>
            <w:shd w:val="clear" w:color="auto" w:fill="F2F2F2" w:themeFill="background1" w:themeFillShade="F2"/>
            <w:tcMar>
              <w:top w:w="0" w:type="dxa"/>
              <w:left w:w="70" w:type="dxa"/>
              <w:bottom w:w="0" w:type="dxa"/>
              <w:right w:w="70" w:type="dxa"/>
            </w:tcMar>
            <w:vAlign w:val="center"/>
          </w:tcPr>
          <w:p w14:paraId="322A5560" w14:textId="77777777" w:rsidR="00031AC3" w:rsidRPr="00255081" w:rsidRDefault="00031AC3" w:rsidP="00031AC3">
            <w:pPr>
              <w:spacing w:after="0" w:line="240" w:lineRule="exact"/>
              <w:ind w:right="57"/>
              <w:rPr>
                <w:rFonts w:ascii="Montserrat" w:hAnsi="Montserrat"/>
                <w:sz w:val="15"/>
                <w:szCs w:val="15"/>
                <w:highlight w:val="yellow"/>
              </w:rPr>
            </w:pPr>
          </w:p>
        </w:tc>
      </w:tr>
      <w:tr w:rsidR="00031AC3" w:rsidRPr="006F0DF1" w14:paraId="7EA8E1D1" w14:textId="77777777" w:rsidTr="00031AC3">
        <w:trPr>
          <w:trHeight w:val="215"/>
          <w:jc w:val="center"/>
        </w:trPr>
        <w:tc>
          <w:tcPr>
            <w:tcW w:w="419" w:type="dxa"/>
            <w:tcBorders>
              <w:top w:val="nil"/>
              <w:left w:val="nil"/>
              <w:bottom w:val="nil"/>
              <w:right w:val="nil"/>
            </w:tcBorders>
            <w:shd w:val="clear" w:color="auto" w:fill="F2F2F2" w:themeFill="background1" w:themeFillShade="F2"/>
            <w:noWrap/>
            <w:tcMar>
              <w:top w:w="0" w:type="dxa"/>
              <w:left w:w="70" w:type="dxa"/>
              <w:bottom w:w="0" w:type="dxa"/>
              <w:right w:w="70" w:type="dxa"/>
            </w:tcMar>
            <w:vAlign w:val="center"/>
          </w:tcPr>
          <w:p w14:paraId="0B802359" w14:textId="77777777" w:rsidR="00031AC3" w:rsidRPr="000F0321" w:rsidRDefault="00031AC3" w:rsidP="00031AC3">
            <w:pPr>
              <w:spacing w:after="0" w:line="240" w:lineRule="exact"/>
              <w:ind w:right="57" w:firstLine="180"/>
              <w:rPr>
                <w:rFonts w:ascii="Montserrat" w:hAnsi="Montserrat"/>
                <w:sz w:val="15"/>
                <w:szCs w:val="15"/>
              </w:rPr>
            </w:pPr>
          </w:p>
        </w:tc>
        <w:tc>
          <w:tcPr>
            <w:tcW w:w="5290" w:type="dxa"/>
            <w:tcBorders>
              <w:top w:val="nil"/>
              <w:left w:val="nil"/>
              <w:bottom w:val="nil"/>
              <w:right w:val="nil"/>
            </w:tcBorders>
            <w:shd w:val="clear" w:color="auto" w:fill="F2F2F2" w:themeFill="background1" w:themeFillShade="F2"/>
            <w:tcMar>
              <w:top w:w="0" w:type="dxa"/>
              <w:left w:w="70" w:type="dxa"/>
              <w:bottom w:w="0" w:type="dxa"/>
              <w:right w:w="70" w:type="dxa"/>
            </w:tcMar>
            <w:vAlign w:val="center"/>
            <w:hideMark/>
          </w:tcPr>
          <w:p w14:paraId="4DD8D064" w14:textId="77777777" w:rsidR="00031AC3" w:rsidRPr="00255081" w:rsidRDefault="00031AC3" w:rsidP="00031AC3">
            <w:pPr>
              <w:spacing w:after="0" w:line="240" w:lineRule="auto"/>
              <w:ind w:firstLineChars="132" w:firstLine="198"/>
              <w:rPr>
                <w:rFonts w:ascii="Montserrat" w:eastAsia="Times New Roman" w:hAnsi="Montserrat" w:cs="Calibri"/>
                <w:color w:val="000000"/>
                <w:sz w:val="15"/>
                <w:szCs w:val="15"/>
                <w:lang w:val="es-MX" w:eastAsia="es-MX"/>
              </w:rPr>
            </w:pPr>
            <w:r w:rsidRPr="00255081">
              <w:rPr>
                <w:rFonts w:ascii="Montserrat" w:eastAsia="Times New Roman" w:hAnsi="Montserrat" w:cs="Calibri"/>
                <w:color w:val="000000"/>
                <w:sz w:val="15"/>
                <w:szCs w:val="15"/>
                <w:lang w:val="es-MX" w:eastAsia="es-MX"/>
              </w:rPr>
              <w:t>Acciones y participaciones de capital</w:t>
            </w:r>
          </w:p>
        </w:tc>
        <w:tc>
          <w:tcPr>
            <w:tcW w:w="1849" w:type="dxa"/>
            <w:gridSpan w:val="2"/>
            <w:tcBorders>
              <w:top w:val="nil"/>
              <w:left w:val="nil"/>
              <w:bottom w:val="nil"/>
              <w:right w:val="nil"/>
            </w:tcBorders>
            <w:shd w:val="clear" w:color="auto" w:fill="F2F2F2" w:themeFill="background1" w:themeFillShade="F2"/>
            <w:noWrap/>
            <w:tcMar>
              <w:top w:w="0" w:type="dxa"/>
              <w:left w:w="70" w:type="dxa"/>
              <w:bottom w:w="0" w:type="dxa"/>
              <w:right w:w="70" w:type="dxa"/>
            </w:tcMar>
            <w:vAlign w:val="center"/>
          </w:tcPr>
          <w:p w14:paraId="11BF7BF9" w14:textId="701FD545" w:rsidR="00031AC3" w:rsidRPr="00255081" w:rsidRDefault="00F468B1" w:rsidP="00031AC3">
            <w:pPr>
              <w:spacing w:after="0" w:line="240" w:lineRule="auto"/>
              <w:jc w:val="right"/>
              <w:rPr>
                <w:rFonts w:ascii="Montserrat" w:eastAsia="Times New Roman" w:hAnsi="Montserrat" w:cs="Calibri"/>
                <w:color w:val="000000"/>
                <w:sz w:val="15"/>
                <w:szCs w:val="15"/>
                <w:highlight w:val="yellow"/>
                <w:lang w:val="es-MX" w:eastAsia="es-MX"/>
              </w:rPr>
            </w:pPr>
            <w:r w:rsidRPr="00255081">
              <w:rPr>
                <w:rFonts w:ascii="Montserrat" w:eastAsia="Times New Roman" w:hAnsi="Montserrat" w:cs="Calibri"/>
                <w:color w:val="000000"/>
                <w:sz w:val="15"/>
                <w:szCs w:val="15"/>
                <w:lang w:val="es-MX" w:eastAsia="es-MX"/>
              </w:rPr>
              <w:t>29,236,767,906</w:t>
            </w:r>
          </w:p>
        </w:tc>
        <w:tc>
          <w:tcPr>
            <w:tcW w:w="2708" w:type="dxa"/>
            <w:gridSpan w:val="2"/>
            <w:tcBorders>
              <w:top w:val="nil"/>
              <w:left w:val="nil"/>
              <w:bottom w:val="nil"/>
              <w:right w:val="nil"/>
            </w:tcBorders>
            <w:shd w:val="clear" w:color="auto" w:fill="F2F2F2" w:themeFill="background1" w:themeFillShade="F2"/>
            <w:tcMar>
              <w:top w:w="0" w:type="dxa"/>
              <w:left w:w="70" w:type="dxa"/>
              <w:bottom w:w="0" w:type="dxa"/>
              <w:right w:w="70" w:type="dxa"/>
            </w:tcMar>
            <w:vAlign w:val="center"/>
          </w:tcPr>
          <w:p w14:paraId="7A03CBA8" w14:textId="77777777" w:rsidR="00031AC3" w:rsidRPr="00255081" w:rsidRDefault="00031AC3" w:rsidP="00031AC3">
            <w:pPr>
              <w:spacing w:after="0" w:line="240" w:lineRule="exact"/>
              <w:ind w:right="57"/>
              <w:rPr>
                <w:rFonts w:ascii="Montserrat" w:hAnsi="Montserrat"/>
                <w:sz w:val="15"/>
                <w:szCs w:val="15"/>
                <w:highlight w:val="yellow"/>
              </w:rPr>
            </w:pPr>
          </w:p>
        </w:tc>
      </w:tr>
      <w:tr w:rsidR="00031AC3" w:rsidRPr="006F0DF1" w14:paraId="2DC8B4C3" w14:textId="77777777" w:rsidTr="00031AC3">
        <w:trPr>
          <w:trHeight w:val="215"/>
          <w:jc w:val="center"/>
        </w:trPr>
        <w:tc>
          <w:tcPr>
            <w:tcW w:w="419" w:type="dxa"/>
            <w:tcBorders>
              <w:top w:val="nil"/>
              <w:left w:val="nil"/>
              <w:bottom w:val="nil"/>
              <w:right w:val="nil"/>
            </w:tcBorders>
            <w:shd w:val="clear" w:color="auto" w:fill="F2F2F2" w:themeFill="background1" w:themeFillShade="F2"/>
            <w:noWrap/>
            <w:tcMar>
              <w:top w:w="0" w:type="dxa"/>
              <w:left w:w="70" w:type="dxa"/>
              <w:bottom w:w="0" w:type="dxa"/>
              <w:right w:w="70" w:type="dxa"/>
            </w:tcMar>
            <w:vAlign w:val="center"/>
          </w:tcPr>
          <w:p w14:paraId="2FEBFD72" w14:textId="77777777" w:rsidR="00031AC3" w:rsidRPr="000F0321" w:rsidRDefault="00031AC3" w:rsidP="00031AC3">
            <w:pPr>
              <w:spacing w:after="0" w:line="240" w:lineRule="exact"/>
              <w:ind w:right="57" w:firstLine="180"/>
              <w:rPr>
                <w:rFonts w:ascii="Montserrat" w:hAnsi="Montserrat"/>
                <w:sz w:val="15"/>
                <w:szCs w:val="15"/>
              </w:rPr>
            </w:pPr>
          </w:p>
        </w:tc>
        <w:tc>
          <w:tcPr>
            <w:tcW w:w="5290" w:type="dxa"/>
            <w:tcBorders>
              <w:top w:val="nil"/>
              <w:left w:val="nil"/>
              <w:bottom w:val="nil"/>
              <w:right w:val="nil"/>
            </w:tcBorders>
            <w:shd w:val="clear" w:color="auto" w:fill="F2F2F2" w:themeFill="background1" w:themeFillShade="F2"/>
            <w:tcMar>
              <w:top w:w="0" w:type="dxa"/>
              <w:left w:w="70" w:type="dxa"/>
              <w:bottom w:w="0" w:type="dxa"/>
              <w:right w:w="70" w:type="dxa"/>
            </w:tcMar>
            <w:vAlign w:val="center"/>
            <w:hideMark/>
          </w:tcPr>
          <w:p w14:paraId="0B66D542" w14:textId="77777777" w:rsidR="00031AC3" w:rsidRPr="00255081" w:rsidRDefault="00031AC3" w:rsidP="00031AC3">
            <w:pPr>
              <w:spacing w:after="0" w:line="240" w:lineRule="auto"/>
              <w:ind w:firstLineChars="132" w:firstLine="198"/>
              <w:rPr>
                <w:rFonts w:ascii="Montserrat" w:eastAsia="Times New Roman" w:hAnsi="Montserrat" w:cs="Calibri"/>
                <w:color w:val="000000"/>
                <w:sz w:val="15"/>
                <w:szCs w:val="15"/>
                <w:lang w:val="es-MX" w:eastAsia="es-MX"/>
              </w:rPr>
            </w:pPr>
            <w:r w:rsidRPr="00255081">
              <w:rPr>
                <w:rFonts w:ascii="Montserrat" w:eastAsia="Times New Roman" w:hAnsi="Montserrat" w:cs="Calibri"/>
                <w:color w:val="000000"/>
                <w:sz w:val="15"/>
                <w:szCs w:val="15"/>
                <w:lang w:val="es-MX" w:eastAsia="es-MX"/>
              </w:rPr>
              <w:t>Compra de títulos y valores</w:t>
            </w:r>
          </w:p>
        </w:tc>
        <w:tc>
          <w:tcPr>
            <w:tcW w:w="1849" w:type="dxa"/>
            <w:gridSpan w:val="2"/>
            <w:tcBorders>
              <w:top w:val="nil"/>
              <w:left w:val="nil"/>
              <w:bottom w:val="nil"/>
              <w:right w:val="nil"/>
            </w:tcBorders>
            <w:shd w:val="clear" w:color="auto" w:fill="F2F2F2" w:themeFill="background1" w:themeFillShade="F2"/>
            <w:noWrap/>
            <w:tcMar>
              <w:top w:w="0" w:type="dxa"/>
              <w:left w:w="70" w:type="dxa"/>
              <w:bottom w:w="0" w:type="dxa"/>
              <w:right w:w="70" w:type="dxa"/>
            </w:tcMar>
            <w:vAlign w:val="center"/>
          </w:tcPr>
          <w:p w14:paraId="03100C76" w14:textId="1045A0BF" w:rsidR="00031AC3" w:rsidRPr="00255081" w:rsidRDefault="00F468B1" w:rsidP="00031AC3">
            <w:pPr>
              <w:spacing w:after="0" w:line="240" w:lineRule="auto"/>
              <w:jc w:val="right"/>
              <w:rPr>
                <w:rFonts w:ascii="Montserrat" w:eastAsia="Times New Roman" w:hAnsi="Montserrat" w:cs="Calibri"/>
                <w:color w:val="000000"/>
                <w:sz w:val="15"/>
                <w:szCs w:val="15"/>
                <w:lang w:val="es-MX" w:eastAsia="es-MX"/>
              </w:rPr>
            </w:pPr>
            <w:r w:rsidRPr="00255081">
              <w:rPr>
                <w:rFonts w:ascii="Montserrat" w:eastAsia="Times New Roman" w:hAnsi="Montserrat" w:cs="Calibri"/>
                <w:color w:val="000000"/>
                <w:sz w:val="15"/>
                <w:szCs w:val="15"/>
                <w:lang w:val="es-MX" w:eastAsia="es-MX"/>
              </w:rPr>
              <w:t>122,131,000,000</w:t>
            </w:r>
          </w:p>
        </w:tc>
        <w:tc>
          <w:tcPr>
            <w:tcW w:w="2708" w:type="dxa"/>
            <w:gridSpan w:val="2"/>
            <w:tcBorders>
              <w:top w:val="nil"/>
              <w:left w:val="nil"/>
              <w:bottom w:val="nil"/>
              <w:right w:val="nil"/>
            </w:tcBorders>
            <w:shd w:val="clear" w:color="auto" w:fill="F2F2F2" w:themeFill="background1" w:themeFillShade="F2"/>
            <w:tcMar>
              <w:top w:w="0" w:type="dxa"/>
              <w:left w:w="70" w:type="dxa"/>
              <w:bottom w:w="0" w:type="dxa"/>
              <w:right w:w="70" w:type="dxa"/>
            </w:tcMar>
            <w:vAlign w:val="center"/>
          </w:tcPr>
          <w:p w14:paraId="19BAC949" w14:textId="77777777" w:rsidR="00031AC3" w:rsidRPr="00255081" w:rsidRDefault="00031AC3" w:rsidP="00031AC3">
            <w:pPr>
              <w:spacing w:after="0" w:line="240" w:lineRule="exact"/>
              <w:ind w:right="57"/>
              <w:rPr>
                <w:rFonts w:ascii="Montserrat" w:hAnsi="Montserrat"/>
                <w:sz w:val="15"/>
                <w:szCs w:val="15"/>
              </w:rPr>
            </w:pPr>
          </w:p>
        </w:tc>
      </w:tr>
      <w:tr w:rsidR="00031AC3" w:rsidRPr="006F0DF1" w14:paraId="2FC2F6E5" w14:textId="77777777" w:rsidTr="00031AC3">
        <w:trPr>
          <w:trHeight w:val="215"/>
          <w:jc w:val="center"/>
        </w:trPr>
        <w:tc>
          <w:tcPr>
            <w:tcW w:w="419" w:type="dxa"/>
            <w:tcBorders>
              <w:top w:val="nil"/>
              <w:left w:val="nil"/>
              <w:bottom w:val="nil"/>
              <w:right w:val="nil"/>
            </w:tcBorders>
            <w:shd w:val="clear" w:color="auto" w:fill="F2F2F2" w:themeFill="background1" w:themeFillShade="F2"/>
            <w:noWrap/>
            <w:tcMar>
              <w:top w:w="0" w:type="dxa"/>
              <w:left w:w="70" w:type="dxa"/>
              <w:bottom w:w="0" w:type="dxa"/>
              <w:right w:w="70" w:type="dxa"/>
            </w:tcMar>
            <w:vAlign w:val="center"/>
          </w:tcPr>
          <w:p w14:paraId="07D17841" w14:textId="77777777" w:rsidR="00031AC3" w:rsidRPr="000F0321" w:rsidRDefault="00031AC3" w:rsidP="00031AC3">
            <w:pPr>
              <w:spacing w:after="0" w:line="240" w:lineRule="exact"/>
              <w:ind w:right="57" w:firstLine="180"/>
              <w:rPr>
                <w:rFonts w:ascii="Montserrat" w:hAnsi="Montserrat"/>
                <w:sz w:val="15"/>
                <w:szCs w:val="15"/>
              </w:rPr>
            </w:pPr>
          </w:p>
        </w:tc>
        <w:tc>
          <w:tcPr>
            <w:tcW w:w="5290" w:type="dxa"/>
            <w:tcBorders>
              <w:top w:val="nil"/>
              <w:left w:val="nil"/>
              <w:bottom w:val="nil"/>
              <w:right w:val="nil"/>
            </w:tcBorders>
            <w:shd w:val="clear" w:color="auto" w:fill="F2F2F2" w:themeFill="background1" w:themeFillShade="F2"/>
            <w:tcMar>
              <w:top w:w="0" w:type="dxa"/>
              <w:left w:w="70" w:type="dxa"/>
              <w:bottom w:w="0" w:type="dxa"/>
              <w:right w:w="70" w:type="dxa"/>
            </w:tcMar>
            <w:vAlign w:val="center"/>
          </w:tcPr>
          <w:p w14:paraId="09FEFF6D" w14:textId="649BC791" w:rsidR="00031AC3" w:rsidRPr="00255081" w:rsidRDefault="00031AC3" w:rsidP="00031AC3">
            <w:pPr>
              <w:spacing w:after="0" w:line="240" w:lineRule="auto"/>
              <w:ind w:firstLineChars="132" w:firstLine="198"/>
              <w:rPr>
                <w:rFonts w:ascii="Montserrat" w:eastAsia="Times New Roman" w:hAnsi="Montserrat" w:cs="Calibri"/>
                <w:color w:val="000000"/>
                <w:sz w:val="15"/>
                <w:szCs w:val="15"/>
                <w:lang w:val="es-MX" w:eastAsia="es-MX"/>
              </w:rPr>
            </w:pPr>
            <w:r w:rsidRPr="00255081">
              <w:rPr>
                <w:rFonts w:ascii="Montserrat" w:eastAsia="Times New Roman" w:hAnsi="Montserrat" w:cs="Calibri"/>
                <w:color w:val="000000"/>
                <w:sz w:val="15"/>
                <w:szCs w:val="15"/>
                <w:lang w:val="es-MX" w:eastAsia="es-MX"/>
              </w:rPr>
              <w:t>Concesión de préstamos</w:t>
            </w:r>
          </w:p>
        </w:tc>
        <w:tc>
          <w:tcPr>
            <w:tcW w:w="1849" w:type="dxa"/>
            <w:gridSpan w:val="2"/>
            <w:tcBorders>
              <w:top w:val="nil"/>
              <w:left w:val="nil"/>
              <w:bottom w:val="nil"/>
              <w:right w:val="nil"/>
            </w:tcBorders>
            <w:shd w:val="clear" w:color="auto" w:fill="F2F2F2" w:themeFill="background1" w:themeFillShade="F2"/>
            <w:noWrap/>
            <w:tcMar>
              <w:top w:w="0" w:type="dxa"/>
              <w:left w:w="70" w:type="dxa"/>
              <w:bottom w:w="0" w:type="dxa"/>
              <w:right w:w="70" w:type="dxa"/>
            </w:tcMar>
            <w:vAlign w:val="center"/>
          </w:tcPr>
          <w:p w14:paraId="1699B9B7" w14:textId="44D1E8CE" w:rsidR="00031AC3" w:rsidRPr="00255081" w:rsidRDefault="00F468B1" w:rsidP="00031AC3">
            <w:pPr>
              <w:spacing w:after="0" w:line="240" w:lineRule="auto"/>
              <w:jc w:val="right"/>
              <w:rPr>
                <w:rFonts w:ascii="Montserrat" w:eastAsia="Times New Roman" w:hAnsi="Montserrat" w:cs="Calibri"/>
                <w:color w:val="000000"/>
                <w:sz w:val="15"/>
                <w:szCs w:val="15"/>
                <w:lang w:val="es-MX" w:eastAsia="es-MX"/>
              </w:rPr>
            </w:pPr>
            <w:r w:rsidRPr="00255081">
              <w:rPr>
                <w:rFonts w:ascii="Montserrat" w:eastAsia="Times New Roman" w:hAnsi="Montserrat" w:cs="Calibri"/>
                <w:color w:val="000000"/>
                <w:sz w:val="15"/>
                <w:szCs w:val="15"/>
                <w:lang w:val="es-MX" w:eastAsia="es-MX"/>
              </w:rPr>
              <w:t>0</w:t>
            </w:r>
          </w:p>
        </w:tc>
        <w:tc>
          <w:tcPr>
            <w:tcW w:w="2708" w:type="dxa"/>
            <w:gridSpan w:val="2"/>
            <w:tcBorders>
              <w:top w:val="nil"/>
              <w:left w:val="nil"/>
              <w:bottom w:val="nil"/>
              <w:right w:val="nil"/>
            </w:tcBorders>
            <w:shd w:val="clear" w:color="auto" w:fill="F2F2F2" w:themeFill="background1" w:themeFillShade="F2"/>
            <w:tcMar>
              <w:top w:w="0" w:type="dxa"/>
              <w:left w:w="70" w:type="dxa"/>
              <w:bottom w:w="0" w:type="dxa"/>
              <w:right w:w="70" w:type="dxa"/>
            </w:tcMar>
            <w:vAlign w:val="center"/>
          </w:tcPr>
          <w:p w14:paraId="22764F0A" w14:textId="77777777" w:rsidR="00031AC3" w:rsidRPr="00255081" w:rsidRDefault="00031AC3" w:rsidP="00031AC3">
            <w:pPr>
              <w:spacing w:after="0" w:line="240" w:lineRule="exact"/>
              <w:ind w:right="57"/>
              <w:rPr>
                <w:rFonts w:ascii="Montserrat" w:hAnsi="Montserrat"/>
                <w:sz w:val="15"/>
                <w:szCs w:val="15"/>
              </w:rPr>
            </w:pPr>
          </w:p>
        </w:tc>
      </w:tr>
      <w:tr w:rsidR="00031AC3" w:rsidRPr="006F0DF1" w14:paraId="1226FBAD" w14:textId="77777777" w:rsidTr="00031AC3">
        <w:trPr>
          <w:trHeight w:val="215"/>
          <w:jc w:val="center"/>
        </w:trPr>
        <w:tc>
          <w:tcPr>
            <w:tcW w:w="419" w:type="dxa"/>
            <w:tcBorders>
              <w:top w:val="nil"/>
              <w:left w:val="nil"/>
              <w:bottom w:val="nil"/>
              <w:right w:val="nil"/>
            </w:tcBorders>
            <w:shd w:val="clear" w:color="auto" w:fill="F2F2F2" w:themeFill="background1" w:themeFillShade="F2"/>
            <w:noWrap/>
            <w:tcMar>
              <w:top w:w="0" w:type="dxa"/>
              <w:left w:w="70" w:type="dxa"/>
              <w:bottom w:w="0" w:type="dxa"/>
              <w:right w:w="70" w:type="dxa"/>
            </w:tcMar>
            <w:vAlign w:val="center"/>
          </w:tcPr>
          <w:p w14:paraId="07CB7303" w14:textId="77777777" w:rsidR="00031AC3" w:rsidRPr="000F0321" w:rsidRDefault="00031AC3" w:rsidP="00031AC3">
            <w:pPr>
              <w:spacing w:after="0" w:line="240" w:lineRule="exact"/>
              <w:ind w:right="57" w:firstLine="180"/>
              <w:rPr>
                <w:rFonts w:ascii="Montserrat" w:hAnsi="Montserrat"/>
                <w:sz w:val="15"/>
                <w:szCs w:val="15"/>
              </w:rPr>
            </w:pPr>
          </w:p>
        </w:tc>
        <w:tc>
          <w:tcPr>
            <w:tcW w:w="5290" w:type="dxa"/>
            <w:tcBorders>
              <w:top w:val="nil"/>
              <w:left w:val="nil"/>
              <w:bottom w:val="nil"/>
              <w:right w:val="nil"/>
            </w:tcBorders>
            <w:shd w:val="clear" w:color="auto" w:fill="F2F2F2" w:themeFill="background1" w:themeFillShade="F2"/>
            <w:tcMar>
              <w:top w:w="0" w:type="dxa"/>
              <w:left w:w="70" w:type="dxa"/>
              <w:bottom w:w="0" w:type="dxa"/>
              <w:right w:w="70" w:type="dxa"/>
            </w:tcMar>
            <w:vAlign w:val="center"/>
            <w:hideMark/>
          </w:tcPr>
          <w:p w14:paraId="2307E939" w14:textId="77777777" w:rsidR="00031AC3" w:rsidRPr="00255081" w:rsidRDefault="00031AC3" w:rsidP="00031AC3">
            <w:pPr>
              <w:spacing w:after="0" w:line="240" w:lineRule="auto"/>
              <w:ind w:firstLineChars="132" w:firstLine="198"/>
              <w:rPr>
                <w:rFonts w:ascii="Montserrat" w:eastAsia="Times New Roman" w:hAnsi="Montserrat" w:cs="Calibri"/>
                <w:color w:val="000000"/>
                <w:sz w:val="15"/>
                <w:szCs w:val="15"/>
                <w:lang w:val="es-MX" w:eastAsia="es-MX"/>
              </w:rPr>
            </w:pPr>
            <w:r w:rsidRPr="00255081">
              <w:rPr>
                <w:rFonts w:ascii="Montserrat" w:eastAsia="Times New Roman" w:hAnsi="Montserrat" w:cs="Calibri"/>
                <w:color w:val="000000"/>
                <w:sz w:val="15"/>
                <w:szCs w:val="15"/>
                <w:lang w:val="es-MX" w:eastAsia="es-MX"/>
              </w:rPr>
              <w:t>Inversiones en fideicomisos, mandatos y otros análogos</w:t>
            </w:r>
          </w:p>
        </w:tc>
        <w:tc>
          <w:tcPr>
            <w:tcW w:w="1849" w:type="dxa"/>
            <w:gridSpan w:val="2"/>
            <w:tcBorders>
              <w:top w:val="nil"/>
              <w:left w:val="nil"/>
              <w:bottom w:val="nil"/>
              <w:right w:val="nil"/>
            </w:tcBorders>
            <w:shd w:val="clear" w:color="auto" w:fill="F2F2F2" w:themeFill="background1" w:themeFillShade="F2"/>
            <w:noWrap/>
            <w:tcMar>
              <w:top w:w="0" w:type="dxa"/>
              <w:left w:w="70" w:type="dxa"/>
              <w:bottom w:w="0" w:type="dxa"/>
              <w:right w:w="70" w:type="dxa"/>
            </w:tcMar>
            <w:vAlign w:val="center"/>
          </w:tcPr>
          <w:p w14:paraId="018AECDA" w14:textId="5A34696C" w:rsidR="00031AC3" w:rsidRPr="00255081" w:rsidRDefault="00F468B1" w:rsidP="00031AC3">
            <w:pPr>
              <w:spacing w:after="0" w:line="240" w:lineRule="auto"/>
              <w:jc w:val="right"/>
              <w:rPr>
                <w:rFonts w:ascii="Montserrat" w:eastAsia="Times New Roman" w:hAnsi="Montserrat" w:cs="Calibri"/>
                <w:color w:val="000000"/>
                <w:sz w:val="15"/>
                <w:szCs w:val="15"/>
                <w:lang w:val="es-MX" w:eastAsia="es-MX"/>
              </w:rPr>
            </w:pPr>
            <w:r w:rsidRPr="00255081">
              <w:rPr>
                <w:rFonts w:ascii="Montserrat" w:eastAsia="Times New Roman" w:hAnsi="Montserrat" w:cs="Calibri"/>
                <w:color w:val="000000"/>
                <w:sz w:val="15"/>
                <w:szCs w:val="15"/>
                <w:lang w:val="es-MX" w:eastAsia="es-MX"/>
              </w:rPr>
              <w:t>88,331,274,513</w:t>
            </w:r>
          </w:p>
        </w:tc>
        <w:tc>
          <w:tcPr>
            <w:tcW w:w="2708" w:type="dxa"/>
            <w:gridSpan w:val="2"/>
            <w:tcBorders>
              <w:top w:val="nil"/>
              <w:left w:val="nil"/>
              <w:bottom w:val="nil"/>
              <w:right w:val="nil"/>
            </w:tcBorders>
            <w:shd w:val="clear" w:color="auto" w:fill="F2F2F2" w:themeFill="background1" w:themeFillShade="F2"/>
            <w:tcMar>
              <w:top w:w="0" w:type="dxa"/>
              <w:left w:w="70" w:type="dxa"/>
              <w:bottom w:w="0" w:type="dxa"/>
              <w:right w:w="70" w:type="dxa"/>
            </w:tcMar>
            <w:vAlign w:val="center"/>
          </w:tcPr>
          <w:p w14:paraId="49AD2310" w14:textId="77777777" w:rsidR="00031AC3" w:rsidRPr="00255081" w:rsidRDefault="00031AC3" w:rsidP="00031AC3">
            <w:pPr>
              <w:spacing w:after="0" w:line="240" w:lineRule="exact"/>
              <w:ind w:right="57"/>
              <w:rPr>
                <w:rFonts w:ascii="Montserrat" w:hAnsi="Montserrat"/>
                <w:sz w:val="15"/>
                <w:szCs w:val="15"/>
              </w:rPr>
            </w:pPr>
          </w:p>
        </w:tc>
      </w:tr>
      <w:tr w:rsidR="00031AC3" w:rsidRPr="006F0DF1" w14:paraId="2C3DACAF" w14:textId="77777777" w:rsidTr="00031AC3">
        <w:trPr>
          <w:trHeight w:val="215"/>
          <w:jc w:val="center"/>
        </w:trPr>
        <w:tc>
          <w:tcPr>
            <w:tcW w:w="419" w:type="dxa"/>
            <w:tcBorders>
              <w:top w:val="nil"/>
              <w:left w:val="nil"/>
              <w:bottom w:val="nil"/>
              <w:right w:val="nil"/>
            </w:tcBorders>
            <w:shd w:val="clear" w:color="auto" w:fill="F2F2F2" w:themeFill="background1" w:themeFillShade="F2"/>
            <w:noWrap/>
            <w:tcMar>
              <w:top w:w="0" w:type="dxa"/>
              <w:left w:w="70" w:type="dxa"/>
              <w:bottom w:w="0" w:type="dxa"/>
              <w:right w:w="70" w:type="dxa"/>
            </w:tcMar>
            <w:vAlign w:val="center"/>
          </w:tcPr>
          <w:p w14:paraId="7C91D923" w14:textId="77777777" w:rsidR="00031AC3" w:rsidRPr="000F0321" w:rsidRDefault="00031AC3" w:rsidP="00031AC3">
            <w:pPr>
              <w:spacing w:after="0" w:line="240" w:lineRule="exact"/>
              <w:ind w:right="57" w:firstLine="180"/>
              <w:rPr>
                <w:rFonts w:ascii="Montserrat" w:hAnsi="Montserrat"/>
                <w:sz w:val="15"/>
                <w:szCs w:val="15"/>
              </w:rPr>
            </w:pPr>
          </w:p>
        </w:tc>
        <w:tc>
          <w:tcPr>
            <w:tcW w:w="5290" w:type="dxa"/>
            <w:tcBorders>
              <w:top w:val="nil"/>
              <w:left w:val="nil"/>
              <w:bottom w:val="nil"/>
              <w:right w:val="nil"/>
            </w:tcBorders>
            <w:shd w:val="clear" w:color="auto" w:fill="F2F2F2" w:themeFill="background1" w:themeFillShade="F2"/>
            <w:tcMar>
              <w:top w:w="0" w:type="dxa"/>
              <w:left w:w="70" w:type="dxa"/>
              <w:bottom w:w="0" w:type="dxa"/>
              <w:right w:w="70" w:type="dxa"/>
            </w:tcMar>
            <w:vAlign w:val="center"/>
            <w:hideMark/>
          </w:tcPr>
          <w:p w14:paraId="024403E3" w14:textId="77777777" w:rsidR="00031AC3" w:rsidRPr="00255081" w:rsidRDefault="00031AC3" w:rsidP="00031AC3">
            <w:pPr>
              <w:spacing w:after="0" w:line="240" w:lineRule="auto"/>
              <w:ind w:firstLineChars="132" w:firstLine="198"/>
              <w:rPr>
                <w:rFonts w:ascii="Montserrat" w:eastAsia="Times New Roman" w:hAnsi="Montserrat" w:cs="Calibri"/>
                <w:color w:val="000000"/>
                <w:sz w:val="15"/>
                <w:szCs w:val="15"/>
                <w:lang w:val="es-MX" w:eastAsia="es-MX"/>
              </w:rPr>
            </w:pPr>
            <w:r w:rsidRPr="00255081">
              <w:rPr>
                <w:rFonts w:ascii="Montserrat" w:eastAsia="Times New Roman" w:hAnsi="Montserrat" w:cs="Calibri"/>
                <w:color w:val="000000"/>
                <w:sz w:val="15"/>
                <w:szCs w:val="15"/>
                <w:lang w:val="es-MX" w:eastAsia="es-MX"/>
              </w:rPr>
              <w:t>Provisiones para contingencias y otras erogaciones especiales</w:t>
            </w:r>
          </w:p>
        </w:tc>
        <w:tc>
          <w:tcPr>
            <w:tcW w:w="1849" w:type="dxa"/>
            <w:gridSpan w:val="2"/>
            <w:tcBorders>
              <w:top w:val="nil"/>
              <w:left w:val="nil"/>
              <w:bottom w:val="nil"/>
              <w:right w:val="nil"/>
            </w:tcBorders>
            <w:shd w:val="clear" w:color="auto" w:fill="F2F2F2" w:themeFill="background1" w:themeFillShade="F2"/>
            <w:noWrap/>
            <w:tcMar>
              <w:top w:w="0" w:type="dxa"/>
              <w:left w:w="70" w:type="dxa"/>
              <w:bottom w:w="0" w:type="dxa"/>
              <w:right w:w="70" w:type="dxa"/>
            </w:tcMar>
            <w:vAlign w:val="center"/>
          </w:tcPr>
          <w:p w14:paraId="0655CBCC" w14:textId="27BD2A41" w:rsidR="00031AC3" w:rsidRPr="00255081" w:rsidRDefault="00F468B1" w:rsidP="00031AC3">
            <w:pPr>
              <w:spacing w:after="0" w:line="240" w:lineRule="auto"/>
              <w:jc w:val="right"/>
              <w:rPr>
                <w:rFonts w:ascii="Montserrat" w:eastAsia="Times New Roman" w:hAnsi="Montserrat" w:cs="Calibri"/>
                <w:color w:val="000000"/>
                <w:sz w:val="15"/>
                <w:szCs w:val="15"/>
                <w:lang w:val="es-MX" w:eastAsia="es-MX"/>
              </w:rPr>
            </w:pPr>
            <w:r w:rsidRPr="00255081">
              <w:rPr>
                <w:rFonts w:ascii="Montserrat" w:eastAsia="Times New Roman" w:hAnsi="Montserrat" w:cs="Calibri"/>
                <w:color w:val="000000"/>
                <w:sz w:val="15"/>
                <w:szCs w:val="15"/>
                <w:lang w:val="es-MX" w:eastAsia="es-MX"/>
              </w:rPr>
              <w:t>2,752,348,329</w:t>
            </w:r>
          </w:p>
        </w:tc>
        <w:tc>
          <w:tcPr>
            <w:tcW w:w="2708" w:type="dxa"/>
            <w:gridSpan w:val="2"/>
            <w:tcBorders>
              <w:top w:val="nil"/>
              <w:left w:val="nil"/>
              <w:bottom w:val="nil"/>
              <w:right w:val="nil"/>
            </w:tcBorders>
            <w:shd w:val="clear" w:color="auto" w:fill="F2F2F2" w:themeFill="background1" w:themeFillShade="F2"/>
            <w:tcMar>
              <w:top w:w="0" w:type="dxa"/>
              <w:left w:w="70" w:type="dxa"/>
              <w:bottom w:w="0" w:type="dxa"/>
              <w:right w:w="70" w:type="dxa"/>
            </w:tcMar>
            <w:vAlign w:val="center"/>
          </w:tcPr>
          <w:p w14:paraId="24780AA9" w14:textId="77777777" w:rsidR="00031AC3" w:rsidRPr="00255081" w:rsidRDefault="00031AC3" w:rsidP="00031AC3">
            <w:pPr>
              <w:spacing w:after="0" w:line="240" w:lineRule="exact"/>
              <w:ind w:right="57"/>
              <w:rPr>
                <w:rFonts w:ascii="Montserrat" w:hAnsi="Montserrat"/>
                <w:sz w:val="15"/>
                <w:szCs w:val="15"/>
              </w:rPr>
            </w:pPr>
          </w:p>
        </w:tc>
      </w:tr>
      <w:tr w:rsidR="00031AC3" w:rsidRPr="006F0DF1" w14:paraId="5C50EB2F" w14:textId="77777777" w:rsidTr="00031AC3">
        <w:trPr>
          <w:trHeight w:val="215"/>
          <w:jc w:val="center"/>
        </w:trPr>
        <w:tc>
          <w:tcPr>
            <w:tcW w:w="419" w:type="dxa"/>
            <w:tcBorders>
              <w:top w:val="nil"/>
              <w:left w:val="nil"/>
              <w:bottom w:val="nil"/>
              <w:right w:val="nil"/>
            </w:tcBorders>
            <w:shd w:val="clear" w:color="auto" w:fill="F2F2F2" w:themeFill="background1" w:themeFillShade="F2"/>
            <w:noWrap/>
            <w:tcMar>
              <w:top w:w="0" w:type="dxa"/>
              <w:left w:w="70" w:type="dxa"/>
              <w:bottom w:w="0" w:type="dxa"/>
              <w:right w:w="70" w:type="dxa"/>
            </w:tcMar>
            <w:vAlign w:val="center"/>
          </w:tcPr>
          <w:p w14:paraId="5516821D" w14:textId="77777777" w:rsidR="00031AC3" w:rsidRPr="000F0321" w:rsidRDefault="00031AC3" w:rsidP="00031AC3">
            <w:pPr>
              <w:spacing w:after="0" w:line="240" w:lineRule="exact"/>
              <w:ind w:right="57" w:firstLine="180"/>
              <w:rPr>
                <w:rFonts w:ascii="Montserrat" w:hAnsi="Montserrat"/>
                <w:sz w:val="15"/>
                <w:szCs w:val="15"/>
              </w:rPr>
            </w:pPr>
          </w:p>
        </w:tc>
        <w:tc>
          <w:tcPr>
            <w:tcW w:w="5290" w:type="dxa"/>
            <w:tcBorders>
              <w:top w:val="nil"/>
              <w:left w:val="nil"/>
              <w:bottom w:val="nil"/>
              <w:right w:val="nil"/>
            </w:tcBorders>
            <w:shd w:val="clear" w:color="auto" w:fill="F2F2F2" w:themeFill="background1" w:themeFillShade="F2"/>
            <w:tcMar>
              <w:top w:w="0" w:type="dxa"/>
              <w:left w:w="70" w:type="dxa"/>
              <w:bottom w:w="0" w:type="dxa"/>
              <w:right w:w="70" w:type="dxa"/>
            </w:tcMar>
            <w:vAlign w:val="center"/>
            <w:hideMark/>
          </w:tcPr>
          <w:p w14:paraId="5B8A6E22" w14:textId="77777777" w:rsidR="00031AC3" w:rsidRPr="00255081" w:rsidRDefault="00031AC3" w:rsidP="00031AC3">
            <w:pPr>
              <w:spacing w:after="0" w:line="240" w:lineRule="auto"/>
              <w:ind w:firstLineChars="132" w:firstLine="198"/>
              <w:rPr>
                <w:rFonts w:ascii="Montserrat" w:eastAsia="Times New Roman" w:hAnsi="Montserrat" w:cs="Calibri"/>
                <w:color w:val="000000"/>
                <w:sz w:val="15"/>
                <w:szCs w:val="15"/>
                <w:lang w:val="es-MX" w:eastAsia="es-MX"/>
              </w:rPr>
            </w:pPr>
            <w:r w:rsidRPr="00255081">
              <w:rPr>
                <w:rFonts w:ascii="Montserrat" w:eastAsia="Times New Roman" w:hAnsi="Montserrat" w:cs="Calibri"/>
                <w:color w:val="000000"/>
                <w:sz w:val="15"/>
                <w:szCs w:val="15"/>
                <w:lang w:val="es-MX" w:eastAsia="es-MX"/>
              </w:rPr>
              <w:t>Amortización de la deuda publica</w:t>
            </w:r>
          </w:p>
        </w:tc>
        <w:tc>
          <w:tcPr>
            <w:tcW w:w="1849" w:type="dxa"/>
            <w:gridSpan w:val="2"/>
            <w:tcBorders>
              <w:top w:val="nil"/>
              <w:left w:val="nil"/>
              <w:bottom w:val="nil"/>
              <w:right w:val="nil"/>
            </w:tcBorders>
            <w:shd w:val="clear" w:color="auto" w:fill="F2F2F2" w:themeFill="background1" w:themeFillShade="F2"/>
            <w:noWrap/>
            <w:tcMar>
              <w:top w:w="0" w:type="dxa"/>
              <w:left w:w="70" w:type="dxa"/>
              <w:bottom w:w="0" w:type="dxa"/>
              <w:right w:w="70" w:type="dxa"/>
            </w:tcMar>
            <w:vAlign w:val="center"/>
          </w:tcPr>
          <w:p w14:paraId="68AFFD8B" w14:textId="77777777" w:rsidR="00031AC3" w:rsidRPr="00255081" w:rsidRDefault="00031AC3" w:rsidP="00031AC3">
            <w:pPr>
              <w:spacing w:after="0" w:line="240" w:lineRule="auto"/>
              <w:jc w:val="right"/>
              <w:rPr>
                <w:rFonts w:ascii="Montserrat" w:eastAsia="Times New Roman" w:hAnsi="Montserrat" w:cs="Calibri"/>
                <w:color w:val="000000"/>
                <w:sz w:val="15"/>
                <w:szCs w:val="15"/>
                <w:lang w:val="es-MX" w:eastAsia="es-MX"/>
              </w:rPr>
            </w:pPr>
            <w:r w:rsidRPr="00255081">
              <w:rPr>
                <w:rFonts w:ascii="Montserrat" w:eastAsia="Times New Roman" w:hAnsi="Montserrat" w:cs="Calibri"/>
                <w:color w:val="000000"/>
                <w:sz w:val="15"/>
                <w:szCs w:val="15"/>
                <w:lang w:val="es-MX" w:eastAsia="es-MX"/>
              </w:rPr>
              <w:t>0</w:t>
            </w:r>
          </w:p>
        </w:tc>
        <w:tc>
          <w:tcPr>
            <w:tcW w:w="2708" w:type="dxa"/>
            <w:gridSpan w:val="2"/>
            <w:tcBorders>
              <w:top w:val="nil"/>
              <w:left w:val="nil"/>
              <w:bottom w:val="nil"/>
              <w:right w:val="nil"/>
            </w:tcBorders>
            <w:shd w:val="clear" w:color="auto" w:fill="F2F2F2" w:themeFill="background1" w:themeFillShade="F2"/>
            <w:tcMar>
              <w:top w:w="0" w:type="dxa"/>
              <w:left w:w="70" w:type="dxa"/>
              <w:bottom w:w="0" w:type="dxa"/>
              <w:right w:w="70" w:type="dxa"/>
            </w:tcMar>
            <w:vAlign w:val="center"/>
          </w:tcPr>
          <w:p w14:paraId="429EAC9D" w14:textId="77777777" w:rsidR="00031AC3" w:rsidRPr="00255081" w:rsidRDefault="00031AC3" w:rsidP="00031AC3">
            <w:pPr>
              <w:spacing w:after="0" w:line="240" w:lineRule="exact"/>
              <w:ind w:right="57"/>
              <w:rPr>
                <w:rFonts w:ascii="Montserrat" w:hAnsi="Montserrat"/>
                <w:sz w:val="15"/>
                <w:szCs w:val="15"/>
              </w:rPr>
            </w:pPr>
          </w:p>
        </w:tc>
      </w:tr>
      <w:tr w:rsidR="00031AC3" w:rsidRPr="006F0DF1" w14:paraId="3AFBBB62" w14:textId="77777777" w:rsidTr="00031AC3">
        <w:trPr>
          <w:trHeight w:val="215"/>
          <w:jc w:val="center"/>
        </w:trPr>
        <w:tc>
          <w:tcPr>
            <w:tcW w:w="419" w:type="dxa"/>
            <w:tcBorders>
              <w:top w:val="nil"/>
              <w:left w:val="nil"/>
              <w:bottom w:val="nil"/>
              <w:right w:val="nil"/>
            </w:tcBorders>
            <w:shd w:val="clear" w:color="auto" w:fill="F2F2F2" w:themeFill="background1" w:themeFillShade="F2"/>
            <w:noWrap/>
            <w:tcMar>
              <w:top w:w="0" w:type="dxa"/>
              <w:left w:w="70" w:type="dxa"/>
              <w:bottom w:w="0" w:type="dxa"/>
              <w:right w:w="70" w:type="dxa"/>
            </w:tcMar>
            <w:vAlign w:val="center"/>
          </w:tcPr>
          <w:p w14:paraId="275B5659" w14:textId="77777777" w:rsidR="00031AC3" w:rsidRPr="000F0321" w:rsidRDefault="00031AC3" w:rsidP="00031AC3">
            <w:pPr>
              <w:spacing w:after="0" w:line="240" w:lineRule="exact"/>
              <w:ind w:right="57" w:firstLine="180"/>
              <w:rPr>
                <w:rFonts w:ascii="Montserrat" w:hAnsi="Montserrat"/>
                <w:sz w:val="15"/>
                <w:szCs w:val="15"/>
              </w:rPr>
            </w:pPr>
          </w:p>
        </w:tc>
        <w:tc>
          <w:tcPr>
            <w:tcW w:w="5290" w:type="dxa"/>
            <w:tcBorders>
              <w:top w:val="nil"/>
              <w:left w:val="nil"/>
              <w:bottom w:val="nil"/>
              <w:right w:val="nil"/>
            </w:tcBorders>
            <w:shd w:val="clear" w:color="auto" w:fill="F2F2F2" w:themeFill="background1" w:themeFillShade="F2"/>
            <w:tcMar>
              <w:top w:w="0" w:type="dxa"/>
              <w:left w:w="70" w:type="dxa"/>
              <w:bottom w:w="0" w:type="dxa"/>
              <w:right w:w="70" w:type="dxa"/>
            </w:tcMar>
            <w:vAlign w:val="center"/>
            <w:hideMark/>
          </w:tcPr>
          <w:p w14:paraId="760C59DD" w14:textId="77777777" w:rsidR="00031AC3" w:rsidRPr="00255081" w:rsidRDefault="00031AC3" w:rsidP="00031AC3">
            <w:pPr>
              <w:spacing w:after="0" w:line="240" w:lineRule="auto"/>
              <w:ind w:firstLineChars="132" w:firstLine="198"/>
              <w:rPr>
                <w:rFonts w:ascii="Montserrat" w:eastAsia="Times New Roman" w:hAnsi="Montserrat" w:cs="Calibri"/>
                <w:color w:val="000000"/>
                <w:sz w:val="15"/>
                <w:szCs w:val="15"/>
                <w:lang w:val="es-MX" w:eastAsia="es-MX"/>
              </w:rPr>
            </w:pPr>
            <w:r w:rsidRPr="00255081">
              <w:rPr>
                <w:rFonts w:ascii="Montserrat" w:eastAsia="Times New Roman" w:hAnsi="Montserrat" w:cs="Calibri"/>
                <w:color w:val="000000"/>
                <w:sz w:val="15"/>
                <w:szCs w:val="15"/>
                <w:lang w:val="es-MX" w:eastAsia="es-MX"/>
              </w:rPr>
              <w:t>Adeudos de ejercicios fiscales anteriores (ADEFAS)</w:t>
            </w:r>
          </w:p>
        </w:tc>
        <w:tc>
          <w:tcPr>
            <w:tcW w:w="1849" w:type="dxa"/>
            <w:gridSpan w:val="2"/>
            <w:tcBorders>
              <w:top w:val="nil"/>
              <w:left w:val="nil"/>
              <w:bottom w:val="nil"/>
              <w:right w:val="nil"/>
            </w:tcBorders>
            <w:shd w:val="clear" w:color="auto" w:fill="F2F2F2" w:themeFill="background1" w:themeFillShade="F2"/>
            <w:noWrap/>
            <w:tcMar>
              <w:top w:w="0" w:type="dxa"/>
              <w:left w:w="70" w:type="dxa"/>
              <w:bottom w:w="0" w:type="dxa"/>
              <w:right w:w="70" w:type="dxa"/>
            </w:tcMar>
            <w:vAlign w:val="center"/>
          </w:tcPr>
          <w:p w14:paraId="52E062B4" w14:textId="1F0AC72C" w:rsidR="00031AC3" w:rsidRPr="00255081" w:rsidRDefault="00F468B1" w:rsidP="00031AC3">
            <w:pPr>
              <w:spacing w:after="0" w:line="240" w:lineRule="auto"/>
              <w:jc w:val="right"/>
              <w:rPr>
                <w:rFonts w:ascii="Montserrat" w:eastAsia="Times New Roman" w:hAnsi="Montserrat" w:cs="Calibri"/>
                <w:color w:val="000000"/>
                <w:sz w:val="15"/>
                <w:szCs w:val="15"/>
                <w:lang w:val="es-MX" w:eastAsia="es-MX"/>
              </w:rPr>
            </w:pPr>
            <w:r w:rsidRPr="00255081">
              <w:rPr>
                <w:rFonts w:ascii="Montserrat" w:eastAsia="Times New Roman" w:hAnsi="Montserrat" w:cs="Calibri"/>
                <w:color w:val="000000"/>
                <w:sz w:val="15"/>
                <w:szCs w:val="15"/>
                <w:lang w:val="es-MX" w:eastAsia="es-MX"/>
              </w:rPr>
              <w:t>11,232,441,255</w:t>
            </w:r>
          </w:p>
        </w:tc>
        <w:tc>
          <w:tcPr>
            <w:tcW w:w="2708" w:type="dxa"/>
            <w:gridSpan w:val="2"/>
            <w:tcBorders>
              <w:top w:val="nil"/>
              <w:left w:val="nil"/>
              <w:bottom w:val="nil"/>
              <w:right w:val="nil"/>
            </w:tcBorders>
            <w:shd w:val="clear" w:color="auto" w:fill="F2F2F2" w:themeFill="background1" w:themeFillShade="F2"/>
            <w:tcMar>
              <w:top w:w="0" w:type="dxa"/>
              <w:left w:w="70" w:type="dxa"/>
              <w:bottom w:w="0" w:type="dxa"/>
              <w:right w:w="70" w:type="dxa"/>
            </w:tcMar>
            <w:vAlign w:val="center"/>
          </w:tcPr>
          <w:p w14:paraId="05377121" w14:textId="77777777" w:rsidR="00031AC3" w:rsidRPr="00255081" w:rsidRDefault="00031AC3" w:rsidP="00031AC3">
            <w:pPr>
              <w:spacing w:after="0" w:line="240" w:lineRule="exact"/>
              <w:ind w:right="57"/>
              <w:rPr>
                <w:rFonts w:ascii="Montserrat" w:hAnsi="Montserrat"/>
                <w:sz w:val="15"/>
                <w:szCs w:val="15"/>
              </w:rPr>
            </w:pPr>
          </w:p>
        </w:tc>
      </w:tr>
      <w:tr w:rsidR="00031AC3" w:rsidRPr="006F0DF1" w14:paraId="53C2FFC2" w14:textId="77777777" w:rsidTr="00031AC3">
        <w:trPr>
          <w:trHeight w:val="215"/>
          <w:jc w:val="center"/>
        </w:trPr>
        <w:tc>
          <w:tcPr>
            <w:tcW w:w="5732" w:type="dxa"/>
            <w:gridSpan w:val="3"/>
            <w:tcBorders>
              <w:top w:val="nil"/>
              <w:left w:val="nil"/>
              <w:bottom w:val="nil"/>
              <w:right w:val="nil"/>
            </w:tcBorders>
            <w:shd w:val="clear" w:color="auto" w:fill="F2F2F2" w:themeFill="background1" w:themeFillShade="F2"/>
            <w:noWrap/>
            <w:tcMar>
              <w:top w:w="0" w:type="dxa"/>
              <w:left w:w="70" w:type="dxa"/>
              <w:bottom w:w="0" w:type="dxa"/>
              <w:right w:w="70" w:type="dxa"/>
            </w:tcMar>
            <w:vAlign w:val="center"/>
            <w:hideMark/>
          </w:tcPr>
          <w:p w14:paraId="66506183" w14:textId="616D1F6D" w:rsidR="00031AC3" w:rsidRPr="00255081" w:rsidRDefault="001B3AD1" w:rsidP="00031AC3">
            <w:pPr>
              <w:spacing w:after="0" w:line="240" w:lineRule="auto"/>
              <w:ind w:firstLineChars="400" w:firstLine="600"/>
              <w:rPr>
                <w:rFonts w:ascii="Montserrat" w:eastAsia="Times New Roman" w:hAnsi="Montserrat" w:cs="Calibri"/>
                <w:color w:val="000000"/>
                <w:sz w:val="15"/>
                <w:szCs w:val="15"/>
                <w:lang w:val="es-MX" w:eastAsia="es-MX"/>
              </w:rPr>
            </w:pPr>
            <w:r>
              <w:rPr>
                <w:rFonts w:ascii="Montserrat" w:eastAsia="Times New Roman" w:hAnsi="Montserrat" w:cs="Calibri"/>
                <w:color w:val="000000"/>
                <w:sz w:val="15"/>
                <w:szCs w:val="15"/>
                <w:lang w:val="es-MX" w:eastAsia="es-MX"/>
              </w:rPr>
              <w:t>Otros Egresos Presupuestario</w:t>
            </w:r>
            <w:r w:rsidR="00031AC3" w:rsidRPr="00255081">
              <w:rPr>
                <w:rFonts w:ascii="Montserrat" w:eastAsia="Times New Roman" w:hAnsi="Montserrat" w:cs="Calibri"/>
                <w:color w:val="000000"/>
                <w:sz w:val="15"/>
                <w:szCs w:val="15"/>
                <w:lang w:val="es-MX" w:eastAsia="es-MX"/>
              </w:rPr>
              <w:t xml:space="preserve"> No Contables</w:t>
            </w:r>
          </w:p>
        </w:tc>
        <w:tc>
          <w:tcPr>
            <w:tcW w:w="1848" w:type="dxa"/>
            <w:gridSpan w:val="2"/>
            <w:tcBorders>
              <w:top w:val="nil"/>
              <w:left w:val="nil"/>
              <w:bottom w:val="nil"/>
              <w:right w:val="nil"/>
            </w:tcBorders>
            <w:shd w:val="clear" w:color="auto" w:fill="F2F2F2" w:themeFill="background1" w:themeFillShade="F2"/>
            <w:noWrap/>
            <w:tcMar>
              <w:top w:w="0" w:type="dxa"/>
              <w:left w:w="70" w:type="dxa"/>
              <w:bottom w:w="0" w:type="dxa"/>
              <w:right w:w="70" w:type="dxa"/>
            </w:tcMar>
            <w:vAlign w:val="center"/>
          </w:tcPr>
          <w:p w14:paraId="34B9C04C" w14:textId="7B87A85D" w:rsidR="00031AC3" w:rsidRPr="00255081" w:rsidRDefault="00F468B1" w:rsidP="00031AC3">
            <w:pPr>
              <w:spacing w:after="0" w:line="240" w:lineRule="auto"/>
              <w:jc w:val="right"/>
              <w:rPr>
                <w:rFonts w:ascii="Montserrat" w:eastAsia="Times New Roman" w:hAnsi="Montserrat" w:cs="Calibri"/>
                <w:color w:val="000000"/>
                <w:sz w:val="15"/>
                <w:szCs w:val="15"/>
                <w:lang w:val="es-MX" w:eastAsia="es-MX"/>
              </w:rPr>
            </w:pPr>
            <w:r w:rsidRPr="00255081">
              <w:rPr>
                <w:rFonts w:ascii="Montserrat" w:eastAsia="Times New Roman" w:hAnsi="Montserrat" w:cs="Calibri"/>
                <w:color w:val="000000"/>
                <w:sz w:val="15"/>
                <w:szCs w:val="15"/>
                <w:lang w:val="es-MX" w:eastAsia="es-MX"/>
              </w:rPr>
              <w:t>14,770,020,701</w:t>
            </w:r>
          </w:p>
        </w:tc>
        <w:tc>
          <w:tcPr>
            <w:tcW w:w="2686" w:type="dxa"/>
            <w:tcBorders>
              <w:top w:val="nil"/>
              <w:left w:val="nil"/>
              <w:bottom w:val="nil"/>
              <w:right w:val="nil"/>
            </w:tcBorders>
            <w:shd w:val="clear" w:color="auto" w:fill="F2F2F2" w:themeFill="background1" w:themeFillShade="F2"/>
            <w:tcMar>
              <w:top w:w="0" w:type="dxa"/>
              <w:left w:w="70" w:type="dxa"/>
              <w:bottom w:w="0" w:type="dxa"/>
              <w:right w:w="70" w:type="dxa"/>
            </w:tcMar>
            <w:vAlign w:val="center"/>
          </w:tcPr>
          <w:p w14:paraId="5512F80D" w14:textId="77777777" w:rsidR="00031AC3" w:rsidRPr="00255081" w:rsidRDefault="00031AC3" w:rsidP="00031AC3">
            <w:pPr>
              <w:spacing w:after="0" w:line="240" w:lineRule="exact"/>
              <w:ind w:right="57"/>
              <w:rPr>
                <w:rFonts w:ascii="Montserrat" w:hAnsi="Montserrat"/>
                <w:sz w:val="15"/>
                <w:szCs w:val="15"/>
                <w:highlight w:val="yellow"/>
              </w:rPr>
            </w:pPr>
          </w:p>
        </w:tc>
      </w:tr>
      <w:tr w:rsidR="00031AC3" w:rsidRPr="006F0DF1" w14:paraId="2C783B35" w14:textId="77777777" w:rsidTr="00031AC3">
        <w:trPr>
          <w:trHeight w:val="215"/>
          <w:jc w:val="center"/>
        </w:trPr>
        <w:tc>
          <w:tcPr>
            <w:tcW w:w="5732" w:type="dxa"/>
            <w:gridSpan w:val="3"/>
            <w:tcBorders>
              <w:top w:val="nil"/>
              <w:left w:val="nil"/>
              <w:bottom w:val="nil"/>
              <w:right w:val="nil"/>
            </w:tcBorders>
            <w:shd w:val="clear" w:color="auto" w:fill="F2F2F2" w:themeFill="background1" w:themeFillShade="F2"/>
            <w:noWrap/>
            <w:tcMar>
              <w:top w:w="0" w:type="dxa"/>
              <w:left w:w="70" w:type="dxa"/>
              <w:bottom w:w="0" w:type="dxa"/>
              <w:right w:w="70" w:type="dxa"/>
            </w:tcMar>
            <w:vAlign w:val="center"/>
            <w:hideMark/>
          </w:tcPr>
          <w:p w14:paraId="7ADAAB09" w14:textId="7DB73103" w:rsidR="00031AC3" w:rsidRPr="000F0321" w:rsidRDefault="00031AC3" w:rsidP="00031AC3">
            <w:pPr>
              <w:spacing w:after="0" w:line="240" w:lineRule="exact"/>
              <w:ind w:right="57"/>
              <w:rPr>
                <w:rFonts w:ascii="Montserrat" w:hAnsi="Montserrat"/>
                <w:b/>
                <w:bCs/>
                <w:sz w:val="15"/>
                <w:szCs w:val="15"/>
              </w:rPr>
            </w:pPr>
            <w:r w:rsidRPr="000F0321">
              <w:rPr>
                <w:rFonts w:ascii="Montserrat" w:hAnsi="Montserrat"/>
                <w:b/>
                <w:bCs/>
                <w:sz w:val="15"/>
                <w:szCs w:val="15"/>
              </w:rPr>
              <w:t>3. Más Ga</w:t>
            </w:r>
            <w:r w:rsidR="001B3AD1">
              <w:rPr>
                <w:rFonts w:ascii="Montserrat" w:hAnsi="Montserrat"/>
                <w:b/>
                <w:bCs/>
                <w:sz w:val="15"/>
                <w:szCs w:val="15"/>
              </w:rPr>
              <w:t>stos Contables No Presupuestarios</w:t>
            </w:r>
          </w:p>
        </w:tc>
        <w:tc>
          <w:tcPr>
            <w:tcW w:w="1848" w:type="dxa"/>
            <w:gridSpan w:val="2"/>
            <w:tcBorders>
              <w:top w:val="nil"/>
              <w:left w:val="nil"/>
              <w:bottom w:val="nil"/>
              <w:right w:val="nil"/>
            </w:tcBorders>
            <w:shd w:val="clear" w:color="auto" w:fill="F2F2F2" w:themeFill="background1" w:themeFillShade="F2"/>
            <w:noWrap/>
            <w:tcMar>
              <w:top w:w="0" w:type="dxa"/>
              <w:left w:w="70" w:type="dxa"/>
              <w:bottom w:w="0" w:type="dxa"/>
              <w:right w:w="70" w:type="dxa"/>
            </w:tcMar>
            <w:vAlign w:val="bottom"/>
          </w:tcPr>
          <w:p w14:paraId="31E07840" w14:textId="77777777" w:rsidR="00031AC3" w:rsidRPr="00255081" w:rsidRDefault="00031AC3" w:rsidP="00031AC3">
            <w:pPr>
              <w:spacing w:after="0" w:line="240" w:lineRule="auto"/>
              <w:jc w:val="right"/>
              <w:rPr>
                <w:rFonts w:ascii="Montserrat" w:eastAsia="Times New Roman" w:hAnsi="Montserrat" w:cs="Calibri"/>
                <w:color w:val="000000"/>
                <w:sz w:val="15"/>
                <w:szCs w:val="15"/>
                <w:lang w:val="es-MX" w:eastAsia="es-MX"/>
              </w:rPr>
            </w:pPr>
          </w:p>
        </w:tc>
        <w:tc>
          <w:tcPr>
            <w:tcW w:w="2686" w:type="dxa"/>
            <w:tcBorders>
              <w:top w:val="nil"/>
              <w:left w:val="nil"/>
              <w:bottom w:val="nil"/>
              <w:right w:val="nil"/>
            </w:tcBorders>
            <w:shd w:val="clear" w:color="auto" w:fill="F2F2F2" w:themeFill="background1" w:themeFillShade="F2"/>
            <w:noWrap/>
            <w:tcMar>
              <w:top w:w="0" w:type="dxa"/>
              <w:left w:w="70" w:type="dxa"/>
              <w:bottom w:w="0" w:type="dxa"/>
              <w:right w:w="70" w:type="dxa"/>
            </w:tcMar>
            <w:vAlign w:val="center"/>
          </w:tcPr>
          <w:p w14:paraId="0B71EC05" w14:textId="1E52FFA2" w:rsidR="00031AC3" w:rsidRPr="00255081" w:rsidRDefault="00F468B1" w:rsidP="00031AC3">
            <w:pPr>
              <w:spacing w:after="0" w:line="240" w:lineRule="exact"/>
              <w:ind w:right="57"/>
              <w:jc w:val="right"/>
              <w:rPr>
                <w:rFonts w:ascii="Montserrat" w:hAnsi="Montserrat"/>
                <w:b/>
                <w:bCs/>
                <w:sz w:val="15"/>
                <w:szCs w:val="15"/>
                <w:highlight w:val="yellow"/>
              </w:rPr>
            </w:pPr>
            <w:r w:rsidRPr="00255081">
              <w:rPr>
                <w:rFonts w:ascii="Montserrat" w:hAnsi="Montserrat" w:cs="Calibri"/>
                <w:b/>
                <w:sz w:val="15"/>
                <w:szCs w:val="15"/>
              </w:rPr>
              <w:t>685,075,588,697</w:t>
            </w:r>
          </w:p>
        </w:tc>
      </w:tr>
      <w:tr w:rsidR="00031AC3" w:rsidRPr="006F0DF1" w14:paraId="71D6EF33" w14:textId="77777777" w:rsidTr="00031AC3">
        <w:trPr>
          <w:trHeight w:val="215"/>
          <w:jc w:val="center"/>
        </w:trPr>
        <w:tc>
          <w:tcPr>
            <w:tcW w:w="419" w:type="dxa"/>
            <w:tcBorders>
              <w:top w:val="nil"/>
              <w:left w:val="nil"/>
              <w:bottom w:val="nil"/>
              <w:right w:val="nil"/>
            </w:tcBorders>
            <w:shd w:val="clear" w:color="auto" w:fill="F2F2F2" w:themeFill="background1" w:themeFillShade="F2"/>
            <w:noWrap/>
            <w:tcMar>
              <w:top w:w="0" w:type="dxa"/>
              <w:left w:w="70" w:type="dxa"/>
              <w:bottom w:w="0" w:type="dxa"/>
              <w:right w:w="70" w:type="dxa"/>
            </w:tcMar>
            <w:vAlign w:val="center"/>
            <w:hideMark/>
          </w:tcPr>
          <w:p w14:paraId="1B842D5C" w14:textId="77777777" w:rsidR="00031AC3" w:rsidRPr="000F0321" w:rsidRDefault="00031AC3" w:rsidP="00031AC3">
            <w:pPr>
              <w:spacing w:after="0" w:line="240" w:lineRule="exact"/>
              <w:ind w:right="57" w:firstLine="180"/>
              <w:rPr>
                <w:rFonts w:ascii="Montserrat" w:hAnsi="Montserrat"/>
                <w:sz w:val="15"/>
                <w:szCs w:val="15"/>
              </w:rPr>
            </w:pPr>
            <w:r w:rsidRPr="000F0321">
              <w:rPr>
                <w:rFonts w:ascii="Montserrat" w:hAnsi="Montserrat"/>
                <w:sz w:val="15"/>
                <w:szCs w:val="15"/>
              </w:rPr>
              <w:t> </w:t>
            </w:r>
          </w:p>
        </w:tc>
        <w:tc>
          <w:tcPr>
            <w:tcW w:w="5290" w:type="dxa"/>
            <w:tcBorders>
              <w:top w:val="nil"/>
              <w:left w:val="nil"/>
              <w:bottom w:val="nil"/>
              <w:right w:val="nil"/>
            </w:tcBorders>
            <w:shd w:val="clear" w:color="auto" w:fill="F2F2F2" w:themeFill="background1" w:themeFillShade="F2"/>
            <w:tcMar>
              <w:top w:w="0" w:type="dxa"/>
              <w:left w:w="70" w:type="dxa"/>
              <w:bottom w:w="0" w:type="dxa"/>
              <w:right w:w="70" w:type="dxa"/>
            </w:tcMar>
            <w:vAlign w:val="center"/>
            <w:hideMark/>
          </w:tcPr>
          <w:p w14:paraId="38CCD260" w14:textId="77777777" w:rsidR="00031AC3" w:rsidRPr="00255081" w:rsidRDefault="00031AC3" w:rsidP="00031AC3">
            <w:pPr>
              <w:spacing w:after="0" w:line="240" w:lineRule="auto"/>
              <w:ind w:firstLineChars="132" w:firstLine="198"/>
              <w:rPr>
                <w:rFonts w:ascii="Montserrat" w:eastAsia="Times New Roman" w:hAnsi="Montserrat" w:cs="Calibri"/>
                <w:color w:val="000000"/>
                <w:sz w:val="15"/>
                <w:szCs w:val="15"/>
                <w:lang w:val="es-MX" w:eastAsia="es-MX"/>
              </w:rPr>
            </w:pPr>
            <w:r w:rsidRPr="00255081">
              <w:rPr>
                <w:rFonts w:ascii="Montserrat" w:eastAsia="Times New Roman" w:hAnsi="Montserrat" w:cs="Calibri"/>
                <w:color w:val="000000"/>
                <w:sz w:val="15"/>
                <w:szCs w:val="15"/>
                <w:lang w:val="es-MX" w:eastAsia="es-MX"/>
              </w:rPr>
              <w:t>Estimaciones, depreciaciones, deterioros, obsolescencia y</w:t>
            </w:r>
          </w:p>
          <w:p w14:paraId="24AF904F" w14:textId="77777777" w:rsidR="00031AC3" w:rsidRPr="00255081" w:rsidRDefault="00031AC3" w:rsidP="00031AC3">
            <w:pPr>
              <w:spacing w:after="0" w:line="240" w:lineRule="auto"/>
              <w:ind w:firstLineChars="132" w:firstLine="198"/>
              <w:rPr>
                <w:rFonts w:ascii="Montserrat" w:eastAsia="Times New Roman" w:hAnsi="Montserrat" w:cs="Calibri"/>
                <w:color w:val="000000"/>
                <w:sz w:val="15"/>
                <w:szCs w:val="15"/>
                <w:lang w:val="es-MX" w:eastAsia="es-MX"/>
              </w:rPr>
            </w:pPr>
            <w:r w:rsidRPr="00255081">
              <w:rPr>
                <w:rFonts w:ascii="Montserrat" w:eastAsia="Times New Roman" w:hAnsi="Montserrat" w:cs="Calibri"/>
                <w:color w:val="000000"/>
                <w:sz w:val="15"/>
                <w:szCs w:val="15"/>
                <w:lang w:val="es-MX" w:eastAsia="es-MX"/>
              </w:rPr>
              <w:t>amortizaciones</w:t>
            </w:r>
          </w:p>
        </w:tc>
        <w:tc>
          <w:tcPr>
            <w:tcW w:w="1849" w:type="dxa"/>
            <w:gridSpan w:val="2"/>
            <w:tcBorders>
              <w:top w:val="nil"/>
              <w:left w:val="nil"/>
              <w:bottom w:val="nil"/>
              <w:right w:val="nil"/>
            </w:tcBorders>
            <w:shd w:val="clear" w:color="auto" w:fill="F2F2F2" w:themeFill="background1" w:themeFillShade="F2"/>
            <w:noWrap/>
            <w:tcMar>
              <w:top w:w="0" w:type="dxa"/>
              <w:left w:w="70" w:type="dxa"/>
              <w:bottom w:w="0" w:type="dxa"/>
              <w:right w:w="70" w:type="dxa"/>
            </w:tcMar>
            <w:vAlign w:val="center"/>
          </w:tcPr>
          <w:p w14:paraId="7E3FDB98" w14:textId="7125A977" w:rsidR="00031AC3" w:rsidRPr="00255081" w:rsidRDefault="00F468B1" w:rsidP="00031AC3">
            <w:pPr>
              <w:spacing w:after="0" w:line="240" w:lineRule="auto"/>
              <w:jc w:val="right"/>
              <w:rPr>
                <w:rFonts w:ascii="Montserrat" w:eastAsia="Times New Roman" w:hAnsi="Montserrat" w:cs="Calibri"/>
                <w:color w:val="000000"/>
                <w:sz w:val="15"/>
                <w:szCs w:val="15"/>
                <w:lang w:val="es-MX" w:eastAsia="es-MX"/>
              </w:rPr>
            </w:pPr>
            <w:r w:rsidRPr="00255081">
              <w:rPr>
                <w:rFonts w:ascii="Montserrat" w:eastAsia="Times New Roman" w:hAnsi="Montserrat" w:cs="Calibri"/>
                <w:color w:val="000000"/>
                <w:sz w:val="15"/>
                <w:szCs w:val="15"/>
                <w:lang w:val="es-MX" w:eastAsia="es-MX"/>
              </w:rPr>
              <w:t>1,110,837,610</w:t>
            </w:r>
          </w:p>
        </w:tc>
        <w:tc>
          <w:tcPr>
            <w:tcW w:w="2708" w:type="dxa"/>
            <w:gridSpan w:val="2"/>
            <w:tcBorders>
              <w:top w:val="nil"/>
              <w:left w:val="nil"/>
              <w:bottom w:val="nil"/>
              <w:right w:val="nil"/>
            </w:tcBorders>
            <w:shd w:val="clear" w:color="auto" w:fill="F2F2F2" w:themeFill="background1" w:themeFillShade="F2"/>
            <w:tcMar>
              <w:top w:w="0" w:type="dxa"/>
              <w:left w:w="70" w:type="dxa"/>
              <w:bottom w:w="0" w:type="dxa"/>
              <w:right w:w="70" w:type="dxa"/>
            </w:tcMar>
            <w:vAlign w:val="center"/>
          </w:tcPr>
          <w:p w14:paraId="72D85F8F" w14:textId="77777777" w:rsidR="00031AC3" w:rsidRPr="00255081" w:rsidRDefault="00031AC3" w:rsidP="00031AC3">
            <w:pPr>
              <w:spacing w:after="0" w:line="240" w:lineRule="exact"/>
              <w:ind w:right="57"/>
              <w:rPr>
                <w:rFonts w:ascii="Montserrat" w:hAnsi="Montserrat"/>
                <w:sz w:val="15"/>
                <w:szCs w:val="15"/>
              </w:rPr>
            </w:pPr>
          </w:p>
        </w:tc>
      </w:tr>
      <w:tr w:rsidR="00031AC3" w:rsidRPr="006F0DF1" w14:paraId="197E361E" w14:textId="77777777" w:rsidTr="00031AC3">
        <w:trPr>
          <w:trHeight w:val="215"/>
          <w:jc w:val="center"/>
        </w:trPr>
        <w:tc>
          <w:tcPr>
            <w:tcW w:w="419" w:type="dxa"/>
            <w:tcBorders>
              <w:top w:val="nil"/>
              <w:left w:val="nil"/>
              <w:bottom w:val="nil"/>
              <w:right w:val="nil"/>
            </w:tcBorders>
            <w:shd w:val="clear" w:color="auto" w:fill="F2F2F2" w:themeFill="background1" w:themeFillShade="F2"/>
            <w:noWrap/>
            <w:tcMar>
              <w:top w:w="0" w:type="dxa"/>
              <w:left w:w="70" w:type="dxa"/>
              <w:bottom w:w="0" w:type="dxa"/>
              <w:right w:w="70" w:type="dxa"/>
            </w:tcMar>
            <w:vAlign w:val="center"/>
            <w:hideMark/>
          </w:tcPr>
          <w:p w14:paraId="5DA37A47" w14:textId="77777777" w:rsidR="00031AC3" w:rsidRPr="000F0321" w:rsidRDefault="00031AC3" w:rsidP="00031AC3">
            <w:pPr>
              <w:spacing w:after="0" w:line="240" w:lineRule="exact"/>
              <w:ind w:right="57" w:firstLine="180"/>
              <w:rPr>
                <w:rFonts w:ascii="Montserrat" w:hAnsi="Montserrat"/>
                <w:sz w:val="15"/>
                <w:szCs w:val="15"/>
              </w:rPr>
            </w:pPr>
            <w:r w:rsidRPr="000F0321">
              <w:rPr>
                <w:rFonts w:ascii="Montserrat" w:hAnsi="Montserrat"/>
                <w:sz w:val="15"/>
                <w:szCs w:val="15"/>
              </w:rPr>
              <w:t> </w:t>
            </w:r>
          </w:p>
        </w:tc>
        <w:tc>
          <w:tcPr>
            <w:tcW w:w="5290" w:type="dxa"/>
            <w:tcBorders>
              <w:top w:val="nil"/>
              <w:left w:val="nil"/>
              <w:bottom w:val="nil"/>
              <w:right w:val="nil"/>
            </w:tcBorders>
            <w:shd w:val="clear" w:color="auto" w:fill="F2F2F2" w:themeFill="background1" w:themeFillShade="F2"/>
            <w:tcMar>
              <w:top w:w="0" w:type="dxa"/>
              <w:left w:w="70" w:type="dxa"/>
              <w:bottom w:w="0" w:type="dxa"/>
              <w:right w:w="70" w:type="dxa"/>
            </w:tcMar>
            <w:vAlign w:val="center"/>
            <w:hideMark/>
          </w:tcPr>
          <w:p w14:paraId="6396CE48" w14:textId="77777777" w:rsidR="00031AC3" w:rsidRPr="00255081" w:rsidRDefault="00031AC3" w:rsidP="00031AC3">
            <w:pPr>
              <w:spacing w:after="0" w:line="240" w:lineRule="auto"/>
              <w:ind w:firstLineChars="132" w:firstLine="198"/>
              <w:rPr>
                <w:rFonts w:ascii="Montserrat" w:eastAsia="Times New Roman" w:hAnsi="Montserrat" w:cs="Calibri"/>
                <w:color w:val="000000"/>
                <w:sz w:val="15"/>
                <w:szCs w:val="15"/>
                <w:lang w:val="es-MX" w:eastAsia="es-MX"/>
              </w:rPr>
            </w:pPr>
            <w:r w:rsidRPr="00255081">
              <w:rPr>
                <w:rFonts w:ascii="Montserrat" w:eastAsia="Times New Roman" w:hAnsi="Montserrat" w:cs="Calibri"/>
                <w:color w:val="000000"/>
                <w:sz w:val="15"/>
                <w:szCs w:val="15"/>
                <w:lang w:val="es-MX" w:eastAsia="es-MX"/>
              </w:rPr>
              <w:t>Provisiones</w:t>
            </w:r>
          </w:p>
        </w:tc>
        <w:tc>
          <w:tcPr>
            <w:tcW w:w="1849" w:type="dxa"/>
            <w:gridSpan w:val="2"/>
            <w:tcBorders>
              <w:top w:val="nil"/>
              <w:left w:val="nil"/>
              <w:bottom w:val="nil"/>
              <w:right w:val="nil"/>
            </w:tcBorders>
            <w:shd w:val="clear" w:color="auto" w:fill="F2F2F2" w:themeFill="background1" w:themeFillShade="F2"/>
            <w:noWrap/>
            <w:tcMar>
              <w:top w:w="0" w:type="dxa"/>
              <w:left w:w="70" w:type="dxa"/>
              <w:bottom w:w="0" w:type="dxa"/>
              <w:right w:w="70" w:type="dxa"/>
            </w:tcMar>
            <w:vAlign w:val="center"/>
          </w:tcPr>
          <w:p w14:paraId="2B748DDA" w14:textId="77777777" w:rsidR="00031AC3" w:rsidRPr="00255081" w:rsidRDefault="00031AC3" w:rsidP="00031AC3">
            <w:pPr>
              <w:spacing w:after="0" w:line="240" w:lineRule="auto"/>
              <w:jc w:val="right"/>
              <w:rPr>
                <w:rFonts w:ascii="Montserrat" w:eastAsia="Times New Roman" w:hAnsi="Montserrat" w:cs="Calibri"/>
                <w:color w:val="000000"/>
                <w:sz w:val="15"/>
                <w:szCs w:val="15"/>
                <w:lang w:val="es-MX" w:eastAsia="es-MX"/>
              </w:rPr>
            </w:pPr>
            <w:r w:rsidRPr="00255081">
              <w:rPr>
                <w:rFonts w:ascii="Montserrat" w:eastAsia="Times New Roman" w:hAnsi="Montserrat" w:cs="Calibri"/>
                <w:color w:val="000000"/>
                <w:sz w:val="15"/>
                <w:szCs w:val="15"/>
                <w:lang w:val="es-MX" w:eastAsia="es-MX"/>
              </w:rPr>
              <w:t>0</w:t>
            </w:r>
          </w:p>
        </w:tc>
        <w:tc>
          <w:tcPr>
            <w:tcW w:w="2708" w:type="dxa"/>
            <w:gridSpan w:val="2"/>
            <w:tcBorders>
              <w:top w:val="nil"/>
              <w:left w:val="nil"/>
              <w:bottom w:val="nil"/>
              <w:right w:val="nil"/>
            </w:tcBorders>
            <w:shd w:val="clear" w:color="auto" w:fill="F2F2F2" w:themeFill="background1" w:themeFillShade="F2"/>
            <w:tcMar>
              <w:top w:w="0" w:type="dxa"/>
              <w:left w:w="70" w:type="dxa"/>
              <w:bottom w:w="0" w:type="dxa"/>
              <w:right w:w="70" w:type="dxa"/>
            </w:tcMar>
            <w:vAlign w:val="center"/>
          </w:tcPr>
          <w:p w14:paraId="3172BB0A" w14:textId="77777777" w:rsidR="00031AC3" w:rsidRPr="00255081" w:rsidRDefault="00031AC3" w:rsidP="00031AC3">
            <w:pPr>
              <w:spacing w:after="0" w:line="240" w:lineRule="exact"/>
              <w:ind w:right="57"/>
              <w:rPr>
                <w:rFonts w:ascii="Montserrat" w:hAnsi="Montserrat"/>
                <w:sz w:val="15"/>
                <w:szCs w:val="15"/>
              </w:rPr>
            </w:pPr>
          </w:p>
        </w:tc>
      </w:tr>
      <w:tr w:rsidR="00031AC3" w:rsidRPr="006F0DF1" w14:paraId="65E0C0D1" w14:textId="77777777" w:rsidTr="00031AC3">
        <w:trPr>
          <w:trHeight w:val="215"/>
          <w:jc w:val="center"/>
        </w:trPr>
        <w:tc>
          <w:tcPr>
            <w:tcW w:w="419" w:type="dxa"/>
            <w:tcBorders>
              <w:top w:val="nil"/>
              <w:left w:val="nil"/>
              <w:bottom w:val="nil"/>
              <w:right w:val="nil"/>
            </w:tcBorders>
            <w:shd w:val="clear" w:color="auto" w:fill="F2F2F2" w:themeFill="background1" w:themeFillShade="F2"/>
            <w:noWrap/>
            <w:tcMar>
              <w:top w:w="0" w:type="dxa"/>
              <w:left w:w="70" w:type="dxa"/>
              <w:bottom w:w="0" w:type="dxa"/>
              <w:right w:w="70" w:type="dxa"/>
            </w:tcMar>
            <w:vAlign w:val="center"/>
            <w:hideMark/>
          </w:tcPr>
          <w:p w14:paraId="19EEDB51" w14:textId="77777777" w:rsidR="00031AC3" w:rsidRPr="000F0321" w:rsidRDefault="00031AC3" w:rsidP="00031AC3">
            <w:pPr>
              <w:spacing w:after="0" w:line="240" w:lineRule="exact"/>
              <w:ind w:right="57" w:firstLine="180"/>
              <w:rPr>
                <w:rFonts w:ascii="Montserrat" w:hAnsi="Montserrat"/>
                <w:sz w:val="15"/>
                <w:szCs w:val="15"/>
              </w:rPr>
            </w:pPr>
            <w:r w:rsidRPr="000F0321">
              <w:rPr>
                <w:rFonts w:ascii="Montserrat" w:hAnsi="Montserrat"/>
                <w:sz w:val="15"/>
                <w:szCs w:val="15"/>
              </w:rPr>
              <w:t> </w:t>
            </w:r>
          </w:p>
        </w:tc>
        <w:tc>
          <w:tcPr>
            <w:tcW w:w="5290" w:type="dxa"/>
            <w:tcBorders>
              <w:top w:val="nil"/>
              <w:left w:val="nil"/>
              <w:bottom w:val="nil"/>
              <w:right w:val="nil"/>
            </w:tcBorders>
            <w:shd w:val="clear" w:color="auto" w:fill="F2F2F2" w:themeFill="background1" w:themeFillShade="F2"/>
            <w:tcMar>
              <w:top w:w="0" w:type="dxa"/>
              <w:left w:w="70" w:type="dxa"/>
              <w:bottom w:w="0" w:type="dxa"/>
              <w:right w:w="70" w:type="dxa"/>
            </w:tcMar>
            <w:vAlign w:val="center"/>
            <w:hideMark/>
          </w:tcPr>
          <w:p w14:paraId="7B6071A9" w14:textId="77777777" w:rsidR="00031AC3" w:rsidRPr="00255081" w:rsidRDefault="00031AC3" w:rsidP="00031AC3">
            <w:pPr>
              <w:spacing w:after="0" w:line="240" w:lineRule="auto"/>
              <w:ind w:firstLineChars="132" w:firstLine="198"/>
              <w:rPr>
                <w:rFonts w:ascii="Montserrat" w:eastAsia="Times New Roman" w:hAnsi="Montserrat" w:cs="Calibri"/>
                <w:color w:val="000000"/>
                <w:sz w:val="15"/>
                <w:szCs w:val="15"/>
                <w:lang w:val="es-MX" w:eastAsia="es-MX"/>
              </w:rPr>
            </w:pPr>
            <w:r w:rsidRPr="00255081">
              <w:rPr>
                <w:rFonts w:ascii="Montserrat" w:eastAsia="Times New Roman" w:hAnsi="Montserrat" w:cs="Calibri"/>
                <w:color w:val="000000"/>
                <w:sz w:val="15"/>
                <w:szCs w:val="15"/>
                <w:lang w:val="es-MX" w:eastAsia="es-MX"/>
              </w:rPr>
              <w:t>Disminución de inventarios</w:t>
            </w:r>
          </w:p>
        </w:tc>
        <w:tc>
          <w:tcPr>
            <w:tcW w:w="1849" w:type="dxa"/>
            <w:gridSpan w:val="2"/>
            <w:tcBorders>
              <w:top w:val="nil"/>
              <w:left w:val="nil"/>
              <w:bottom w:val="nil"/>
              <w:right w:val="nil"/>
            </w:tcBorders>
            <w:shd w:val="clear" w:color="auto" w:fill="F2F2F2" w:themeFill="background1" w:themeFillShade="F2"/>
            <w:noWrap/>
            <w:tcMar>
              <w:top w:w="0" w:type="dxa"/>
              <w:left w:w="70" w:type="dxa"/>
              <w:bottom w:w="0" w:type="dxa"/>
              <w:right w:w="70" w:type="dxa"/>
            </w:tcMar>
            <w:vAlign w:val="center"/>
          </w:tcPr>
          <w:p w14:paraId="3DF56C49" w14:textId="4CE31C3C" w:rsidR="00031AC3" w:rsidRPr="00255081" w:rsidRDefault="00F468B1" w:rsidP="00031AC3">
            <w:pPr>
              <w:spacing w:after="0" w:line="240" w:lineRule="auto"/>
              <w:jc w:val="right"/>
              <w:rPr>
                <w:rFonts w:ascii="Montserrat" w:eastAsia="Times New Roman" w:hAnsi="Montserrat" w:cs="Calibri"/>
                <w:color w:val="000000"/>
                <w:sz w:val="15"/>
                <w:szCs w:val="15"/>
                <w:lang w:val="es-MX" w:eastAsia="es-MX"/>
              </w:rPr>
            </w:pPr>
            <w:r w:rsidRPr="00255081">
              <w:rPr>
                <w:rFonts w:ascii="Montserrat" w:eastAsia="Times New Roman" w:hAnsi="Montserrat" w:cs="Calibri"/>
                <w:color w:val="000000"/>
                <w:sz w:val="15"/>
                <w:szCs w:val="15"/>
                <w:lang w:val="es-MX" w:eastAsia="es-MX"/>
              </w:rPr>
              <w:t>195,096</w:t>
            </w:r>
          </w:p>
        </w:tc>
        <w:tc>
          <w:tcPr>
            <w:tcW w:w="2708" w:type="dxa"/>
            <w:gridSpan w:val="2"/>
            <w:tcBorders>
              <w:top w:val="nil"/>
              <w:left w:val="nil"/>
              <w:bottom w:val="nil"/>
              <w:right w:val="nil"/>
            </w:tcBorders>
            <w:shd w:val="clear" w:color="auto" w:fill="F2F2F2" w:themeFill="background1" w:themeFillShade="F2"/>
            <w:tcMar>
              <w:top w:w="0" w:type="dxa"/>
              <w:left w:w="70" w:type="dxa"/>
              <w:bottom w:w="0" w:type="dxa"/>
              <w:right w:w="70" w:type="dxa"/>
            </w:tcMar>
            <w:vAlign w:val="center"/>
          </w:tcPr>
          <w:p w14:paraId="0B480B28" w14:textId="77777777" w:rsidR="00031AC3" w:rsidRPr="00255081" w:rsidRDefault="00031AC3" w:rsidP="00031AC3">
            <w:pPr>
              <w:spacing w:after="0" w:line="240" w:lineRule="exact"/>
              <w:ind w:right="57"/>
              <w:rPr>
                <w:rFonts w:ascii="Montserrat" w:hAnsi="Montserrat"/>
                <w:sz w:val="15"/>
                <w:szCs w:val="15"/>
              </w:rPr>
            </w:pPr>
          </w:p>
        </w:tc>
      </w:tr>
      <w:tr w:rsidR="00031AC3" w:rsidRPr="006F0DF1" w14:paraId="2EBA521C" w14:textId="77777777" w:rsidTr="00031AC3">
        <w:trPr>
          <w:trHeight w:val="215"/>
          <w:jc w:val="center"/>
        </w:trPr>
        <w:tc>
          <w:tcPr>
            <w:tcW w:w="419" w:type="dxa"/>
            <w:tcBorders>
              <w:top w:val="nil"/>
              <w:left w:val="nil"/>
              <w:bottom w:val="nil"/>
              <w:right w:val="nil"/>
            </w:tcBorders>
            <w:shd w:val="clear" w:color="auto" w:fill="F2F2F2" w:themeFill="background1" w:themeFillShade="F2"/>
            <w:noWrap/>
            <w:tcMar>
              <w:top w:w="0" w:type="dxa"/>
              <w:left w:w="70" w:type="dxa"/>
              <w:bottom w:w="0" w:type="dxa"/>
              <w:right w:w="70" w:type="dxa"/>
            </w:tcMar>
            <w:vAlign w:val="center"/>
            <w:hideMark/>
          </w:tcPr>
          <w:p w14:paraId="7A51F01B" w14:textId="77777777" w:rsidR="00031AC3" w:rsidRPr="000F0321" w:rsidRDefault="00031AC3" w:rsidP="00031AC3">
            <w:pPr>
              <w:spacing w:after="0" w:line="240" w:lineRule="exact"/>
              <w:ind w:right="57" w:firstLine="180"/>
              <w:rPr>
                <w:rFonts w:ascii="Montserrat" w:hAnsi="Montserrat"/>
                <w:sz w:val="15"/>
                <w:szCs w:val="15"/>
              </w:rPr>
            </w:pPr>
            <w:r w:rsidRPr="000F0321">
              <w:rPr>
                <w:rFonts w:ascii="Montserrat" w:hAnsi="Montserrat"/>
                <w:sz w:val="15"/>
                <w:szCs w:val="15"/>
              </w:rPr>
              <w:t> </w:t>
            </w:r>
          </w:p>
        </w:tc>
        <w:tc>
          <w:tcPr>
            <w:tcW w:w="5290" w:type="dxa"/>
            <w:tcBorders>
              <w:top w:val="nil"/>
              <w:left w:val="nil"/>
              <w:bottom w:val="nil"/>
              <w:right w:val="nil"/>
            </w:tcBorders>
            <w:shd w:val="clear" w:color="auto" w:fill="F2F2F2" w:themeFill="background1" w:themeFillShade="F2"/>
            <w:tcMar>
              <w:top w:w="0" w:type="dxa"/>
              <w:left w:w="70" w:type="dxa"/>
              <w:bottom w:w="0" w:type="dxa"/>
              <w:right w:w="70" w:type="dxa"/>
            </w:tcMar>
            <w:vAlign w:val="center"/>
            <w:hideMark/>
          </w:tcPr>
          <w:p w14:paraId="34754860" w14:textId="77777777" w:rsidR="00031AC3" w:rsidRPr="00255081" w:rsidRDefault="00031AC3" w:rsidP="00031AC3">
            <w:pPr>
              <w:spacing w:after="0" w:line="240" w:lineRule="auto"/>
              <w:ind w:firstLineChars="132" w:firstLine="198"/>
              <w:rPr>
                <w:rFonts w:ascii="Montserrat" w:eastAsia="Times New Roman" w:hAnsi="Montserrat" w:cs="Calibri"/>
                <w:color w:val="000000"/>
                <w:sz w:val="15"/>
                <w:szCs w:val="15"/>
                <w:lang w:val="es-MX" w:eastAsia="es-MX"/>
              </w:rPr>
            </w:pPr>
            <w:r w:rsidRPr="00255081">
              <w:rPr>
                <w:rFonts w:ascii="Montserrat" w:eastAsia="Times New Roman" w:hAnsi="Montserrat" w:cs="Calibri"/>
                <w:color w:val="000000"/>
                <w:sz w:val="15"/>
                <w:szCs w:val="15"/>
                <w:lang w:val="es-MX" w:eastAsia="es-MX"/>
              </w:rPr>
              <w:t xml:space="preserve">Aumento por insuficiencia de estimaciones por pérdida o </w:t>
            </w:r>
          </w:p>
          <w:p w14:paraId="12665B6D" w14:textId="77777777" w:rsidR="00031AC3" w:rsidRPr="00255081" w:rsidRDefault="00031AC3" w:rsidP="00031AC3">
            <w:pPr>
              <w:spacing w:after="0" w:line="240" w:lineRule="auto"/>
              <w:ind w:firstLineChars="132" w:firstLine="198"/>
              <w:rPr>
                <w:rFonts w:ascii="Montserrat" w:eastAsia="Times New Roman" w:hAnsi="Montserrat" w:cs="Calibri"/>
                <w:color w:val="000000"/>
                <w:sz w:val="15"/>
                <w:szCs w:val="15"/>
                <w:lang w:val="es-MX" w:eastAsia="es-MX"/>
              </w:rPr>
            </w:pPr>
            <w:r w:rsidRPr="00255081">
              <w:rPr>
                <w:rFonts w:ascii="Montserrat" w:eastAsia="Times New Roman" w:hAnsi="Montserrat" w:cs="Calibri"/>
                <w:color w:val="000000"/>
                <w:sz w:val="15"/>
                <w:szCs w:val="15"/>
                <w:lang w:val="es-MX" w:eastAsia="es-MX"/>
              </w:rPr>
              <w:t>deterioro u obsolescencia</w:t>
            </w:r>
          </w:p>
        </w:tc>
        <w:tc>
          <w:tcPr>
            <w:tcW w:w="1849" w:type="dxa"/>
            <w:gridSpan w:val="2"/>
            <w:tcBorders>
              <w:top w:val="nil"/>
              <w:left w:val="nil"/>
              <w:bottom w:val="nil"/>
              <w:right w:val="nil"/>
            </w:tcBorders>
            <w:shd w:val="clear" w:color="auto" w:fill="F2F2F2" w:themeFill="background1" w:themeFillShade="F2"/>
            <w:noWrap/>
            <w:tcMar>
              <w:top w:w="0" w:type="dxa"/>
              <w:left w:w="70" w:type="dxa"/>
              <w:bottom w:w="0" w:type="dxa"/>
              <w:right w:w="70" w:type="dxa"/>
            </w:tcMar>
            <w:vAlign w:val="center"/>
          </w:tcPr>
          <w:p w14:paraId="7BCE222F" w14:textId="77777777" w:rsidR="00031AC3" w:rsidRPr="00255081" w:rsidRDefault="00031AC3" w:rsidP="00031AC3">
            <w:pPr>
              <w:spacing w:after="0" w:line="240" w:lineRule="auto"/>
              <w:jc w:val="right"/>
              <w:rPr>
                <w:rFonts w:ascii="Montserrat" w:eastAsia="Times New Roman" w:hAnsi="Montserrat" w:cs="Calibri"/>
                <w:color w:val="000000"/>
                <w:sz w:val="15"/>
                <w:szCs w:val="15"/>
                <w:lang w:val="es-MX" w:eastAsia="es-MX"/>
              </w:rPr>
            </w:pPr>
            <w:r w:rsidRPr="00255081">
              <w:rPr>
                <w:rFonts w:ascii="Montserrat" w:eastAsia="Times New Roman" w:hAnsi="Montserrat" w:cs="Calibri"/>
                <w:color w:val="000000"/>
                <w:sz w:val="15"/>
                <w:szCs w:val="15"/>
                <w:lang w:val="es-MX" w:eastAsia="es-MX"/>
              </w:rPr>
              <w:t>0</w:t>
            </w:r>
          </w:p>
        </w:tc>
        <w:tc>
          <w:tcPr>
            <w:tcW w:w="2708" w:type="dxa"/>
            <w:gridSpan w:val="2"/>
            <w:tcBorders>
              <w:top w:val="nil"/>
              <w:left w:val="nil"/>
              <w:bottom w:val="nil"/>
              <w:right w:val="nil"/>
            </w:tcBorders>
            <w:shd w:val="clear" w:color="auto" w:fill="F2F2F2" w:themeFill="background1" w:themeFillShade="F2"/>
            <w:tcMar>
              <w:top w:w="0" w:type="dxa"/>
              <w:left w:w="70" w:type="dxa"/>
              <w:bottom w:w="0" w:type="dxa"/>
              <w:right w:w="70" w:type="dxa"/>
            </w:tcMar>
            <w:vAlign w:val="center"/>
          </w:tcPr>
          <w:p w14:paraId="2E02711E" w14:textId="77777777" w:rsidR="00031AC3" w:rsidRPr="00255081" w:rsidRDefault="00031AC3" w:rsidP="00031AC3">
            <w:pPr>
              <w:spacing w:after="0" w:line="240" w:lineRule="exact"/>
              <w:ind w:right="57"/>
              <w:rPr>
                <w:rFonts w:ascii="Montserrat" w:hAnsi="Montserrat"/>
                <w:sz w:val="15"/>
                <w:szCs w:val="15"/>
              </w:rPr>
            </w:pPr>
          </w:p>
        </w:tc>
      </w:tr>
      <w:tr w:rsidR="00031AC3" w:rsidRPr="006F0DF1" w14:paraId="0D70777E" w14:textId="77777777" w:rsidTr="00031AC3">
        <w:trPr>
          <w:trHeight w:val="215"/>
          <w:jc w:val="center"/>
        </w:trPr>
        <w:tc>
          <w:tcPr>
            <w:tcW w:w="419" w:type="dxa"/>
            <w:tcBorders>
              <w:top w:val="nil"/>
              <w:left w:val="nil"/>
              <w:bottom w:val="nil"/>
              <w:right w:val="nil"/>
            </w:tcBorders>
            <w:shd w:val="clear" w:color="auto" w:fill="F2F2F2" w:themeFill="background1" w:themeFillShade="F2"/>
            <w:noWrap/>
            <w:tcMar>
              <w:top w:w="0" w:type="dxa"/>
              <w:left w:w="70" w:type="dxa"/>
              <w:bottom w:w="0" w:type="dxa"/>
              <w:right w:w="70" w:type="dxa"/>
            </w:tcMar>
            <w:vAlign w:val="center"/>
            <w:hideMark/>
          </w:tcPr>
          <w:p w14:paraId="3CECB737" w14:textId="77777777" w:rsidR="00031AC3" w:rsidRPr="000F0321" w:rsidRDefault="00031AC3" w:rsidP="00031AC3">
            <w:pPr>
              <w:spacing w:after="0" w:line="240" w:lineRule="exact"/>
              <w:ind w:right="57" w:firstLine="180"/>
              <w:rPr>
                <w:rFonts w:ascii="Montserrat" w:hAnsi="Montserrat"/>
                <w:sz w:val="15"/>
                <w:szCs w:val="15"/>
              </w:rPr>
            </w:pPr>
            <w:r w:rsidRPr="000F0321">
              <w:rPr>
                <w:rFonts w:ascii="Montserrat" w:hAnsi="Montserrat"/>
                <w:sz w:val="15"/>
                <w:szCs w:val="15"/>
              </w:rPr>
              <w:t> </w:t>
            </w:r>
          </w:p>
        </w:tc>
        <w:tc>
          <w:tcPr>
            <w:tcW w:w="5290" w:type="dxa"/>
            <w:tcBorders>
              <w:top w:val="nil"/>
              <w:left w:val="nil"/>
              <w:bottom w:val="nil"/>
              <w:right w:val="nil"/>
            </w:tcBorders>
            <w:shd w:val="clear" w:color="auto" w:fill="F2F2F2" w:themeFill="background1" w:themeFillShade="F2"/>
            <w:tcMar>
              <w:top w:w="0" w:type="dxa"/>
              <w:left w:w="70" w:type="dxa"/>
              <w:bottom w:w="0" w:type="dxa"/>
              <w:right w:w="70" w:type="dxa"/>
            </w:tcMar>
            <w:vAlign w:val="center"/>
            <w:hideMark/>
          </w:tcPr>
          <w:p w14:paraId="603D97EA" w14:textId="77777777" w:rsidR="00031AC3" w:rsidRPr="00255081" w:rsidRDefault="00031AC3" w:rsidP="00031AC3">
            <w:pPr>
              <w:spacing w:after="0" w:line="240" w:lineRule="auto"/>
              <w:ind w:firstLineChars="132" w:firstLine="198"/>
              <w:rPr>
                <w:rFonts w:ascii="Montserrat" w:eastAsia="Times New Roman" w:hAnsi="Montserrat" w:cs="Calibri"/>
                <w:color w:val="000000"/>
                <w:sz w:val="15"/>
                <w:szCs w:val="15"/>
                <w:lang w:val="es-MX" w:eastAsia="es-MX"/>
              </w:rPr>
            </w:pPr>
            <w:r w:rsidRPr="00255081">
              <w:rPr>
                <w:rFonts w:ascii="Montserrat" w:eastAsia="Times New Roman" w:hAnsi="Montserrat" w:cs="Calibri"/>
                <w:color w:val="000000"/>
                <w:sz w:val="15"/>
                <w:szCs w:val="15"/>
                <w:lang w:val="es-MX" w:eastAsia="es-MX"/>
              </w:rPr>
              <w:t>Aumento por insuficiencia de provisiones</w:t>
            </w:r>
          </w:p>
        </w:tc>
        <w:tc>
          <w:tcPr>
            <w:tcW w:w="1849" w:type="dxa"/>
            <w:gridSpan w:val="2"/>
            <w:tcBorders>
              <w:top w:val="nil"/>
              <w:left w:val="nil"/>
              <w:bottom w:val="nil"/>
              <w:right w:val="nil"/>
            </w:tcBorders>
            <w:shd w:val="clear" w:color="auto" w:fill="F2F2F2" w:themeFill="background1" w:themeFillShade="F2"/>
            <w:noWrap/>
            <w:tcMar>
              <w:top w:w="0" w:type="dxa"/>
              <w:left w:w="70" w:type="dxa"/>
              <w:bottom w:w="0" w:type="dxa"/>
              <w:right w:w="70" w:type="dxa"/>
            </w:tcMar>
            <w:vAlign w:val="center"/>
          </w:tcPr>
          <w:p w14:paraId="35F9CB2B" w14:textId="77777777" w:rsidR="00031AC3" w:rsidRPr="00255081" w:rsidRDefault="00031AC3" w:rsidP="00031AC3">
            <w:pPr>
              <w:spacing w:after="0" w:line="240" w:lineRule="auto"/>
              <w:jc w:val="right"/>
              <w:rPr>
                <w:rFonts w:ascii="Montserrat" w:eastAsia="Times New Roman" w:hAnsi="Montserrat" w:cs="Calibri"/>
                <w:color w:val="000000"/>
                <w:sz w:val="15"/>
                <w:szCs w:val="15"/>
                <w:lang w:val="es-MX" w:eastAsia="es-MX"/>
              </w:rPr>
            </w:pPr>
            <w:r w:rsidRPr="00255081">
              <w:rPr>
                <w:rFonts w:ascii="Montserrat" w:eastAsia="Times New Roman" w:hAnsi="Montserrat" w:cs="Calibri"/>
                <w:color w:val="000000"/>
                <w:sz w:val="15"/>
                <w:szCs w:val="15"/>
                <w:lang w:val="es-MX" w:eastAsia="es-MX"/>
              </w:rPr>
              <w:t>0</w:t>
            </w:r>
          </w:p>
        </w:tc>
        <w:tc>
          <w:tcPr>
            <w:tcW w:w="2708" w:type="dxa"/>
            <w:gridSpan w:val="2"/>
            <w:tcBorders>
              <w:top w:val="nil"/>
              <w:left w:val="nil"/>
              <w:bottom w:val="nil"/>
              <w:right w:val="nil"/>
            </w:tcBorders>
            <w:shd w:val="clear" w:color="auto" w:fill="F2F2F2" w:themeFill="background1" w:themeFillShade="F2"/>
            <w:tcMar>
              <w:top w:w="0" w:type="dxa"/>
              <w:left w:w="70" w:type="dxa"/>
              <w:bottom w:w="0" w:type="dxa"/>
              <w:right w:w="70" w:type="dxa"/>
            </w:tcMar>
            <w:vAlign w:val="center"/>
          </w:tcPr>
          <w:p w14:paraId="4AF3FE52" w14:textId="77777777" w:rsidR="00031AC3" w:rsidRPr="00255081" w:rsidRDefault="00031AC3" w:rsidP="00031AC3">
            <w:pPr>
              <w:spacing w:after="0" w:line="240" w:lineRule="exact"/>
              <w:ind w:right="57"/>
              <w:rPr>
                <w:rFonts w:ascii="Montserrat" w:hAnsi="Montserrat"/>
                <w:sz w:val="15"/>
                <w:szCs w:val="15"/>
              </w:rPr>
            </w:pPr>
          </w:p>
        </w:tc>
      </w:tr>
      <w:tr w:rsidR="00031AC3" w:rsidRPr="006F0DF1" w14:paraId="5A5454BF" w14:textId="77777777" w:rsidTr="00031AC3">
        <w:trPr>
          <w:trHeight w:val="215"/>
          <w:jc w:val="center"/>
        </w:trPr>
        <w:tc>
          <w:tcPr>
            <w:tcW w:w="419" w:type="dxa"/>
            <w:tcBorders>
              <w:top w:val="nil"/>
              <w:left w:val="nil"/>
              <w:bottom w:val="nil"/>
              <w:right w:val="nil"/>
            </w:tcBorders>
            <w:shd w:val="clear" w:color="auto" w:fill="F2F2F2" w:themeFill="background1" w:themeFillShade="F2"/>
            <w:noWrap/>
            <w:tcMar>
              <w:top w:w="0" w:type="dxa"/>
              <w:left w:w="70" w:type="dxa"/>
              <w:bottom w:w="0" w:type="dxa"/>
              <w:right w:w="70" w:type="dxa"/>
            </w:tcMar>
            <w:vAlign w:val="center"/>
            <w:hideMark/>
          </w:tcPr>
          <w:p w14:paraId="2EA4DF3C" w14:textId="77777777" w:rsidR="00031AC3" w:rsidRPr="000F0321" w:rsidRDefault="00031AC3" w:rsidP="00031AC3">
            <w:pPr>
              <w:spacing w:after="0" w:line="240" w:lineRule="exact"/>
              <w:ind w:right="57" w:firstLine="180"/>
              <w:rPr>
                <w:rFonts w:ascii="Montserrat" w:hAnsi="Montserrat"/>
                <w:sz w:val="15"/>
                <w:szCs w:val="15"/>
              </w:rPr>
            </w:pPr>
            <w:r w:rsidRPr="000F0321">
              <w:rPr>
                <w:rFonts w:ascii="Montserrat" w:hAnsi="Montserrat"/>
                <w:sz w:val="15"/>
                <w:szCs w:val="15"/>
              </w:rPr>
              <w:t> </w:t>
            </w:r>
          </w:p>
        </w:tc>
        <w:tc>
          <w:tcPr>
            <w:tcW w:w="5290" w:type="dxa"/>
            <w:tcBorders>
              <w:top w:val="nil"/>
              <w:left w:val="nil"/>
              <w:bottom w:val="nil"/>
              <w:right w:val="nil"/>
            </w:tcBorders>
            <w:shd w:val="clear" w:color="auto" w:fill="F2F2F2" w:themeFill="background1" w:themeFillShade="F2"/>
            <w:tcMar>
              <w:top w:w="0" w:type="dxa"/>
              <w:left w:w="70" w:type="dxa"/>
              <w:bottom w:w="0" w:type="dxa"/>
              <w:right w:w="70" w:type="dxa"/>
            </w:tcMar>
            <w:vAlign w:val="center"/>
            <w:hideMark/>
          </w:tcPr>
          <w:p w14:paraId="0614DF0F" w14:textId="3FBF1A1D" w:rsidR="00031AC3" w:rsidRPr="00255081" w:rsidRDefault="00031AC3" w:rsidP="00031AC3">
            <w:pPr>
              <w:spacing w:after="0" w:line="240" w:lineRule="auto"/>
              <w:ind w:firstLineChars="132" w:firstLine="198"/>
              <w:rPr>
                <w:rFonts w:ascii="Montserrat" w:eastAsia="Times New Roman" w:hAnsi="Montserrat" w:cs="Calibri"/>
                <w:color w:val="000000"/>
                <w:sz w:val="15"/>
                <w:szCs w:val="15"/>
                <w:lang w:val="es-MX" w:eastAsia="es-MX"/>
              </w:rPr>
            </w:pPr>
            <w:r w:rsidRPr="00255081">
              <w:rPr>
                <w:rFonts w:ascii="Montserrat" w:eastAsia="Times New Roman" w:hAnsi="Montserrat" w:cs="Calibri"/>
                <w:color w:val="000000"/>
                <w:sz w:val="15"/>
                <w:szCs w:val="15"/>
                <w:lang w:val="es-MX" w:eastAsia="es-MX"/>
              </w:rPr>
              <w:t>Otros gastos</w:t>
            </w:r>
          </w:p>
        </w:tc>
        <w:tc>
          <w:tcPr>
            <w:tcW w:w="1849" w:type="dxa"/>
            <w:gridSpan w:val="2"/>
            <w:tcBorders>
              <w:top w:val="nil"/>
              <w:left w:val="nil"/>
              <w:bottom w:val="nil"/>
              <w:right w:val="nil"/>
            </w:tcBorders>
            <w:shd w:val="clear" w:color="auto" w:fill="F2F2F2" w:themeFill="background1" w:themeFillShade="F2"/>
            <w:noWrap/>
            <w:tcMar>
              <w:top w:w="0" w:type="dxa"/>
              <w:left w:w="70" w:type="dxa"/>
              <w:bottom w:w="0" w:type="dxa"/>
              <w:right w:w="70" w:type="dxa"/>
            </w:tcMar>
            <w:vAlign w:val="center"/>
          </w:tcPr>
          <w:p w14:paraId="69BE0941" w14:textId="2159AF17" w:rsidR="00031AC3" w:rsidRPr="00255081" w:rsidRDefault="00F468B1" w:rsidP="00031AC3">
            <w:pPr>
              <w:spacing w:after="0" w:line="240" w:lineRule="auto"/>
              <w:jc w:val="right"/>
              <w:rPr>
                <w:rFonts w:ascii="Montserrat" w:eastAsia="Times New Roman" w:hAnsi="Montserrat" w:cs="Calibri"/>
                <w:color w:val="000000"/>
                <w:sz w:val="15"/>
                <w:szCs w:val="15"/>
                <w:lang w:val="es-MX" w:eastAsia="es-MX"/>
              </w:rPr>
            </w:pPr>
            <w:r w:rsidRPr="00255081">
              <w:rPr>
                <w:rFonts w:ascii="Montserrat" w:eastAsia="Times New Roman" w:hAnsi="Montserrat" w:cs="Calibri"/>
                <w:color w:val="000000"/>
                <w:sz w:val="15"/>
                <w:szCs w:val="15"/>
                <w:lang w:val="es-MX" w:eastAsia="es-MX"/>
              </w:rPr>
              <w:t>525,264,539,809</w:t>
            </w:r>
          </w:p>
        </w:tc>
        <w:tc>
          <w:tcPr>
            <w:tcW w:w="2708" w:type="dxa"/>
            <w:gridSpan w:val="2"/>
            <w:tcBorders>
              <w:top w:val="nil"/>
              <w:left w:val="nil"/>
              <w:bottom w:val="nil"/>
              <w:right w:val="nil"/>
            </w:tcBorders>
            <w:shd w:val="clear" w:color="auto" w:fill="F2F2F2" w:themeFill="background1" w:themeFillShade="F2"/>
            <w:tcMar>
              <w:top w:w="0" w:type="dxa"/>
              <w:left w:w="70" w:type="dxa"/>
              <w:bottom w:w="0" w:type="dxa"/>
              <w:right w:w="70" w:type="dxa"/>
            </w:tcMar>
            <w:vAlign w:val="center"/>
          </w:tcPr>
          <w:p w14:paraId="3A75F567" w14:textId="77777777" w:rsidR="00031AC3" w:rsidRPr="00255081" w:rsidRDefault="00031AC3" w:rsidP="00031AC3">
            <w:pPr>
              <w:spacing w:after="0" w:line="240" w:lineRule="exact"/>
              <w:ind w:right="57"/>
              <w:rPr>
                <w:rFonts w:ascii="Montserrat" w:hAnsi="Montserrat"/>
                <w:sz w:val="15"/>
                <w:szCs w:val="15"/>
              </w:rPr>
            </w:pPr>
          </w:p>
        </w:tc>
      </w:tr>
      <w:tr w:rsidR="00031AC3" w:rsidRPr="006F0DF1" w14:paraId="023E2431" w14:textId="77777777" w:rsidTr="00031AC3">
        <w:trPr>
          <w:trHeight w:val="215"/>
          <w:jc w:val="center"/>
        </w:trPr>
        <w:tc>
          <w:tcPr>
            <w:tcW w:w="5732" w:type="dxa"/>
            <w:gridSpan w:val="3"/>
            <w:tcBorders>
              <w:top w:val="nil"/>
              <w:left w:val="nil"/>
              <w:bottom w:val="single" w:sz="12" w:space="0" w:color="808080" w:themeColor="background1" w:themeShade="80"/>
              <w:right w:val="nil"/>
            </w:tcBorders>
            <w:shd w:val="clear" w:color="auto" w:fill="F2F2F2" w:themeFill="background1" w:themeFillShade="F2"/>
            <w:noWrap/>
            <w:tcMar>
              <w:top w:w="0" w:type="dxa"/>
              <w:left w:w="70" w:type="dxa"/>
              <w:bottom w:w="0" w:type="dxa"/>
              <w:right w:w="70" w:type="dxa"/>
            </w:tcMar>
            <w:vAlign w:val="center"/>
            <w:hideMark/>
          </w:tcPr>
          <w:p w14:paraId="7044058A" w14:textId="1C6F0181" w:rsidR="00031AC3" w:rsidRPr="00255081" w:rsidRDefault="00031AC3" w:rsidP="00031AC3">
            <w:pPr>
              <w:spacing w:after="0" w:line="240" w:lineRule="auto"/>
              <w:ind w:firstLineChars="400" w:firstLine="600"/>
              <w:rPr>
                <w:rFonts w:ascii="Montserrat" w:eastAsia="Times New Roman" w:hAnsi="Montserrat" w:cs="Calibri"/>
                <w:color w:val="000000"/>
                <w:sz w:val="15"/>
                <w:szCs w:val="15"/>
                <w:lang w:val="es-MX" w:eastAsia="es-MX"/>
              </w:rPr>
            </w:pPr>
            <w:r w:rsidRPr="00255081">
              <w:rPr>
                <w:rFonts w:ascii="Montserrat" w:eastAsia="Times New Roman" w:hAnsi="Montserrat" w:cs="Calibri"/>
                <w:color w:val="000000"/>
                <w:sz w:val="15"/>
                <w:szCs w:val="15"/>
                <w:lang w:val="es-MX" w:eastAsia="es-MX"/>
              </w:rPr>
              <w:t>Otros gastos contables no presupuestarios</w:t>
            </w:r>
          </w:p>
        </w:tc>
        <w:tc>
          <w:tcPr>
            <w:tcW w:w="1848" w:type="dxa"/>
            <w:gridSpan w:val="2"/>
            <w:tcBorders>
              <w:top w:val="nil"/>
              <w:left w:val="nil"/>
              <w:bottom w:val="single" w:sz="12" w:space="0" w:color="808080" w:themeColor="background1" w:themeShade="80"/>
              <w:right w:val="nil"/>
            </w:tcBorders>
            <w:shd w:val="clear" w:color="auto" w:fill="F2F2F2" w:themeFill="background1" w:themeFillShade="F2"/>
            <w:noWrap/>
            <w:tcMar>
              <w:top w:w="0" w:type="dxa"/>
              <w:left w:w="70" w:type="dxa"/>
              <w:bottom w:w="0" w:type="dxa"/>
              <w:right w:w="70" w:type="dxa"/>
            </w:tcMar>
            <w:vAlign w:val="center"/>
          </w:tcPr>
          <w:p w14:paraId="7C957D62" w14:textId="69996BB5" w:rsidR="00031AC3" w:rsidRPr="000F0321" w:rsidRDefault="00F468B1" w:rsidP="00F468B1">
            <w:pPr>
              <w:spacing w:after="0" w:line="240" w:lineRule="exact"/>
              <w:jc w:val="right"/>
              <w:rPr>
                <w:rFonts w:ascii="Montserrat" w:eastAsia="Times New Roman" w:hAnsi="Montserrat" w:cs="Calibri"/>
                <w:color w:val="000000"/>
                <w:sz w:val="15"/>
                <w:szCs w:val="15"/>
                <w:lang w:val="es-MX" w:eastAsia="es-MX"/>
              </w:rPr>
            </w:pPr>
            <w:r w:rsidRPr="000F0321">
              <w:rPr>
                <w:rFonts w:ascii="Montserrat" w:eastAsia="Times New Roman" w:hAnsi="Montserrat" w:cs="Calibri"/>
                <w:color w:val="000000"/>
                <w:sz w:val="15"/>
                <w:szCs w:val="15"/>
                <w:lang w:val="es-MX" w:eastAsia="es-MX"/>
              </w:rPr>
              <w:t>158,700,016,182</w:t>
            </w:r>
          </w:p>
        </w:tc>
        <w:tc>
          <w:tcPr>
            <w:tcW w:w="2686" w:type="dxa"/>
            <w:tcBorders>
              <w:top w:val="nil"/>
              <w:left w:val="nil"/>
              <w:bottom w:val="single" w:sz="12" w:space="0" w:color="808080" w:themeColor="background1" w:themeShade="80"/>
              <w:right w:val="nil"/>
            </w:tcBorders>
            <w:shd w:val="clear" w:color="auto" w:fill="F2F2F2" w:themeFill="background1" w:themeFillShade="F2"/>
            <w:tcMar>
              <w:top w:w="0" w:type="dxa"/>
              <w:left w:w="70" w:type="dxa"/>
              <w:bottom w:w="0" w:type="dxa"/>
              <w:right w:w="70" w:type="dxa"/>
            </w:tcMar>
            <w:vAlign w:val="center"/>
          </w:tcPr>
          <w:p w14:paraId="0DF81B5B" w14:textId="77777777" w:rsidR="00031AC3" w:rsidRPr="00255081" w:rsidRDefault="00031AC3" w:rsidP="00031AC3">
            <w:pPr>
              <w:spacing w:after="0" w:line="240" w:lineRule="exact"/>
              <w:ind w:right="57"/>
              <w:rPr>
                <w:rFonts w:ascii="Montserrat" w:hAnsi="Montserrat"/>
                <w:sz w:val="15"/>
                <w:szCs w:val="15"/>
                <w:highlight w:val="yellow"/>
              </w:rPr>
            </w:pPr>
          </w:p>
        </w:tc>
      </w:tr>
      <w:tr w:rsidR="00031AC3" w:rsidRPr="006F0DF1" w14:paraId="0F4472A2" w14:textId="77777777" w:rsidTr="00031AC3">
        <w:trPr>
          <w:trHeight w:val="317"/>
          <w:jc w:val="center"/>
        </w:trPr>
        <w:tc>
          <w:tcPr>
            <w:tcW w:w="7580" w:type="dxa"/>
            <w:gridSpan w:val="5"/>
            <w:tcBorders>
              <w:top w:val="single" w:sz="12" w:space="0" w:color="808080" w:themeColor="background1" w:themeShade="80"/>
              <w:bottom w:val="single" w:sz="12" w:space="0" w:color="808080" w:themeColor="background1" w:themeShade="80"/>
              <w:right w:val="single" w:sz="8" w:space="0" w:color="FFFFFF" w:themeColor="background1"/>
            </w:tcBorders>
            <w:shd w:val="clear" w:color="auto" w:fill="D4C19C"/>
            <w:noWrap/>
            <w:tcMar>
              <w:top w:w="0" w:type="dxa"/>
              <w:left w:w="70" w:type="dxa"/>
              <w:bottom w:w="0" w:type="dxa"/>
              <w:right w:w="70" w:type="dxa"/>
            </w:tcMar>
            <w:vAlign w:val="center"/>
            <w:hideMark/>
          </w:tcPr>
          <w:p w14:paraId="24FF0CC5" w14:textId="7306586F" w:rsidR="00031AC3" w:rsidRPr="006F0DF1" w:rsidRDefault="00031AC3" w:rsidP="00031AC3">
            <w:pPr>
              <w:spacing w:after="0" w:line="240" w:lineRule="exact"/>
              <w:ind w:right="57"/>
              <w:rPr>
                <w:rFonts w:ascii="Montserrat" w:hAnsi="Montserrat"/>
                <w:b/>
                <w:color w:val="FFFFFF"/>
                <w:sz w:val="16"/>
                <w:szCs w:val="16"/>
              </w:rPr>
            </w:pPr>
            <w:r w:rsidRPr="006F0DF1">
              <w:rPr>
                <w:rFonts w:ascii="Montserrat" w:hAnsi="Montserrat"/>
                <w:b/>
                <w:bCs/>
                <w:color w:val="FFFFFF"/>
                <w:spacing w:val="-1"/>
                <w:sz w:val="16"/>
                <w:szCs w:val="16"/>
              </w:rPr>
              <w:t>4. Total de Gasto</w:t>
            </w:r>
            <w:r w:rsidR="001B3AD1">
              <w:rPr>
                <w:rFonts w:ascii="Montserrat" w:hAnsi="Montserrat"/>
                <w:b/>
                <w:bCs/>
                <w:color w:val="FFFFFF"/>
                <w:spacing w:val="-1"/>
                <w:sz w:val="16"/>
                <w:szCs w:val="16"/>
              </w:rPr>
              <w:t>s</w:t>
            </w:r>
            <w:r w:rsidRPr="006F0DF1">
              <w:rPr>
                <w:rFonts w:ascii="Montserrat" w:hAnsi="Montserrat"/>
                <w:b/>
                <w:bCs/>
                <w:color w:val="FFFFFF"/>
                <w:spacing w:val="-1"/>
                <w:sz w:val="16"/>
                <w:szCs w:val="16"/>
              </w:rPr>
              <w:t xml:space="preserve"> Contable</w:t>
            </w:r>
            <w:r w:rsidR="001B3AD1">
              <w:rPr>
                <w:rFonts w:ascii="Montserrat" w:hAnsi="Montserrat"/>
                <w:b/>
                <w:bCs/>
                <w:color w:val="FFFFFF"/>
                <w:spacing w:val="-1"/>
                <w:sz w:val="16"/>
                <w:szCs w:val="16"/>
              </w:rPr>
              <w:t>s</w:t>
            </w:r>
            <w:r w:rsidRPr="006F0DF1">
              <w:rPr>
                <w:rFonts w:ascii="Montserrat" w:hAnsi="Montserrat"/>
                <w:b/>
                <w:bCs/>
                <w:color w:val="FFFFFF"/>
                <w:spacing w:val="-1"/>
                <w:sz w:val="16"/>
                <w:szCs w:val="16"/>
              </w:rPr>
              <w:t xml:space="preserve"> (4 = 1 - 2 + 3)</w:t>
            </w:r>
          </w:p>
        </w:tc>
        <w:tc>
          <w:tcPr>
            <w:tcW w:w="2686" w:type="dxa"/>
            <w:tcBorders>
              <w:top w:val="single" w:sz="12" w:space="0" w:color="808080" w:themeColor="background1" w:themeShade="80"/>
              <w:left w:val="single" w:sz="8" w:space="0" w:color="FFFFFF" w:themeColor="background1"/>
              <w:bottom w:val="single" w:sz="12" w:space="0" w:color="808080" w:themeColor="background1" w:themeShade="80"/>
            </w:tcBorders>
            <w:shd w:val="clear" w:color="auto" w:fill="D4C19C"/>
            <w:noWrap/>
            <w:tcMar>
              <w:top w:w="0" w:type="dxa"/>
              <w:left w:w="70" w:type="dxa"/>
              <w:bottom w:w="0" w:type="dxa"/>
              <w:right w:w="70" w:type="dxa"/>
            </w:tcMar>
            <w:vAlign w:val="center"/>
          </w:tcPr>
          <w:p w14:paraId="6799B869" w14:textId="3DC5E149" w:rsidR="00031AC3" w:rsidRPr="006F0DF1" w:rsidRDefault="00F468B1" w:rsidP="000F0321">
            <w:pPr>
              <w:spacing w:after="0" w:line="240" w:lineRule="exact"/>
              <w:ind w:right="57"/>
              <w:jc w:val="right"/>
              <w:rPr>
                <w:rFonts w:ascii="Montserrat" w:hAnsi="Montserrat"/>
                <w:b/>
                <w:color w:val="FFFFFF"/>
                <w:sz w:val="15"/>
                <w:szCs w:val="15"/>
              </w:rPr>
            </w:pPr>
            <w:r w:rsidRPr="00F468B1">
              <w:rPr>
                <w:rFonts w:ascii="Montserrat" w:hAnsi="Montserrat"/>
                <w:b/>
                <w:bCs/>
                <w:color w:val="FFFFFF"/>
                <w:spacing w:val="-1"/>
                <w:sz w:val="15"/>
                <w:szCs w:val="15"/>
              </w:rPr>
              <w:t>4</w:t>
            </w:r>
            <w:r>
              <w:rPr>
                <w:rFonts w:ascii="Montserrat" w:hAnsi="Montserrat"/>
                <w:b/>
                <w:bCs/>
                <w:color w:val="FFFFFF"/>
                <w:spacing w:val="-1"/>
                <w:sz w:val="15"/>
                <w:szCs w:val="15"/>
              </w:rPr>
              <w:t>,</w:t>
            </w:r>
            <w:r w:rsidRPr="00F468B1">
              <w:rPr>
                <w:rFonts w:ascii="Montserrat" w:hAnsi="Montserrat"/>
                <w:b/>
                <w:bCs/>
                <w:color w:val="FFFFFF"/>
                <w:spacing w:val="-1"/>
                <w:sz w:val="15"/>
                <w:szCs w:val="15"/>
              </w:rPr>
              <w:t>798</w:t>
            </w:r>
            <w:r>
              <w:rPr>
                <w:rFonts w:ascii="Montserrat" w:hAnsi="Montserrat"/>
                <w:b/>
                <w:bCs/>
                <w:color w:val="FFFFFF"/>
                <w:spacing w:val="-1"/>
                <w:sz w:val="15"/>
                <w:szCs w:val="15"/>
              </w:rPr>
              <w:t>,</w:t>
            </w:r>
            <w:r w:rsidRPr="00F468B1">
              <w:rPr>
                <w:rFonts w:ascii="Montserrat" w:hAnsi="Montserrat"/>
                <w:b/>
                <w:bCs/>
                <w:color w:val="FFFFFF"/>
                <w:spacing w:val="-1"/>
                <w:sz w:val="15"/>
                <w:szCs w:val="15"/>
              </w:rPr>
              <w:t>757</w:t>
            </w:r>
            <w:r>
              <w:rPr>
                <w:rFonts w:ascii="Montserrat" w:hAnsi="Montserrat"/>
                <w:b/>
                <w:bCs/>
                <w:color w:val="FFFFFF"/>
                <w:spacing w:val="-1"/>
                <w:sz w:val="15"/>
                <w:szCs w:val="15"/>
              </w:rPr>
              <w:t>,</w:t>
            </w:r>
            <w:r w:rsidRPr="00F468B1">
              <w:rPr>
                <w:rFonts w:ascii="Montserrat" w:hAnsi="Montserrat"/>
                <w:b/>
                <w:bCs/>
                <w:color w:val="FFFFFF"/>
                <w:spacing w:val="-1"/>
                <w:sz w:val="15"/>
                <w:szCs w:val="15"/>
              </w:rPr>
              <w:t>141</w:t>
            </w:r>
            <w:r>
              <w:rPr>
                <w:rFonts w:ascii="Montserrat" w:hAnsi="Montserrat"/>
                <w:b/>
                <w:bCs/>
                <w:color w:val="FFFFFF"/>
                <w:spacing w:val="-1"/>
                <w:sz w:val="15"/>
                <w:szCs w:val="15"/>
              </w:rPr>
              <w:t>,</w:t>
            </w:r>
            <w:r w:rsidRPr="00F468B1">
              <w:rPr>
                <w:rFonts w:ascii="Montserrat" w:hAnsi="Montserrat"/>
                <w:b/>
                <w:bCs/>
                <w:color w:val="FFFFFF"/>
                <w:spacing w:val="-1"/>
                <w:sz w:val="15"/>
                <w:szCs w:val="15"/>
              </w:rPr>
              <w:t>776</w:t>
            </w:r>
          </w:p>
        </w:tc>
      </w:tr>
    </w:tbl>
    <w:p w14:paraId="4FEE6633" w14:textId="77777777" w:rsidR="003E77F5" w:rsidRDefault="003E77F5" w:rsidP="00063579">
      <w:pPr>
        <w:spacing w:after="120" w:line="250" w:lineRule="exact"/>
        <w:jc w:val="both"/>
        <w:rPr>
          <w:rFonts w:ascii="Montserrat" w:hAnsi="Montserrat" w:cs="Arial"/>
          <w:spacing w:val="-1"/>
          <w:sz w:val="18"/>
          <w:szCs w:val="18"/>
        </w:rPr>
      </w:pPr>
    </w:p>
    <w:p w14:paraId="17E6A650" w14:textId="10B4F5EE" w:rsidR="009C3C24" w:rsidRPr="00C844EE" w:rsidRDefault="009C3C24" w:rsidP="00C844EE">
      <w:pPr>
        <w:pStyle w:val="VIETAFLECHA"/>
        <w:numPr>
          <w:ilvl w:val="0"/>
          <w:numId w:val="32"/>
        </w:numPr>
        <w:ind w:left="851" w:hanging="284"/>
        <w:rPr>
          <w:rFonts w:cs="Arial"/>
          <w:spacing w:val="-1"/>
        </w:rPr>
      </w:pPr>
      <w:r w:rsidRPr="00C844EE">
        <w:rPr>
          <w:rFonts w:cs="Arial"/>
          <w:spacing w:val="-1"/>
        </w:rPr>
        <w:lastRenderedPageBreak/>
        <w:t xml:space="preserve">A continuación se presenta la integración </w:t>
      </w:r>
      <w:r w:rsidR="001B3AD1">
        <w:rPr>
          <w:rFonts w:cs="Arial"/>
          <w:spacing w:val="-1"/>
        </w:rPr>
        <w:t>de “Otros Egresos Presupuestario</w:t>
      </w:r>
      <w:r w:rsidR="004B170A">
        <w:rPr>
          <w:rFonts w:cs="Arial"/>
          <w:spacing w:val="-1"/>
        </w:rPr>
        <w:t>s</w:t>
      </w:r>
      <w:r w:rsidRPr="00C844EE">
        <w:rPr>
          <w:rFonts w:cs="Arial"/>
          <w:spacing w:val="-1"/>
        </w:rPr>
        <w:t xml:space="preserve"> no Contables”:</w:t>
      </w:r>
    </w:p>
    <w:p w14:paraId="06870B81" w14:textId="77777777" w:rsidR="003E77F5" w:rsidRPr="00063579" w:rsidRDefault="003E77F5" w:rsidP="00063579">
      <w:pPr>
        <w:spacing w:after="120" w:line="250" w:lineRule="exact"/>
        <w:jc w:val="both"/>
        <w:rPr>
          <w:rFonts w:ascii="Montserrat" w:hAnsi="Montserrat" w:cs="Arial"/>
          <w:spacing w:val="-1"/>
          <w:sz w:val="18"/>
          <w:szCs w:val="18"/>
        </w:rPr>
      </w:pPr>
    </w:p>
    <w:tbl>
      <w:tblPr>
        <w:tblW w:w="0" w:type="auto"/>
        <w:jc w:val="center"/>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Layout w:type="fixed"/>
        <w:tblCellMar>
          <w:left w:w="30" w:type="dxa"/>
          <w:right w:w="30" w:type="dxa"/>
        </w:tblCellMar>
        <w:tblLook w:val="0000" w:firstRow="0" w:lastRow="0" w:firstColumn="0" w:lastColumn="0" w:noHBand="0" w:noVBand="0"/>
      </w:tblPr>
      <w:tblGrid>
        <w:gridCol w:w="7306"/>
        <w:gridCol w:w="1985"/>
      </w:tblGrid>
      <w:tr w:rsidR="009C3C24" w:rsidRPr="006F0DF1" w14:paraId="4049D84F" w14:textId="77777777" w:rsidTr="000F0321">
        <w:trPr>
          <w:trHeight w:val="57"/>
          <w:jc w:val="center"/>
        </w:trPr>
        <w:tc>
          <w:tcPr>
            <w:tcW w:w="9291" w:type="dxa"/>
            <w:gridSpan w:val="2"/>
            <w:tcBorders>
              <w:top w:val="nil"/>
              <w:left w:val="nil"/>
              <w:bottom w:val="single" w:sz="12" w:space="0" w:color="808080" w:themeColor="background1" w:themeShade="80"/>
              <w:right w:val="nil"/>
            </w:tcBorders>
            <w:shd w:val="clear" w:color="auto" w:fill="auto"/>
          </w:tcPr>
          <w:p w14:paraId="05D10F6F" w14:textId="77777777" w:rsidR="0082611E" w:rsidRPr="00685332" w:rsidRDefault="009C3C24" w:rsidP="00E52592">
            <w:pPr>
              <w:spacing w:after="60" w:line="250" w:lineRule="exact"/>
              <w:jc w:val="center"/>
              <w:rPr>
                <w:rFonts w:ascii="Montserrat" w:hAnsi="Montserrat" w:cs="Arial"/>
                <w:sz w:val="16"/>
                <w:szCs w:val="16"/>
              </w:rPr>
            </w:pPr>
            <w:r w:rsidRPr="00685332">
              <w:rPr>
                <w:rFonts w:ascii="Montserrat" w:hAnsi="Montserrat" w:cs="Arial"/>
                <w:spacing w:val="-1"/>
                <w:sz w:val="16"/>
                <w:szCs w:val="16"/>
              </w:rPr>
              <w:t>(Pesos)</w:t>
            </w:r>
          </w:p>
        </w:tc>
      </w:tr>
      <w:tr w:rsidR="00C4519E" w:rsidRPr="00E76AF3" w14:paraId="45E52E33" w14:textId="77777777" w:rsidTr="000F0321">
        <w:trPr>
          <w:trHeight w:val="57"/>
          <w:jc w:val="center"/>
        </w:trPr>
        <w:tc>
          <w:tcPr>
            <w:tcW w:w="9291" w:type="dxa"/>
            <w:gridSpan w:val="2"/>
            <w:tcBorders>
              <w:top w:val="single" w:sz="12" w:space="0" w:color="808080" w:themeColor="background1" w:themeShade="80"/>
              <w:left w:val="nil"/>
              <w:bottom w:val="nil"/>
              <w:right w:val="nil"/>
            </w:tcBorders>
            <w:shd w:val="clear" w:color="auto" w:fill="auto"/>
          </w:tcPr>
          <w:p w14:paraId="6BFC375F" w14:textId="77777777" w:rsidR="00C4519E" w:rsidRPr="00E76AF3" w:rsidRDefault="00C4519E" w:rsidP="00E76AF3">
            <w:pPr>
              <w:spacing w:after="0" w:line="240" w:lineRule="auto"/>
              <w:jc w:val="center"/>
              <w:rPr>
                <w:rFonts w:ascii="Montserrat" w:eastAsia="Times New Roman" w:hAnsi="Montserrat" w:cs="Calibri"/>
                <w:b/>
                <w:bCs/>
                <w:color w:val="FFFFFF"/>
                <w:sz w:val="4"/>
                <w:szCs w:val="4"/>
                <w:lang w:val="es-MX" w:eastAsia="es-MX"/>
              </w:rPr>
            </w:pPr>
          </w:p>
        </w:tc>
      </w:tr>
      <w:tr w:rsidR="009C3C24" w:rsidRPr="00E76AF3" w14:paraId="2427806D" w14:textId="77777777" w:rsidTr="00F576E1">
        <w:trPr>
          <w:trHeight w:val="317"/>
          <w:jc w:val="center"/>
        </w:trPr>
        <w:tc>
          <w:tcPr>
            <w:tcW w:w="7306" w:type="dxa"/>
            <w:tcBorders>
              <w:top w:val="nil"/>
              <w:left w:val="single" w:sz="8" w:space="0" w:color="FFFFFF" w:themeColor="background1"/>
              <w:bottom w:val="double" w:sz="12" w:space="0" w:color="808080" w:themeColor="background1" w:themeShade="80"/>
              <w:right w:val="single" w:sz="8" w:space="0" w:color="FFFFFF" w:themeColor="background1"/>
            </w:tcBorders>
            <w:shd w:val="clear" w:color="auto" w:fill="D4C19C"/>
          </w:tcPr>
          <w:p w14:paraId="042A2995" w14:textId="77777777" w:rsidR="009C3C24" w:rsidRPr="00F576E1" w:rsidRDefault="009C3C24" w:rsidP="002F797B">
            <w:pPr>
              <w:tabs>
                <w:tab w:val="left" w:pos="818"/>
              </w:tabs>
              <w:spacing w:after="0" w:line="240" w:lineRule="exact"/>
              <w:ind w:right="57"/>
              <w:jc w:val="center"/>
              <w:rPr>
                <w:rFonts w:ascii="Montserrat" w:hAnsi="Montserrat" w:cs="Arial"/>
                <w:b/>
                <w:color w:val="FFFFFF"/>
                <w:spacing w:val="-1"/>
                <w:sz w:val="16"/>
                <w:szCs w:val="16"/>
              </w:rPr>
            </w:pPr>
            <w:r w:rsidRPr="00F576E1">
              <w:rPr>
                <w:rFonts w:ascii="Montserrat" w:hAnsi="Montserrat" w:cs="Arial"/>
                <w:b/>
                <w:color w:val="FFFFFF"/>
                <w:spacing w:val="-1"/>
                <w:sz w:val="16"/>
                <w:szCs w:val="16"/>
              </w:rPr>
              <w:t>Concepto</w:t>
            </w:r>
          </w:p>
        </w:tc>
        <w:tc>
          <w:tcPr>
            <w:tcW w:w="1985" w:type="dxa"/>
            <w:tcBorders>
              <w:top w:val="nil"/>
              <w:left w:val="single" w:sz="8" w:space="0" w:color="FFFFFF" w:themeColor="background1"/>
              <w:bottom w:val="double" w:sz="12" w:space="0" w:color="808080" w:themeColor="background1" w:themeShade="80"/>
              <w:right w:val="single" w:sz="8" w:space="0" w:color="FFFFFF" w:themeColor="background1"/>
            </w:tcBorders>
            <w:shd w:val="clear" w:color="auto" w:fill="D4C19C"/>
          </w:tcPr>
          <w:p w14:paraId="6089DE71" w14:textId="77777777" w:rsidR="009C3C24" w:rsidRPr="00F576E1" w:rsidRDefault="00CC40D5" w:rsidP="002F797B">
            <w:pPr>
              <w:spacing w:after="0" w:line="240" w:lineRule="exact"/>
              <w:ind w:right="57"/>
              <w:jc w:val="center"/>
              <w:rPr>
                <w:rFonts w:ascii="Montserrat" w:hAnsi="Montserrat" w:cs="Arial"/>
                <w:b/>
                <w:color w:val="FFFFFF"/>
                <w:spacing w:val="-1"/>
                <w:sz w:val="16"/>
                <w:szCs w:val="16"/>
              </w:rPr>
            </w:pPr>
            <w:r w:rsidRPr="00F576E1">
              <w:rPr>
                <w:rFonts w:ascii="Montserrat" w:hAnsi="Montserrat" w:cs="Arial"/>
                <w:b/>
                <w:color w:val="FFFFFF"/>
                <w:spacing w:val="-1"/>
                <w:sz w:val="16"/>
                <w:szCs w:val="16"/>
              </w:rPr>
              <w:t>Importe</w:t>
            </w:r>
          </w:p>
        </w:tc>
      </w:tr>
      <w:tr w:rsidR="00B83AE1" w:rsidRPr="006F0DF1" w14:paraId="7341D57F" w14:textId="77777777" w:rsidTr="0023764E">
        <w:trPr>
          <w:trHeight w:val="215"/>
          <w:jc w:val="center"/>
        </w:trPr>
        <w:tc>
          <w:tcPr>
            <w:tcW w:w="7306" w:type="dxa"/>
            <w:tcBorders>
              <w:top w:val="double" w:sz="12" w:space="0" w:color="808080" w:themeColor="background1" w:themeShade="80"/>
              <w:left w:val="nil"/>
              <w:bottom w:val="nil"/>
              <w:right w:val="nil"/>
            </w:tcBorders>
            <w:shd w:val="clear" w:color="auto" w:fill="F2F2F2" w:themeFill="background1" w:themeFillShade="F2"/>
          </w:tcPr>
          <w:p w14:paraId="1A76943E" w14:textId="41E4B40C" w:rsidR="00B83AE1" w:rsidRPr="000F0321" w:rsidRDefault="001B3AD1" w:rsidP="00B83AE1">
            <w:pPr>
              <w:spacing w:after="0" w:line="240" w:lineRule="exact"/>
              <w:ind w:left="-57" w:right="57" w:firstLine="156"/>
              <w:rPr>
                <w:rFonts w:ascii="Montserrat" w:hAnsi="Montserrat" w:cs="Arial"/>
                <w:b/>
                <w:spacing w:val="-1"/>
                <w:sz w:val="15"/>
                <w:szCs w:val="15"/>
              </w:rPr>
            </w:pPr>
            <w:r>
              <w:rPr>
                <w:rFonts w:ascii="Montserrat" w:hAnsi="Montserrat" w:cs="Arial"/>
                <w:b/>
                <w:spacing w:val="-1"/>
                <w:sz w:val="15"/>
                <w:szCs w:val="15"/>
              </w:rPr>
              <w:t>Otros Egresos Presupuestarios</w:t>
            </w:r>
            <w:r w:rsidR="00B83AE1" w:rsidRPr="000F0321">
              <w:rPr>
                <w:rFonts w:ascii="Montserrat" w:hAnsi="Montserrat" w:cs="Arial"/>
                <w:b/>
                <w:spacing w:val="-1"/>
                <w:sz w:val="15"/>
                <w:szCs w:val="15"/>
              </w:rPr>
              <w:t xml:space="preserve"> no Contables</w:t>
            </w:r>
          </w:p>
        </w:tc>
        <w:tc>
          <w:tcPr>
            <w:tcW w:w="1985" w:type="dxa"/>
            <w:tcBorders>
              <w:top w:val="double" w:sz="12" w:space="0" w:color="808080" w:themeColor="background1" w:themeShade="80"/>
              <w:left w:val="nil"/>
              <w:bottom w:val="nil"/>
              <w:right w:val="nil"/>
            </w:tcBorders>
            <w:shd w:val="clear" w:color="auto" w:fill="F2F2F2" w:themeFill="background1" w:themeFillShade="F2"/>
          </w:tcPr>
          <w:p w14:paraId="5221BC4E" w14:textId="7063CF88" w:rsidR="00B83AE1" w:rsidRPr="00255081" w:rsidRDefault="00323DA7" w:rsidP="000F0321">
            <w:pPr>
              <w:spacing w:after="0" w:line="240" w:lineRule="exact"/>
              <w:ind w:left="-57" w:right="189" w:firstLine="156"/>
              <w:jc w:val="right"/>
              <w:rPr>
                <w:rFonts w:ascii="Montserrat" w:hAnsi="Montserrat"/>
                <w:b/>
                <w:sz w:val="15"/>
                <w:szCs w:val="15"/>
              </w:rPr>
            </w:pPr>
            <w:r w:rsidRPr="00255081">
              <w:rPr>
                <w:rFonts w:ascii="Montserrat" w:hAnsi="Montserrat"/>
                <w:b/>
                <w:sz w:val="15"/>
                <w:szCs w:val="15"/>
              </w:rPr>
              <w:t>14</w:t>
            </w:r>
            <w:r w:rsidR="003574ED" w:rsidRPr="00255081">
              <w:rPr>
                <w:rFonts w:ascii="Montserrat" w:hAnsi="Montserrat"/>
                <w:b/>
                <w:sz w:val="15"/>
                <w:szCs w:val="15"/>
              </w:rPr>
              <w:t>,</w:t>
            </w:r>
            <w:r w:rsidRPr="00255081">
              <w:rPr>
                <w:rFonts w:ascii="Montserrat" w:hAnsi="Montserrat"/>
                <w:b/>
                <w:sz w:val="15"/>
                <w:szCs w:val="15"/>
              </w:rPr>
              <w:t>770</w:t>
            </w:r>
            <w:r w:rsidR="003574ED" w:rsidRPr="00255081">
              <w:rPr>
                <w:rFonts w:ascii="Montserrat" w:hAnsi="Montserrat"/>
                <w:b/>
                <w:sz w:val="15"/>
                <w:szCs w:val="15"/>
              </w:rPr>
              <w:t>,</w:t>
            </w:r>
            <w:r w:rsidRPr="00255081">
              <w:rPr>
                <w:rFonts w:ascii="Montserrat" w:hAnsi="Montserrat"/>
                <w:b/>
                <w:sz w:val="15"/>
                <w:szCs w:val="15"/>
              </w:rPr>
              <w:t>020</w:t>
            </w:r>
            <w:r w:rsidR="003574ED" w:rsidRPr="00255081">
              <w:rPr>
                <w:rFonts w:ascii="Montserrat" w:hAnsi="Montserrat"/>
                <w:b/>
                <w:sz w:val="15"/>
                <w:szCs w:val="15"/>
              </w:rPr>
              <w:t>,</w:t>
            </w:r>
            <w:r w:rsidRPr="00255081">
              <w:rPr>
                <w:rFonts w:ascii="Montserrat" w:hAnsi="Montserrat"/>
                <w:b/>
                <w:sz w:val="15"/>
                <w:szCs w:val="15"/>
              </w:rPr>
              <w:t>701</w:t>
            </w:r>
          </w:p>
        </w:tc>
      </w:tr>
      <w:tr w:rsidR="00B83AE1" w:rsidRPr="006F0DF1" w14:paraId="0B34A087" w14:textId="77777777" w:rsidTr="0023764E">
        <w:trPr>
          <w:trHeight w:val="215"/>
          <w:jc w:val="center"/>
        </w:trPr>
        <w:tc>
          <w:tcPr>
            <w:tcW w:w="7306" w:type="dxa"/>
            <w:tcBorders>
              <w:top w:val="nil"/>
              <w:left w:val="nil"/>
              <w:bottom w:val="nil"/>
              <w:right w:val="nil"/>
            </w:tcBorders>
            <w:shd w:val="clear" w:color="auto" w:fill="F2F2F2" w:themeFill="background1" w:themeFillShade="F2"/>
          </w:tcPr>
          <w:p w14:paraId="3FA86F2F" w14:textId="401D8E2A" w:rsidR="00B83AE1" w:rsidRPr="00255081" w:rsidRDefault="00CE614B" w:rsidP="00B83AE1">
            <w:pPr>
              <w:spacing w:after="0" w:line="240" w:lineRule="auto"/>
              <w:ind w:left="170"/>
              <w:rPr>
                <w:rFonts w:ascii="Montserrat" w:eastAsia="Times New Roman" w:hAnsi="Montserrat" w:cs="Calibri"/>
                <w:color w:val="000000"/>
                <w:sz w:val="15"/>
                <w:szCs w:val="15"/>
                <w:lang w:val="es-MX" w:eastAsia="es-MX"/>
              </w:rPr>
            </w:pPr>
            <w:r w:rsidRPr="00255081">
              <w:rPr>
                <w:rFonts w:ascii="Montserrat" w:eastAsia="Times New Roman" w:hAnsi="Montserrat" w:cs="Calibri"/>
                <w:color w:val="000000"/>
                <w:sz w:val="15"/>
                <w:szCs w:val="15"/>
                <w:lang w:val="es-MX" w:eastAsia="es-MX"/>
              </w:rPr>
              <w:t>Recursos a Recibir</w:t>
            </w:r>
          </w:p>
        </w:tc>
        <w:tc>
          <w:tcPr>
            <w:tcW w:w="1985" w:type="dxa"/>
            <w:tcBorders>
              <w:top w:val="nil"/>
              <w:left w:val="nil"/>
              <w:bottom w:val="nil"/>
              <w:right w:val="nil"/>
            </w:tcBorders>
            <w:shd w:val="clear" w:color="auto" w:fill="F2F2F2" w:themeFill="background1" w:themeFillShade="F2"/>
          </w:tcPr>
          <w:p w14:paraId="3BBE3644" w14:textId="48E3C18A" w:rsidR="00B83AE1" w:rsidRPr="00255081" w:rsidRDefault="00104C9E" w:rsidP="000F0321">
            <w:pPr>
              <w:spacing w:after="0" w:line="240" w:lineRule="exact"/>
              <w:ind w:left="-57" w:right="189" w:firstLine="156"/>
              <w:jc w:val="right"/>
              <w:rPr>
                <w:rFonts w:ascii="Montserrat" w:hAnsi="Montserrat"/>
                <w:sz w:val="15"/>
                <w:szCs w:val="15"/>
              </w:rPr>
            </w:pPr>
            <w:r w:rsidRPr="00255081">
              <w:rPr>
                <w:rFonts w:ascii="Montserrat" w:hAnsi="Montserrat"/>
                <w:sz w:val="15"/>
                <w:szCs w:val="15"/>
              </w:rPr>
              <w:t>1,517,808,339</w:t>
            </w:r>
          </w:p>
        </w:tc>
      </w:tr>
      <w:tr w:rsidR="00102018" w:rsidRPr="006F0DF1" w14:paraId="68C92BC6" w14:textId="77777777" w:rsidTr="0023764E">
        <w:trPr>
          <w:trHeight w:val="215"/>
          <w:jc w:val="center"/>
        </w:trPr>
        <w:tc>
          <w:tcPr>
            <w:tcW w:w="7306" w:type="dxa"/>
            <w:tcBorders>
              <w:top w:val="nil"/>
              <w:left w:val="nil"/>
              <w:bottom w:val="nil"/>
              <w:right w:val="nil"/>
            </w:tcBorders>
            <w:shd w:val="clear" w:color="auto" w:fill="F2F2F2" w:themeFill="background1" w:themeFillShade="F2"/>
          </w:tcPr>
          <w:p w14:paraId="4A043924" w14:textId="6B299805" w:rsidR="00102018" w:rsidRPr="00255081" w:rsidRDefault="00104C9E" w:rsidP="00102018">
            <w:pPr>
              <w:spacing w:after="0" w:line="240" w:lineRule="auto"/>
              <w:ind w:left="170"/>
              <w:rPr>
                <w:rFonts w:ascii="Montserrat" w:eastAsia="Times New Roman" w:hAnsi="Montserrat" w:cs="Calibri"/>
                <w:color w:val="000000"/>
                <w:sz w:val="15"/>
                <w:szCs w:val="15"/>
                <w:lang w:val="es-MX" w:eastAsia="es-MX"/>
              </w:rPr>
            </w:pPr>
            <w:r w:rsidRPr="00255081">
              <w:rPr>
                <w:rFonts w:ascii="Montserrat" w:eastAsia="Times New Roman" w:hAnsi="Montserrat" w:cs="Calibri"/>
                <w:color w:val="000000"/>
                <w:sz w:val="15"/>
                <w:szCs w:val="15"/>
                <w:lang w:val="es-MX" w:eastAsia="es-MX"/>
              </w:rPr>
              <w:t>Deudores Diversos por Cobrar a Corto Plazo</w:t>
            </w:r>
          </w:p>
        </w:tc>
        <w:tc>
          <w:tcPr>
            <w:tcW w:w="1985" w:type="dxa"/>
            <w:tcBorders>
              <w:top w:val="nil"/>
              <w:left w:val="nil"/>
              <w:bottom w:val="nil"/>
              <w:right w:val="nil"/>
            </w:tcBorders>
            <w:shd w:val="clear" w:color="auto" w:fill="F2F2F2" w:themeFill="background1" w:themeFillShade="F2"/>
          </w:tcPr>
          <w:p w14:paraId="1F10F664" w14:textId="6C12F376" w:rsidR="00323DA7" w:rsidRPr="00255081" w:rsidRDefault="00104C9E" w:rsidP="000F0321">
            <w:pPr>
              <w:spacing w:after="0" w:line="240" w:lineRule="auto"/>
              <w:ind w:right="189"/>
              <w:jc w:val="right"/>
              <w:rPr>
                <w:rFonts w:ascii="Montserrat" w:hAnsi="Montserrat"/>
                <w:sz w:val="15"/>
                <w:szCs w:val="15"/>
              </w:rPr>
            </w:pPr>
            <w:r w:rsidRPr="000F0321">
              <w:rPr>
                <w:rFonts w:ascii="Montserrat" w:hAnsi="Montserrat"/>
                <w:sz w:val="15"/>
                <w:szCs w:val="15"/>
              </w:rPr>
              <w:t>10,745,221,75</w:t>
            </w:r>
            <w:r w:rsidR="00323DA7" w:rsidRPr="000F0321">
              <w:rPr>
                <w:rFonts w:ascii="Montserrat" w:hAnsi="Montserrat"/>
                <w:sz w:val="15"/>
                <w:szCs w:val="15"/>
              </w:rPr>
              <w:t>6</w:t>
            </w:r>
          </w:p>
        </w:tc>
      </w:tr>
      <w:tr w:rsidR="00102018" w:rsidRPr="006F0DF1" w14:paraId="3F8C98C5" w14:textId="77777777" w:rsidTr="0023764E">
        <w:trPr>
          <w:trHeight w:val="215"/>
          <w:jc w:val="center"/>
        </w:trPr>
        <w:tc>
          <w:tcPr>
            <w:tcW w:w="7306" w:type="dxa"/>
            <w:tcBorders>
              <w:top w:val="nil"/>
              <w:left w:val="nil"/>
              <w:bottom w:val="nil"/>
              <w:right w:val="nil"/>
            </w:tcBorders>
            <w:shd w:val="clear" w:color="auto" w:fill="F2F2F2" w:themeFill="background1" w:themeFillShade="F2"/>
          </w:tcPr>
          <w:p w14:paraId="7CFF1C01" w14:textId="6484B4A1" w:rsidR="00102018" w:rsidRPr="00255081" w:rsidRDefault="00104C9E" w:rsidP="00102018">
            <w:pPr>
              <w:spacing w:after="0" w:line="240" w:lineRule="auto"/>
              <w:ind w:left="170"/>
              <w:rPr>
                <w:rFonts w:ascii="Montserrat" w:eastAsia="Times New Roman" w:hAnsi="Montserrat" w:cs="Calibri"/>
                <w:color w:val="000000"/>
                <w:sz w:val="15"/>
                <w:szCs w:val="15"/>
                <w:lang w:val="es-MX" w:eastAsia="es-MX"/>
              </w:rPr>
            </w:pPr>
            <w:r w:rsidRPr="00255081">
              <w:rPr>
                <w:rFonts w:ascii="Montserrat" w:eastAsia="Times New Roman" w:hAnsi="Montserrat" w:cs="Calibri"/>
                <w:color w:val="000000"/>
                <w:sz w:val="15"/>
                <w:szCs w:val="15"/>
                <w:lang w:val="es-MX" w:eastAsia="es-MX"/>
              </w:rPr>
              <w:t>Deudores por Anticipos de la Tesorería a Corto Plazo</w:t>
            </w:r>
          </w:p>
        </w:tc>
        <w:tc>
          <w:tcPr>
            <w:tcW w:w="1985" w:type="dxa"/>
            <w:tcBorders>
              <w:top w:val="nil"/>
              <w:left w:val="nil"/>
              <w:bottom w:val="nil"/>
              <w:right w:val="nil"/>
            </w:tcBorders>
            <w:shd w:val="clear" w:color="auto" w:fill="F2F2F2" w:themeFill="background1" w:themeFillShade="F2"/>
          </w:tcPr>
          <w:p w14:paraId="61E23EB5" w14:textId="52127B19" w:rsidR="00102018" w:rsidRPr="00255081" w:rsidRDefault="00104C9E" w:rsidP="000F0321">
            <w:pPr>
              <w:spacing w:after="0" w:line="240" w:lineRule="auto"/>
              <w:ind w:right="189"/>
              <w:jc w:val="right"/>
              <w:rPr>
                <w:rFonts w:ascii="Montserrat" w:hAnsi="Montserrat"/>
                <w:sz w:val="15"/>
                <w:szCs w:val="15"/>
              </w:rPr>
            </w:pPr>
            <w:r w:rsidRPr="000F0321">
              <w:rPr>
                <w:rFonts w:ascii="Montserrat" w:hAnsi="Montserrat"/>
                <w:sz w:val="15"/>
                <w:szCs w:val="15"/>
              </w:rPr>
              <w:t>36,584</w:t>
            </w:r>
          </w:p>
        </w:tc>
      </w:tr>
      <w:tr w:rsidR="00102018" w:rsidRPr="006F0DF1" w14:paraId="760BBDB2" w14:textId="77777777" w:rsidTr="0023764E">
        <w:trPr>
          <w:trHeight w:val="215"/>
          <w:jc w:val="center"/>
        </w:trPr>
        <w:tc>
          <w:tcPr>
            <w:tcW w:w="7306" w:type="dxa"/>
            <w:tcBorders>
              <w:top w:val="nil"/>
              <w:left w:val="nil"/>
              <w:bottom w:val="nil"/>
              <w:right w:val="nil"/>
            </w:tcBorders>
            <w:shd w:val="clear" w:color="auto" w:fill="F2F2F2" w:themeFill="background1" w:themeFillShade="F2"/>
          </w:tcPr>
          <w:p w14:paraId="0FCD9071" w14:textId="77777777" w:rsidR="00102018" w:rsidRPr="00255081" w:rsidRDefault="00102018" w:rsidP="00102018">
            <w:pPr>
              <w:spacing w:after="0" w:line="240" w:lineRule="auto"/>
              <w:ind w:left="170"/>
              <w:rPr>
                <w:rFonts w:ascii="Montserrat" w:eastAsia="Times New Roman" w:hAnsi="Montserrat" w:cs="Calibri"/>
                <w:color w:val="000000"/>
                <w:sz w:val="15"/>
                <w:szCs w:val="15"/>
                <w:lang w:val="es-MX" w:eastAsia="es-MX"/>
              </w:rPr>
            </w:pPr>
            <w:r w:rsidRPr="00255081">
              <w:rPr>
                <w:rFonts w:ascii="Montserrat" w:eastAsia="Times New Roman" w:hAnsi="Montserrat" w:cs="Calibri"/>
                <w:color w:val="000000"/>
                <w:sz w:val="15"/>
                <w:szCs w:val="15"/>
                <w:lang w:val="es-MX" w:eastAsia="es-MX"/>
              </w:rPr>
              <w:t>Anticipos a Proveedores por Adquisición de Bienes y Prestación de Servicios</w:t>
            </w:r>
          </w:p>
        </w:tc>
        <w:tc>
          <w:tcPr>
            <w:tcW w:w="1985" w:type="dxa"/>
            <w:tcBorders>
              <w:top w:val="nil"/>
              <w:left w:val="nil"/>
              <w:bottom w:val="nil"/>
              <w:right w:val="nil"/>
            </w:tcBorders>
            <w:shd w:val="clear" w:color="auto" w:fill="F2F2F2" w:themeFill="background1" w:themeFillShade="F2"/>
          </w:tcPr>
          <w:p w14:paraId="5C2AEE7B" w14:textId="2A095C87" w:rsidR="00102018" w:rsidRPr="00255081" w:rsidRDefault="00323DA7" w:rsidP="000F0321">
            <w:pPr>
              <w:spacing w:after="0" w:line="240" w:lineRule="auto"/>
              <w:ind w:right="189"/>
              <w:jc w:val="right"/>
              <w:rPr>
                <w:rFonts w:ascii="Montserrat" w:hAnsi="Montserrat"/>
                <w:sz w:val="15"/>
                <w:szCs w:val="15"/>
              </w:rPr>
            </w:pPr>
            <w:r w:rsidRPr="000F0321">
              <w:rPr>
                <w:rFonts w:ascii="Montserrat" w:hAnsi="Montserrat"/>
                <w:sz w:val="15"/>
                <w:szCs w:val="15"/>
              </w:rPr>
              <w:t>2,039,612,443</w:t>
            </w:r>
          </w:p>
        </w:tc>
      </w:tr>
      <w:tr w:rsidR="00102018" w:rsidRPr="006F0DF1" w14:paraId="7D6E11DB" w14:textId="77777777" w:rsidTr="0023764E">
        <w:trPr>
          <w:trHeight w:val="215"/>
          <w:jc w:val="center"/>
        </w:trPr>
        <w:tc>
          <w:tcPr>
            <w:tcW w:w="7306" w:type="dxa"/>
            <w:tcBorders>
              <w:top w:val="nil"/>
              <w:left w:val="nil"/>
              <w:bottom w:val="nil"/>
              <w:right w:val="nil"/>
            </w:tcBorders>
            <w:shd w:val="clear" w:color="auto" w:fill="F2F2F2" w:themeFill="background1" w:themeFillShade="F2"/>
          </w:tcPr>
          <w:p w14:paraId="3B794DC6" w14:textId="77777777" w:rsidR="00102018" w:rsidRPr="00255081" w:rsidRDefault="00102018" w:rsidP="00102018">
            <w:pPr>
              <w:spacing w:after="0" w:line="240" w:lineRule="auto"/>
              <w:ind w:left="170"/>
              <w:rPr>
                <w:rFonts w:ascii="Montserrat" w:eastAsia="Times New Roman" w:hAnsi="Montserrat" w:cs="Calibri"/>
                <w:color w:val="000000"/>
                <w:sz w:val="15"/>
                <w:szCs w:val="15"/>
                <w:lang w:val="es-MX" w:eastAsia="es-MX"/>
              </w:rPr>
            </w:pPr>
            <w:r w:rsidRPr="00255081">
              <w:rPr>
                <w:rFonts w:ascii="Montserrat" w:eastAsia="Times New Roman" w:hAnsi="Montserrat" w:cs="Calibri"/>
                <w:color w:val="000000"/>
                <w:sz w:val="15"/>
                <w:szCs w:val="15"/>
                <w:lang w:val="es-MX" w:eastAsia="es-MX"/>
              </w:rPr>
              <w:t>Anticipos a Proveedores por Adquisición de Bienes Inmuebles y Muebles</w:t>
            </w:r>
          </w:p>
        </w:tc>
        <w:tc>
          <w:tcPr>
            <w:tcW w:w="1985" w:type="dxa"/>
            <w:tcBorders>
              <w:top w:val="nil"/>
              <w:left w:val="nil"/>
              <w:bottom w:val="nil"/>
              <w:right w:val="nil"/>
            </w:tcBorders>
            <w:shd w:val="clear" w:color="auto" w:fill="F2F2F2" w:themeFill="background1" w:themeFillShade="F2"/>
          </w:tcPr>
          <w:p w14:paraId="37A9855D" w14:textId="442F76D7" w:rsidR="00102018" w:rsidRPr="00255081" w:rsidRDefault="00323DA7" w:rsidP="000F0321">
            <w:pPr>
              <w:spacing w:after="0" w:line="240" w:lineRule="auto"/>
              <w:ind w:right="189"/>
              <w:jc w:val="right"/>
              <w:rPr>
                <w:rFonts w:ascii="Montserrat" w:hAnsi="Montserrat"/>
                <w:sz w:val="15"/>
                <w:szCs w:val="15"/>
              </w:rPr>
            </w:pPr>
            <w:r w:rsidRPr="000F0321">
              <w:rPr>
                <w:rFonts w:ascii="Montserrat" w:hAnsi="Montserrat"/>
                <w:sz w:val="15"/>
                <w:szCs w:val="15"/>
              </w:rPr>
              <w:t>403,990,393</w:t>
            </w:r>
          </w:p>
        </w:tc>
      </w:tr>
      <w:tr w:rsidR="00102018" w:rsidRPr="006F0DF1" w14:paraId="3AEBA39A" w14:textId="77777777" w:rsidTr="0023764E">
        <w:trPr>
          <w:trHeight w:val="215"/>
          <w:jc w:val="center"/>
        </w:trPr>
        <w:tc>
          <w:tcPr>
            <w:tcW w:w="7306" w:type="dxa"/>
            <w:tcBorders>
              <w:top w:val="nil"/>
              <w:left w:val="nil"/>
              <w:bottom w:val="nil"/>
              <w:right w:val="nil"/>
            </w:tcBorders>
            <w:shd w:val="clear" w:color="auto" w:fill="F2F2F2" w:themeFill="background1" w:themeFillShade="F2"/>
          </w:tcPr>
          <w:p w14:paraId="5EB27E0B" w14:textId="77777777" w:rsidR="00102018" w:rsidRPr="00255081" w:rsidRDefault="00102018" w:rsidP="000F0321">
            <w:pPr>
              <w:spacing w:after="0" w:line="240" w:lineRule="auto"/>
              <w:ind w:left="170" w:right="189"/>
              <w:rPr>
                <w:rFonts w:ascii="Montserrat" w:eastAsia="Times New Roman" w:hAnsi="Montserrat" w:cs="Calibri"/>
                <w:color w:val="000000"/>
                <w:sz w:val="15"/>
                <w:szCs w:val="15"/>
                <w:lang w:val="es-MX" w:eastAsia="es-MX"/>
              </w:rPr>
            </w:pPr>
            <w:r w:rsidRPr="00255081">
              <w:rPr>
                <w:rFonts w:ascii="Montserrat" w:eastAsia="Times New Roman" w:hAnsi="Montserrat" w:cs="Calibri"/>
                <w:color w:val="000000"/>
                <w:sz w:val="15"/>
                <w:szCs w:val="15"/>
                <w:lang w:val="es-MX" w:eastAsia="es-MX"/>
              </w:rPr>
              <w:t>Bienes en Tránsito</w:t>
            </w:r>
          </w:p>
        </w:tc>
        <w:tc>
          <w:tcPr>
            <w:tcW w:w="1985" w:type="dxa"/>
            <w:tcBorders>
              <w:top w:val="nil"/>
              <w:left w:val="nil"/>
              <w:bottom w:val="nil"/>
              <w:right w:val="nil"/>
            </w:tcBorders>
            <w:shd w:val="clear" w:color="auto" w:fill="F2F2F2" w:themeFill="background1" w:themeFillShade="F2"/>
          </w:tcPr>
          <w:p w14:paraId="009A4F94" w14:textId="6BEF011A" w:rsidR="00102018" w:rsidRPr="00255081" w:rsidRDefault="00323DA7" w:rsidP="000F0321">
            <w:pPr>
              <w:spacing w:after="0" w:line="240" w:lineRule="auto"/>
              <w:ind w:right="189"/>
              <w:jc w:val="right"/>
              <w:rPr>
                <w:rFonts w:ascii="Montserrat" w:hAnsi="Montserrat"/>
                <w:sz w:val="15"/>
                <w:szCs w:val="15"/>
              </w:rPr>
            </w:pPr>
            <w:r w:rsidRPr="000F0321">
              <w:rPr>
                <w:rFonts w:ascii="Montserrat" w:hAnsi="Montserrat"/>
                <w:sz w:val="15"/>
                <w:szCs w:val="15"/>
              </w:rPr>
              <w:t>60,792,737</w:t>
            </w:r>
          </w:p>
        </w:tc>
      </w:tr>
      <w:tr w:rsidR="00323DA7" w:rsidRPr="006F0DF1" w14:paraId="3CCA5DCC" w14:textId="77777777" w:rsidTr="0023764E">
        <w:trPr>
          <w:trHeight w:val="215"/>
          <w:jc w:val="center"/>
        </w:trPr>
        <w:tc>
          <w:tcPr>
            <w:tcW w:w="7306" w:type="dxa"/>
            <w:tcBorders>
              <w:top w:val="nil"/>
              <w:left w:val="nil"/>
              <w:bottom w:val="single" w:sz="12" w:space="0" w:color="808080" w:themeColor="background1" w:themeShade="80"/>
              <w:right w:val="nil"/>
            </w:tcBorders>
            <w:shd w:val="clear" w:color="auto" w:fill="F2F2F2" w:themeFill="background1" w:themeFillShade="F2"/>
          </w:tcPr>
          <w:p w14:paraId="564EC5C8" w14:textId="4B0A2AF8" w:rsidR="00323DA7" w:rsidRPr="00255081" w:rsidRDefault="00323DA7" w:rsidP="000F0321">
            <w:pPr>
              <w:spacing w:after="0" w:line="240" w:lineRule="auto"/>
              <w:ind w:left="170" w:right="189"/>
              <w:rPr>
                <w:rFonts w:ascii="Montserrat" w:eastAsia="Times New Roman" w:hAnsi="Montserrat" w:cs="Calibri"/>
                <w:color w:val="000000"/>
                <w:sz w:val="15"/>
                <w:szCs w:val="15"/>
                <w:lang w:val="es-MX" w:eastAsia="es-MX"/>
              </w:rPr>
            </w:pPr>
            <w:r w:rsidRPr="00255081">
              <w:rPr>
                <w:rFonts w:ascii="Montserrat" w:eastAsia="Times New Roman" w:hAnsi="Montserrat" w:cs="Calibri"/>
                <w:color w:val="000000"/>
                <w:sz w:val="15"/>
                <w:szCs w:val="15"/>
                <w:lang w:val="es-MX" w:eastAsia="es-MX"/>
              </w:rPr>
              <w:t>Colecciones, Obras de Arte y Objetos Valiosos</w:t>
            </w:r>
          </w:p>
        </w:tc>
        <w:tc>
          <w:tcPr>
            <w:tcW w:w="1985" w:type="dxa"/>
            <w:tcBorders>
              <w:top w:val="nil"/>
              <w:left w:val="nil"/>
              <w:bottom w:val="single" w:sz="12" w:space="0" w:color="808080" w:themeColor="background1" w:themeShade="80"/>
              <w:right w:val="nil"/>
            </w:tcBorders>
            <w:shd w:val="clear" w:color="auto" w:fill="F2F2F2" w:themeFill="background1" w:themeFillShade="F2"/>
          </w:tcPr>
          <w:p w14:paraId="27066E83" w14:textId="601F54EB" w:rsidR="00323DA7" w:rsidRPr="00255081" w:rsidRDefault="00323DA7" w:rsidP="000F0321">
            <w:pPr>
              <w:spacing w:after="0" w:line="240" w:lineRule="auto"/>
              <w:ind w:right="189"/>
              <w:jc w:val="right"/>
              <w:rPr>
                <w:rFonts w:ascii="Montserrat" w:hAnsi="Montserrat"/>
                <w:sz w:val="15"/>
                <w:szCs w:val="15"/>
              </w:rPr>
            </w:pPr>
            <w:r w:rsidRPr="000F0321">
              <w:rPr>
                <w:rFonts w:ascii="Montserrat" w:hAnsi="Montserrat"/>
                <w:sz w:val="15"/>
                <w:szCs w:val="15"/>
              </w:rPr>
              <w:t>2,558,449</w:t>
            </w:r>
          </w:p>
        </w:tc>
      </w:tr>
    </w:tbl>
    <w:p w14:paraId="3A7D3C84" w14:textId="77777777" w:rsidR="003E77F5" w:rsidRDefault="003E77F5" w:rsidP="00063579">
      <w:pPr>
        <w:spacing w:after="120" w:line="250" w:lineRule="exact"/>
        <w:jc w:val="both"/>
        <w:rPr>
          <w:rFonts w:ascii="Montserrat" w:hAnsi="Montserrat" w:cs="Arial"/>
          <w:spacing w:val="-1"/>
          <w:sz w:val="18"/>
          <w:szCs w:val="18"/>
        </w:rPr>
      </w:pPr>
    </w:p>
    <w:p w14:paraId="718772E2" w14:textId="77777777" w:rsidR="009C3C24" w:rsidRPr="00063579" w:rsidRDefault="009C3C24" w:rsidP="00C844EE">
      <w:pPr>
        <w:pStyle w:val="VIETAFLECHA"/>
        <w:numPr>
          <w:ilvl w:val="0"/>
          <w:numId w:val="32"/>
        </w:numPr>
        <w:ind w:left="851" w:hanging="284"/>
        <w:rPr>
          <w:rFonts w:cs="Arial"/>
          <w:spacing w:val="-1"/>
        </w:rPr>
      </w:pPr>
      <w:r w:rsidRPr="00063579">
        <w:rPr>
          <w:rFonts w:cs="Arial"/>
          <w:spacing w:val="-1"/>
        </w:rPr>
        <w:t>A continuación se presenta l</w:t>
      </w:r>
      <w:r w:rsidR="000A2897">
        <w:rPr>
          <w:rFonts w:cs="Arial"/>
          <w:spacing w:val="-1"/>
        </w:rPr>
        <w:t>a integración de “Otros Gastos”</w:t>
      </w:r>
    </w:p>
    <w:tbl>
      <w:tblPr>
        <w:tblW w:w="9291" w:type="dxa"/>
        <w:jc w:val="center"/>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Layout w:type="fixed"/>
        <w:tblCellMar>
          <w:left w:w="30" w:type="dxa"/>
          <w:right w:w="30" w:type="dxa"/>
        </w:tblCellMar>
        <w:tblLook w:val="0000" w:firstRow="0" w:lastRow="0" w:firstColumn="0" w:lastColumn="0" w:noHBand="0" w:noVBand="0"/>
      </w:tblPr>
      <w:tblGrid>
        <w:gridCol w:w="7307"/>
        <w:gridCol w:w="1984"/>
      </w:tblGrid>
      <w:tr w:rsidR="00C4519E" w:rsidRPr="006F0DF1" w14:paraId="2161C0FA" w14:textId="77777777" w:rsidTr="000F0321">
        <w:trPr>
          <w:trHeight w:val="57"/>
          <w:jc w:val="center"/>
        </w:trPr>
        <w:tc>
          <w:tcPr>
            <w:tcW w:w="9291" w:type="dxa"/>
            <w:gridSpan w:val="2"/>
            <w:tcBorders>
              <w:top w:val="nil"/>
              <w:left w:val="nil"/>
              <w:bottom w:val="single" w:sz="12" w:space="0" w:color="808080" w:themeColor="background1" w:themeShade="80"/>
              <w:right w:val="nil"/>
            </w:tcBorders>
            <w:shd w:val="clear" w:color="auto" w:fill="auto"/>
          </w:tcPr>
          <w:p w14:paraId="744F4D9F" w14:textId="77777777" w:rsidR="00C4519E" w:rsidRPr="00685332" w:rsidRDefault="009C3C24" w:rsidP="00E52592">
            <w:pPr>
              <w:spacing w:after="60" w:line="250" w:lineRule="exact"/>
              <w:jc w:val="center"/>
              <w:rPr>
                <w:rFonts w:ascii="Montserrat" w:hAnsi="Montserrat" w:cs="Arial"/>
                <w:color w:val="FFFFFF"/>
                <w:spacing w:val="-1"/>
                <w:sz w:val="4"/>
                <w:szCs w:val="4"/>
              </w:rPr>
            </w:pPr>
            <w:r w:rsidRPr="00685332">
              <w:rPr>
                <w:rFonts w:ascii="Montserrat" w:hAnsi="Montserrat" w:cs="Arial"/>
                <w:spacing w:val="-1"/>
                <w:sz w:val="16"/>
                <w:szCs w:val="16"/>
              </w:rPr>
              <w:t>(Pesos)</w:t>
            </w:r>
          </w:p>
        </w:tc>
      </w:tr>
      <w:tr w:rsidR="00E76AF3" w:rsidRPr="00E76AF3" w14:paraId="133A872D" w14:textId="77777777" w:rsidTr="000F0321">
        <w:trPr>
          <w:trHeight w:val="57"/>
          <w:jc w:val="center"/>
        </w:trPr>
        <w:tc>
          <w:tcPr>
            <w:tcW w:w="9291" w:type="dxa"/>
            <w:gridSpan w:val="2"/>
            <w:tcBorders>
              <w:top w:val="single" w:sz="12" w:space="0" w:color="808080" w:themeColor="background1" w:themeShade="80"/>
              <w:left w:val="nil"/>
              <w:bottom w:val="nil"/>
              <w:right w:val="nil"/>
            </w:tcBorders>
            <w:shd w:val="clear" w:color="auto" w:fill="auto"/>
          </w:tcPr>
          <w:p w14:paraId="3E35062B" w14:textId="77777777" w:rsidR="00E76AF3" w:rsidRPr="00E76AF3" w:rsidRDefault="00E76AF3" w:rsidP="00E76AF3">
            <w:pPr>
              <w:spacing w:after="0" w:line="240" w:lineRule="auto"/>
              <w:jc w:val="center"/>
              <w:rPr>
                <w:rFonts w:ascii="Montserrat" w:eastAsia="Times New Roman" w:hAnsi="Montserrat" w:cs="Calibri"/>
                <w:b/>
                <w:bCs/>
                <w:color w:val="FFFFFF"/>
                <w:sz w:val="4"/>
                <w:szCs w:val="4"/>
                <w:lang w:val="es-MX" w:eastAsia="es-MX"/>
              </w:rPr>
            </w:pPr>
          </w:p>
        </w:tc>
      </w:tr>
      <w:tr w:rsidR="009C3C24" w:rsidRPr="006F0DF1" w14:paraId="65052002" w14:textId="77777777" w:rsidTr="00F576E1">
        <w:trPr>
          <w:trHeight w:val="317"/>
          <w:jc w:val="center"/>
        </w:trPr>
        <w:tc>
          <w:tcPr>
            <w:tcW w:w="7307" w:type="dxa"/>
            <w:tcBorders>
              <w:top w:val="nil"/>
              <w:left w:val="nil"/>
              <w:bottom w:val="double" w:sz="12" w:space="0" w:color="808080" w:themeColor="background1" w:themeShade="80"/>
              <w:right w:val="single" w:sz="8" w:space="0" w:color="FFFFFF" w:themeColor="background1"/>
            </w:tcBorders>
            <w:shd w:val="clear" w:color="auto" w:fill="D4C19C"/>
          </w:tcPr>
          <w:p w14:paraId="47607DDF" w14:textId="77777777" w:rsidR="009C3C24" w:rsidRPr="00F576E1" w:rsidRDefault="009C3C24" w:rsidP="002F797B">
            <w:pPr>
              <w:tabs>
                <w:tab w:val="left" w:pos="818"/>
              </w:tabs>
              <w:spacing w:after="0" w:line="240" w:lineRule="exact"/>
              <w:ind w:right="57"/>
              <w:jc w:val="center"/>
              <w:rPr>
                <w:rFonts w:ascii="Montserrat" w:hAnsi="Montserrat" w:cs="Arial"/>
                <w:b/>
                <w:color w:val="FFFFFF"/>
                <w:spacing w:val="-1"/>
                <w:sz w:val="16"/>
                <w:szCs w:val="16"/>
              </w:rPr>
            </w:pPr>
            <w:r w:rsidRPr="00F576E1">
              <w:rPr>
                <w:rFonts w:ascii="Montserrat" w:hAnsi="Montserrat" w:cs="Arial"/>
                <w:b/>
                <w:color w:val="FFFFFF"/>
                <w:spacing w:val="-1"/>
                <w:sz w:val="16"/>
                <w:szCs w:val="16"/>
              </w:rPr>
              <w:t>Concepto</w:t>
            </w:r>
          </w:p>
        </w:tc>
        <w:tc>
          <w:tcPr>
            <w:tcW w:w="1984" w:type="dxa"/>
            <w:tcBorders>
              <w:top w:val="nil"/>
              <w:left w:val="single" w:sz="8" w:space="0" w:color="FFFFFF" w:themeColor="background1"/>
              <w:bottom w:val="double" w:sz="12" w:space="0" w:color="808080" w:themeColor="background1" w:themeShade="80"/>
              <w:right w:val="nil"/>
            </w:tcBorders>
            <w:shd w:val="clear" w:color="auto" w:fill="D4C19C"/>
          </w:tcPr>
          <w:p w14:paraId="5BC9BA83" w14:textId="77777777" w:rsidR="009C3C24" w:rsidRPr="00F576E1" w:rsidRDefault="009C3C24" w:rsidP="002F797B">
            <w:pPr>
              <w:spacing w:after="0" w:line="240" w:lineRule="exact"/>
              <w:ind w:right="57"/>
              <w:jc w:val="center"/>
              <w:rPr>
                <w:rFonts w:ascii="Montserrat" w:hAnsi="Montserrat" w:cs="Arial"/>
                <w:b/>
                <w:color w:val="FFFFFF"/>
                <w:spacing w:val="-1"/>
                <w:sz w:val="16"/>
                <w:szCs w:val="16"/>
              </w:rPr>
            </w:pPr>
            <w:r w:rsidRPr="00F576E1">
              <w:rPr>
                <w:rFonts w:ascii="Montserrat" w:hAnsi="Montserrat" w:cs="Arial"/>
                <w:b/>
                <w:color w:val="FFFFFF"/>
                <w:spacing w:val="-1"/>
                <w:sz w:val="16"/>
                <w:szCs w:val="16"/>
              </w:rPr>
              <w:t>Importe</w:t>
            </w:r>
          </w:p>
        </w:tc>
      </w:tr>
      <w:tr w:rsidR="00B83AE1" w:rsidRPr="006F0DF1" w14:paraId="2D5C2109" w14:textId="77777777" w:rsidTr="0023764E">
        <w:trPr>
          <w:trHeight w:val="229"/>
          <w:jc w:val="center"/>
        </w:trPr>
        <w:tc>
          <w:tcPr>
            <w:tcW w:w="7307" w:type="dxa"/>
            <w:tcBorders>
              <w:top w:val="double" w:sz="12" w:space="0" w:color="808080" w:themeColor="background1" w:themeShade="80"/>
              <w:left w:val="nil"/>
              <w:bottom w:val="nil"/>
              <w:right w:val="nil"/>
            </w:tcBorders>
            <w:shd w:val="clear" w:color="auto" w:fill="F2F2F2" w:themeFill="background1" w:themeFillShade="F2"/>
          </w:tcPr>
          <w:p w14:paraId="10A9E690" w14:textId="77777777" w:rsidR="00B83AE1" w:rsidRPr="000F0321" w:rsidRDefault="00B83AE1" w:rsidP="00B83AE1">
            <w:pPr>
              <w:spacing w:after="0" w:line="240" w:lineRule="exact"/>
              <w:ind w:right="57"/>
              <w:jc w:val="both"/>
              <w:rPr>
                <w:rFonts w:ascii="Montserrat" w:hAnsi="Montserrat" w:cs="Arial"/>
                <w:b/>
                <w:spacing w:val="-1"/>
                <w:sz w:val="15"/>
                <w:szCs w:val="15"/>
              </w:rPr>
            </w:pPr>
            <w:r w:rsidRPr="000F0321">
              <w:rPr>
                <w:rFonts w:ascii="Montserrat" w:hAnsi="Montserrat" w:cs="Arial"/>
                <w:b/>
                <w:spacing w:val="-1"/>
                <w:sz w:val="15"/>
                <w:szCs w:val="15"/>
              </w:rPr>
              <w:t xml:space="preserve">Otros Gastos </w:t>
            </w:r>
          </w:p>
        </w:tc>
        <w:tc>
          <w:tcPr>
            <w:tcW w:w="1984" w:type="dxa"/>
            <w:tcBorders>
              <w:top w:val="double" w:sz="12" w:space="0" w:color="808080" w:themeColor="background1" w:themeShade="80"/>
              <w:left w:val="nil"/>
              <w:bottom w:val="nil"/>
              <w:right w:val="nil"/>
            </w:tcBorders>
            <w:shd w:val="clear" w:color="auto" w:fill="F2F2F2" w:themeFill="background1" w:themeFillShade="F2"/>
          </w:tcPr>
          <w:p w14:paraId="60FEE320" w14:textId="2D0999A2" w:rsidR="00B83AE1" w:rsidRPr="00255081" w:rsidRDefault="00FE27B4" w:rsidP="002B6CC0">
            <w:pPr>
              <w:spacing w:after="0" w:line="240" w:lineRule="exact"/>
              <w:ind w:left="-57" w:right="57" w:firstLine="156"/>
              <w:jc w:val="right"/>
              <w:rPr>
                <w:rFonts w:ascii="Montserrat" w:hAnsi="Montserrat"/>
                <w:b/>
                <w:sz w:val="15"/>
                <w:szCs w:val="15"/>
              </w:rPr>
            </w:pPr>
            <w:r w:rsidRPr="00255081">
              <w:rPr>
                <w:rFonts w:ascii="Montserrat" w:hAnsi="Montserrat"/>
                <w:b/>
                <w:sz w:val="15"/>
                <w:szCs w:val="15"/>
              </w:rPr>
              <w:t>525,264,539,809</w:t>
            </w:r>
          </w:p>
        </w:tc>
      </w:tr>
      <w:tr w:rsidR="00B83AE1" w:rsidRPr="006F0DF1" w14:paraId="027ADE4C" w14:textId="77777777" w:rsidTr="0023764E">
        <w:trPr>
          <w:trHeight w:val="66"/>
          <w:jc w:val="center"/>
        </w:trPr>
        <w:tc>
          <w:tcPr>
            <w:tcW w:w="7307" w:type="dxa"/>
            <w:tcBorders>
              <w:top w:val="nil"/>
              <w:left w:val="nil"/>
              <w:bottom w:val="nil"/>
              <w:right w:val="nil"/>
            </w:tcBorders>
            <w:shd w:val="clear" w:color="auto" w:fill="F2F2F2" w:themeFill="background1" w:themeFillShade="F2"/>
          </w:tcPr>
          <w:p w14:paraId="426C2B03" w14:textId="77777777" w:rsidR="00B83AE1" w:rsidRPr="00255081" w:rsidRDefault="00B83AE1" w:rsidP="00B83AE1">
            <w:pPr>
              <w:spacing w:after="0" w:line="240" w:lineRule="auto"/>
              <w:ind w:left="170"/>
              <w:rPr>
                <w:rFonts w:ascii="Montserrat" w:eastAsia="Times New Roman" w:hAnsi="Montserrat" w:cs="Calibri"/>
                <w:color w:val="000000"/>
                <w:sz w:val="15"/>
                <w:szCs w:val="15"/>
                <w:lang w:val="es-MX" w:eastAsia="es-MX"/>
              </w:rPr>
            </w:pPr>
            <w:r w:rsidRPr="00255081">
              <w:rPr>
                <w:rFonts w:ascii="Montserrat" w:eastAsia="Times New Roman" w:hAnsi="Montserrat" w:cs="Calibri"/>
                <w:color w:val="000000"/>
                <w:sz w:val="15"/>
                <w:szCs w:val="15"/>
                <w:lang w:val="es-MX" w:eastAsia="es-MX"/>
              </w:rPr>
              <w:t>Pérdidas por Responsabilidades</w:t>
            </w:r>
          </w:p>
        </w:tc>
        <w:tc>
          <w:tcPr>
            <w:tcW w:w="1984" w:type="dxa"/>
            <w:tcBorders>
              <w:top w:val="nil"/>
              <w:left w:val="nil"/>
              <w:bottom w:val="nil"/>
              <w:right w:val="nil"/>
            </w:tcBorders>
            <w:shd w:val="clear" w:color="auto" w:fill="F2F2F2" w:themeFill="background1" w:themeFillShade="F2"/>
          </w:tcPr>
          <w:p w14:paraId="4ABAFCA3" w14:textId="6457A2A8" w:rsidR="00B83AE1" w:rsidRPr="00255081" w:rsidRDefault="003574ED" w:rsidP="002B6CC0">
            <w:pPr>
              <w:spacing w:after="0" w:line="240" w:lineRule="exact"/>
              <w:ind w:left="-57" w:right="57" w:firstLine="156"/>
              <w:jc w:val="right"/>
              <w:rPr>
                <w:rFonts w:ascii="Montserrat" w:hAnsi="Montserrat"/>
                <w:sz w:val="15"/>
                <w:szCs w:val="15"/>
              </w:rPr>
            </w:pPr>
            <w:r w:rsidRPr="00255081">
              <w:rPr>
                <w:rFonts w:ascii="Montserrat" w:hAnsi="Montserrat"/>
                <w:sz w:val="15"/>
                <w:szCs w:val="15"/>
              </w:rPr>
              <w:t>7</w:t>
            </w:r>
            <w:r w:rsidR="00FE27B4" w:rsidRPr="00255081">
              <w:rPr>
                <w:rFonts w:ascii="Montserrat" w:hAnsi="Montserrat"/>
                <w:sz w:val="15"/>
                <w:szCs w:val="15"/>
              </w:rPr>
              <w:t>,</w:t>
            </w:r>
            <w:r w:rsidRPr="00255081">
              <w:rPr>
                <w:rFonts w:ascii="Montserrat" w:hAnsi="Montserrat"/>
                <w:sz w:val="15"/>
                <w:szCs w:val="15"/>
              </w:rPr>
              <w:t>760</w:t>
            </w:r>
            <w:r w:rsidR="00FE27B4" w:rsidRPr="00255081">
              <w:rPr>
                <w:rFonts w:ascii="Montserrat" w:hAnsi="Montserrat"/>
                <w:sz w:val="15"/>
                <w:szCs w:val="15"/>
              </w:rPr>
              <w:t>,</w:t>
            </w:r>
            <w:r w:rsidRPr="00255081">
              <w:rPr>
                <w:rFonts w:ascii="Montserrat" w:hAnsi="Montserrat"/>
                <w:sz w:val="15"/>
                <w:szCs w:val="15"/>
              </w:rPr>
              <w:t>260</w:t>
            </w:r>
          </w:p>
        </w:tc>
      </w:tr>
      <w:tr w:rsidR="00B83AE1" w:rsidRPr="006F0DF1" w14:paraId="62B7604A" w14:textId="77777777" w:rsidTr="0023764E">
        <w:trPr>
          <w:trHeight w:val="66"/>
          <w:jc w:val="center"/>
        </w:trPr>
        <w:tc>
          <w:tcPr>
            <w:tcW w:w="7307" w:type="dxa"/>
            <w:tcBorders>
              <w:top w:val="nil"/>
              <w:left w:val="nil"/>
              <w:bottom w:val="nil"/>
              <w:right w:val="nil"/>
            </w:tcBorders>
            <w:shd w:val="clear" w:color="auto" w:fill="F2F2F2" w:themeFill="background1" w:themeFillShade="F2"/>
          </w:tcPr>
          <w:p w14:paraId="3EAEBE5C" w14:textId="1107F9D3" w:rsidR="00B83AE1" w:rsidRPr="00255081" w:rsidRDefault="00B83AE1">
            <w:pPr>
              <w:spacing w:after="0" w:line="240" w:lineRule="auto"/>
              <w:ind w:left="170"/>
              <w:rPr>
                <w:rFonts w:ascii="Montserrat" w:eastAsia="Times New Roman" w:hAnsi="Montserrat" w:cs="Calibri"/>
                <w:color w:val="000000"/>
                <w:sz w:val="15"/>
                <w:szCs w:val="15"/>
                <w:lang w:val="es-MX" w:eastAsia="es-MX"/>
              </w:rPr>
            </w:pPr>
            <w:r w:rsidRPr="00255081">
              <w:rPr>
                <w:rFonts w:ascii="Montserrat" w:eastAsia="Times New Roman" w:hAnsi="Montserrat" w:cs="Calibri"/>
                <w:color w:val="000000"/>
                <w:sz w:val="15"/>
                <w:szCs w:val="15"/>
                <w:lang w:val="es-MX" w:eastAsia="es-MX"/>
              </w:rPr>
              <w:t>Diferencias por Tipo de Cambio Negativas</w:t>
            </w:r>
          </w:p>
        </w:tc>
        <w:tc>
          <w:tcPr>
            <w:tcW w:w="1984" w:type="dxa"/>
            <w:tcBorders>
              <w:top w:val="nil"/>
              <w:left w:val="nil"/>
              <w:bottom w:val="nil"/>
              <w:right w:val="nil"/>
            </w:tcBorders>
            <w:shd w:val="clear" w:color="auto" w:fill="F2F2F2" w:themeFill="background1" w:themeFillShade="F2"/>
          </w:tcPr>
          <w:p w14:paraId="50C9A478" w14:textId="7A07D19D" w:rsidR="00B83AE1" w:rsidRPr="00255081" w:rsidRDefault="003574ED" w:rsidP="002B6CC0">
            <w:pPr>
              <w:spacing w:after="0" w:line="240" w:lineRule="exact"/>
              <w:ind w:left="-57" w:right="57" w:firstLine="156"/>
              <w:jc w:val="right"/>
              <w:rPr>
                <w:rFonts w:ascii="Montserrat" w:hAnsi="Montserrat"/>
                <w:sz w:val="15"/>
                <w:szCs w:val="15"/>
              </w:rPr>
            </w:pPr>
            <w:r w:rsidRPr="00255081">
              <w:rPr>
                <w:rFonts w:ascii="Montserrat" w:hAnsi="Montserrat"/>
                <w:sz w:val="15"/>
                <w:szCs w:val="15"/>
              </w:rPr>
              <w:t>236</w:t>
            </w:r>
            <w:r w:rsidR="00FE27B4" w:rsidRPr="00255081">
              <w:rPr>
                <w:rFonts w:ascii="Montserrat" w:hAnsi="Montserrat"/>
                <w:sz w:val="15"/>
                <w:szCs w:val="15"/>
              </w:rPr>
              <w:t>,</w:t>
            </w:r>
            <w:r w:rsidRPr="00255081">
              <w:rPr>
                <w:rFonts w:ascii="Montserrat" w:hAnsi="Montserrat"/>
                <w:sz w:val="15"/>
                <w:szCs w:val="15"/>
              </w:rPr>
              <w:t>030</w:t>
            </w:r>
            <w:r w:rsidR="00FE27B4" w:rsidRPr="00255081">
              <w:rPr>
                <w:rFonts w:ascii="Montserrat" w:hAnsi="Montserrat"/>
                <w:sz w:val="15"/>
                <w:szCs w:val="15"/>
              </w:rPr>
              <w:t>,</w:t>
            </w:r>
            <w:r w:rsidRPr="00255081">
              <w:rPr>
                <w:rFonts w:ascii="Montserrat" w:hAnsi="Montserrat"/>
                <w:sz w:val="15"/>
                <w:szCs w:val="15"/>
              </w:rPr>
              <w:t>314</w:t>
            </w:r>
            <w:r w:rsidR="00FE27B4" w:rsidRPr="00255081">
              <w:rPr>
                <w:rFonts w:ascii="Montserrat" w:hAnsi="Montserrat"/>
                <w:sz w:val="15"/>
                <w:szCs w:val="15"/>
              </w:rPr>
              <w:t>,539</w:t>
            </w:r>
          </w:p>
        </w:tc>
      </w:tr>
      <w:tr w:rsidR="00B83AE1" w:rsidRPr="006F0DF1" w14:paraId="163FCA09" w14:textId="77777777" w:rsidTr="0023764E">
        <w:trPr>
          <w:trHeight w:val="66"/>
          <w:jc w:val="center"/>
        </w:trPr>
        <w:tc>
          <w:tcPr>
            <w:tcW w:w="7307" w:type="dxa"/>
            <w:tcBorders>
              <w:top w:val="nil"/>
              <w:left w:val="nil"/>
              <w:bottom w:val="nil"/>
              <w:right w:val="nil"/>
            </w:tcBorders>
            <w:shd w:val="clear" w:color="auto" w:fill="F2F2F2" w:themeFill="background1" w:themeFillShade="F2"/>
          </w:tcPr>
          <w:p w14:paraId="2FF5E8C6" w14:textId="77777777" w:rsidR="00B83AE1" w:rsidRPr="00255081" w:rsidRDefault="00B83AE1" w:rsidP="00B83AE1">
            <w:pPr>
              <w:spacing w:after="0" w:line="240" w:lineRule="auto"/>
              <w:ind w:left="170"/>
              <w:rPr>
                <w:rFonts w:ascii="Montserrat" w:eastAsia="Times New Roman" w:hAnsi="Montserrat" w:cs="Calibri"/>
                <w:color w:val="000000"/>
                <w:sz w:val="15"/>
                <w:szCs w:val="15"/>
                <w:lang w:val="es-MX" w:eastAsia="es-MX"/>
              </w:rPr>
            </w:pPr>
            <w:r w:rsidRPr="00255081">
              <w:rPr>
                <w:rFonts w:ascii="Montserrat" w:eastAsia="Times New Roman" w:hAnsi="Montserrat" w:cs="Calibri"/>
                <w:color w:val="000000"/>
                <w:sz w:val="15"/>
                <w:szCs w:val="15"/>
                <w:lang w:val="es-MX" w:eastAsia="es-MX"/>
              </w:rPr>
              <w:t>Diferencias de Cotizaciones Negativas en Valores Negociables</w:t>
            </w:r>
          </w:p>
        </w:tc>
        <w:tc>
          <w:tcPr>
            <w:tcW w:w="1984" w:type="dxa"/>
            <w:tcBorders>
              <w:top w:val="nil"/>
              <w:left w:val="nil"/>
              <w:bottom w:val="nil"/>
              <w:right w:val="nil"/>
            </w:tcBorders>
            <w:shd w:val="clear" w:color="auto" w:fill="F2F2F2" w:themeFill="background1" w:themeFillShade="F2"/>
          </w:tcPr>
          <w:p w14:paraId="07EFD15E" w14:textId="19017C8F" w:rsidR="00B83AE1" w:rsidRPr="00255081" w:rsidRDefault="003574ED" w:rsidP="002B6CC0">
            <w:pPr>
              <w:spacing w:after="0" w:line="240" w:lineRule="exact"/>
              <w:ind w:left="-57" w:right="57" w:firstLine="156"/>
              <w:jc w:val="right"/>
              <w:rPr>
                <w:rFonts w:ascii="Montserrat" w:hAnsi="Montserrat"/>
                <w:sz w:val="15"/>
                <w:szCs w:val="15"/>
              </w:rPr>
            </w:pPr>
            <w:r w:rsidRPr="00255081">
              <w:rPr>
                <w:rFonts w:ascii="Montserrat" w:hAnsi="Montserrat"/>
                <w:sz w:val="15"/>
                <w:szCs w:val="15"/>
              </w:rPr>
              <w:t>59</w:t>
            </w:r>
            <w:r w:rsidR="00FE27B4" w:rsidRPr="00255081">
              <w:rPr>
                <w:rFonts w:ascii="Montserrat" w:hAnsi="Montserrat"/>
                <w:sz w:val="15"/>
                <w:szCs w:val="15"/>
              </w:rPr>
              <w:t>,</w:t>
            </w:r>
            <w:r w:rsidRPr="00255081">
              <w:rPr>
                <w:rFonts w:ascii="Montserrat" w:hAnsi="Montserrat"/>
                <w:sz w:val="15"/>
                <w:szCs w:val="15"/>
              </w:rPr>
              <w:t>181</w:t>
            </w:r>
            <w:r w:rsidR="00FE27B4" w:rsidRPr="00255081">
              <w:rPr>
                <w:rFonts w:ascii="Montserrat" w:hAnsi="Montserrat"/>
                <w:sz w:val="15"/>
                <w:szCs w:val="15"/>
              </w:rPr>
              <w:t>,</w:t>
            </w:r>
            <w:r w:rsidRPr="00255081">
              <w:rPr>
                <w:rFonts w:ascii="Montserrat" w:hAnsi="Montserrat"/>
                <w:sz w:val="15"/>
                <w:szCs w:val="15"/>
              </w:rPr>
              <w:t>297</w:t>
            </w:r>
            <w:r w:rsidR="00FE27B4" w:rsidRPr="00255081">
              <w:rPr>
                <w:rFonts w:ascii="Montserrat" w:hAnsi="Montserrat"/>
                <w:sz w:val="15"/>
                <w:szCs w:val="15"/>
              </w:rPr>
              <w:t>,</w:t>
            </w:r>
            <w:r w:rsidRPr="00255081">
              <w:rPr>
                <w:rFonts w:ascii="Montserrat" w:hAnsi="Montserrat"/>
                <w:sz w:val="15"/>
                <w:szCs w:val="15"/>
              </w:rPr>
              <w:t>640</w:t>
            </w:r>
          </w:p>
        </w:tc>
      </w:tr>
      <w:tr w:rsidR="00B83AE1" w:rsidRPr="006F0DF1" w14:paraId="682DF13D" w14:textId="77777777" w:rsidTr="0023764E">
        <w:trPr>
          <w:trHeight w:val="66"/>
          <w:jc w:val="center"/>
        </w:trPr>
        <w:tc>
          <w:tcPr>
            <w:tcW w:w="7307" w:type="dxa"/>
            <w:tcBorders>
              <w:top w:val="nil"/>
              <w:left w:val="nil"/>
              <w:bottom w:val="nil"/>
              <w:right w:val="nil"/>
            </w:tcBorders>
            <w:shd w:val="clear" w:color="auto" w:fill="F2F2F2" w:themeFill="background1" w:themeFillShade="F2"/>
          </w:tcPr>
          <w:p w14:paraId="2836684E" w14:textId="77777777" w:rsidR="00B83AE1" w:rsidRPr="00255081" w:rsidRDefault="00B83AE1" w:rsidP="00B83AE1">
            <w:pPr>
              <w:spacing w:after="0" w:line="240" w:lineRule="auto"/>
              <w:ind w:left="170"/>
              <w:rPr>
                <w:rFonts w:ascii="Montserrat" w:eastAsia="Times New Roman" w:hAnsi="Montserrat" w:cs="Calibri"/>
                <w:color w:val="000000"/>
                <w:sz w:val="15"/>
                <w:szCs w:val="15"/>
                <w:lang w:val="es-MX" w:eastAsia="es-MX"/>
              </w:rPr>
            </w:pPr>
            <w:r w:rsidRPr="00255081">
              <w:rPr>
                <w:rFonts w:ascii="Montserrat" w:eastAsia="Times New Roman" w:hAnsi="Montserrat" w:cs="Calibri"/>
                <w:color w:val="000000"/>
                <w:sz w:val="15"/>
                <w:szCs w:val="15"/>
                <w:lang w:val="es-MX" w:eastAsia="es-MX"/>
              </w:rPr>
              <w:t>Pérdidas por Actualización del Patrimonio o Inversiones en las Entidades Paraestatales</w:t>
            </w:r>
          </w:p>
        </w:tc>
        <w:tc>
          <w:tcPr>
            <w:tcW w:w="1984" w:type="dxa"/>
            <w:tcBorders>
              <w:top w:val="nil"/>
              <w:left w:val="nil"/>
              <w:bottom w:val="nil"/>
              <w:right w:val="nil"/>
            </w:tcBorders>
            <w:shd w:val="clear" w:color="auto" w:fill="F2F2F2" w:themeFill="background1" w:themeFillShade="F2"/>
          </w:tcPr>
          <w:p w14:paraId="4A4C322E" w14:textId="69142BA0" w:rsidR="00B83AE1" w:rsidRPr="00255081" w:rsidRDefault="003574ED" w:rsidP="002B6CC0">
            <w:pPr>
              <w:spacing w:after="0" w:line="240" w:lineRule="exact"/>
              <w:ind w:left="-57" w:right="57" w:firstLine="156"/>
              <w:jc w:val="right"/>
              <w:rPr>
                <w:rFonts w:ascii="Montserrat" w:hAnsi="Montserrat"/>
                <w:sz w:val="15"/>
                <w:szCs w:val="15"/>
              </w:rPr>
            </w:pPr>
            <w:r w:rsidRPr="00255081">
              <w:rPr>
                <w:rFonts w:ascii="Montserrat" w:hAnsi="Montserrat"/>
                <w:sz w:val="15"/>
                <w:szCs w:val="15"/>
              </w:rPr>
              <w:t>56</w:t>
            </w:r>
            <w:r w:rsidR="00FE27B4" w:rsidRPr="00255081">
              <w:rPr>
                <w:rFonts w:ascii="Montserrat" w:hAnsi="Montserrat"/>
                <w:sz w:val="15"/>
                <w:szCs w:val="15"/>
              </w:rPr>
              <w:t>,</w:t>
            </w:r>
            <w:r w:rsidRPr="00255081">
              <w:rPr>
                <w:rFonts w:ascii="Montserrat" w:hAnsi="Montserrat"/>
                <w:sz w:val="15"/>
                <w:szCs w:val="15"/>
              </w:rPr>
              <w:t>819</w:t>
            </w:r>
            <w:r w:rsidR="00FE27B4" w:rsidRPr="00255081">
              <w:rPr>
                <w:rFonts w:ascii="Montserrat" w:hAnsi="Montserrat"/>
                <w:sz w:val="15"/>
                <w:szCs w:val="15"/>
              </w:rPr>
              <w:t>,</w:t>
            </w:r>
            <w:r w:rsidRPr="00255081">
              <w:rPr>
                <w:rFonts w:ascii="Montserrat" w:hAnsi="Montserrat"/>
                <w:sz w:val="15"/>
                <w:szCs w:val="15"/>
              </w:rPr>
              <w:t>633</w:t>
            </w:r>
            <w:r w:rsidR="00FE27B4" w:rsidRPr="00255081">
              <w:rPr>
                <w:rFonts w:ascii="Montserrat" w:hAnsi="Montserrat"/>
                <w:sz w:val="15"/>
                <w:szCs w:val="15"/>
              </w:rPr>
              <w:t>,</w:t>
            </w:r>
            <w:r w:rsidRPr="00255081">
              <w:rPr>
                <w:rFonts w:ascii="Montserrat" w:hAnsi="Montserrat"/>
                <w:sz w:val="15"/>
                <w:szCs w:val="15"/>
              </w:rPr>
              <w:t>437</w:t>
            </w:r>
          </w:p>
        </w:tc>
      </w:tr>
      <w:tr w:rsidR="00B83AE1" w:rsidRPr="006F0DF1" w14:paraId="038C45E1" w14:textId="77777777" w:rsidTr="0023764E">
        <w:trPr>
          <w:trHeight w:val="66"/>
          <w:jc w:val="center"/>
        </w:trPr>
        <w:tc>
          <w:tcPr>
            <w:tcW w:w="7307" w:type="dxa"/>
            <w:tcBorders>
              <w:top w:val="nil"/>
              <w:left w:val="nil"/>
              <w:bottom w:val="nil"/>
              <w:right w:val="nil"/>
            </w:tcBorders>
            <w:shd w:val="clear" w:color="auto" w:fill="F2F2F2" w:themeFill="background1" w:themeFillShade="F2"/>
          </w:tcPr>
          <w:p w14:paraId="458CABE5" w14:textId="77777777" w:rsidR="00B83AE1" w:rsidRPr="00255081" w:rsidRDefault="00B83AE1" w:rsidP="00B83AE1">
            <w:pPr>
              <w:spacing w:after="0" w:line="240" w:lineRule="auto"/>
              <w:ind w:left="170"/>
              <w:rPr>
                <w:rFonts w:ascii="Montserrat" w:eastAsia="Times New Roman" w:hAnsi="Montserrat" w:cs="Calibri"/>
                <w:color w:val="000000"/>
                <w:sz w:val="15"/>
                <w:szCs w:val="15"/>
                <w:lang w:val="es-MX" w:eastAsia="es-MX"/>
              </w:rPr>
            </w:pPr>
            <w:r w:rsidRPr="00255081">
              <w:rPr>
                <w:rFonts w:ascii="Montserrat" w:eastAsia="Times New Roman" w:hAnsi="Montserrat" w:cs="Calibri"/>
                <w:color w:val="000000"/>
                <w:sz w:val="15"/>
                <w:szCs w:val="15"/>
                <w:lang w:val="es-MX" w:eastAsia="es-MX"/>
              </w:rPr>
              <w:t>Resultados Negativos en la Actualización del Patrimonio de Fideicomisos</w:t>
            </w:r>
          </w:p>
        </w:tc>
        <w:tc>
          <w:tcPr>
            <w:tcW w:w="1984" w:type="dxa"/>
            <w:tcBorders>
              <w:top w:val="nil"/>
              <w:left w:val="nil"/>
              <w:bottom w:val="nil"/>
              <w:right w:val="nil"/>
            </w:tcBorders>
            <w:shd w:val="clear" w:color="auto" w:fill="F2F2F2" w:themeFill="background1" w:themeFillShade="F2"/>
          </w:tcPr>
          <w:p w14:paraId="40AB37E6" w14:textId="45DA8360" w:rsidR="00B83AE1" w:rsidRPr="00255081" w:rsidRDefault="003574ED" w:rsidP="002B6CC0">
            <w:pPr>
              <w:spacing w:after="0" w:line="240" w:lineRule="exact"/>
              <w:ind w:left="-57" w:right="57" w:firstLine="156"/>
              <w:jc w:val="right"/>
              <w:rPr>
                <w:rFonts w:ascii="Montserrat" w:hAnsi="Montserrat"/>
                <w:sz w:val="15"/>
                <w:szCs w:val="15"/>
              </w:rPr>
            </w:pPr>
            <w:r w:rsidRPr="00255081">
              <w:rPr>
                <w:rFonts w:ascii="Montserrat" w:hAnsi="Montserrat"/>
                <w:sz w:val="15"/>
                <w:szCs w:val="15"/>
              </w:rPr>
              <w:t>145</w:t>
            </w:r>
            <w:r w:rsidR="00FE27B4" w:rsidRPr="00255081">
              <w:rPr>
                <w:rFonts w:ascii="Montserrat" w:hAnsi="Montserrat"/>
                <w:sz w:val="15"/>
                <w:szCs w:val="15"/>
              </w:rPr>
              <w:t>,</w:t>
            </w:r>
            <w:r w:rsidRPr="00255081">
              <w:rPr>
                <w:rFonts w:ascii="Montserrat" w:hAnsi="Montserrat"/>
                <w:sz w:val="15"/>
                <w:szCs w:val="15"/>
              </w:rPr>
              <w:t>467</w:t>
            </w:r>
            <w:r w:rsidR="00FE27B4" w:rsidRPr="00255081">
              <w:rPr>
                <w:rFonts w:ascii="Montserrat" w:hAnsi="Montserrat"/>
                <w:sz w:val="15"/>
                <w:szCs w:val="15"/>
              </w:rPr>
              <w:t>,</w:t>
            </w:r>
            <w:r w:rsidRPr="00255081">
              <w:rPr>
                <w:rFonts w:ascii="Montserrat" w:hAnsi="Montserrat"/>
                <w:sz w:val="15"/>
                <w:szCs w:val="15"/>
              </w:rPr>
              <w:t>379</w:t>
            </w:r>
            <w:r w:rsidR="00FE27B4" w:rsidRPr="00255081">
              <w:rPr>
                <w:rFonts w:ascii="Montserrat" w:hAnsi="Montserrat"/>
                <w:sz w:val="15"/>
                <w:szCs w:val="15"/>
              </w:rPr>
              <w:t>,</w:t>
            </w:r>
            <w:r w:rsidRPr="00255081">
              <w:rPr>
                <w:rFonts w:ascii="Montserrat" w:hAnsi="Montserrat"/>
                <w:sz w:val="15"/>
                <w:szCs w:val="15"/>
              </w:rPr>
              <w:t>529</w:t>
            </w:r>
          </w:p>
        </w:tc>
      </w:tr>
      <w:tr w:rsidR="00B83AE1" w:rsidRPr="006F0DF1" w14:paraId="17E95FEF" w14:textId="77777777" w:rsidTr="0023764E">
        <w:trPr>
          <w:trHeight w:val="66"/>
          <w:jc w:val="center"/>
        </w:trPr>
        <w:tc>
          <w:tcPr>
            <w:tcW w:w="7307" w:type="dxa"/>
            <w:tcBorders>
              <w:top w:val="nil"/>
              <w:left w:val="nil"/>
              <w:bottom w:val="nil"/>
              <w:right w:val="nil"/>
            </w:tcBorders>
            <w:shd w:val="clear" w:color="auto" w:fill="F2F2F2" w:themeFill="background1" w:themeFillShade="F2"/>
          </w:tcPr>
          <w:p w14:paraId="37617B9E" w14:textId="77777777" w:rsidR="00B83AE1" w:rsidRPr="00255081" w:rsidRDefault="00B83AE1" w:rsidP="00B83AE1">
            <w:pPr>
              <w:spacing w:after="0" w:line="240" w:lineRule="auto"/>
              <w:ind w:left="170"/>
              <w:rPr>
                <w:rFonts w:ascii="Montserrat" w:eastAsia="Times New Roman" w:hAnsi="Montserrat" w:cs="Calibri"/>
                <w:color w:val="000000"/>
                <w:sz w:val="15"/>
                <w:szCs w:val="15"/>
                <w:lang w:val="es-MX" w:eastAsia="es-MX"/>
              </w:rPr>
            </w:pPr>
            <w:r w:rsidRPr="00255081">
              <w:rPr>
                <w:rFonts w:ascii="Montserrat" w:eastAsia="Times New Roman" w:hAnsi="Montserrat" w:cs="Calibri"/>
                <w:color w:val="000000"/>
                <w:sz w:val="15"/>
                <w:szCs w:val="15"/>
                <w:lang w:val="es-MX" w:eastAsia="es-MX"/>
              </w:rPr>
              <w:t>Otros Gastos Varios</w:t>
            </w:r>
          </w:p>
        </w:tc>
        <w:tc>
          <w:tcPr>
            <w:tcW w:w="1984" w:type="dxa"/>
            <w:tcBorders>
              <w:top w:val="nil"/>
              <w:left w:val="nil"/>
              <w:bottom w:val="nil"/>
              <w:right w:val="nil"/>
            </w:tcBorders>
            <w:shd w:val="clear" w:color="auto" w:fill="F2F2F2" w:themeFill="background1" w:themeFillShade="F2"/>
          </w:tcPr>
          <w:p w14:paraId="31D01CB0" w14:textId="6AEEC314" w:rsidR="00B83AE1" w:rsidRPr="00255081" w:rsidRDefault="003574ED" w:rsidP="002B6CC0">
            <w:pPr>
              <w:spacing w:after="0" w:line="240" w:lineRule="exact"/>
              <w:ind w:left="-57" w:right="57" w:firstLine="156"/>
              <w:jc w:val="right"/>
              <w:rPr>
                <w:rFonts w:ascii="Montserrat" w:hAnsi="Montserrat"/>
                <w:sz w:val="15"/>
                <w:szCs w:val="15"/>
              </w:rPr>
            </w:pPr>
            <w:r w:rsidRPr="00255081">
              <w:rPr>
                <w:rFonts w:ascii="Montserrat" w:hAnsi="Montserrat"/>
                <w:sz w:val="15"/>
                <w:szCs w:val="15"/>
              </w:rPr>
              <w:t>5</w:t>
            </w:r>
            <w:r w:rsidR="00FE27B4" w:rsidRPr="00255081">
              <w:rPr>
                <w:rFonts w:ascii="Montserrat" w:hAnsi="Montserrat"/>
                <w:sz w:val="15"/>
                <w:szCs w:val="15"/>
              </w:rPr>
              <w:t>,</w:t>
            </w:r>
            <w:r w:rsidRPr="00255081">
              <w:rPr>
                <w:rFonts w:ascii="Montserrat" w:hAnsi="Montserrat"/>
                <w:sz w:val="15"/>
                <w:szCs w:val="15"/>
              </w:rPr>
              <w:t>155</w:t>
            </w:r>
            <w:r w:rsidR="00FE27B4" w:rsidRPr="00255081">
              <w:rPr>
                <w:rFonts w:ascii="Montserrat" w:hAnsi="Montserrat"/>
                <w:sz w:val="15"/>
                <w:szCs w:val="15"/>
              </w:rPr>
              <w:t>,</w:t>
            </w:r>
            <w:r w:rsidRPr="00255081">
              <w:rPr>
                <w:rFonts w:ascii="Montserrat" w:hAnsi="Montserrat"/>
                <w:sz w:val="15"/>
                <w:szCs w:val="15"/>
              </w:rPr>
              <w:t>530</w:t>
            </w:r>
            <w:r w:rsidR="00FE27B4" w:rsidRPr="00255081">
              <w:rPr>
                <w:rFonts w:ascii="Montserrat" w:hAnsi="Montserrat"/>
                <w:sz w:val="15"/>
                <w:szCs w:val="15"/>
              </w:rPr>
              <w:t>,</w:t>
            </w:r>
            <w:r w:rsidRPr="00255081">
              <w:rPr>
                <w:rFonts w:ascii="Montserrat" w:hAnsi="Montserrat"/>
                <w:sz w:val="15"/>
                <w:szCs w:val="15"/>
              </w:rPr>
              <w:t>561</w:t>
            </w:r>
          </w:p>
        </w:tc>
      </w:tr>
      <w:tr w:rsidR="00B83AE1" w:rsidRPr="006F0DF1" w14:paraId="1BAC6CD6" w14:textId="77777777" w:rsidTr="0023764E">
        <w:trPr>
          <w:trHeight w:val="66"/>
          <w:jc w:val="center"/>
        </w:trPr>
        <w:tc>
          <w:tcPr>
            <w:tcW w:w="7307" w:type="dxa"/>
            <w:tcBorders>
              <w:top w:val="nil"/>
              <w:left w:val="nil"/>
              <w:bottom w:val="nil"/>
              <w:right w:val="nil"/>
            </w:tcBorders>
            <w:shd w:val="clear" w:color="auto" w:fill="F2F2F2" w:themeFill="background1" w:themeFillShade="F2"/>
          </w:tcPr>
          <w:p w14:paraId="4D34B840" w14:textId="77777777" w:rsidR="00B83AE1" w:rsidRPr="00255081" w:rsidRDefault="00B83AE1" w:rsidP="00B83AE1">
            <w:pPr>
              <w:spacing w:after="0" w:line="240" w:lineRule="auto"/>
              <w:ind w:left="170"/>
              <w:rPr>
                <w:rFonts w:ascii="Montserrat" w:eastAsia="Times New Roman" w:hAnsi="Montserrat" w:cs="Calibri"/>
                <w:color w:val="000000"/>
                <w:sz w:val="15"/>
                <w:szCs w:val="15"/>
                <w:lang w:val="es-MX" w:eastAsia="es-MX"/>
              </w:rPr>
            </w:pPr>
            <w:r w:rsidRPr="00255081">
              <w:rPr>
                <w:rFonts w:ascii="Montserrat" w:eastAsia="Times New Roman" w:hAnsi="Montserrat" w:cs="Calibri"/>
                <w:color w:val="000000"/>
                <w:sz w:val="15"/>
                <w:szCs w:val="15"/>
                <w:lang w:val="es-MX" w:eastAsia="es-MX"/>
              </w:rPr>
              <w:t>Pérdidas por Venta de Bienes</w:t>
            </w:r>
          </w:p>
        </w:tc>
        <w:tc>
          <w:tcPr>
            <w:tcW w:w="1984" w:type="dxa"/>
            <w:tcBorders>
              <w:top w:val="nil"/>
              <w:left w:val="nil"/>
              <w:bottom w:val="nil"/>
              <w:right w:val="nil"/>
            </w:tcBorders>
            <w:shd w:val="clear" w:color="auto" w:fill="F2F2F2" w:themeFill="background1" w:themeFillShade="F2"/>
          </w:tcPr>
          <w:p w14:paraId="7A8D596C" w14:textId="64BEC1DC" w:rsidR="00B83AE1" w:rsidRPr="00255081" w:rsidRDefault="003574ED" w:rsidP="002B6CC0">
            <w:pPr>
              <w:spacing w:after="0" w:line="240" w:lineRule="exact"/>
              <w:ind w:left="-57" w:right="57" w:firstLine="156"/>
              <w:jc w:val="right"/>
              <w:rPr>
                <w:rFonts w:ascii="Montserrat" w:hAnsi="Montserrat"/>
                <w:sz w:val="15"/>
                <w:szCs w:val="15"/>
              </w:rPr>
            </w:pPr>
            <w:r w:rsidRPr="00255081">
              <w:rPr>
                <w:rFonts w:ascii="Montserrat" w:hAnsi="Montserrat"/>
                <w:sz w:val="15"/>
                <w:szCs w:val="15"/>
              </w:rPr>
              <w:t>1</w:t>
            </w:r>
            <w:r w:rsidR="00FE27B4" w:rsidRPr="00255081">
              <w:rPr>
                <w:rFonts w:ascii="Montserrat" w:hAnsi="Montserrat"/>
                <w:sz w:val="15"/>
                <w:szCs w:val="15"/>
              </w:rPr>
              <w:t>,</w:t>
            </w:r>
            <w:r w:rsidRPr="00255081">
              <w:rPr>
                <w:rFonts w:ascii="Montserrat" w:hAnsi="Montserrat"/>
                <w:sz w:val="15"/>
                <w:szCs w:val="15"/>
              </w:rPr>
              <w:t>166</w:t>
            </w:r>
            <w:r w:rsidR="00FE27B4" w:rsidRPr="00255081">
              <w:rPr>
                <w:rFonts w:ascii="Montserrat" w:hAnsi="Montserrat"/>
                <w:sz w:val="15"/>
                <w:szCs w:val="15"/>
              </w:rPr>
              <w:t>,</w:t>
            </w:r>
            <w:r w:rsidRPr="00255081">
              <w:rPr>
                <w:rFonts w:ascii="Montserrat" w:hAnsi="Montserrat"/>
                <w:sz w:val="15"/>
                <w:szCs w:val="15"/>
              </w:rPr>
              <w:t>076</w:t>
            </w:r>
            <w:r w:rsidR="00FE27B4" w:rsidRPr="00255081">
              <w:rPr>
                <w:rFonts w:ascii="Montserrat" w:hAnsi="Montserrat"/>
                <w:sz w:val="15"/>
                <w:szCs w:val="15"/>
              </w:rPr>
              <w:t>,</w:t>
            </w:r>
            <w:r w:rsidRPr="00255081">
              <w:rPr>
                <w:rFonts w:ascii="Montserrat" w:hAnsi="Montserrat"/>
                <w:sz w:val="15"/>
                <w:szCs w:val="15"/>
              </w:rPr>
              <w:t>497</w:t>
            </w:r>
          </w:p>
        </w:tc>
      </w:tr>
      <w:tr w:rsidR="003574ED" w:rsidRPr="006F0DF1" w14:paraId="0BCA2098" w14:textId="77777777" w:rsidTr="0023764E">
        <w:trPr>
          <w:trHeight w:val="66"/>
          <w:jc w:val="center"/>
        </w:trPr>
        <w:tc>
          <w:tcPr>
            <w:tcW w:w="7307" w:type="dxa"/>
            <w:tcBorders>
              <w:top w:val="nil"/>
              <w:left w:val="nil"/>
              <w:bottom w:val="single" w:sz="12" w:space="0" w:color="808080" w:themeColor="background1" w:themeShade="80"/>
              <w:right w:val="nil"/>
            </w:tcBorders>
            <w:shd w:val="clear" w:color="auto" w:fill="F2F2F2" w:themeFill="background1" w:themeFillShade="F2"/>
          </w:tcPr>
          <w:p w14:paraId="648E1F4B" w14:textId="39E5C929" w:rsidR="003574ED" w:rsidRPr="00255081" w:rsidRDefault="003574ED" w:rsidP="003574ED">
            <w:pPr>
              <w:spacing w:after="0" w:line="240" w:lineRule="auto"/>
              <w:ind w:left="170"/>
              <w:rPr>
                <w:rFonts w:ascii="Montserrat" w:eastAsia="Times New Roman" w:hAnsi="Montserrat" w:cs="Calibri"/>
                <w:color w:val="000000"/>
                <w:sz w:val="15"/>
                <w:szCs w:val="15"/>
                <w:lang w:val="es-MX" w:eastAsia="es-MX"/>
              </w:rPr>
            </w:pPr>
            <w:r w:rsidRPr="00255081">
              <w:rPr>
                <w:rFonts w:ascii="Montserrat" w:eastAsia="Times New Roman" w:hAnsi="Montserrat" w:cs="Calibri"/>
                <w:color w:val="000000"/>
                <w:sz w:val="15"/>
                <w:szCs w:val="15"/>
                <w:lang w:val="es-MX" w:eastAsia="es-MX"/>
              </w:rPr>
              <w:t>Gastos Cubiertos con Recursos de Fideicomisos, Mandatos y Contratos Análogos del PE</w:t>
            </w:r>
          </w:p>
        </w:tc>
        <w:tc>
          <w:tcPr>
            <w:tcW w:w="1984" w:type="dxa"/>
            <w:tcBorders>
              <w:top w:val="nil"/>
              <w:left w:val="nil"/>
              <w:bottom w:val="single" w:sz="12" w:space="0" w:color="808080" w:themeColor="background1" w:themeShade="80"/>
              <w:right w:val="nil"/>
            </w:tcBorders>
            <w:shd w:val="clear" w:color="auto" w:fill="F2F2F2" w:themeFill="background1" w:themeFillShade="F2"/>
          </w:tcPr>
          <w:p w14:paraId="3B53755C" w14:textId="3F63042F" w:rsidR="003574ED" w:rsidRPr="00255081" w:rsidRDefault="003574ED" w:rsidP="003574ED">
            <w:pPr>
              <w:spacing w:after="0" w:line="240" w:lineRule="exact"/>
              <w:ind w:left="-57" w:right="57" w:firstLine="156"/>
              <w:jc w:val="right"/>
              <w:rPr>
                <w:rFonts w:ascii="Montserrat" w:hAnsi="Montserrat"/>
                <w:sz w:val="15"/>
                <w:szCs w:val="15"/>
              </w:rPr>
            </w:pPr>
            <w:r w:rsidRPr="00255081">
              <w:rPr>
                <w:rFonts w:ascii="Montserrat" w:hAnsi="Montserrat"/>
                <w:sz w:val="15"/>
                <w:szCs w:val="15"/>
              </w:rPr>
              <w:t>21</w:t>
            </w:r>
            <w:r w:rsidR="00FE27B4" w:rsidRPr="00255081">
              <w:rPr>
                <w:rFonts w:ascii="Montserrat" w:hAnsi="Montserrat"/>
                <w:sz w:val="15"/>
                <w:szCs w:val="15"/>
              </w:rPr>
              <w:t>,</w:t>
            </w:r>
            <w:r w:rsidRPr="00255081">
              <w:rPr>
                <w:rFonts w:ascii="Montserrat" w:hAnsi="Montserrat"/>
                <w:sz w:val="15"/>
                <w:szCs w:val="15"/>
              </w:rPr>
              <w:t>436</w:t>
            </w:r>
            <w:r w:rsidR="00FE27B4" w:rsidRPr="00255081">
              <w:rPr>
                <w:rFonts w:ascii="Montserrat" w:hAnsi="Montserrat"/>
                <w:sz w:val="15"/>
                <w:szCs w:val="15"/>
              </w:rPr>
              <w:t>,</w:t>
            </w:r>
            <w:r w:rsidRPr="00255081">
              <w:rPr>
                <w:rFonts w:ascii="Montserrat" w:hAnsi="Montserrat"/>
                <w:sz w:val="15"/>
                <w:szCs w:val="15"/>
              </w:rPr>
              <w:t>547</w:t>
            </w:r>
            <w:r w:rsidR="00FE27B4" w:rsidRPr="00255081">
              <w:rPr>
                <w:rFonts w:ascii="Montserrat" w:hAnsi="Montserrat"/>
                <w:sz w:val="15"/>
                <w:szCs w:val="15"/>
              </w:rPr>
              <w:t>,</w:t>
            </w:r>
            <w:r w:rsidRPr="00255081">
              <w:rPr>
                <w:rFonts w:ascii="Montserrat" w:hAnsi="Montserrat"/>
                <w:sz w:val="15"/>
                <w:szCs w:val="15"/>
              </w:rPr>
              <w:t>346</w:t>
            </w:r>
          </w:p>
        </w:tc>
      </w:tr>
    </w:tbl>
    <w:p w14:paraId="64511659" w14:textId="77777777" w:rsidR="006937CA" w:rsidRDefault="006937CA" w:rsidP="006937CA">
      <w:pPr>
        <w:autoSpaceDE w:val="0"/>
        <w:autoSpaceDN w:val="0"/>
        <w:adjustRightInd w:val="0"/>
        <w:spacing w:before="360" w:after="240" w:line="280" w:lineRule="exact"/>
        <w:jc w:val="center"/>
        <w:rPr>
          <w:rFonts w:ascii="Montserrat" w:hAnsi="Montserrat"/>
          <w:b/>
          <w:caps/>
        </w:rPr>
      </w:pPr>
    </w:p>
    <w:p w14:paraId="13826D5A" w14:textId="77777777" w:rsidR="00F36D96" w:rsidRDefault="00F36D96" w:rsidP="006937CA">
      <w:pPr>
        <w:autoSpaceDE w:val="0"/>
        <w:autoSpaceDN w:val="0"/>
        <w:adjustRightInd w:val="0"/>
        <w:spacing w:before="360" w:after="240" w:line="280" w:lineRule="exact"/>
        <w:jc w:val="center"/>
        <w:rPr>
          <w:rFonts w:ascii="Montserrat" w:hAnsi="Montserrat"/>
          <w:b/>
          <w:caps/>
        </w:rPr>
      </w:pPr>
    </w:p>
    <w:p w14:paraId="0DA9CD12" w14:textId="77777777" w:rsidR="00F36D96" w:rsidRDefault="00F36D96" w:rsidP="006937CA">
      <w:pPr>
        <w:autoSpaceDE w:val="0"/>
        <w:autoSpaceDN w:val="0"/>
        <w:adjustRightInd w:val="0"/>
        <w:spacing w:before="360" w:after="240" w:line="280" w:lineRule="exact"/>
        <w:jc w:val="center"/>
        <w:rPr>
          <w:rFonts w:ascii="Montserrat" w:hAnsi="Montserrat"/>
          <w:b/>
          <w:caps/>
        </w:rPr>
      </w:pPr>
    </w:p>
    <w:p w14:paraId="462CE7EE" w14:textId="77777777" w:rsidR="00F36D96" w:rsidRDefault="00F36D96" w:rsidP="006937CA">
      <w:pPr>
        <w:autoSpaceDE w:val="0"/>
        <w:autoSpaceDN w:val="0"/>
        <w:adjustRightInd w:val="0"/>
        <w:spacing w:before="360" w:after="240" w:line="280" w:lineRule="exact"/>
        <w:jc w:val="center"/>
        <w:rPr>
          <w:rFonts w:ascii="Montserrat" w:hAnsi="Montserrat"/>
          <w:b/>
          <w:caps/>
        </w:rPr>
      </w:pPr>
    </w:p>
    <w:p w14:paraId="6311EEF9" w14:textId="77777777" w:rsidR="009C3C24" w:rsidRPr="001F53E4" w:rsidRDefault="00CF7A3A" w:rsidP="000A2897">
      <w:pPr>
        <w:pStyle w:val="SUBTITULO"/>
        <w:spacing w:before="0"/>
        <w:ind w:left="357" w:hanging="357"/>
        <w:rPr>
          <w:rFonts w:ascii="Montserrat" w:hAnsi="Montserrat"/>
          <w:caps/>
          <w:sz w:val="22"/>
          <w:szCs w:val="22"/>
        </w:rPr>
      </w:pPr>
      <w:r w:rsidRPr="001F53E4">
        <w:rPr>
          <w:rFonts w:ascii="Montserrat" w:hAnsi="Montserrat"/>
          <w:caps/>
          <w:sz w:val="22"/>
          <w:szCs w:val="22"/>
        </w:rPr>
        <w:lastRenderedPageBreak/>
        <w:t>Notas de memoria</w:t>
      </w:r>
    </w:p>
    <w:p w14:paraId="4209A551" w14:textId="77777777" w:rsidR="009C3C24" w:rsidRPr="004E44CE" w:rsidRDefault="009C3C24" w:rsidP="00F01A61">
      <w:pPr>
        <w:pStyle w:val="VIETAFLECHA"/>
        <w:numPr>
          <w:ilvl w:val="0"/>
          <w:numId w:val="13"/>
        </w:numPr>
        <w:spacing w:before="120"/>
        <w:ind w:left="357" w:hanging="357"/>
        <w:rPr>
          <w:rFonts w:cs="Arial"/>
          <w:spacing w:val="-1"/>
        </w:rPr>
      </w:pPr>
      <w:r w:rsidRPr="004E44CE">
        <w:rPr>
          <w:rFonts w:cs="Arial"/>
          <w:spacing w:val="-1"/>
        </w:rPr>
        <w:t>Cuentas de Orden Contables y Presupuestarias</w:t>
      </w:r>
    </w:p>
    <w:p w14:paraId="0717EC9F" w14:textId="6D5FF990" w:rsidR="009C3C24" w:rsidRDefault="009C3C24" w:rsidP="00063579">
      <w:pPr>
        <w:spacing w:after="120" w:line="250" w:lineRule="exact"/>
        <w:jc w:val="both"/>
        <w:rPr>
          <w:rFonts w:ascii="Montserrat" w:hAnsi="Montserrat" w:cs="Arial"/>
          <w:spacing w:val="-1"/>
          <w:sz w:val="18"/>
          <w:szCs w:val="18"/>
        </w:rPr>
      </w:pPr>
      <w:r w:rsidRPr="006F0DF1">
        <w:rPr>
          <w:rFonts w:ascii="Montserrat" w:hAnsi="Montserrat" w:cs="Arial"/>
          <w:spacing w:val="-1"/>
          <w:sz w:val="18"/>
          <w:szCs w:val="18"/>
        </w:rPr>
        <w:t xml:space="preserve">Atendiendo a lo establecido en </w:t>
      </w:r>
      <w:r w:rsidR="001B3AD1">
        <w:rPr>
          <w:rFonts w:ascii="Montserrat" w:hAnsi="Montserrat" w:cs="Arial"/>
          <w:spacing w:val="-1"/>
          <w:sz w:val="18"/>
          <w:szCs w:val="18"/>
        </w:rPr>
        <w:t xml:space="preserve">la </w:t>
      </w:r>
      <w:r w:rsidRPr="006F0DF1">
        <w:rPr>
          <w:rFonts w:ascii="Montserrat" w:hAnsi="Montserrat" w:cs="Arial"/>
          <w:spacing w:val="-1"/>
          <w:sz w:val="18"/>
          <w:szCs w:val="18"/>
        </w:rPr>
        <w:t>LGCG, para efectos del registro y control, el CONAC ha det</w:t>
      </w:r>
      <w:r w:rsidR="00046841">
        <w:rPr>
          <w:rFonts w:ascii="Montserrat" w:hAnsi="Montserrat" w:cs="Arial"/>
          <w:spacing w:val="-1"/>
          <w:sz w:val="18"/>
          <w:szCs w:val="18"/>
        </w:rPr>
        <w:t>erminado Cuentas de Orden</w:t>
      </w:r>
      <w:r w:rsidRPr="006F0DF1">
        <w:rPr>
          <w:rFonts w:ascii="Montserrat" w:hAnsi="Montserrat" w:cs="Arial"/>
          <w:spacing w:val="-1"/>
          <w:sz w:val="18"/>
          <w:szCs w:val="18"/>
        </w:rPr>
        <w:t>, mismas que se present</w:t>
      </w:r>
      <w:r w:rsidR="0067060C">
        <w:rPr>
          <w:rFonts w:ascii="Montserrat" w:hAnsi="Montserrat" w:cs="Arial"/>
          <w:spacing w:val="-1"/>
          <w:sz w:val="18"/>
          <w:szCs w:val="18"/>
        </w:rPr>
        <w:t xml:space="preserve">an en el Plan de Cuentas; en este contexto, se </w:t>
      </w:r>
      <w:r w:rsidRPr="006F0DF1">
        <w:rPr>
          <w:rFonts w:ascii="Montserrat" w:hAnsi="Montserrat" w:cs="Arial"/>
          <w:spacing w:val="-1"/>
          <w:sz w:val="18"/>
          <w:szCs w:val="18"/>
        </w:rPr>
        <w:t>ha</w:t>
      </w:r>
      <w:r w:rsidR="00FE27B4">
        <w:rPr>
          <w:rFonts w:ascii="Montserrat" w:hAnsi="Montserrat" w:cs="Arial"/>
          <w:spacing w:val="-1"/>
          <w:sz w:val="18"/>
          <w:szCs w:val="18"/>
        </w:rPr>
        <w:t>n</w:t>
      </w:r>
      <w:r w:rsidRPr="006F0DF1">
        <w:rPr>
          <w:rFonts w:ascii="Montserrat" w:hAnsi="Montserrat" w:cs="Arial"/>
          <w:spacing w:val="-1"/>
          <w:sz w:val="18"/>
          <w:szCs w:val="18"/>
        </w:rPr>
        <w:t xml:space="preserve"> incluido en el </w:t>
      </w:r>
      <w:r w:rsidR="001B3AD1">
        <w:rPr>
          <w:rFonts w:ascii="Montserrat" w:hAnsi="Montserrat" w:cs="Arial"/>
          <w:spacing w:val="-1"/>
          <w:sz w:val="18"/>
          <w:szCs w:val="18"/>
        </w:rPr>
        <w:t>MCGPEF</w:t>
      </w:r>
      <w:r w:rsidRPr="006F0DF1">
        <w:rPr>
          <w:rFonts w:ascii="Montserrat" w:hAnsi="Montserrat" w:cs="Arial"/>
          <w:spacing w:val="-1"/>
          <w:sz w:val="18"/>
          <w:szCs w:val="18"/>
        </w:rPr>
        <w:t>.</w:t>
      </w:r>
    </w:p>
    <w:p w14:paraId="3BDD3B39" w14:textId="77777777" w:rsidR="000A2897" w:rsidRPr="006F0DF1" w:rsidRDefault="000A2897" w:rsidP="000A2897">
      <w:pPr>
        <w:spacing w:after="0" w:line="240" w:lineRule="auto"/>
        <w:jc w:val="both"/>
        <w:rPr>
          <w:rFonts w:ascii="Montserrat" w:hAnsi="Montserrat" w:cs="Arial"/>
          <w:spacing w:val="-1"/>
          <w:sz w:val="18"/>
          <w:szCs w:val="18"/>
        </w:rPr>
      </w:pPr>
    </w:p>
    <w:p w14:paraId="3135BAAC" w14:textId="77777777" w:rsidR="009C3C24" w:rsidRPr="004E44CE" w:rsidRDefault="009C3C24" w:rsidP="005A5AC5">
      <w:pPr>
        <w:pStyle w:val="VIETAFLECHA"/>
        <w:numPr>
          <w:ilvl w:val="0"/>
          <w:numId w:val="13"/>
        </w:numPr>
        <w:ind w:left="357" w:hanging="357"/>
        <w:rPr>
          <w:rFonts w:cs="Arial"/>
          <w:spacing w:val="-1"/>
        </w:rPr>
      </w:pPr>
      <w:r w:rsidRPr="004E44CE">
        <w:rPr>
          <w:rFonts w:cs="Arial"/>
          <w:spacing w:val="-1"/>
        </w:rPr>
        <w:t>Contables:</w:t>
      </w:r>
    </w:p>
    <w:p w14:paraId="75471E77" w14:textId="43526761" w:rsidR="009C3C24" w:rsidRPr="00063579" w:rsidRDefault="009C3C24" w:rsidP="00063579">
      <w:pPr>
        <w:spacing w:after="120" w:line="250" w:lineRule="exact"/>
        <w:jc w:val="both"/>
        <w:rPr>
          <w:rFonts w:ascii="Montserrat" w:hAnsi="Montserrat" w:cs="Arial"/>
          <w:spacing w:val="-1"/>
          <w:sz w:val="18"/>
          <w:szCs w:val="18"/>
        </w:rPr>
      </w:pPr>
      <w:r w:rsidRPr="00063579">
        <w:rPr>
          <w:rFonts w:ascii="Montserrat" w:hAnsi="Montserrat" w:cs="Arial"/>
          <w:spacing w:val="-1"/>
          <w:sz w:val="18"/>
          <w:szCs w:val="18"/>
        </w:rPr>
        <w:t>Las Cuentas de Orden Contables permiten reflejar, entre otras operaciones, las corr</w:t>
      </w:r>
      <w:r w:rsidR="001B3AD1">
        <w:rPr>
          <w:rFonts w:ascii="Montserrat" w:hAnsi="Montserrat" w:cs="Arial"/>
          <w:spacing w:val="-1"/>
          <w:sz w:val="18"/>
          <w:szCs w:val="18"/>
        </w:rPr>
        <w:t>espondientes a Instrumentos de c</w:t>
      </w:r>
      <w:r w:rsidRPr="00063579">
        <w:rPr>
          <w:rFonts w:ascii="Montserrat" w:hAnsi="Montserrat" w:cs="Arial"/>
          <w:spacing w:val="-1"/>
          <w:sz w:val="18"/>
          <w:szCs w:val="18"/>
        </w:rPr>
        <w:t>rédito prestados o recibidos en garantía de los formadores de mercado, emisión de bonos, títulos y valores de deuda pública, avales y garantías recibidas, demandas judiciales, bienes recibidos en concesión, operaciones en proceso de regularizar y fondo de los trabajadores (FONAC). Destacan las siguientes por su importancia relativa:</w:t>
      </w:r>
    </w:p>
    <w:p w14:paraId="4468AE18" w14:textId="77777777" w:rsidR="009C3C24" w:rsidRPr="00063579" w:rsidRDefault="009C3C24" w:rsidP="000A2897">
      <w:pPr>
        <w:spacing w:after="0" w:line="240" w:lineRule="auto"/>
        <w:jc w:val="both"/>
        <w:rPr>
          <w:rFonts w:ascii="Montserrat" w:hAnsi="Montserrat" w:cs="Arial"/>
          <w:spacing w:val="-1"/>
          <w:sz w:val="18"/>
          <w:szCs w:val="18"/>
        </w:rPr>
      </w:pPr>
    </w:p>
    <w:tbl>
      <w:tblPr>
        <w:tblW w:w="11340" w:type="dxa"/>
        <w:tblInd w:w="921" w:type="dxa"/>
        <w:tblCellMar>
          <w:left w:w="70" w:type="dxa"/>
          <w:right w:w="70" w:type="dxa"/>
        </w:tblCellMar>
        <w:tblLook w:val="04A0" w:firstRow="1" w:lastRow="0" w:firstColumn="1" w:lastColumn="0" w:noHBand="0" w:noVBand="1"/>
      </w:tblPr>
      <w:tblGrid>
        <w:gridCol w:w="2209"/>
        <w:gridCol w:w="1080"/>
        <w:gridCol w:w="4500"/>
        <w:gridCol w:w="1800"/>
        <w:gridCol w:w="1751"/>
      </w:tblGrid>
      <w:tr w:rsidR="009C3C24" w:rsidRPr="006F0DF1" w14:paraId="344EE95C" w14:textId="77777777" w:rsidTr="000F0321">
        <w:trPr>
          <w:trHeight w:val="215"/>
        </w:trPr>
        <w:tc>
          <w:tcPr>
            <w:tcW w:w="11340" w:type="dxa"/>
            <w:gridSpan w:val="5"/>
            <w:tcBorders>
              <w:top w:val="nil"/>
              <w:left w:val="nil"/>
              <w:bottom w:val="nil"/>
              <w:right w:val="nil"/>
            </w:tcBorders>
            <w:shd w:val="clear" w:color="auto" w:fill="auto"/>
            <w:vAlign w:val="center"/>
            <w:hideMark/>
          </w:tcPr>
          <w:p w14:paraId="7EEBBA16" w14:textId="77777777" w:rsidR="009C3C24" w:rsidRPr="00685332" w:rsidRDefault="009C3C24" w:rsidP="00E52592">
            <w:pPr>
              <w:spacing w:after="60" w:line="250" w:lineRule="exact"/>
              <w:jc w:val="center"/>
              <w:rPr>
                <w:rFonts w:ascii="Montserrat" w:eastAsia="Times New Roman" w:hAnsi="Montserrat" w:cs="Calibri"/>
                <w:bCs/>
                <w:sz w:val="16"/>
                <w:szCs w:val="16"/>
                <w:lang w:val="es-MX" w:eastAsia="es-MX"/>
              </w:rPr>
            </w:pPr>
            <w:r w:rsidRPr="00685332">
              <w:rPr>
                <w:rFonts w:ascii="Montserrat" w:eastAsia="Times New Roman" w:hAnsi="Montserrat" w:cs="Calibri"/>
                <w:bCs/>
                <w:sz w:val="16"/>
                <w:szCs w:val="16"/>
                <w:lang w:val="es-MX" w:eastAsia="es-MX"/>
              </w:rPr>
              <w:t>(Pesos)</w:t>
            </w:r>
          </w:p>
        </w:tc>
      </w:tr>
      <w:tr w:rsidR="00C4519E" w:rsidRPr="0082611E" w14:paraId="12158DD8" w14:textId="77777777" w:rsidTr="000F0321">
        <w:trPr>
          <w:gridBefore w:val="1"/>
          <w:gridAfter w:val="1"/>
          <w:wBefore w:w="2209" w:type="dxa"/>
          <w:wAfter w:w="1751" w:type="dxa"/>
          <w:trHeight w:val="57"/>
        </w:trPr>
        <w:tc>
          <w:tcPr>
            <w:tcW w:w="7380" w:type="dxa"/>
            <w:gridSpan w:val="3"/>
            <w:tcBorders>
              <w:top w:val="single" w:sz="12" w:space="0" w:color="808080" w:themeColor="background1" w:themeShade="80"/>
            </w:tcBorders>
            <w:shd w:val="clear" w:color="auto" w:fill="auto"/>
            <w:vAlign w:val="center"/>
          </w:tcPr>
          <w:p w14:paraId="525B4291" w14:textId="77777777" w:rsidR="00C4519E" w:rsidRPr="0082611E" w:rsidRDefault="00C4519E" w:rsidP="002F797B">
            <w:pPr>
              <w:spacing w:after="0" w:line="240" w:lineRule="auto"/>
              <w:jc w:val="center"/>
              <w:rPr>
                <w:rFonts w:ascii="Montserrat" w:eastAsia="Times New Roman" w:hAnsi="Montserrat" w:cs="Calibri"/>
                <w:b/>
                <w:bCs/>
                <w:color w:val="FFFFFF"/>
                <w:sz w:val="4"/>
                <w:szCs w:val="4"/>
                <w:lang w:val="es-MX" w:eastAsia="es-MX"/>
              </w:rPr>
            </w:pPr>
          </w:p>
        </w:tc>
      </w:tr>
      <w:tr w:rsidR="009C3C24" w:rsidRPr="006F0DF1" w14:paraId="471D3238" w14:textId="77777777" w:rsidTr="00F01A61">
        <w:trPr>
          <w:gridBefore w:val="1"/>
          <w:gridAfter w:val="1"/>
          <w:wBefore w:w="2209" w:type="dxa"/>
          <w:wAfter w:w="1751" w:type="dxa"/>
          <w:trHeight w:val="317"/>
        </w:trPr>
        <w:tc>
          <w:tcPr>
            <w:tcW w:w="1080" w:type="dxa"/>
            <w:tcBorders>
              <w:bottom w:val="double" w:sz="12" w:space="0" w:color="808080" w:themeColor="background1" w:themeShade="80"/>
              <w:right w:val="single" w:sz="8" w:space="0" w:color="FFFFFF" w:themeColor="background1"/>
            </w:tcBorders>
            <w:shd w:val="clear" w:color="auto" w:fill="D4C19C"/>
            <w:vAlign w:val="center"/>
            <w:hideMark/>
          </w:tcPr>
          <w:p w14:paraId="5FEF50CA" w14:textId="77777777" w:rsidR="009C3C24" w:rsidRPr="006F0DF1" w:rsidRDefault="009C3C24" w:rsidP="002F797B">
            <w:pPr>
              <w:spacing w:after="0" w:line="240" w:lineRule="auto"/>
              <w:jc w:val="center"/>
              <w:rPr>
                <w:rFonts w:ascii="Montserrat" w:eastAsia="Times New Roman" w:hAnsi="Montserrat" w:cs="Calibri"/>
                <w:b/>
                <w:bCs/>
                <w:color w:val="FFFFFF"/>
                <w:sz w:val="16"/>
                <w:szCs w:val="16"/>
                <w:lang w:val="es-MX" w:eastAsia="es-MX"/>
              </w:rPr>
            </w:pPr>
            <w:r w:rsidRPr="006F0DF1">
              <w:rPr>
                <w:rFonts w:ascii="Montserrat" w:eastAsia="Times New Roman" w:hAnsi="Montserrat" w:cs="Calibri"/>
                <w:b/>
                <w:bCs/>
                <w:color w:val="FFFFFF"/>
                <w:sz w:val="16"/>
                <w:szCs w:val="16"/>
                <w:lang w:val="es-MX" w:eastAsia="es-MX"/>
              </w:rPr>
              <w:t xml:space="preserve">Grupo </w:t>
            </w:r>
          </w:p>
        </w:tc>
        <w:tc>
          <w:tcPr>
            <w:tcW w:w="4500" w:type="dxa"/>
            <w:tcBorders>
              <w:left w:val="single" w:sz="8" w:space="0" w:color="FFFFFF" w:themeColor="background1"/>
              <w:bottom w:val="double" w:sz="12" w:space="0" w:color="808080" w:themeColor="background1" w:themeShade="80"/>
              <w:right w:val="single" w:sz="8" w:space="0" w:color="FFFFFF" w:themeColor="background1"/>
            </w:tcBorders>
            <w:shd w:val="clear" w:color="auto" w:fill="D4C19C"/>
            <w:noWrap/>
            <w:vAlign w:val="center"/>
            <w:hideMark/>
          </w:tcPr>
          <w:p w14:paraId="7AFB2D7F" w14:textId="77777777" w:rsidR="009C3C24" w:rsidRPr="006F0DF1" w:rsidRDefault="009C3C24" w:rsidP="002F797B">
            <w:pPr>
              <w:spacing w:after="0" w:line="240" w:lineRule="auto"/>
              <w:jc w:val="center"/>
              <w:rPr>
                <w:rFonts w:ascii="Montserrat" w:eastAsia="Times New Roman" w:hAnsi="Montserrat" w:cs="Calibri"/>
                <w:b/>
                <w:bCs/>
                <w:color w:val="FFFFFF"/>
                <w:sz w:val="16"/>
                <w:szCs w:val="16"/>
                <w:lang w:val="es-MX" w:eastAsia="es-MX"/>
              </w:rPr>
            </w:pPr>
            <w:r w:rsidRPr="006F0DF1">
              <w:rPr>
                <w:rFonts w:ascii="Montserrat" w:eastAsia="Times New Roman" w:hAnsi="Montserrat" w:cs="Calibri"/>
                <w:b/>
                <w:bCs/>
                <w:color w:val="FFFFFF"/>
                <w:sz w:val="16"/>
                <w:szCs w:val="16"/>
                <w:lang w:val="es-MX" w:eastAsia="es-MX"/>
              </w:rPr>
              <w:t>Nombre</w:t>
            </w:r>
          </w:p>
        </w:tc>
        <w:tc>
          <w:tcPr>
            <w:tcW w:w="1800" w:type="dxa"/>
            <w:tcBorders>
              <w:left w:val="single" w:sz="8" w:space="0" w:color="FFFFFF" w:themeColor="background1"/>
              <w:bottom w:val="double" w:sz="12" w:space="0" w:color="808080" w:themeColor="background1" w:themeShade="80"/>
            </w:tcBorders>
            <w:shd w:val="clear" w:color="auto" w:fill="D4C19C"/>
            <w:vAlign w:val="center"/>
            <w:hideMark/>
          </w:tcPr>
          <w:p w14:paraId="110D525B" w14:textId="77777777" w:rsidR="009C3C24" w:rsidRPr="006F0DF1" w:rsidRDefault="009C3C24" w:rsidP="002F797B">
            <w:pPr>
              <w:spacing w:after="0" w:line="240" w:lineRule="auto"/>
              <w:jc w:val="center"/>
              <w:rPr>
                <w:rFonts w:ascii="Montserrat" w:eastAsia="Times New Roman" w:hAnsi="Montserrat" w:cs="Calibri"/>
                <w:b/>
                <w:bCs/>
                <w:color w:val="FFFFFF"/>
                <w:sz w:val="16"/>
                <w:szCs w:val="16"/>
                <w:lang w:val="es-MX" w:eastAsia="es-MX"/>
              </w:rPr>
            </w:pPr>
            <w:r>
              <w:rPr>
                <w:rFonts w:ascii="Montserrat" w:eastAsia="Times New Roman" w:hAnsi="Montserrat" w:cs="Calibri"/>
                <w:b/>
                <w:bCs/>
                <w:color w:val="FFFFFF"/>
                <w:sz w:val="16"/>
                <w:szCs w:val="16"/>
                <w:lang w:val="es-MX" w:eastAsia="es-MX"/>
              </w:rPr>
              <w:t>201</w:t>
            </w:r>
            <w:r w:rsidR="00D56DC9">
              <w:rPr>
                <w:rFonts w:ascii="Montserrat" w:eastAsia="Times New Roman" w:hAnsi="Montserrat" w:cs="Calibri"/>
                <w:b/>
                <w:bCs/>
                <w:color w:val="FFFFFF"/>
                <w:sz w:val="16"/>
                <w:szCs w:val="16"/>
                <w:lang w:val="es-MX" w:eastAsia="es-MX"/>
              </w:rPr>
              <w:t>9</w:t>
            </w:r>
          </w:p>
        </w:tc>
      </w:tr>
      <w:tr w:rsidR="003E77F5" w:rsidRPr="006F0DF1" w14:paraId="311988A1" w14:textId="77777777" w:rsidTr="0023764E">
        <w:trPr>
          <w:gridBefore w:val="1"/>
          <w:gridAfter w:val="1"/>
          <w:wBefore w:w="2209" w:type="dxa"/>
          <w:wAfter w:w="1751" w:type="dxa"/>
          <w:trHeight w:val="215"/>
        </w:trPr>
        <w:tc>
          <w:tcPr>
            <w:tcW w:w="1080" w:type="dxa"/>
            <w:tcBorders>
              <w:top w:val="double" w:sz="12" w:space="0" w:color="808080" w:themeColor="background1" w:themeShade="80"/>
            </w:tcBorders>
            <w:shd w:val="clear" w:color="auto" w:fill="F2F2F2" w:themeFill="background1" w:themeFillShade="F2"/>
            <w:vAlign w:val="center"/>
            <w:hideMark/>
          </w:tcPr>
          <w:p w14:paraId="461C5AEC" w14:textId="77777777" w:rsidR="003E77F5" w:rsidRPr="00255081" w:rsidRDefault="003E77F5" w:rsidP="003E77F5">
            <w:pPr>
              <w:spacing w:after="0" w:line="240" w:lineRule="auto"/>
              <w:jc w:val="center"/>
              <w:rPr>
                <w:rFonts w:ascii="Montserrat" w:eastAsia="Times New Roman" w:hAnsi="Montserrat" w:cs="Calibri"/>
                <w:color w:val="000000"/>
                <w:sz w:val="15"/>
                <w:szCs w:val="15"/>
                <w:lang w:val="es-MX" w:eastAsia="es-MX"/>
              </w:rPr>
            </w:pPr>
            <w:r w:rsidRPr="00255081">
              <w:rPr>
                <w:rFonts w:ascii="Montserrat" w:eastAsia="Times New Roman" w:hAnsi="Montserrat" w:cs="Calibri"/>
                <w:color w:val="000000"/>
                <w:sz w:val="15"/>
                <w:szCs w:val="15"/>
                <w:lang w:val="es-MX" w:eastAsia="es-MX"/>
              </w:rPr>
              <w:t>7.1</w:t>
            </w:r>
          </w:p>
        </w:tc>
        <w:tc>
          <w:tcPr>
            <w:tcW w:w="4500" w:type="dxa"/>
            <w:tcBorders>
              <w:top w:val="double" w:sz="12" w:space="0" w:color="808080" w:themeColor="background1" w:themeShade="80"/>
            </w:tcBorders>
            <w:shd w:val="clear" w:color="auto" w:fill="F2F2F2" w:themeFill="background1" w:themeFillShade="F2"/>
            <w:noWrap/>
            <w:vAlign w:val="center"/>
            <w:hideMark/>
          </w:tcPr>
          <w:p w14:paraId="48D8DBA3" w14:textId="77777777" w:rsidR="003E77F5" w:rsidRPr="00255081" w:rsidRDefault="003E77F5" w:rsidP="003E77F5">
            <w:pPr>
              <w:spacing w:after="0" w:line="240" w:lineRule="auto"/>
              <w:ind w:left="170"/>
              <w:jc w:val="both"/>
              <w:rPr>
                <w:rFonts w:ascii="Montserrat" w:eastAsia="Times New Roman" w:hAnsi="Montserrat" w:cs="Calibri"/>
                <w:color w:val="000000"/>
                <w:sz w:val="15"/>
                <w:szCs w:val="15"/>
                <w:lang w:val="es-MX" w:eastAsia="es-MX"/>
              </w:rPr>
            </w:pPr>
            <w:r w:rsidRPr="00255081">
              <w:rPr>
                <w:rFonts w:ascii="Montserrat" w:eastAsia="Times New Roman" w:hAnsi="Montserrat" w:cs="Calibri"/>
                <w:color w:val="000000"/>
                <w:sz w:val="15"/>
                <w:szCs w:val="15"/>
                <w:lang w:val="es-MX" w:eastAsia="es-MX"/>
              </w:rPr>
              <w:t>Valores</w:t>
            </w:r>
          </w:p>
        </w:tc>
        <w:tc>
          <w:tcPr>
            <w:tcW w:w="1800" w:type="dxa"/>
            <w:tcBorders>
              <w:top w:val="double" w:sz="12" w:space="0" w:color="808080" w:themeColor="background1" w:themeShade="80"/>
            </w:tcBorders>
            <w:shd w:val="clear" w:color="auto" w:fill="F2F2F2" w:themeFill="background1" w:themeFillShade="F2"/>
            <w:noWrap/>
            <w:vAlign w:val="center"/>
            <w:hideMark/>
          </w:tcPr>
          <w:p w14:paraId="426ED621" w14:textId="65C50F7D" w:rsidR="003E77F5" w:rsidRPr="00255081" w:rsidRDefault="004350A1" w:rsidP="003E77F5">
            <w:pPr>
              <w:spacing w:after="0" w:line="240" w:lineRule="auto"/>
              <w:jc w:val="right"/>
              <w:rPr>
                <w:rFonts w:ascii="Montserrat" w:hAnsi="Montserrat" w:cs="Calibri"/>
                <w:color w:val="000000"/>
                <w:sz w:val="15"/>
                <w:szCs w:val="15"/>
                <w:lang w:val="es-MX" w:eastAsia="es-MX"/>
              </w:rPr>
            </w:pPr>
            <w:r w:rsidRPr="00255081">
              <w:rPr>
                <w:rFonts w:ascii="Montserrat" w:hAnsi="Montserrat" w:cs="Calibri"/>
                <w:color w:val="000000"/>
                <w:sz w:val="15"/>
                <w:szCs w:val="15"/>
              </w:rPr>
              <w:t>3</w:t>
            </w:r>
            <w:r w:rsidR="00B50E8F" w:rsidRPr="00255081">
              <w:rPr>
                <w:rFonts w:ascii="Montserrat" w:hAnsi="Montserrat" w:cs="Calibri"/>
                <w:color w:val="000000"/>
                <w:sz w:val="15"/>
                <w:szCs w:val="15"/>
              </w:rPr>
              <w:t>28,892,654,329</w:t>
            </w:r>
          </w:p>
        </w:tc>
      </w:tr>
      <w:tr w:rsidR="003E77F5" w:rsidRPr="006F0DF1" w14:paraId="1714AAE0" w14:textId="77777777" w:rsidTr="0023764E">
        <w:trPr>
          <w:gridBefore w:val="1"/>
          <w:gridAfter w:val="1"/>
          <w:wBefore w:w="2209" w:type="dxa"/>
          <w:wAfter w:w="1751" w:type="dxa"/>
          <w:trHeight w:val="215"/>
        </w:trPr>
        <w:tc>
          <w:tcPr>
            <w:tcW w:w="1080" w:type="dxa"/>
            <w:tcBorders>
              <w:top w:val="nil"/>
            </w:tcBorders>
            <w:shd w:val="clear" w:color="auto" w:fill="F2F2F2" w:themeFill="background1" w:themeFillShade="F2"/>
            <w:vAlign w:val="center"/>
            <w:hideMark/>
          </w:tcPr>
          <w:p w14:paraId="3B9B5DC2" w14:textId="77777777" w:rsidR="003E77F5" w:rsidRPr="00255081" w:rsidRDefault="003E77F5" w:rsidP="003E77F5">
            <w:pPr>
              <w:spacing w:after="0" w:line="240" w:lineRule="auto"/>
              <w:jc w:val="center"/>
              <w:rPr>
                <w:rFonts w:ascii="Montserrat" w:eastAsia="Times New Roman" w:hAnsi="Montserrat" w:cs="Calibri"/>
                <w:color w:val="000000"/>
                <w:sz w:val="15"/>
                <w:szCs w:val="15"/>
                <w:lang w:val="es-MX" w:eastAsia="es-MX"/>
              </w:rPr>
            </w:pPr>
            <w:r w:rsidRPr="00255081">
              <w:rPr>
                <w:rFonts w:ascii="Montserrat" w:eastAsia="Times New Roman" w:hAnsi="Montserrat" w:cs="Calibri"/>
                <w:color w:val="000000"/>
                <w:sz w:val="15"/>
                <w:szCs w:val="15"/>
                <w:lang w:val="es-MX" w:eastAsia="es-MX"/>
              </w:rPr>
              <w:t>7.2</w:t>
            </w:r>
          </w:p>
        </w:tc>
        <w:tc>
          <w:tcPr>
            <w:tcW w:w="4500" w:type="dxa"/>
            <w:tcBorders>
              <w:top w:val="nil"/>
            </w:tcBorders>
            <w:shd w:val="clear" w:color="auto" w:fill="F2F2F2" w:themeFill="background1" w:themeFillShade="F2"/>
            <w:noWrap/>
            <w:vAlign w:val="center"/>
            <w:hideMark/>
          </w:tcPr>
          <w:p w14:paraId="5268AA13" w14:textId="77777777" w:rsidR="003E77F5" w:rsidRPr="00255081" w:rsidRDefault="003E77F5" w:rsidP="003E77F5">
            <w:pPr>
              <w:spacing w:after="0" w:line="240" w:lineRule="auto"/>
              <w:ind w:left="170"/>
              <w:jc w:val="both"/>
              <w:rPr>
                <w:rFonts w:ascii="Montserrat" w:eastAsia="Times New Roman" w:hAnsi="Montserrat" w:cs="Calibri"/>
                <w:color w:val="000000"/>
                <w:sz w:val="15"/>
                <w:szCs w:val="15"/>
                <w:lang w:val="es-MX" w:eastAsia="es-MX"/>
              </w:rPr>
            </w:pPr>
            <w:r w:rsidRPr="00255081">
              <w:rPr>
                <w:rFonts w:ascii="Montserrat" w:eastAsia="Times New Roman" w:hAnsi="Montserrat" w:cs="Calibri"/>
                <w:color w:val="000000"/>
                <w:sz w:val="15"/>
                <w:szCs w:val="15"/>
                <w:lang w:val="es-MX" w:eastAsia="es-MX"/>
              </w:rPr>
              <w:t>Emisión de obligaciones</w:t>
            </w:r>
          </w:p>
        </w:tc>
        <w:tc>
          <w:tcPr>
            <w:tcW w:w="1800" w:type="dxa"/>
            <w:tcBorders>
              <w:top w:val="nil"/>
            </w:tcBorders>
            <w:shd w:val="clear" w:color="auto" w:fill="F2F2F2" w:themeFill="background1" w:themeFillShade="F2"/>
            <w:noWrap/>
            <w:vAlign w:val="center"/>
            <w:hideMark/>
          </w:tcPr>
          <w:p w14:paraId="14518980" w14:textId="53F00B65" w:rsidR="003E77F5" w:rsidRPr="000F0321" w:rsidRDefault="00B50E8F" w:rsidP="003E77F5">
            <w:pPr>
              <w:spacing w:after="0" w:line="240" w:lineRule="auto"/>
              <w:jc w:val="right"/>
              <w:rPr>
                <w:rFonts w:ascii="Montserrat" w:hAnsi="Montserrat" w:cs="Calibri"/>
                <w:color w:val="000000"/>
                <w:sz w:val="15"/>
                <w:szCs w:val="15"/>
                <w:highlight w:val="magenta"/>
              </w:rPr>
            </w:pPr>
            <w:r w:rsidRPr="00255081">
              <w:rPr>
                <w:rFonts w:ascii="Montserrat" w:hAnsi="Montserrat" w:cs="Calibri"/>
                <w:color w:val="000000"/>
                <w:sz w:val="15"/>
                <w:szCs w:val="15"/>
              </w:rPr>
              <w:t>20,118,216,301,342</w:t>
            </w:r>
          </w:p>
        </w:tc>
      </w:tr>
      <w:tr w:rsidR="003E77F5" w:rsidRPr="006F0DF1" w14:paraId="6C4AF5FC" w14:textId="77777777" w:rsidTr="0023764E">
        <w:trPr>
          <w:gridBefore w:val="1"/>
          <w:gridAfter w:val="1"/>
          <w:wBefore w:w="2209" w:type="dxa"/>
          <w:wAfter w:w="1751" w:type="dxa"/>
          <w:trHeight w:val="215"/>
        </w:trPr>
        <w:tc>
          <w:tcPr>
            <w:tcW w:w="1080" w:type="dxa"/>
            <w:tcBorders>
              <w:top w:val="nil"/>
            </w:tcBorders>
            <w:shd w:val="clear" w:color="auto" w:fill="F2F2F2" w:themeFill="background1" w:themeFillShade="F2"/>
            <w:vAlign w:val="center"/>
            <w:hideMark/>
          </w:tcPr>
          <w:p w14:paraId="0EEC0FC5" w14:textId="77777777" w:rsidR="003E77F5" w:rsidRPr="00255081" w:rsidRDefault="003E77F5" w:rsidP="003E77F5">
            <w:pPr>
              <w:spacing w:after="0" w:line="240" w:lineRule="auto"/>
              <w:jc w:val="center"/>
              <w:rPr>
                <w:rFonts w:ascii="Montserrat" w:eastAsia="Times New Roman" w:hAnsi="Montserrat" w:cs="Calibri"/>
                <w:color w:val="000000"/>
                <w:sz w:val="15"/>
                <w:szCs w:val="15"/>
                <w:lang w:val="es-MX" w:eastAsia="es-MX"/>
              </w:rPr>
            </w:pPr>
            <w:r w:rsidRPr="00255081">
              <w:rPr>
                <w:rFonts w:ascii="Montserrat" w:eastAsia="Times New Roman" w:hAnsi="Montserrat" w:cs="Calibri"/>
                <w:color w:val="000000"/>
                <w:sz w:val="15"/>
                <w:szCs w:val="15"/>
                <w:lang w:val="es-MX" w:eastAsia="es-MX"/>
              </w:rPr>
              <w:t>7.3</w:t>
            </w:r>
          </w:p>
        </w:tc>
        <w:tc>
          <w:tcPr>
            <w:tcW w:w="4500" w:type="dxa"/>
            <w:tcBorders>
              <w:top w:val="nil"/>
            </w:tcBorders>
            <w:shd w:val="clear" w:color="auto" w:fill="F2F2F2" w:themeFill="background1" w:themeFillShade="F2"/>
            <w:noWrap/>
            <w:vAlign w:val="center"/>
            <w:hideMark/>
          </w:tcPr>
          <w:p w14:paraId="1125BB7B" w14:textId="77777777" w:rsidR="003E77F5" w:rsidRPr="00255081" w:rsidRDefault="003E77F5" w:rsidP="003E77F5">
            <w:pPr>
              <w:spacing w:after="0" w:line="240" w:lineRule="auto"/>
              <w:ind w:left="170"/>
              <w:jc w:val="both"/>
              <w:rPr>
                <w:rFonts w:ascii="Montserrat" w:eastAsia="Times New Roman" w:hAnsi="Montserrat" w:cs="Calibri"/>
                <w:color w:val="000000"/>
                <w:sz w:val="15"/>
                <w:szCs w:val="15"/>
                <w:lang w:val="es-MX" w:eastAsia="es-MX"/>
              </w:rPr>
            </w:pPr>
            <w:r w:rsidRPr="00255081">
              <w:rPr>
                <w:rFonts w:ascii="Montserrat" w:eastAsia="Times New Roman" w:hAnsi="Montserrat" w:cs="Calibri"/>
                <w:color w:val="000000"/>
                <w:sz w:val="15"/>
                <w:szCs w:val="15"/>
                <w:lang w:val="es-MX" w:eastAsia="es-MX"/>
              </w:rPr>
              <w:t>Avales y Garantías</w:t>
            </w:r>
          </w:p>
        </w:tc>
        <w:tc>
          <w:tcPr>
            <w:tcW w:w="1800" w:type="dxa"/>
            <w:tcBorders>
              <w:top w:val="nil"/>
            </w:tcBorders>
            <w:shd w:val="clear" w:color="auto" w:fill="F2F2F2" w:themeFill="background1" w:themeFillShade="F2"/>
            <w:noWrap/>
            <w:vAlign w:val="center"/>
            <w:hideMark/>
          </w:tcPr>
          <w:p w14:paraId="6F961906" w14:textId="3AF20B7E" w:rsidR="003E77F5" w:rsidRPr="00255081" w:rsidRDefault="00B50E8F" w:rsidP="003E77F5">
            <w:pPr>
              <w:spacing w:after="0" w:line="240" w:lineRule="auto"/>
              <w:jc w:val="right"/>
              <w:rPr>
                <w:rFonts w:ascii="Montserrat" w:hAnsi="Montserrat" w:cs="Calibri"/>
                <w:color w:val="000000"/>
                <w:sz w:val="15"/>
                <w:szCs w:val="15"/>
              </w:rPr>
            </w:pPr>
            <w:r w:rsidRPr="00255081">
              <w:rPr>
                <w:rFonts w:ascii="Montserrat" w:hAnsi="Montserrat" w:cs="Calibri"/>
                <w:color w:val="000000"/>
                <w:sz w:val="15"/>
                <w:szCs w:val="15"/>
              </w:rPr>
              <w:t>719,956,600,109</w:t>
            </w:r>
          </w:p>
        </w:tc>
      </w:tr>
      <w:tr w:rsidR="003E77F5" w:rsidRPr="006F0DF1" w14:paraId="16461F3C" w14:textId="77777777" w:rsidTr="0023764E">
        <w:trPr>
          <w:gridBefore w:val="1"/>
          <w:gridAfter w:val="1"/>
          <w:wBefore w:w="2209" w:type="dxa"/>
          <w:wAfter w:w="1751" w:type="dxa"/>
          <w:trHeight w:val="215"/>
        </w:trPr>
        <w:tc>
          <w:tcPr>
            <w:tcW w:w="1080" w:type="dxa"/>
            <w:tcBorders>
              <w:top w:val="nil"/>
            </w:tcBorders>
            <w:shd w:val="clear" w:color="auto" w:fill="F2F2F2" w:themeFill="background1" w:themeFillShade="F2"/>
            <w:vAlign w:val="center"/>
            <w:hideMark/>
          </w:tcPr>
          <w:p w14:paraId="12CBB9AA" w14:textId="77777777" w:rsidR="003E77F5" w:rsidRPr="00255081" w:rsidRDefault="003E77F5" w:rsidP="003E77F5">
            <w:pPr>
              <w:spacing w:after="0" w:line="240" w:lineRule="auto"/>
              <w:jc w:val="center"/>
              <w:rPr>
                <w:rFonts w:ascii="Montserrat" w:eastAsia="Times New Roman" w:hAnsi="Montserrat" w:cs="Calibri"/>
                <w:color w:val="000000"/>
                <w:sz w:val="15"/>
                <w:szCs w:val="15"/>
                <w:lang w:val="es-MX" w:eastAsia="es-MX"/>
              </w:rPr>
            </w:pPr>
            <w:r w:rsidRPr="00255081">
              <w:rPr>
                <w:rFonts w:ascii="Montserrat" w:eastAsia="Times New Roman" w:hAnsi="Montserrat" w:cs="Calibri"/>
                <w:color w:val="000000"/>
                <w:sz w:val="15"/>
                <w:szCs w:val="15"/>
                <w:lang w:val="es-MX" w:eastAsia="es-MX"/>
              </w:rPr>
              <w:t>7.4</w:t>
            </w:r>
          </w:p>
        </w:tc>
        <w:tc>
          <w:tcPr>
            <w:tcW w:w="4500" w:type="dxa"/>
            <w:tcBorders>
              <w:top w:val="nil"/>
            </w:tcBorders>
            <w:shd w:val="clear" w:color="auto" w:fill="F2F2F2" w:themeFill="background1" w:themeFillShade="F2"/>
            <w:noWrap/>
            <w:vAlign w:val="center"/>
            <w:hideMark/>
          </w:tcPr>
          <w:p w14:paraId="2C9E5EA3" w14:textId="77777777" w:rsidR="003E77F5" w:rsidRPr="00255081" w:rsidRDefault="003E77F5" w:rsidP="003E77F5">
            <w:pPr>
              <w:spacing w:after="0" w:line="240" w:lineRule="auto"/>
              <w:ind w:left="170"/>
              <w:jc w:val="both"/>
              <w:rPr>
                <w:rFonts w:ascii="Montserrat" w:eastAsia="Times New Roman" w:hAnsi="Montserrat" w:cs="Calibri"/>
                <w:color w:val="000000"/>
                <w:sz w:val="15"/>
                <w:szCs w:val="15"/>
                <w:lang w:val="es-MX" w:eastAsia="es-MX"/>
              </w:rPr>
            </w:pPr>
            <w:r w:rsidRPr="00255081">
              <w:rPr>
                <w:rFonts w:ascii="Montserrat" w:eastAsia="Times New Roman" w:hAnsi="Montserrat" w:cs="Calibri"/>
                <w:color w:val="000000"/>
                <w:sz w:val="15"/>
                <w:szCs w:val="15"/>
                <w:lang w:val="es-MX" w:eastAsia="es-MX"/>
              </w:rPr>
              <w:t>Juicios</w:t>
            </w:r>
          </w:p>
        </w:tc>
        <w:tc>
          <w:tcPr>
            <w:tcW w:w="1800" w:type="dxa"/>
            <w:tcBorders>
              <w:top w:val="nil"/>
            </w:tcBorders>
            <w:shd w:val="clear" w:color="auto" w:fill="F2F2F2" w:themeFill="background1" w:themeFillShade="F2"/>
            <w:noWrap/>
            <w:vAlign w:val="center"/>
            <w:hideMark/>
          </w:tcPr>
          <w:p w14:paraId="52A16FAD" w14:textId="72AFA687" w:rsidR="003E77F5" w:rsidRPr="00255081" w:rsidRDefault="00B50E8F" w:rsidP="003E77F5">
            <w:pPr>
              <w:spacing w:after="0" w:line="240" w:lineRule="auto"/>
              <w:jc w:val="right"/>
              <w:rPr>
                <w:rFonts w:ascii="Montserrat" w:hAnsi="Montserrat" w:cs="Calibri"/>
                <w:color w:val="000000"/>
                <w:sz w:val="15"/>
                <w:szCs w:val="15"/>
              </w:rPr>
            </w:pPr>
            <w:r w:rsidRPr="00255081">
              <w:rPr>
                <w:rFonts w:ascii="Montserrat" w:hAnsi="Montserrat" w:cs="Calibri"/>
                <w:color w:val="000000"/>
                <w:sz w:val="15"/>
                <w:szCs w:val="15"/>
              </w:rPr>
              <w:t>3,905,122,366</w:t>
            </w:r>
          </w:p>
        </w:tc>
      </w:tr>
      <w:tr w:rsidR="003E77F5" w:rsidRPr="006F0DF1" w14:paraId="7C6358B0" w14:textId="77777777" w:rsidTr="0023764E">
        <w:trPr>
          <w:gridBefore w:val="1"/>
          <w:gridAfter w:val="1"/>
          <w:wBefore w:w="2209" w:type="dxa"/>
          <w:wAfter w:w="1751" w:type="dxa"/>
          <w:trHeight w:val="215"/>
        </w:trPr>
        <w:tc>
          <w:tcPr>
            <w:tcW w:w="1080" w:type="dxa"/>
            <w:tcBorders>
              <w:top w:val="nil"/>
            </w:tcBorders>
            <w:shd w:val="clear" w:color="auto" w:fill="F2F2F2" w:themeFill="background1" w:themeFillShade="F2"/>
            <w:vAlign w:val="center"/>
            <w:hideMark/>
          </w:tcPr>
          <w:p w14:paraId="1B28FD0B" w14:textId="77777777" w:rsidR="003E77F5" w:rsidRPr="00255081" w:rsidRDefault="003E77F5" w:rsidP="003E77F5">
            <w:pPr>
              <w:spacing w:after="0" w:line="240" w:lineRule="auto"/>
              <w:jc w:val="center"/>
              <w:rPr>
                <w:rFonts w:ascii="Montserrat" w:eastAsia="Times New Roman" w:hAnsi="Montserrat" w:cs="Calibri"/>
                <w:color w:val="000000"/>
                <w:sz w:val="15"/>
                <w:szCs w:val="15"/>
                <w:lang w:val="es-MX" w:eastAsia="es-MX"/>
              </w:rPr>
            </w:pPr>
            <w:r w:rsidRPr="00255081">
              <w:rPr>
                <w:rFonts w:ascii="Montserrat" w:eastAsia="Times New Roman" w:hAnsi="Montserrat" w:cs="Calibri"/>
                <w:color w:val="000000"/>
                <w:sz w:val="15"/>
                <w:szCs w:val="15"/>
                <w:lang w:val="es-MX" w:eastAsia="es-MX"/>
              </w:rPr>
              <w:t>7.5</w:t>
            </w:r>
          </w:p>
        </w:tc>
        <w:tc>
          <w:tcPr>
            <w:tcW w:w="4500" w:type="dxa"/>
            <w:tcBorders>
              <w:top w:val="nil"/>
            </w:tcBorders>
            <w:shd w:val="clear" w:color="auto" w:fill="F2F2F2" w:themeFill="background1" w:themeFillShade="F2"/>
            <w:noWrap/>
            <w:vAlign w:val="center"/>
            <w:hideMark/>
          </w:tcPr>
          <w:p w14:paraId="0E8043F9" w14:textId="14EF5212" w:rsidR="003E77F5" w:rsidRPr="00255081" w:rsidRDefault="003E77F5" w:rsidP="003E77F5">
            <w:pPr>
              <w:spacing w:after="0" w:line="240" w:lineRule="auto"/>
              <w:ind w:left="170"/>
              <w:jc w:val="both"/>
              <w:rPr>
                <w:rFonts w:ascii="Montserrat" w:eastAsia="Times New Roman" w:hAnsi="Montserrat" w:cs="Calibri"/>
                <w:color w:val="000000"/>
                <w:sz w:val="15"/>
                <w:szCs w:val="15"/>
                <w:lang w:val="es-MX" w:eastAsia="es-MX"/>
              </w:rPr>
            </w:pPr>
            <w:r w:rsidRPr="00255081">
              <w:rPr>
                <w:rFonts w:ascii="Montserrat" w:eastAsia="Times New Roman" w:hAnsi="Montserrat" w:cs="Calibri"/>
                <w:color w:val="000000"/>
                <w:sz w:val="15"/>
                <w:szCs w:val="15"/>
                <w:lang w:val="es-MX" w:eastAsia="es-MX"/>
              </w:rPr>
              <w:t xml:space="preserve">Inversión mediante </w:t>
            </w:r>
            <w:r w:rsidR="00B50E8F" w:rsidRPr="00255081">
              <w:rPr>
                <w:rFonts w:ascii="Montserrat" w:eastAsia="Times New Roman" w:hAnsi="Montserrat" w:cs="Calibri"/>
                <w:color w:val="000000"/>
                <w:sz w:val="15"/>
                <w:szCs w:val="15"/>
                <w:lang w:val="es-MX" w:eastAsia="es-MX"/>
              </w:rPr>
              <w:t>p</w:t>
            </w:r>
            <w:r w:rsidRPr="00255081">
              <w:rPr>
                <w:rFonts w:ascii="Montserrat" w:eastAsia="Times New Roman" w:hAnsi="Montserrat" w:cs="Calibri"/>
                <w:color w:val="000000"/>
                <w:sz w:val="15"/>
                <w:szCs w:val="15"/>
                <w:lang w:val="es-MX" w:eastAsia="es-MX"/>
              </w:rPr>
              <w:t xml:space="preserve">royectos para </w:t>
            </w:r>
            <w:r w:rsidR="00B50E8F" w:rsidRPr="00255081">
              <w:rPr>
                <w:rFonts w:ascii="Montserrat" w:eastAsia="Times New Roman" w:hAnsi="Montserrat" w:cs="Calibri"/>
                <w:color w:val="000000"/>
                <w:sz w:val="15"/>
                <w:szCs w:val="15"/>
                <w:lang w:val="es-MX" w:eastAsia="es-MX"/>
              </w:rPr>
              <w:t>p</w:t>
            </w:r>
            <w:r w:rsidRPr="00255081">
              <w:rPr>
                <w:rFonts w:ascii="Montserrat" w:eastAsia="Times New Roman" w:hAnsi="Montserrat" w:cs="Calibri"/>
                <w:color w:val="000000"/>
                <w:sz w:val="15"/>
                <w:szCs w:val="15"/>
                <w:lang w:val="es-MX" w:eastAsia="es-MX"/>
              </w:rPr>
              <w:t xml:space="preserve">restación de </w:t>
            </w:r>
            <w:r w:rsidR="00B50E8F" w:rsidRPr="00255081">
              <w:rPr>
                <w:rFonts w:ascii="Montserrat" w:eastAsia="Times New Roman" w:hAnsi="Montserrat" w:cs="Calibri"/>
                <w:color w:val="000000"/>
                <w:sz w:val="15"/>
                <w:szCs w:val="15"/>
                <w:lang w:val="es-MX" w:eastAsia="es-MX"/>
              </w:rPr>
              <w:t>s</w:t>
            </w:r>
            <w:r w:rsidRPr="00255081">
              <w:rPr>
                <w:rFonts w:ascii="Montserrat" w:eastAsia="Times New Roman" w:hAnsi="Montserrat" w:cs="Calibri"/>
                <w:color w:val="000000"/>
                <w:sz w:val="15"/>
                <w:szCs w:val="15"/>
                <w:lang w:val="es-MX" w:eastAsia="es-MX"/>
              </w:rPr>
              <w:t>ervicios (PPS)</w:t>
            </w:r>
          </w:p>
        </w:tc>
        <w:tc>
          <w:tcPr>
            <w:tcW w:w="1800" w:type="dxa"/>
            <w:tcBorders>
              <w:top w:val="nil"/>
            </w:tcBorders>
            <w:shd w:val="clear" w:color="auto" w:fill="F2F2F2" w:themeFill="background1" w:themeFillShade="F2"/>
            <w:noWrap/>
            <w:vAlign w:val="center"/>
            <w:hideMark/>
          </w:tcPr>
          <w:p w14:paraId="69BC6B0A" w14:textId="77777777" w:rsidR="003E77F5" w:rsidRPr="00255081" w:rsidRDefault="003E77F5" w:rsidP="003E77F5">
            <w:pPr>
              <w:spacing w:after="0" w:line="240" w:lineRule="auto"/>
              <w:jc w:val="right"/>
              <w:rPr>
                <w:rFonts w:ascii="Montserrat" w:hAnsi="Montserrat" w:cs="Calibri"/>
                <w:color w:val="000000"/>
                <w:sz w:val="15"/>
                <w:szCs w:val="15"/>
              </w:rPr>
            </w:pPr>
            <w:r w:rsidRPr="00255081">
              <w:rPr>
                <w:rFonts w:ascii="Montserrat" w:hAnsi="Montserrat" w:cs="Calibri"/>
                <w:color w:val="000000"/>
                <w:sz w:val="15"/>
                <w:szCs w:val="15"/>
              </w:rPr>
              <w:t>0</w:t>
            </w:r>
          </w:p>
        </w:tc>
      </w:tr>
      <w:tr w:rsidR="003E77F5" w:rsidRPr="006F0DF1" w14:paraId="5ED7D94D" w14:textId="77777777" w:rsidTr="0023764E">
        <w:trPr>
          <w:gridBefore w:val="1"/>
          <w:gridAfter w:val="1"/>
          <w:wBefore w:w="2209" w:type="dxa"/>
          <w:wAfter w:w="1751" w:type="dxa"/>
          <w:trHeight w:val="215"/>
        </w:trPr>
        <w:tc>
          <w:tcPr>
            <w:tcW w:w="1080" w:type="dxa"/>
            <w:tcBorders>
              <w:top w:val="nil"/>
            </w:tcBorders>
            <w:shd w:val="clear" w:color="auto" w:fill="F2F2F2" w:themeFill="background1" w:themeFillShade="F2"/>
            <w:vAlign w:val="center"/>
            <w:hideMark/>
          </w:tcPr>
          <w:p w14:paraId="0A4E5406" w14:textId="77777777" w:rsidR="003E77F5" w:rsidRPr="00255081" w:rsidRDefault="003E77F5" w:rsidP="003E77F5">
            <w:pPr>
              <w:spacing w:after="0" w:line="240" w:lineRule="auto"/>
              <w:jc w:val="center"/>
              <w:rPr>
                <w:rFonts w:ascii="Montserrat" w:eastAsia="Times New Roman" w:hAnsi="Montserrat" w:cs="Calibri"/>
                <w:color w:val="000000"/>
                <w:sz w:val="15"/>
                <w:szCs w:val="15"/>
                <w:lang w:val="es-MX" w:eastAsia="es-MX"/>
              </w:rPr>
            </w:pPr>
            <w:r w:rsidRPr="00255081">
              <w:rPr>
                <w:rFonts w:ascii="Montserrat" w:eastAsia="Times New Roman" w:hAnsi="Montserrat" w:cs="Calibri"/>
                <w:color w:val="000000"/>
                <w:sz w:val="15"/>
                <w:szCs w:val="15"/>
                <w:lang w:val="es-MX" w:eastAsia="es-MX"/>
              </w:rPr>
              <w:t>7.6</w:t>
            </w:r>
          </w:p>
        </w:tc>
        <w:tc>
          <w:tcPr>
            <w:tcW w:w="4500" w:type="dxa"/>
            <w:tcBorders>
              <w:top w:val="nil"/>
            </w:tcBorders>
            <w:shd w:val="clear" w:color="auto" w:fill="F2F2F2" w:themeFill="background1" w:themeFillShade="F2"/>
            <w:noWrap/>
            <w:vAlign w:val="center"/>
            <w:hideMark/>
          </w:tcPr>
          <w:p w14:paraId="79FA15DC" w14:textId="6DF060B4" w:rsidR="003E77F5" w:rsidRPr="00255081" w:rsidRDefault="003E77F5" w:rsidP="003E77F5">
            <w:pPr>
              <w:spacing w:after="0" w:line="240" w:lineRule="auto"/>
              <w:ind w:left="170"/>
              <w:jc w:val="both"/>
              <w:rPr>
                <w:rFonts w:ascii="Montserrat" w:eastAsia="Times New Roman" w:hAnsi="Montserrat" w:cs="Calibri"/>
                <w:color w:val="000000"/>
                <w:sz w:val="15"/>
                <w:szCs w:val="15"/>
                <w:lang w:val="es-MX" w:eastAsia="es-MX"/>
              </w:rPr>
            </w:pPr>
            <w:r w:rsidRPr="00255081">
              <w:rPr>
                <w:rFonts w:ascii="Montserrat" w:eastAsia="Times New Roman" w:hAnsi="Montserrat" w:cs="Calibri"/>
                <w:color w:val="000000"/>
                <w:sz w:val="15"/>
                <w:szCs w:val="15"/>
                <w:lang w:val="es-MX" w:eastAsia="es-MX"/>
              </w:rPr>
              <w:t>Bienes</w:t>
            </w:r>
            <w:r w:rsidR="00B50E8F" w:rsidRPr="00255081">
              <w:rPr>
                <w:rFonts w:ascii="Montserrat" w:eastAsia="Times New Roman" w:hAnsi="Montserrat" w:cs="Calibri"/>
                <w:color w:val="000000"/>
                <w:sz w:val="15"/>
                <w:szCs w:val="15"/>
                <w:lang w:val="es-MX" w:eastAsia="es-MX"/>
              </w:rPr>
              <w:t xml:space="preserve"> en concesión o en comodato</w:t>
            </w:r>
          </w:p>
        </w:tc>
        <w:tc>
          <w:tcPr>
            <w:tcW w:w="1800" w:type="dxa"/>
            <w:tcBorders>
              <w:top w:val="nil"/>
            </w:tcBorders>
            <w:shd w:val="clear" w:color="auto" w:fill="F2F2F2" w:themeFill="background1" w:themeFillShade="F2"/>
            <w:noWrap/>
            <w:vAlign w:val="center"/>
            <w:hideMark/>
          </w:tcPr>
          <w:p w14:paraId="0A259528" w14:textId="3C2C30EA" w:rsidR="003E77F5" w:rsidRPr="00255081" w:rsidRDefault="00B50E8F" w:rsidP="003E77F5">
            <w:pPr>
              <w:spacing w:after="0" w:line="240" w:lineRule="auto"/>
              <w:jc w:val="right"/>
              <w:rPr>
                <w:rFonts w:ascii="Montserrat" w:hAnsi="Montserrat" w:cs="Calibri"/>
                <w:color w:val="000000"/>
                <w:sz w:val="15"/>
                <w:szCs w:val="15"/>
              </w:rPr>
            </w:pPr>
            <w:r w:rsidRPr="00255081">
              <w:rPr>
                <w:rFonts w:ascii="Montserrat" w:hAnsi="Montserrat" w:cs="Calibri"/>
                <w:color w:val="000000"/>
                <w:sz w:val="15"/>
                <w:szCs w:val="15"/>
              </w:rPr>
              <w:t>30,836,711,484</w:t>
            </w:r>
          </w:p>
        </w:tc>
      </w:tr>
      <w:tr w:rsidR="003E77F5" w:rsidRPr="006F0DF1" w14:paraId="22740C54" w14:textId="77777777" w:rsidTr="0023764E">
        <w:trPr>
          <w:gridBefore w:val="1"/>
          <w:gridAfter w:val="1"/>
          <w:wBefore w:w="2209" w:type="dxa"/>
          <w:wAfter w:w="1751" w:type="dxa"/>
          <w:trHeight w:val="215"/>
        </w:trPr>
        <w:tc>
          <w:tcPr>
            <w:tcW w:w="1080" w:type="dxa"/>
            <w:tcBorders>
              <w:top w:val="nil"/>
            </w:tcBorders>
            <w:shd w:val="clear" w:color="auto" w:fill="F2F2F2" w:themeFill="background1" w:themeFillShade="F2"/>
            <w:vAlign w:val="center"/>
            <w:hideMark/>
          </w:tcPr>
          <w:p w14:paraId="19B83A8A" w14:textId="77777777" w:rsidR="003E77F5" w:rsidRPr="00255081" w:rsidRDefault="003E77F5" w:rsidP="003E77F5">
            <w:pPr>
              <w:spacing w:after="0" w:line="240" w:lineRule="auto"/>
              <w:jc w:val="center"/>
              <w:rPr>
                <w:rFonts w:ascii="Montserrat" w:eastAsia="Times New Roman" w:hAnsi="Montserrat" w:cs="Calibri"/>
                <w:color w:val="000000"/>
                <w:sz w:val="15"/>
                <w:szCs w:val="15"/>
                <w:lang w:val="es-MX" w:eastAsia="es-MX"/>
              </w:rPr>
            </w:pPr>
            <w:r w:rsidRPr="00255081">
              <w:rPr>
                <w:rFonts w:ascii="Montserrat" w:eastAsia="Times New Roman" w:hAnsi="Montserrat" w:cs="Calibri"/>
                <w:color w:val="000000"/>
                <w:sz w:val="15"/>
                <w:szCs w:val="15"/>
                <w:lang w:val="es-MX" w:eastAsia="es-MX"/>
              </w:rPr>
              <w:t>7.7</w:t>
            </w:r>
          </w:p>
        </w:tc>
        <w:tc>
          <w:tcPr>
            <w:tcW w:w="4500" w:type="dxa"/>
            <w:tcBorders>
              <w:top w:val="nil"/>
            </w:tcBorders>
            <w:shd w:val="clear" w:color="auto" w:fill="F2F2F2" w:themeFill="background1" w:themeFillShade="F2"/>
            <w:noWrap/>
            <w:vAlign w:val="center"/>
            <w:hideMark/>
          </w:tcPr>
          <w:p w14:paraId="4BAA7242" w14:textId="77777777" w:rsidR="003E77F5" w:rsidRPr="00255081" w:rsidRDefault="003E77F5" w:rsidP="003E77F5">
            <w:pPr>
              <w:spacing w:after="0" w:line="240" w:lineRule="auto"/>
              <w:ind w:left="170"/>
              <w:jc w:val="both"/>
              <w:rPr>
                <w:rFonts w:ascii="Montserrat" w:eastAsia="Times New Roman" w:hAnsi="Montserrat" w:cs="Calibri"/>
                <w:color w:val="000000"/>
                <w:sz w:val="15"/>
                <w:szCs w:val="15"/>
                <w:lang w:val="es-MX" w:eastAsia="es-MX"/>
              </w:rPr>
            </w:pPr>
            <w:r w:rsidRPr="00255081">
              <w:rPr>
                <w:rFonts w:ascii="Montserrat" w:eastAsia="Times New Roman" w:hAnsi="Montserrat" w:cs="Calibri"/>
                <w:color w:val="000000"/>
                <w:sz w:val="15"/>
                <w:szCs w:val="15"/>
                <w:lang w:val="es-MX" w:eastAsia="es-MX"/>
              </w:rPr>
              <w:t>Rectificaciones</w:t>
            </w:r>
          </w:p>
        </w:tc>
        <w:tc>
          <w:tcPr>
            <w:tcW w:w="1800" w:type="dxa"/>
            <w:tcBorders>
              <w:top w:val="nil"/>
            </w:tcBorders>
            <w:shd w:val="clear" w:color="auto" w:fill="F2F2F2" w:themeFill="background1" w:themeFillShade="F2"/>
            <w:noWrap/>
            <w:vAlign w:val="center"/>
            <w:hideMark/>
          </w:tcPr>
          <w:p w14:paraId="64EE3BAB" w14:textId="065D5994" w:rsidR="003E77F5" w:rsidRPr="00255081" w:rsidRDefault="00B50E8F" w:rsidP="003E77F5">
            <w:pPr>
              <w:spacing w:after="0" w:line="240" w:lineRule="auto"/>
              <w:jc w:val="right"/>
              <w:rPr>
                <w:rFonts w:ascii="Montserrat" w:hAnsi="Montserrat" w:cs="Calibri"/>
                <w:color w:val="000000"/>
                <w:sz w:val="15"/>
                <w:szCs w:val="15"/>
              </w:rPr>
            </w:pPr>
            <w:r w:rsidRPr="00255081">
              <w:rPr>
                <w:rFonts w:ascii="Montserrat" w:hAnsi="Montserrat" w:cs="Calibri"/>
                <w:color w:val="000000"/>
                <w:sz w:val="15"/>
                <w:szCs w:val="15"/>
              </w:rPr>
              <w:t>11,249,219,937</w:t>
            </w:r>
          </w:p>
        </w:tc>
      </w:tr>
      <w:tr w:rsidR="003E77F5" w:rsidRPr="006F0DF1" w14:paraId="45FD8FB3" w14:textId="77777777" w:rsidTr="0023764E">
        <w:trPr>
          <w:gridBefore w:val="1"/>
          <w:gridAfter w:val="1"/>
          <w:wBefore w:w="2209" w:type="dxa"/>
          <w:wAfter w:w="1751" w:type="dxa"/>
          <w:trHeight w:val="215"/>
        </w:trPr>
        <w:tc>
          <w:tcPr>
            <w:tcW w:w="1080" w:type="dxa"/>
            <w:tcBorders>
              <w:top w:val="nil"/>
            </w:tcBorders>
            <w:shd w:val="clear" w:color="auto" w:fill="F2F2F2" w:themeFill="background1" w:themeFillShade="F2"/>
            <w:vAlign w:val="center"/>
            <w:hideMark/>
          </w:tcPr>
          <w:p w14:paraId="5909B9FF" w14:textId="77777777" w:rsidR="003E77F5" w:rsidRPr="00255081" w:rsidRDefault="003E77F5" w:rsidP="003E77F5">
            <w:pPr>
              <w:spacing w:after="0" w:line="240" w:lineRule="auto"/>
              <w:jc w:val="center"/>
              <w:rPr>
                <w:rFonts w:ascii="Montserrat" w:eastAsia="Times New Roman" w:hAnsi="Montserrat" w:cs="Calibri"/>
                <w:color w:val="000000"/>
                <w:sz w:val="15"/>
                <w:szCs w:val="15"/>
                <w:lang w:val="es-MX" w:eastAsia="es-MX"/>
              </w:rPr>
            </w:pPr>
            <w:r w:rsidRPr="00255081">
              <w:rPr>
                <w:rFonts w:ascii="Montserrat" w:eastAsia="Times New Roman" w:hAnsi="Montserrat" w:cs="Calibri"/>
                <w:color w:val="000000"/>
                <w:sz w:val="15"/>
                <w:szCs w:val="15"/>
                <w:lang w:val="es-MX" w:eastAsia="es-MX"/>
              </w:rPr>
              <w:t>7.8</w:t>
            </w:r>
          </w:p>
        </w:tc>
        <w:tc>
          <w:tcPr>
            <w:tcW w:w="4500" w:type="dxa"/>
            <w:tcBorders>
              <w:top w:val="nil"/>
            </w:tcBorders>
            <w:shd w:val="clear" w:color="auto" w:fill="F2F2F2" w:themeFill="background1" w:themeFillShade="F2"/>
            <w:noWrap/>
            <w:vAlign w:val="center"/>
            <w:hideMark/>
          </w:tcPr>
          <w:p w14:paraId="6531506A" w14:textId="46422AB4" w:rsidR="003E77F5" w:rsidRPr="00255081" w:rsidRDefault="003E77F5" w:rsidP="003E77F5">
            <w:pPr>
              <w:spacing w:after="0" w:line="240" w:lineRule="auto"/>
              <w:ind w:left="170"/>
              <w:jc w:val="both"/>
              <w:rPr>
                <w:rFonts w:ascii="Montserrat" w:eastAsia="Times New Roman" w:hAnsi="Montserrat" w:cs="Calibri"/>
                <w:color w:val="000000"/>
                <w:sz w:val="15"/>
                <w:szCs w:val="15"/>
                <w:lang w:val="es-MX" w:eastAsia="es-MX"/>
              </w:rPr>
            </w:pPr>
            <w:r w:rsidRPr="00255081">
              <w:rPr>
                <w:rFonts w:ascii="Montserrat" w:eastAsia="Times New Roman" w:hAnsi="Montserrat" w:cs="Calibri"/>
                <w:color w:val="000000"/>
                <w:sz w:val="15"/>
                <w:szCs w:val="15"/>
                <w:lang w:val="es-MX" w:eastAsia="es-MX"/>
              </w:rPr>
              <w:t xml:space="preserve">Cuentadantes y </w:t>
            </w:r>
            <w:r w:rsidR="00B50E8F" w:rsidRPr="00255081">
              <w:rPr>
                <w:rFonts w:ascii="Montserrat" w:eastAsia="Times New Roman" w:hAnsi="Montserrat" w:cs="Calibri"/>
                <w:color w:val="000000"/>
                <w:sz w:val="15"/>
                <w:szCs w:val="15"/>
                <w:lang w:val="es-MX" w:eastAsia="es-MX"/>
              </w:rPr>
              <w:t>r</w:t>
            </w:r>
            <w:r w:rsidRPr="00255081">
              <w:rPr>
                <w:rFonts w:ascii="Montserrat" w:eastAsia="Times New Roman" w:hAnsi="Montserrat" w:cs="Calibri"/>
                <w:color w:val="000000"/>
                <w:sz w:val="15"/>
                <w:szCs w:val="15"/>
                <w:lang w:val="es-MX" w:eastAsia="es-MX"/>
              </w:rPr>
              <w:t>esponsables</w:t>
            </w:r>
          </w:p>
        </w:tc>
        <w:tc>
          <w:tcPr>
            <w:tcW w:w="1800" w:type="dxa"/>
            <w:tcBorders>
              <w:top w:val="nil"/>
            </w:tcBorders>
            <w:shd w:val="clear" w:color="auto" w:fill="F2F2F2" w:themeFill="background1" w:themeFillShade="F2"/>
            <w:noWrap/>
            <w:vAlign w:val="center"/>
            <w:hideMark/>
          </w:tcPr>
          <w:p w14:paraId="2FE6D81D" w14:textId="736D0E1C" w:rsidR="003E77F5" w:rsidRPr="00255081" w:rsidRDefault="00B50E8F" w:rsidP="003E77F5">
            <w:pPr>
              <w:spacing w:after="0" w:line="240" w:lineRule="auto"/>
              <w:jc w:val="right"/>
              <w:rPr>
                <w:rFonts w:ascii="Montserrat" w:hAnsi="Montserrat" w:cs="Calibri"/>
                <w:color w:val="000000"/>
                <w:sz w:val="15"/>
                <w:szCs w:val="15"/>
              </w:rPr>
            </w:pPr>
            <w:r w:rsidRPr="00255081">
              <w:rPr>
                <w:rFonts w:ascii="Montserrat" w:hAnsi="Montserrat" w:cs="Calibri"/>
                <w:color w:val="000000"/>
                <w:sz w:val="15"/>
                <w:szCs w:val="15"/>
              </w:rPr>
              <w:t>57,930,818,081</w:t>
            </w:r>
          </w:p>
        </w:tc>
      </w:tr>
      <w:tr w:rsidR="003E77F5" w:rsidRPr="006F0DF1" w14:paraId="184D87B7" w14:textId="77777777" w:rsidTr="0023764E">
        <w:trPr>
          <w:gridBefore w:val="1"/>
          <w:gridAfter w:val="1"/>
          <w:wBefore w:w="2209" w:type="dxa"/>
          <w:wAfter w:w="1751" w:type="dxa"/>
          <w:trHeight w:val="215"/>
        </w:trPr>
        <w:tc>
          <w:tcPr>
            <w:tcW w:w="1080" w:type="dxa"/>
            <w:tcBorders>
              <w:bottom w:val="single" w:sz="12" w:space="0" w:color="808080" w:themeColor="background1" w:themeShade="80"/>
            </w:tcBorders>
            <w:shd w:val="clear" w:color="auto" w:fill="F2F2F2" w:themeFill="background1" w:themeFillShade="F2"/>
            <w:vAlign w:val="center"/>
            <w:hideMark/>
          </w:tcPr>
          <w:p w14:paraId="2B7EA497" w14:textId="77777777" w:rsidR="003E77F5" w:rsidRPr="00255081" w:rsidRDefault="003E77F5" w:rsidP="003E77F5">
            <w:pPr>
              <w:spacing w:after="0" w:line="240" w:lineRule="auto"/>
              <w:jc w:val="center"/>
              <w:rPr>
                <w:rFonts w:ascii="Montserrat" w:eastAsia="Times New Roman" w:hAnsi="Montserrat" w:cs="Calibri"/>
                <w:color w:val="000000"/>
                <w:sz w:val="15"/>
                <w:szCs w:val="15"/>
                <w:lang w:val="es-MX" w:eastAsia="es-MX"/>
              </w:rPr>
            </w:pPr>
            <w:r w:rsidRPr="00255081">
              <w:rPr>
                <w:rFonts w:ascii="Montserrat" w:eastAsia="Times New Roman" w:hAnsi="Montserrat" w:cs="Calibri"/>
                <w:color w:val="000000"/>
                <w:sz w:val="15"/>
                <w:szCs w:val="15"/>
                <w:lang w:val="es-MX" w:eastAsia="es-MX"/>
              </w:rPr>
              <w:t>7.9</w:t>
            </w:r>
          </w:p>
        </w:tc>
        <w:tc>
          <w:tcPr>
            <w:tcW w:w="4500" w:type="dxa"/>
            <w:tcBorders>
              <w:bottom w:val="single" w:sz="12" w:space="0" w:color="808080" w:themeColor="background1" w:themeShade="80"/>
            </w:tcBorders>
            <w:shd w:val="clear" w:color="auto" w:fill="F2F2F2" w:themeFill="background1" w:themeFillShade="F2"/>
            <w:noWrap/>
            <w:vAlign w:val="center"/>
            <w:hideMark/>
          </w:tcPr>
          <w:p w14:paraId="347CF12C" w14:textId="39C33664" w:rsidR="003E77F5" w:rsidRPr="00255081" w:rsidRDefault="003E77F5">
            <w:pPr>
              <w:spacing w:after="0" w:line="240" w:lineRule="auto"/>
              <w:ind w:left="170"/>
              <w:jc w:val="both"/>
              <w:rPr>
                <w:rFonts w:ascii="Montserrat" w:eastAsia="Times New Roman" w:hAnsi="Montserrat" w:cs="Calibri"/>
                <w:color w:val="000000"/>
                <w:sz w:val="15"/>
                <w:szCs w:val="15"/>
                <w:lang w:val="es-MX" w:eastAsia="es-MX"/>
              </w:rPr>
            </w:pPr>
            <w:r w:rsidRPr="00255081">
              <w:rPr>
                <w:rFonts w:ascii="Montserrat" w:eastAsia="Times New Roman" w:hAnsi="Montserrat" w:cs="Calibri"/>
                <w:color w:val="000000"/>
                <w:sz w:val="15"/>
                <w:szCs w:val="15"/>
                <w:lang w:val="es-MX" w:eastAsia="es-MX"/>
              </w:rPr>
              <w:t xml:space="preserve">Otras </w:t>
            </w:r>
            <w:r w:rsidR="00B50E8F" w:rsidRPr="00255081">
              <w:rPr>
                <w:rFonts w:ascii="Montserrat" w:eastAsia="Times New Roman" w:hAnsi="Montserrat" w:cs="Calibri"/>
                <w:color w:val="000000"/>
                <w:sz w:val="15"/>
                <w:szCs w:val="15"/>
                <w:lang w:val="es-MX" w:eastAsia="es-MX"/>
              </w:rPr>
              <w:t>c</w:t>
            </w:r>
            <w:r w:rsidRPr="00255081">
              <w:rPr>
                <w:rFonts w:ascii="Montserrat" w:eastAsia="Times New Roman" w:hAnsi="Montserrat" w:cs="Calibri"/>
                <w:color w:val="000000"/>
                <w:sz w:val="15"/>
                <w:szCs w:val="15"/>
                <w:lang w:val="es-MX" w:eastAsia="es-MX"/>
              </w:rPr>
              <w:t>uentas</w:t>
            </w:r>
          </w:p>
        </w:tc>
        <w:tc>
          <w:tcPr>
            <w:tcW w:w="1800" w:type="dxa"/>
            <w:tcBorders>
              <w:bottom w:val="single" w:sz="12" w:space="0" w:color="808080" w:themeColor="background1" w:themeShade="80"/>
            </w:tcBorders>
            <w:shd w:val="clear" w:color="auto" w:fill="F2F2F2" w:themeFill="background1" w:themeFillShade="F2"/>
            <w:noWrap/>
            <w:vAlign w:val="center"/>
            <w:hideMark/>
          </w:tcPr>
          <w:p w14:paraId="383D074B" w14:textId="110A7BAA" w:rsidR="003E77F5" w:rsidRPr="00255081" w:rsidRDefault="00B50E8F" w:rsidP="003E77F5">
            <w:pPr>
              <w:spacing w:after="0" w:line="240" w:lineRule="auto"/>
              <w:jc w:val="right"/>
              <w:rPr>
                <w:rFonts w:ascii="Montserrat" w:hAnsi="Montserrat" w:cs="Calibri"/>
                <w:color w:val="000000"/>
                <w:sz w:val="15"/>
                <w:szCs w:val="15"/>
              </w:rPr>
            </w:pPr>
            <w:r w:rsidRPr="00255081">
              <w:rPr>
                <w:rFonts w:ascii="Montserrat" w:hAnsi="Montserrat" w:cs="Calibri"/>
                <w:color w:val="000000"/>
                <w:sz w:val="15"/>
                <w:szCs w:val="15"/>
              </w:rPr>
              <w:t>1,853,231,400,115</w:t>
            </w:r>
          </w:p>
        </w:tc>
      </w:tr>
    </w:tbl>
    <w:p w14:paraId="715C252F" w14:textId="77777777" w:rsidR="00A36D27" w:rsidRPr="000A2897" w:rsidRDefault="00A36D27" w:rsidP="000A2897">
      <w:pPr>
        <w:spacing w:after="0" w:line="240" w:lineRule="auto"/>
        <w:jc w:val="both"/>
        <w:rPr>
          <w:rFonts w:ascii="Montserrat" w:hAnsi="Montserrat" w:cs="Arial"/>
          <w:spacing w:val="-1"/>
          <w:sz w:val="18"/>
          <w:szCs w:val="18"/>
        </w:rPr>
      </w:pPr>
    </w:p>
    <w:p w14:paraId="770B74A1" w14:textId="77777777" w:rsidR="009C3C24" w:rsidRPr="004E44CE" w:rsidRDefault="009C3C24" w:rsidP="005A5AC5">
      <w:pPr>
        <w:pStyle w:val="VIETAFLECHA"/>
        <w:numPr>
          <w:ilvl w:val="0"/>
          <w:numId w:val="13"/>
        </w:numPr>
        <w:ind w:left="357" w:hanging="357"/>
        <w:rPr>
          <w:rFonts w:cs="Arial"/>
          <w:spacing w:val="-1"/>
        </w:rPr>
      </w:pPr>
      <w:r w:rsidRPr="004E44CE">
        <w:rPr>
          <w:rFonts w:cs="Arial"/>
          <w:spacing w:val="-1"/>
        </w:rPr>
        <w:t>Presupuestarias:</w:t>
      </w:r>
    </w:p>
    <w:p w14:paraId="0D864EBC" w14:textId="77777777" w:rsidR="009C3C24" w:rsidRPr="00F174D8" w:rsidRDefault="009C3C24" w:rsidP="005A5AC5">
      <w:pPr>
        <w:numPr>
          <w:ilvl w:val="0"/>
          <w:numId w:val="15"/>
        </w:numPr>
        <w:spacing w:after="120" w:line="250" w:lineRule="exact"/>
        <w:ind w:left="998" w:hanging="284"/>
        <w:jc w:val="both"/>
        <w:rPr>
          <w:rFonts w:ascii="Montserrat" w:hAnsi="Montserrat" w:cs="Arial"/>
          <w:sz w:val="18"/>
          <w:szCs w:val="18"/>
        </w:rPr>
      </w:pPr>
      <w:r w:rsidRPr="00F174D8">
        <w:rPr>
          <w:rFonts w:ascii="Montserrat" w:hAnsi="Montserrat" w:cs="Arial"/>
          <w:sz w:val="18"/>
          <w:szCs w:val="18"/>
        </w:rPr>
        <w:t>Cuentas de Ingresos</w:t>
      </w:r>
    </w:p>
    <w:p w14:paraId="74873AB7" w14:textId="6E8F3D12" w:rsidR="009C3C24" w:rsidRPr="00063579" w:rsidRDefault="009C3C24" w:rsidP="00063579">
      <w:pPr>
        <w:spacing w:after="120" w:line="250" w:lineRule="exact"/>
        <w:jc w:val="both"/>
        <w:rPr>
          <w:rFonts w:ascii="Montserrat" w:hAnsi="Montserrat" w:cs="Arial"/>
          <w:spacing w:val="-1"/>
          <w:sz w:val="18"/>
          <w:szCs w:val="18"/>
        </w:rPr>
      </w:pPr>
      <w:r w:rsidRPr="00063579">
        <w:rPr>
          <w:rFonts w:ascii="Montserrat" w:hAnsi="Montserrat" w:cs="Arial"/>
          <w:spacing w:val="-1"/>
          <w:sz w:val="18"/>
          <w:szCs w:val="18"/>
        </w:rPr>
        <w:t xml:space="preserve">Las </w:t>
      </w:r>
      <w:r w:rsidR="000A2897">
        <w:rPr>
          <w:rFonts w:ascii="Montserrat" w:hAnsi="Montserrat" w:cs="Arial"/>
          <w:spacing w:val="-1"/>
          <w:sz w:val="18"/>
          <w:szCs w:val="18"/>
        </w:rPr>
        <w:t>C</w:t>
      </w:r>
      <w:r w:rsidRPr="00063579">
        <w:rPr>
          <w:rFonts w:ascii="Montserrat" w:hAnsi="Montserrat" w:cs="Arial"/>
          <w:spacing w:val="-1"/>
          <w:sz w:val="18"/>
          <w:szCs w:val="18"/>
        </w:rPr>
        <w:t xml:space="preserve">uentas </w:t>
      </w:r>
      <w:r w:rsidR="001B3AD1">
        <w:rPr>
          <w:rFonts w:ascii="Montserrat" w:hAnsi="Montserrat" w:cs="Arial"/>
          <w:spacing w:val="-1"/>
          <w:sz w:val="18"/>
          <w:szCs w:val="18"/>
        </w:rPr>
        <w:t xml:space="preserve">de Orden </w:t>
      </w:r>
      <w:r w:rsidR="000A2897">
        <w:rPr>
          <w:rFonts w:ascii="Montserrat" w:hAnsi="Montserrat" w:cs="Arial"/>
          <w:spacing w:val="-1"/>
          <w:sz w:val="18"/>
          <w:szCs w:val="18"/>
        </w:rPr>
        <w:t>P</w:t>
      </w:r>
      <w:r w:rsidRPr="00063579">
        <w:rPr>
          <w:rFonts w:ascii="Montserrat" w:hAnsi="Montserrat" w:cs="Arial"/>
          <w:spacing w:val="-1"/>
          <w:sz w:val="18"/>
          <w:szCs w:val="18"/>
        </w:rPr>
        <w:t>resupuestarias de ingresos que se utilizan son: Ley de Ingresos Estimada, Ley de Ingresos por Ejecutar, Modificaciones a la Ley de Ingresos Estim</w:t>
      </w:r>
      <w:r w:rsidR="00F174D8">
        <w:rPr>
          <w:rFonts w:ascii="Montserrat" w:hAnsi="Montserrat" w:cs="Arial"/>
          <w:spacing w:val="-1"/>
          <w:sz w:val="18"/>
          <w:szCs w:val="18"/>
        </w:rPr>
        <w:t xml:space="preserve">ada, Ley de Ingresos Devengada, y </w:t>
      </w:r>
      <w:r w:rsidRPr="00063579">
        <w:rPr>
          <w:rFonts w:ascii="Montserrat" w:hAnsi="Montserrat" w:cs="Arial"/>
          <w:spacing w:val="-1"/>
          <w:sz w:val="18"/>
          <w:szCs w:val="18"/>
        </w:rPr>
        <w:t>Ley de Ingresos Recaudada</w:t>
      </w:r>
      <w:r w:rsidR="001B3AD1">
        <w:rPr>
          <w:rFonts w:ascii="Montserrat" w:hAnsi="Montserrat" w:cs="Arial"/>
          <w:spacing w:val="-1"/>
          <w:sz w:val="18"/>
          <w:szCs w:val="18"/>
        </w:rPr>
        <w:t>. A</w:t>
      </w:r>
      <w:r w:rsidRPr="00063579">
        <w:rPr>
          <w:rFonts w:ascii="Montserrat" w:hAnsi="Montserrat" w:cs="Arial"/>
          <w:spacing w:val="-1"/>
          <w:sz w:val="18"/>
          <w:szCs w:val="18"/>
        </w:rPr>
        <w:t xml:space="preserve"> continuación se presenta el total del Poder Ejecutivo Federal:</w:t>
      </w:r>
    </w:p>
    <w:tbl>
      <w:tblPr>
        <w:tblW w:w="6159" w:type="dxa"/>
        <w:jc w:val="center"/>
        <w:tblCellMar>
          <w:left w:w="70" w:type="dxa"/>
          <w:right w:w="70" w:type="dxa"/>
        </w:tblCellMar>
        <w:tblLook w:val="04A0" w:firstRow="1" w:lastRow="0" w:firstColumn="1" w:lastColumn="0" w:noHBand="0" w:noVBand="1"/>
      </w:tblPr>
      <w:tblGrid>
        <w:gridCol w:w="3071"/>
        <w:gridCol w:w="3088"/>
      </w:tblGrid>
      <w:tr w:rsidR="009C3C24" w:rsidRPr="006F0DF1" w14:paraId="1192401F" w14:textId="77777777" w:rsidTr="000F0321">
        <w:trPr>
          <w:trHeight w:val="305"/>
          <w:jc w:val="center"/>
        </w:trPr>
        <w:tc>
          <w:tcPr>
            <w:tcW w:w="6159" w:type="dxa"/>
            <w:gridSpan w:val="2"/>
            <w:tcBorders>
              <w:top w:val="nil"/>
              <w:left w:val="nil"/>
              <w:bottom w:val="single" w:sz="12" w:space="0" w:color="808080" w:themeColor="background1" w:themeShade="80"/>
              <w:right w:val="nil"/>
            </w:tcBorders>
            <w:shd w:val="clear" w:color="auto" w:fill="auto"/>
            <w:vAlign w:val="center"/>
            <w:hideMark/>
          </w:tcPr>
          <w:p w14:paraId="02E47612" w14:textId="77777777" w:rsidR="009C3C24" w:rsidRPr="00685332" w:rsidRDefault="00E52592" w:rsidP="00E52592">
            <w:pPr>
              <w:spacing w:after="60" w:line="250" w:lineRule="exact"/>
              <w:jc w:val="center"/>
              <w:rPr>
                <w:rFonts w:ascii="Montserrat" w:eastAsia="Times New Roman" w:hAnsi="Montserrat" w:cs="Calibri"/>
                <w:bCs/>
                <w:sz w:val="16"/>
                <w:szCs w:val="16"/>
                <w:lang w:val="es-MX" w:eastAsia="es-MX"/>
              </w:rPr>
            </w:pPr>
            <w:r w:rsidRPr="00685332">
              <w:rPr>
                <w:rFonts w:ascii="Montserrat" w:eastAsia="Times New Roman" w:hAnsi="Montserrat" w:cs="Calibri"/>
                <w:bCs/>
                <w:sz w:val="16"/>
                <w:szCs w:val="16"/>
                <w:lang w:val="es-MX" w:eastAsia="es-MX"/>
              </w:rPr>
              <w:t>(</w:t>
            </w:r>
            <w:r w:rsidR="009C3C24" w:rsidRPr="00685332">
              <w:rPr>
                <w:rFonts w:ascii="Montserrat" w:eastAsia="Times New Roman" w:hAnsi="Montserrat" w:cs="Calibri"/>
                <w:bCs/>
                <w:sz w:val="16"/>
                <w:szCs w:val="16"/>
                <w:lang w:val="es-MX" w:eastAsia="es-MX"/>
              </w:rPr>
              <w:t>Pesos)</w:t>
            </w:r>
          </w:p>
        </w:tc>
      </w:tr>
      <w:tr w:rsidR="00C4519E" w:rsidRPr="006F0DF1" w14:paraId="0A917CB5" w14:textId="77777777" w:rsidTr="000F0321">
        <w:trPr>
          <w:trHeight w:val="57"/>
          <w:jc w:val="center"/>
        </w:trPr>
        <w:tc>
          <w:tcPr>
            <w:tcW w:w="6159" w:type="dxa"/>
            <w:gridSpan w:val="2"/>
            <w:tcBorders>
              <w:top w:val="single" w:sz="12" w:space="0" w:color="808080" w:themeColor="background1" w:themeShade="80"/>
            </w:tcBorders>
            <w:shd w:val="clear" w:color="auto" w:fill="auto"/>
            <w:vAlign w:val="center"/>
          </w:tcPr>
          <w:p w14:paraId="32B2A5DA" w14:textId="77777777" w:rsidR="00C4519E" w:rsidRPr="0082611E" w:rsidRDefault="00C4519E" w:rsidP="002F797B">
            <w:pPr>
              <w:spacing w:after="0" w:line="240" w:lineRule="auto"/>
              <w:jc w:val="center"/>
              <w:rPr>
                <w:rFonts w:ascii="Montserrat" w:eastAsia="Times New Roman" w:hAnsi="Montserrat" w:cs="Calibri"/>
                <w:b/>
                <w:bCs/>
                <w:color w:val="FFFFFF"/>
                <w:sz w:val="4"/>
                <w:szCs w:val="4"/>
                <w:lang w:val="es-MX" w:eastAsia="es-MX"/>
              </w:rPr>
            </w:pPr>
          </w:p>
        </w:tc>
      </w:tr>
      <w:tr w:rsidR="009C3C24" w:rsidRPr="006F0DF1" w14:paraId="0A2E73D3" w14:textId="77777777" w:rsidTr="00F01A61">
        <w:trPr>
          <w:trHeight w:val="317"/>
          <w:jc w:val="center"/>
        </w:trPr>
        <w:tc>
          <w:tcPr>
            <w:tcW w:w="3071" w:type="dxa"/>
            <w:tcBorders>
              <w:bottom w:val="double" w:sz="12" w:space="0" w:color="808080" w:themeColor="background1" w:themeShade="80"/>
              <w:right w:val="single" w:sz="8" w:space="0" w:color="FFFFFF" w:themeColor="background1"/>
            </w:tcBorders>
            <w:shd w:val="clear" w:color="auto" w:fill="D4C19C"/>
            <w:vAlign w:val="center"/>
            <w:hideMark/>
          </w:tcPr>
          <w:p w14:paraId="0A69DD6F" w14:textId="5A36DA5C" w:rsidR="009C3C24" w:rsidRPr="006F0DF1" w:rsidRDefault="009C3C24" w:rsidP="00172E13">
            <w:pPr>
              <w:spacing w:after="0" w:line="240" w:lineRule="auto"/>
              <w:jc w:val="center"/>
              <w:rPr>
                <w:rFonts w:ascii="Montserrat" w:eastAsia="Times New Roman" w:hAnsi="Montserrat" w:cs="Calibri"/>
                <w:b/>
                <w:bCs/>
                <w:color w:val="FFFFFF"/>
                <w:sz w:val="16"/>
                <w:szCs w:val="16"/>
                <w:lang w:val="es-MX" w:eastAsia="es-MX"/>
              </w:rPr>
            </w:pPr>
            <w:r w:rsidRPr="006F0DF1">
              <w:rPr>
                <w:rFonts w:ascii="Montserrat" w:eastAsia="Times New Roman" w:hAnsi="Montserrat" w:cs="Calibri"/>
                <w:b/>
                <w:bCs/>
                <w:color w:val="FFFFFF"/>
                <w:sz w:val="16"/>
                <w:szCs w:val="16"/>
                <w:lang w:val="es-MX" w:eastAsia="es-MX"/>
              </w:rPr>
              <w:t xml:space="preserve">Estimada </w:t>
            </w:r>
          </w:p>
        </w:tc>
        <w:tc>
          <w:tcPr>
            <w:tcW w:w="3088" w:type="dxa"/>
            <w:tcBorders>
              <w:left w:val="single" w:sz="8" w:space="0" w:color="FFFFFF" w:themeColor="background1"/>
              <w:bottom w:val="double" w:sz="12" w:space="0" w:color="808080" w:themeColor="background1" w:themeShade="80"/>
            </w:tcBorders>
            <w:shd w:val="clear" w:color="auto" w:fill="D4C19C"/>
            <w:noWrap/>
            <w:vAlign w:val="center"/>
            <w:hideMark/>
          </w:tcPr>
          <w:p w14:paraId="1A60AF36" w14:textId="78FFCF06" w:rsidR="009C3C24" w:rsidRPr="006F0DF1" w:rsidRDefault="004B170A" w:rsidP="002F797B">
            <w:pPr>
              <w:spacing w:after="0" w:line="240" w:lineRule="auto"/>
              <w:jc w:val="center"/>
              <w:rPr>
                <w:rFonts w:ascii="Montserrat" w:eastAsia="Times New Roman" w:hAnsi="Montserrat" w:cs="Calibri"/>
                <w:b/>
                <w:bCs/>
                <w:color w:val="FFFFFF"/>
                <w:sz w:val="16"/>
                <w:szCs w:val="16"/>
                <w:lang w:val="es-MX" w:eastAsia="es-MX"/>
              </w:rPr>
            </w:pPr>
            <w:r>
              <w:rPr>
                <w:rFonts w:ascii="Montserrat" w:eastAsia="Times New Roman" w:hAnsi="Montserrat" w:cs="Calibri"/>
                <w:b/>
                <w:bCs/>
                <w:color w:val="FFFFFF"/>
                <w:sz w:val="16"/>
                <w:szCs w:val="16"/>
                <w:lang w:val="es-MX" w:eastAsia="es-MX"/>
              </w:rPr>
              <w:t>Devengada</w:t>
            </w:r>
            <w:r w:rsidR="009C3C24" w:rsidRPr="006F0DF1">
              <w:rPr>
                <w:rFonts w:ascii="Montserrat" w:eastAsia="Times New Roman" w:hAnsi="Montserrat" w:cs="Calibri"/>
                <w:b/>
                <w:bCs/>
                <w:color w:val="FFFFFF"/>
                <w:sz w:val="16"/>
                <w:szCs w:val="16"/>
                <w:lang w:val="es-MX" w:eastAsia="es-MX"/>
              </w:rPr>
              <w:t xml:space="preserve"> y Recaudad</w:t>
            </w:r>
            <w:r>
              <w:rPr>
                <w:rFonts w:ascii="Montserrat" w:eastAsia="Times New Roman" w:hAnsi="Montserrat" w:cs="Calibri"/>
                <w:b/>
                <w:bCs/>
                <w:color w:val="FFFFFF"/>
                <w:sz w:val="16"/>
                <w:szCs w:val="16"/>
                <w:lang w:val="es-MX" w:eastAsia="es-MX"/>
              </w:rPr>
              <w:t>a</w:t>
            </w:r>
          </w:p>
        </w:tc>
      </w:tr>
      <w:tr w:rsidR="003E77F5" w:rsidRPr="00FC29E7" w14:paraId="2CD2ACDF" w14:textId="77777777" w:rsidTr="00F01A61">
        <w:trPr>
          <w:trHeight w:val="317"/>
          <w:jc w:val="center"/>
        </w:trPr>
        <w:tc>
          <w:tcPr>
            <w:tcW w:w="3071" w:type="dxa"/>
            <w:tcBorders>
              <w:top w:val="double" w:sz="12" w:space="0" w:color="808080" w:themeColor="background1" w:themeShade="80"/>
              <w:bottom w:val="single" w:sz="12" w:space="0" w:color="808080" w:themeColor="background1" w:themeShade="80"/>
            </w:tcBorders>
            <w:shd w:val="clear" w:color="auto" w:fill="F2F2F2" w:themeFill="background1" w:themeFillShade="F2"/>
            <w:noWrap/>
            <w:vAlign w:val="center"/>
            <w:hideMark/>
          </w:tcPr>
          <w:p w14:paraId="331E2AE3" w14:textId="0563DEB5" w:rsidR="003E77F5" w:rsidRPr="00FC29E7" w:rsidRDefault="00B50E8F" w:rsidP="003E77F5">
            <w:pPr>
              <w:spacing w:after="0" w:line="240" w:lineRule="auto"/>
              <w:jc w:val="center"/>
              <w:rPr>
                <w:rFonts w:ascii="Montserrat" w:eastAsia="Times New Roman" w:hAnsi="Montserrat" w:cs="Calibri"/>
                <w:color w:val="000000"/>
                <w:sz w:val="15"/>
                <w:szCs w:val="15"/>
                <w:lang w:val="es-MX" w:eastAsia="es-MX"/>
              </w:rPr>
            </w:pPr>
            <w:r w:rsidRPr="00172E13">
              <w:rPr>
                <w:rFonts w:ascii="Montserrat" w:eastAsia="Times New Roman" w:hAnsi="Montserrat" w:cs="Calibri"/>
                <w:color w:val="000000"/>
                <w:sz w:val="15"/>
                <w:szCs w:val="15"/>
                <w:lang w:val="es-MX" w:eastAsia="es-MX"/>
              </w:rPr>
              <w:t>4,442,357,411,373</w:t>
            </w:r>
          </w:p>
        </w:tc>
        <w:tc>
          <w:tcPr>
            <w:tcW w:w="3088" w:type="dxa"/>
            <w:tcBorders>
              <w:top w:val="double" w:sz="12" w:space="0" w:color="808080" w:themeColor="background1" w:themeShade="80"/>
              <w:bottom w:val="single" w:sz="12" w:space="0" w:color="808080" w:themeColor="background1" w:themeShade="80"/>
            </w:tcBorders>
            <w:shd w:val="clear" w:color="auto" w:fill="F2F2F2" w:themeFill="background1" w:themeFillShade="F2"/>
            <w:noWrap/>
            <w:vAlign w:val="center"/>
            <w:hideMark/>
          </w:tcPr>
          <w:p w14:paraId="27601A03" w14:textId="63636CB7" w:rsidR="003E77F5" w:rsidRPr="00FC29E7" w:rsidRDefault="00B50E8F" w:rsidP="003E77F5">
            <w:pPr>
              <w:spacing w:after="0" w:line="240" w:lineRule="auto"/>
              <w:jc w:val="center"/>
              <w:rPr>
                <w:rFonts w:ascii="Montserrat" w:eastAsia="Times New Roman" w:hAnsi="Montserrat" w:cs="Calibri"/>
                <w:color w:val="000000"/>
                <w:sz w:val="15"/>
                <w:szCs w:val="15"/>
                <w:lang w:val="es-MX" w:eastAsia="es-MX"/>
              </w:rPr>
            </w:pPr>
            <w:r w:rsidRPr="00FC29E7">
              <w:rPr>
                <w:rFonts w:ascii="Montserrat" w:eastAsia="Times New Roman" w:hAnsi="Montserrat" w:cs="Calibri"/>
                <w:color w:val="000000"/>
                <w:sz w:val="15"/>
                <w:szCs w:val="15"/>
                <w:lang w:val="es-MX" w:eastAsia="es-MX"/>
              </w:rPr>
              <w:t>4,575,725,032,170</w:t>
            </w:r>
          </w:p>
        </w:tc>
      </w:tr>
    </w:tbl>
    <w:p w14:paraId="293EC14D" w14:textId="77777777" w:rsidR="00A36D27" w:rsidRPr="000A2897" w:rsidRDefault="00A36D27" w:rsidP="000A2897">
      <w:pPr>
        <w:spacing w:after="0" w:line="240" w:lineRule="auto"/>
        <w:jc w:val="both"/>
        <w:rPr>
          <w:rFonts w:ascii="Montserrat" w:hAnsi="Montserrat" w:cs="Arial"/>
          <w:spacing w:val="-1"/>
          <w:sz w:val="18"/>
          <w:szCs w:val="18"/>
        </w:rPr>
      </w:pPr>
    </w:p>
    <w:p w14:paraId="678A7C17" w14:textId="77777777" w:rsidR="00A36D27" w:rsidRDefault="00A36D27" w:rsidP="000A2897">
      <w:pPr>
        <w:spacing w:after="0" w:line="240" w:lineRule="auto"/>
        <w:jc w:val="both"/>
        <w:rPr>
          <w:rFonts w:ascii="Montserrat" w:hAnsi="Montserrat" w:cs="Arial"/>
          <w:spacing w:val="-1"/>
          <w:sz w:val="18"/>
          <w:szCs w:val="18"/>
        </w:rPr>
      </w:pPr>
    </w:p>
    <w:p w14:paraId="0F1E883B" w14:textId="77777777" w:rsidR="003655A9" w:rsidRPr="000A2897" w:rsidRDefault="003655A9" w:rsidP="000A2897">
      <w:pPr>
        <w:spacing w:after="0" w:line="240" w:lineRule="auto"/>
        <w:jc w:val="both"/>
        <w:rPr>
          <w:rFonts w:ascii="Montserrat" w:hAnsi="Montserrat" w:cs="Arial"/>
          <w:spacing w:val="-1"/>
          <w:sz w:val="18"/>
          <w:szCs w:val="18"/>
        </w:rPr>
      </w:pPr>
    </w:p>
    <w:p w14:paraId="46C76562" w14:textId="77777777" w:rsidR="009C3C24" w:rsidRPr="00F174D8" w:rsidRDefault="009C3C24" w:rsidP="005A5AC5">
      <w:pPr>
        <w:numPr>
          <w:ilvl w:val="0"/>
          <w:numId w:val="16"/>
        </w:numPr>
        <w:spacing w:after="120" w:line="250" w:lineRule="exact"/>
        <w:ind w:left="998" w:hanging="284"/>
        <w:jc w:val="both"/>
        <w:rPr>
          <w:rFonts w:ascii="Montserrat" w:hAnsi="Montserrat" w:cs="Arial"/>
          <w:sz w:val="18"/>
          <w:szCs w:val="18"/>
        </w:rPr>
      </w:pPr>
      <w:r w:rsidRPr="00F174D8">
        <w:rPr>
          <w:rFonts w:ascii="Montserrat" w:hAnsi="Montserrat" w:cs="Arial"/>
          <w:sz w:val="18"/>
          <w:szCs w:val="18"/>
        </w:rPr>
        <w:lastRenderedPageBreak/>
        <w:t>Cuentas de Egresos</w:t>
      </w:r>
    </w:p>
    <w:p w14:paraId="6A893113" w14:textId="2EF120AF" w:rsidR="009C3C24" w:rsidRPr="00063579" w:rsidRDefault="009C3C24" w:rsidP="00063579">
      <w:pPr>
        <w:spacing w:after="120" w:line="250" w:lineRule="exact"/>
        <w:jc w:val="both"/>
        <w:rPr>
          <w:rFonts w:ascii="Montserrat" w:hAnsi="Montserrat" w:cs="Arial"/>
          <w:spacing w:val="-1"/>
          <w:sz w:val="18"/>
          <w:szCs w:val="18"/>
        </w:rPr>
      </w:pPr>
      <w:r w:rsidRPr="00063579">
        <w:rPr>
          <w:rFonts w:ascii="Montserrat" w:hAnsi="Montserrat" w:cs="Arial"/>
          <w:spacing w:val="-1"/>
          <w:sz w:val="18"/>
          <w:szCs w:val="18"/>
        </w:rPr>
        <w:t xml:space="preserve">Las </w:t>
      </w:r>
      <w:r w:rsidR="001B3AD1" w:rsidRPr="00063579">
        <w:rPr>
          <w:rFonts w:ascii="Montserrat" w:hAnsi="Montserrat" w:cs="Arial"/>
          <w:spacing w:val="-1"/>
          <w:sz w:val="18"/>
          <w:szCs w:val="18"/>
        </w:rPr>
        <w:t>Cuentas</w:t>
      </w:r>
      <w:r w:rsidR="001B3AD1">
        <w:rPr>
          <w:rFonts w:ascii="Montserrat" w:hAnsi="Montserrat" w:cs="Arial"/>
          <w:spacing w:val="-1"/>
          <w:sz w:val="18"/>
          <w:szCs w:val="18"/>
        </w:rPr>
        <w:t xml:space="preserve"> de Orden </w:t>
      </w:r>
      <w:r w:rsidR="001B3AD1" w:rsidRPr="00063579">
        <w:rPr>
          <w:rFonts w:ascii="Montserrat" w:hAnsi="Montserrat" w:cs="Arial"/>
          <w:spacing w:val="-1"/>
          <w:sz w:val="18"/>
          <w:szCs w:val="18"/>
        </w:rPr>
        <w:t xml:space="preserve">Presupuestarias </w:t>
      </w:r>
      <w:r w:rsidRPr="00063579">
        <w:rPr>
          <w:rFonts w:ascii="Montserrat" w:hAnsi="Montserrat" w:cs="Arial"/>
          <w:spacing w:val="-1"/>
          <w:sz w:val="18"/>
          <w:szCs w:val="18"/>
        </w:rPr>
        <w:t xml:space="preserve">de egresos que se utilizan son: Presupuesto de Egresos Aprobado, </w:t>
      </w:r>
      <w:r w:rsidR="001B3AD1" w:rsidRPr="00063579">
        <w:rPr>
          <w:rFonts w:ascii="Montserrat" w:hAnsi="Montserrat" w:cs="Arial"/>
          <w:spacing w:val="-1"/>
          <w:sz w:val="18"/>
          <w:szCs w:val="18"/>
        </w:rPr>
        <w:t>Presupuesto de Egresos por Ejercer,</w:t>
      </w:r>
      <w:r w:rsidR="001B3AD1">
        <w:rPr>
          <w:rFonts w:ascii="Montserrat" w:hAnsi="Montserrat" w:cs="Arial"/>
          <w:spacing w:val="-1"/>
          <w:sz w:val="18"/>
          <w:szCs w:val="18"/>
        </w:rPr>
        <w:t xml:space="preserve"> </w:t>
      </w:r>
      <w:r w:rsidRPr="00063579">
        <w:rPr>
          <w:rFonts w:ascii="Montserrat" w:hAnsi="Montserrat" w:cs="Arial"/>
          <w:spacing w:val="-1"/>
          <w:sz w:val="18"/>
          <w:szCs w:val="18"/>
        </w:rPr>
        <w:t>Modificaciones al Presupuesto de Egresos Aprobado, Presupuesto de Egresos Comprometido, Presupuesto de Egresos Devengado, Presupuesto de Egresos Ejercido y Presupues</w:t>
      </w:r>
      <w:r w:rsidR="001B3AD1">
        <w:rPr>
          <w:rFonts w:ascii="Montserrat" w:hAnsi="Montserrat" w:cs="Arial"/>
          <w:spacing w:val="-1"/>
          <w:sz w:val="18"/>
          <w:szCs w:val="18"/>
        </w:rPr>
        <w:t>to de Egresos Pagado. A</w:t>
      </w:r>
      <w:r w:rsidRPr="00063579">
        <w:rPr>
          <w:rFonts w:ascii="Montserrat" w:hAnsi="Montserrat" w:cs="Arial"/>
          <w:spacing w:val="-1"/>
          <w:sz w:val="18"/>
          <w:szCs w:val="18"/>
        </w:rPr>
        <w:t xml:space="preserve"> continuación se presenta el total del Presupuesto del Poder Ejecutivo Federal:</w:t>
      </w:r>
    </w:p>
    <w:tbl>
      <w:tblPr>
        <w:tblW w:w="5954" w:type="dxa"/>
        <w:jc w:val="center"/>
        <w:tblCellMar>
          <w:left w:w="70" w:type="dxa"/>
          <w:right w:w="70" w:type="dxa"/>
        </w:tblCellMar>
        <w:tblLook w:val="04A0" w:firstRow="1" w:lastRow="0" w:firstColumn="1" w:lastColumn="0" w:noHBand="0" w:noVBand="1"/>
      </w:tblPr>
      <w:tblGrid>
        <w:gridCol w:w="3969"/>
        <w:gridCol w:w="1985"/>
      </w:tblGrid>
      <w:tr w:rsidR="00E52592" w:rsidRPr="006F0DF1" w14:paraId="42A62844" w14:textId="77777777" w:rsidTr="000F0321">
        <w:trPr>
          <w:trHeight w:val="305"/>
          <w:jc w:val="center"/>
        </w:trPr>
        <w:tc>
          <w:tcPr>
            <w:tcW w:w="5954" w:type="dxa"/>
            <w:gridSpan w:val="2"/>
            <w:tcBorders>
              <w:top w:val="nil"/>
              <w:left w:val="nil"/>
              <w:bottom w:val="single" w:sz="12" w:space="0" w:color="808080"/>
              <w:right w:val="nil"/>
            </w:tcBorders>
            <w:shd w:val="clear" w:color="auto" w:fill="auto"/>
            <w:vAlign w:val="center"/>
            <w:hideMark/>
          </w:tcPr>
          <w:p w14:paraId="2C2C82E4" w14:textId="77777777" w:rsidR="00E52592" w:rsidRPr="00685332" w:rsidRDefault="00E52592" w:rsidP="00E52592">
            <w:pPr>
              <w:spacing w:after="60" w:line="240" w:lineRule="auto"/>
              <w:jc w:val="center"/>
              <w:rPr>
                <w:rFonts w:ascii="Montserrat" w:eastAsia="Times New Roman" w:hAnsi="Montserrat" w:cs="Calibri"/>
                <w:bCs/>
                <w:sz w:val="16"/>
                <w:szCs w:val="16"/>
                <w:lang w:val="es-MX" w:eastAsia="es-MX"/>
              </w:rPr>
            </w:pPr>
            <w:r w:rsidRPr="00685332">
              <w:rPr>
                <w:rFonts w:ascii="Montserrat" w:eastAsia="Times New Roman" w:hAnsi="Montserrat" w:cs="Calibri"/>
                <w:bCs/>
                <w:sz w:val="16"/>
                <w:szCs w:val="16"/>
                <w:lang w:val="es-MX" w:eastAsia="es-MX"/>
              </w:rPr>
              <w:t>(Pesos)</w:t>
            </w:r>
          </w:p>
        </w:tc>
      </w:tr>
      <w:tr w:rsidR="00E52592" w:rsidRPr="006F0DF1" w14:paraId="32F752D4" w14:textId="77777777" w:rsidTr="000F0321">
        <w:trPr>
          <w:trHeight w:val="57"/>
          <w:jc w:val="center"/>
        </w:trPr>
        <w:tc>
          <w:tcPr>
            <w:tcW w:w="5954" w:type="dxa"/>
            <w:gridSpan w:val="2"/>
            <w:tcBorders>
              <w:top w:val="single" w:sz="12" w:space="0" w:color="808080"/>
            </w:tcBorders>
            <w:shd w:val="clear" w:color="auto" w:fill="auto"/>
            <w:vAlign w:val="center"/>
          </w:tcPr>
          <w:p w14:paraId="7B637E75" w14:textId="77777777" w:rsidR="00E52592" w:rsidRPr="0082611E" w:rsidRDefault="00E52592" w:rsidP="00E52592">
            <w:pPr>
              <w:spacing w:after="0" w:line="240" w:lineRule="auto"/>
              <w:jc w:val="center"/>
              <w:rPr>
                <w:rFonts w:ascii="Montserrat" w:eastAsia="Times New Roman" w:hAnsi="Montserrat" w:cs="Calibri"/>
                <w:b/>
                <w:bCs/>
                <w:color w:val="FFFFFF"/>
                <w:sz w:val="4"/>
                <w:szCs w:val="4"/>
                <w:lang w:val="es-MX" w:eastAsia="es-MX"/>
              </w:rPr>
            </w:pPr>
          </w:p>
        </w:tc>
      </w:tr>
      <w:tr w:rsidR="00E52592" w:rsidRPr="006F0DF1" w14:paraId="77A03C11" w14:textId="77777777" w:rsidTr="000F0321">
        <w:trPr>
          <w:trHeight w:val="317"/>
          <w:jc w:val="center"/>
        </w:trPr>
        <w:tc>
          <w:tcPr>
            <w:tcW w:w="3969" w:type="dxa"/>
            <w:tcBorders>
              <w:left w:val="single" w:sz="8" w:space="0" w:color="BFBFBF"/>
              <w:bottom w:val="double" w:sz="12" w:space="0" w:color="808080" w:themeColor="background1" w:themeShade="80"/>
              <w:right w:val="single" w:sz="8" w:space="0" w:color="FFFFFF" w:themeColor="background1"/>
            </w:tcBorders>
            <w:shd w:val="clear" w:color="auto" w:fill="D4C19C"/>
            <w:vAlign w:val="center"/>
            <w:hideMark/>
          </w:tcPr>
          <w:p w14:paraId="55316076" w14:textId="77777777" w:rsidR="00E52592" w:rsidRPr="006F0DF1" w:rsidRDefault="00E52592" w:rsidP="00E52592">
            <w:pPr>
              <w:spacing w:after="0" w:line="240" w:lineRule="auto"/>
              <w:jc w:val="center"/>
              <w:rPr>
                <w:rFonts w:ascii="Montserrat" w:eastAsia="Times New Roman" w:hAnsi="Montserrat" w:cs="Calibri"/>
                <w:b/>
                <w:bCs/>
                <w:color w:val="FFFFFF"/>
                <w:sz w:val="16"/>
                <w:szCs w:val="16"/>
                <w:lang w:val="es-MX" w:eastAsia="es-MX"/>
              </w:rPr>
            </w:pPr>
            <w:r w:rsidRPr="006F0DF1">
              <w:rPr>
                <w:rFonts w:ascii="Montserrat" w:eastAsia="Times New Roman" w:hAnsi="Montserrat" w:cs="Calibri"/>
                <w:b/>
                <w:bCs/>
                <w:color w:val="FFFFFF"/>
                <w:sz w:val="16"/>
                <w:szCs w:val="16"/>
                <w:lang w:val="es-MX" w:eastAsia="es-MX"/>
              </w:rPr>
              <w:t>Concepto</w:t>
            </w:r>
          </w:p>
        </w:tc>
        <w:tc>
          <w:tcPr>
            <w:tcW w:w="1985" w:type="dxa"/>
            <w:tcBorders>
              <w:left w:val="single" w:sz="8" w:space="0" w:color="FFFFFF" w:themeColor="background1"/>
              <w:bottom w:val="double" w:sz="12" w:space="0" w:color="808080" w:themeColor="background1" w:themeShade="80"/>
              <w:right w:val="single" w:sz="8" w:space="0" w:color="BFBFBF"/>
            </w:tcBorders>
            <w:shd w:val="clear" w:color="auto" w:fill="D4C19C"/>
            <w:noWrap/>
            <w:vAlign w:val="center"/>
            <w:hideMark/>
          </w:tcPr>
          <w:p w14:paraId="624E79B7" w14:textId="77777777" w:rsidR="00E52592" w:rsidRPr="006F0DF1" w:rsidRDefault="00E52592" w:rsidP="00E52592">
            <w:pPr>
              <w:spacing w:after="0" w:line="240" w:lineRule="auto"/>
              <w:jc w:val="center"/>
              <w:rPr>
                <w:rFonts w:ascii="Montserrat" w:eastAsia="Times New Roman" w:hAnsi="Montserrat" w:cs="Calibri"/>
                <w:b/>
                <w:bCs/>
                <w:color w:val="FFFFFF"/>
                <w:sz w:val="16"/>
                <w:szCs w:val="16"/>
                <w:lang w:val="es-MX" w:eastAsia="es-MX"/>
              </w:rPr>
            </w:pPr>
            <w:r>
              <w:rPr>
                <w:rFonts w:ascii="Montserrat" w:eastAsia="Times New Roman" w:hAnsi="Montserrat" w:cs="Calibri"/>
                <w:b/>
                <w:bCs/>
                <w:color w:val="FFFFFF"/>
                <w:sz w:val="16"/>
                <w:szCs w:val="16"/>
                <w:lang w:val="es-MX" w:eastAsia="es-MX"/>
              </w:rPr>
              <w:t>201</w:t>
            </w:r>
            <w:r w:rsidR="00D56DC9">
              <w:rPr>
                <w:rFonts w:ascii="Montserrat" w:eastAsia="Times New Roman" w:hAnsi="Montserrat" w:cs="Calibri"/>
                <w:b/>
                <w:bCs/>
                <w:color w:val="FFFFFF"/>
                <w:sz w:val="16"/>
                <w:szCs w:val="16"/>
                <w:lang w:val="es-MX" w:eastAsia="es-MX"/>
              </w:rPr>
              <w:t>9</w:t>
            </w:r>
          </w:p>
        </w:tc>
      </w:tr>
      <w:tr w:rsidR="00C36558" w:rsidRPr="006F0DF1" w14:paraId="3837963B" w14:textId="77777777" w:rsidTr="000F0321">
        <w:trPr>
          <w:trHeight w:val="215"/>
          <w:jc w:val="center"/>
        </w:trPr>
        <w:tc>
          <w:tcPr>
            <w:tcW w:w="3969" w:type="dxa"/>
            <w:tcBorders>
              <w:top w:val="double" w:sz="12" w:space="0" w:color="808080" w:themeColor="background1" w:themeShade="80"/>
            </w:tcBorders>
            <w:shd w:val="clear" w:color="auto" w:fill="F2F2F2"/>
            <w:noWrap/>
            <w:vAlign w:val="center"/>
            <w:hideMark/>
          </w:tcPr>
          <w:p w14:paraId="592D492B" w14:textId="77777777" w:rsidR="00C36558" w:rsidRPr="00255081" w:rsidRDefault="00C36558" w:rsidP="00C36558">
            <w:pPr>
              <w:spacing w:after="0" w:line="240" w:lineRule="auto"/>
              <w:rPr>
                <w:rFonts w:ascii="Montserrat" w:eastAsia="Times New Roman" w:hAnsi="Montserrat" w:cs="Calibri"/>
                <w:color w:val="000000"/>
                <w:sz w:val="15"/>
                <w:szCs w:val="15"/>
                <w:highlight w:val="yellow"/>
                <w:lang w:val="es-MX" w:eastAsia="es-MX"/>
              </w:rPr>
            </w:pPr>
            <w:r w:rsidRPr="00255081">
              <w:rPr>
                <w:rFonts w:ascii="Montserrat" w:eastAsia="Times New Roman" w:hAnsi="Montserrat" w:cs="Calibri"/>
                <w:sz w:val="15"/>
                <w:szCs w:val="15"/>
                <w:lang w:eastAsia="es-MX"/>
              </w:rPr>
              <w:t>Presupuesto de Egresos Aprobado</w:t>
            </w:r>
          </w:p>
        </w:tc>
        <w:tc>
          <w:tcPr>
            <w:tcW w:w="1985" w:type="dxa"/>
            <w:tcBorders>
              <w:top w:val="double" w:sz="12" w:space="0" w:color="808080" w:themeColor="background1" w:themeShade="80"/>
            </w:tcBorders>
            <w:shd w:val="clear" w:color="auto" w:fill="F2F2F2"/>
            <w:noWrap/>
            <w:hideMark/>
          </w:tcPr>
          <w:p w14:paraId="395CCD2A" w14:textId="784E93B3" w:rsidR="00C36558" w:rsidRPr="00255081" w:rsidRDefault="007A09FC" w:rsidP="00C36558">
            <w:pPr>
              <w:spacing w:after="0" w:line="320" w:lineRule="exact"/>
              <w:ind w:right="57"/>
              <w:jc w:val="right"/>
              <w:rPr>
                <w:rFonts w:ascii="Montserrat" w:hAnsi="Montserrat"/>
                <w:sz w:val="15"/>
                <w:szCs w:val="15"/>
              </w:rPr>
            </w:pPr>
            <w:r w:rsidRPr="00255081">
              <w:rPr>
                <w:rFonts w:ascii="Montserrat" w:hAnsi="Montserrat"/>
                <w:sz w:val="15"/>
                <w:szCs w:val="15"/>
              </w:rPr>
              <w:t>4,361,395,275,440</w:t>
            </w:r>
          </w:p>
        </w:tc>
      </w:tr>
      <w:tr w:rsidR="00C36558" w:rsidRPr="006F0DF1" w14:paraId="0314F4CD" w14:textId="77777777" w:rsidTr="000F0321">
        <w:trPr>
          <w:trHeight w:val="215"/>
          <w:jc w:val="center"/>
        </w:trPr>
        <w:tc>
          <w:tcPr>
            <w:tcW w:w="3969" w:type="dxa"/>
            <w:shd w:val="clear" w:color="auto" w:fill="F2F2F2"/>
            <w:noWrap/>
            <w:vAlign w:val="center"/>
          </w:tcPr>
          <w:p w14:paraId="478B2455" w14:textId="77777777" w:rsidR="00C36558" w:rsidRPr="00255081" w:rsidRDefault="00C36558" w:rsidP="00C36558">
            <w:pPr>
              <w:spacing w:after="0" w:line="240" w:lineRule="auto"/>
              <w:rPr>
                <w:rFonts w:ascii="Montserrat" w:eastAsia="Times New Roman" w:hAnsi="Montserrat" w:cs="Calibri"/>
                <w:color w:val="000000"/>
                <w:sz w:val="15"/>
                <w:szCs w:val="15"/>
                <w:highlight w:val="yellow"/>
                <w:lang w:val="es-MX" w:eastAsia="es-MX"/>
              </w:rPr>
            </w:pPr>
            <w:r w:rsidRPr="00255081">
              <w:rPr>
                <w:rFonts w:ascii="Montserrat" w:eastAsia="Times New Roman" w:hAnsi="Montserrat" w:cs="Calibri"/>
                <w:sz w:val="15"/>
                <w:szCs w:val="15"/>
                <w:lang w:eastAsia="es-MX"/>
              </w:rPr>
              <w:t>Presupuesto de Egresos Modificado</w:t>
            </w:r>
          </w:p>
        </w:tc>
        <w:tc>
          <w:tcPr>
            <w:tcW w:w="1985" w:type="dxa"/>
            <w:shd w:val="clear" w:color="auto" w:fill="F2F2F2"/>
            <w:noWrap/>
          </w:tcPr>
          <w:p w14:paraId="3FFDB4FC" w14:textId="79853774" w:rsidR="00C36558" w:rsidRPr="00255081" w:rsidRDefault="007A09FC" w:rsidP="00C36558">
            <w:pPr>
              <w:spacing w:after="0" w:line="320" w:lineRule="exact"/>
              <w:ind w:right="57"/>
              <w:jc w:val="right"/>
              <w:rPr>
                <w:rFonts w:ascii="Montserrat" w:hAnsi="Montserrat"/>
                <w:sz w:val="15"/>
                <w:szCs w:val="15"/>
              </w:rPr>
            </w:pPr>
            <w:r w:rsidRPr="00255081">
              <w:rPr>
                <w:rFonts w:ascii="Montserrat" w:hAnsi="Montserrat"/>
                <w:sz w:val="15"/>
                <w:szCs w:val="15"/>
              </w:rPr>
              <w:t>4,442,016,219,422</w:t>
            </w:r>
          </w:p>
        </w:tc>
      </w:tr>
      <w:tr w:rsidR="00C36558" w:rsidRPr="006F0DF1" w14:paraId="6D300F78" w14:textId="77777777" w:rsidTr="000F0321">
        <w:trPr>
          <w:trHeight w:val="215"/>
          <w:jc w:val="center"/>
        </w:trPr>
        <w:tc>
          <w:tcPr>
            <w:tcW w:w="3969" w:type="dxa"/>
            <w:shd w:val="clear" w:color="auto" w:fill="F2F2F2"/>
            <w:noWrap/>
            <w:vAlign w:val="center"/>
          </w:tcPr>
          <w:p w14:paraId="56001A5D" w14:textId="77777777" w:rsidR="00C36558" w:rsidRPr="00255081" w:rsidRDefault="00C36558" w:rsidP="00C36558">
            <w:pPr>
              <w:spacing w:after="0" w:line="240" w:lineRule="auto"/>
              <w:rPr>
                <w:rFonts w:ascii="Montserrat" w:eastAsia="Times New Roman" w:hAnsi="Montserrat" w:cs="Calibri"/>
                <w:color w:val="000000"/>
                <w:sz w:val="15"/>
                <w:szCs w:val="15"/>
                <w:highlight w:val="yellow"/>
                <w:lang w:val="es-MX" w:eastAsia="es-MX"/>
              </w:rPr>
            </w:pPr>
            <w:r w:rsidRPr="00255081">
              <w:rPr>
                <w:rFonts w:ascii="Montserrat" w:eastAsia="Times New Roman" w:hAnsi="Montserrat" w:cs="Calibri"/>
                <w:sz w:val="15"/>
                <w:szCs w:val="15"/>
                <w:lang w:eastAsia="es-MX"/>
              </w:rPr>
              <w:t>Presupuesto de Egresos Comprometido</w:t>
            </w:r>
          </w:p>
        </w:tc>
        <w:tc>
          <w:tcPr>
            <w:tcW w:w="1985" w:type="dxa"/>
            <w:shd w:val="clear" w:color="auto" w:fill="F2F2F2"/>
            <w:noWrap/>
          </w:tcPr>
          <w:p w14:paraId="5D003CF9" w14:textId="06AD600B" w:rsidR="00C36558" w:rsidRPr="00255081" w:rsidRDefault="007A09FC" w:rsidP="00C36558">
            <w:pPr>
              <w:spacing w:after="0" w:line="320" w:lineRule="exact"/>
              <w:ind w:right="57"/>
              <w:jc w:val="right"/>
              <w:rPr>
                <w:rFonts w:ascii="Montserrat" w:hAnsi="Montserrat"/>
                <w:sz w:val="15"/>
                <w:szCs w:val="15"/>
              </w:rPr>
            </w:pPr>
            <w:r w:rsidRPr="00255081">
              <w:rPr>
                <w:rFonts w:ascii="Montserrat" w:hAnsi="Montserrat"/>
                <w:sz w:val="15"/>
                <w:szCs w:val="15"/>
              </w:rPr>
              <w:t>4,441,477,799,291</w:t>
            </w:r>
          </w:p>
        </w:tc>
      </w:tr>
      <w:tr w:rsidR="00C36558" w:rsidRPr="006F0DF1" w14:paraId="555B6EF4" w14:textId="77777777" w:rsidTr="000F0321">
        <w:trPr>
          <w:trHeight w:val="215"/>
          <w:jc w:val="center"/>
        </w:trPr>
        <w:tc>
          <w:tcPr>
            <w:tcW w:w="3969" w:type="dxa"/>
            <w:shd w:val="clear" w:color="auto" w:fill="F2F2F2"/>
            <w:noWrap/>
            <w:vAlign w:val="center"/>
          </w:tcPr>
          <w:p w14:paraId="67CE67D3" w14:textId="77777777" w:rsidR="00C36558" w:rsidRPr="00255081" w:rsidRDefault="00C36558" w:rsidP="00C36558">
            <w:pPr>
              <w:spacing w:after="0" w:line="240" w:lineRule="auto"/>
              <w:rPr>
                <w:rFonts w:ascii="Montserrat" w:eastAsia="Times New Roman" w:hAnsi="Montserrat" w:cs="Calibri"/>
                <w:color w:val="000000"/>
                <w:sz w:val="15"/>
                <w:szCs w:val="15"/>
                <w:highlight w:val="yellow"/>
                <w:lang w:val="es-MX" w:eastAsia="es-MX"/>
              </w:rPr>
            </w:pPr>
            <w:r w:rsidRPr="00255081">
              <w:rPr>
                <w:rFonts w:ascii="Montserrat" w:eastAsia="Times New Roman" w:hAnsi="Montserrat" w:cs="Calibri"/>
                <w:sz w:val="15"/>
                <w:szCs w:val="15"/>
                <w:lang w:eastAsia="es-MX"/>
              </w:rPr>
              <w:t>Presupuesto de Egresos Devengado</w:t>
            </w:r>
          </w:p>
        </w:tc>
        <w:tc>
          <w:tcPr>
            <w:tcW w:w="1985" w:type="dxa"/>
            <w:shd w:val="clear" w:color="auto" w:fill="F2F2F2"/>
            <w:noWrap/>
          </w:tcPr>
          <w:p w14:paraId="747205F5" w14:textId="444A460F" w:rsidR="00C36558" w:rsidRPr="00255081" w:rsidRDefault="007A09FC" w:rsidP="00C36558">
            <w:pPr>
              <w:spacing w:after="0" w:line="320" w:lineRule="exact"/>
              <w:ind w:right="57"/>
              <w:jc w:val="right"/>
              <w:rPr>
                <w:rFonts w:ascii="Montserrat" w:hAnsi="Montserrat"/>
                <w:sz w:val="15"/>
                <w:szCs w:val="15"/>
              </w:rPr>
            </w:pPr>
            <w:r w:rsidRPr="00255081">
              <w:rPr>
                <w:rFonts w:ascii="Montserrat" w:hAnsi="Montserrat"/>
                <w:sz w:val="15"/>
                <w:szCs w:val="15"/>
              </w:rPr>
              <w:t>4,441,383,586,871</w:t>
            </w:r>
          </w:p>
        </w:tc>
      </w:tr>
      <w:tr w:rsidR="00C36558" w:rsidRPr="006F0DF1" w14:paraId="48268C16" w14:textId="77777777" w:rsidTr="000F0321">
        <w:trPr>
          <w:trHeight w:val="215"/>
          <w:jc w:val="center"/>
        </w:trPr>
        <w:tc>
          <w:tcPr>
            <w:tcW w:w="3969" w:type="dxa"/>
            <w:shd w:val="clear" w:color="auto" w:fill="F2F2F2"/>
            <w:noWrap/>
            <w:vAlign w:val="center"/>
          </w:tcPr>
          <w:p w14:paraId="2FBC76A9" w14:textId="77777777" w:rsidR="00C36558" w:rsidRPr="00255081" w:rsidRDefault="00C36558" w:rsidP="00C36558">
            <w:pPr>
              <w:spacing w:after="0" w:line="240" w:lineRule="auto"/>
              <w:rPr>
                <w:rFonts w:ascii="Montserrat" w:eastAsia="Times New Roman" w:hAnsi="Montserrat" w:cs="Calibri"/>
                <w:color w:val="000000"/>
                <w:sz w:val="15"/>
                <w:szCs w:val="15"/>
                <w:highlight w:val="yellow"/>
                <w:lang w:val="es-MX" w:eastAsia="es-MX"/>
              </w:rPr>
            </w:pPr>
            <w:r w:rsidRPr="00255081">
              <w:rPr>
                <w:rFonts w:ascii="Montserrat" w:eastAsia="Times New Roman" w:hAnsi="Montserrat" w:cs="Calibri"/>
                <w:sz w:val="15"/>
                <w:szCs w:val="15"/>
                <w:lang w:eastAsia="es-MX"/>
              </w:rPr>
              <w:t>Presupuesto de Egresos Ejercido</w:t>
            </w:r>
          </w:p>
        </w:tc>
        <w:tc>
          <w:tcPr>
            <w:tcW w:w="1985" w:type="dxa"/>
            <w:shd w:val="clear" w:color="auto" w:fill="F2F2F2"/>
            <w:noWrap/>
          </w:tcPr>
          <w:p w14:paraId="6C20FA13" w14:textId="706E92E6" w:rsidR="00C36558" w:rsidRPr="00255081" w:rsidRDefault="007A09FC" w:rsidP="00C36558">
            <w:pPr>
              <w:spacing w:after="0" w:line="320" w:lineRule="exact"/>
              <w:ind w:right="57"/>
              <w:jc w:val="right"/>
              <w:rPr>
                <w:rFonts w:ascii="Montserrat" w:hAnsi="Montserrat"/>
                <w:sz w:val="15"/>
                <w:szCs w:val="15"/>
              </w:rPr>
            </w:pPr>
            <w:r w:rsidRPr="00255081">
              <w:rPr>
                <w:rFonts w:ascii="Montserrat" w:hAnsi="Montserrat"/>
                <w:sz w:val="15"/>
                <w:szCs w:val="15"/>
              </w:rPr>
              <w:t>4,441,365,542,039</w:t>
            </w:r>
          </w:p>
        </w:tc>
      </w:tr>
      <w:tr w:rsidR="00C36558" w:rsidRPr="006F0DF1" w14:paraId="58B96112" w14:textId="77777777" w:rsidTr="000F0321">
        <w:trPr>
          <w:trHeight w:val="215"/>
          <w:jc w:val="center"/>
        </w:trPr>
        <w:tc>
          <w:tcPr>
            <w:tcW w:w="3969" w:type="dxa"/>
            <w:tcBorders>
              <w:bottom w:val="single" w:sz="12" w:space="0" w:color="808080" w:themeColor="background1" w:themeShade="80"/>
            </w:tcBorders>
            <w:shd w:val="clear" w:color="auto" w:fill="F2F2F2"/>
            <w:noWrap/>
            <w:vAlign w:val="center"/>
          </w:tcPr>
          <w:p w14:paraId="09D8F21A" w14:textId="77777777" w:rsidR="00C36558" w:rsidRPr="00255081" w:rsidRDefault="00C36558" w:rsidP="00C36558">
            <w:pPr>
              <w:spacing w:after="0" w:line="240" w:lineRule="auto"/>
              <w:rPr>
                <w:rFonts w:ascii="Montserrat" w:eastAsia="Times New Roman" w:hAnsi="Montserrat" w:cs="Calibri"/>
                <w:color w:val="000000"/>
                <w:sz w:val="15"/>
                <w:szCs w:val="15"/>
                <w:highlight w:val="yellow"/>
                <w:lang w:val="es-MX" w:eastAsia="es-MX"/>
              </w:rPr>
            </w:pPr>
            <w:r w:rsidRPr="00255081">
              <w:rPr>
                <w:rFonts w:ascii="Montserrat" w:eastAsia="Times New Roman" w:hAnsi="Montserrat" w:cs="Calibri"/>
                <w:sz w:val="15"/>
                <w:szCs w:val="15"/>
                <w:lang w:eastAsia="es-MX"/>
              </w:rPr>
              <w:t>Presupuesto de Egresos Pagado</w:t>
            </w:r>
          </w:p>
        </w:tc>
        <w:tc>
          <w:tcPr>
            <w:tcW w:w="1985" w:type="dxa"/>
            <w:tcBorders>
              <w:bottom w:val="single" w:sz="12" w:space="0" w:color="808080" w:themeColor="background1" w:themeShade="80"/>
            </w:tcBorders>
            <w:shd w:val="clear" w:color="auto" w:fill="F2F2F2"/>
            <w:noWrap/>
          </w:tcPr>
          <w:p w14:paraId="62CC7535" w14:textId="5D067F82" w:rsidR="00C36558" w:rsidRPr="00255081" w:rsidRDefault="007A09FC" w:rsidP="00C36558">
            <w:pPr>
              <w:spacing w:after="0" w:line="320" w:lineRule="exact"/>
              <w:ind w:right="57"/>
              <w:jc w:val="right"/>
              <w:rPr>
                <w:rFonts w:ascii="Montserrat" w:hAnsi="Montserrat"/>
                <w:sz w:val="15"/>
                <w:szCs w:val="15"/>
              </w:rPr>
            </w:pPr>
            <w:r w:rsidRPr="00255081">
              <w:rPr>
                <w:rFonts w:ascii="Montserrat" w:hAnsi="Montserrat"/>
                <w:sz w:val="15"/>
                <w:szCs w:val="15"/>
              </w:rPr>
              <w:t>4,410,800,984,052</w:t>
            </w:r>
          </w:p>
        </w:tc>
      </w:tr>
    </w:tbl>
    <w:p w14:paraId="5ACDE22E" w14:textId="77777777" w:rsidR="00AE631B" w:rsidRPr="00F01A61" w:rsidRDefault="00AE631B" w:rsidP="00F01A61">
      <w:pPr>
        <w:spacing w:after="0" w:line="240" w:lineRule="auto"/>
        <w:jc w:val="both"/>
        <w:rPr>
          <w:rFonts w:ascii="Montserrat" w:hAnsi="Montserrat" w:cs="Arial"/>
          <w:spacing w:val="-1"/>
          <w:sz w:val="18"/>
          <w:szCs w:val="18"/>
        </w:rPr>
      </w:pPr>
    </w:p>
    <w:p w14:paraId="276AD51B" w14:textId="77777777" w:rsidR="009334CF" w:rsidRPr="00F01A61" w:rsidRDefault="009334CF" w:rsidP="00F01A61">
      <w:pPr>
        <w:spacing w:after="0" w:line="240" w:lineRule="auto"/>
        <w:jc w:val="both"/>
        <w:rPr>
          <w:rFonts w:ascii="Montserrat" w:hAnsi="Montserrat" w:cs="Arial"/>
          <w:spacing w:val="-1"/>
          <w:sz w:val="18"/>
          <w:szCs w:val="18"/>
        </w:rPr>
      </w:pPr>
    </w:p>
    <w:p w14:paraId="487E30D8" w14:textId="77777777" w:rsidR="009C3C24" w:rsidRPr="001F53E4" w:rsidRDefault="009C3C24" w:rsidP="001F53E4">
      <w:pPr>
        <w:pStyle w:val="SUBTITULO"/>
        <w:ind w:left="357" w:hanging="357"/>
        <w:rPr>
          <w:rFonts w:ascii="Montserrat" w:hAnsi="Montserrat"/>
          <w:caps/>
          <w:sz w:val="22"/>
          <w:szCs w:val="22"/>
        </w:rPr>
      </w:pPr>
      <w:r w:rsidRPr="001F53E4">
        <w:rPr>
          <w:rFonts w:ascii="Montserrat" w:hAnsi="Montserrat"/>
          <w:caps/>
          <w:sz w:val="22"/>
          <w:szCs w:val="22"/>
        </w:rPr>
        <w:t>Notas de gestión admi</w:t>
      </w:r>
      <w:r w:rsidR="00CF7A3A" w:rsidRPr="001F53E4">
        <w:rPr>
          <w:rFonts w:ascii="Montserrat" w:hAnsi="Montserrat"/>
          <w:caps/>
          <w:sz w:val="22"/>
          <w:szCs w:val="22"/>
        </w:rPr>
        <w:t>nistrativa</w:t>
      </w:r>
    </w:p>
    <w:p w14:paraId="2C24A59D" w14:textId="77777777" w:rsidR="009C3C24" w:rsidRPr="00F174D8" w:rsidRDefault="009C3C24" w:rsidP="00063579">
      <w:pPr>
        <w:spacing w:after="120" w:line="250" w:lineRule="exact"/>
        <w:jc w:val="both"/>
        <w:rPr>
          <w:rFonts w:ascii="Montserrat" w:hAnsi="Montserrat" w:cs="Arial"/>
          <w:b/>
          <w:spacing w:val="-1"/>
          <w:sz w:val="18"/>
          <w:szCs w:val="18"/>
        </w:rPr>
      </w:pPr>
      <w:r w:rsidRPr="00F174D8">
        <w:rPr>
          <w:rFonts w:ascii="Montserrat" w:hAnsi="Montserrat"/>
          <w:b/>
          <w:sz w:val="18"/>
          <w:szCs w:val="18"/>
        </w:rPr>
        <w:t xml:space="preserve">1. </w:t>
      </w:r>
      <w:r w:rsidRPr="00F174D8">
        <w:rPr>
          <w:rFonts w:ascii="Montserrat" w:hAnsi="Montserrat" w:cs="Arial"/>
          <w:b/>
          <w:spacing w:val="-1"/>
          <w:sz w:val="18"/>
          <w:szCs w:val="18"/>
        </w:rPr>
        <w:t>Introducción</w:t>
      </w:r>
    </w:p>
    <w:p w14:paraId="14F23508" w14:textId="77777777" w:rsidR="009C3C24" w:rsidRDefault="009C3C24" w:rsidP="00063579">
      <w:pPr>
        <w:spacing w:after="120" w:line="250" w:lineRule="exact"/>
        <w:jc w:val="both"/>
        <w:rPr>
          <w:rFonts w:ascii="Montserrat" w:hAnsi="Montserrat" w:cs="Arial"/>
          <w:spacing w:val="-1"/>
          <w:sz w:val="18"/>
          <w:szCs w:val="18"/>
        </w:rPr>
      </w:pPr>
      <w:r w:rsidRPr="006F0DF1">
        <w:rPr>
          <w:rFonts w:ascii="Montserrat" w:hAnsi="Montserrat" w:cs="Arial"/>
          <w:spacing w:val="-1"/>
          <w:sz w:val="18"/>
          <w:szCs w:val="18"/>
        </w:rPr>
        <w:t xml:space="preserve">Los Estados Financieros del Poder Ejecutivo Federal se conforman con la información resultante de las operaciones derivadas de: la recaudación de los ingresos presupuestarios; el ejercicio del gasto público; la colocación y amortización de la deuda pública, incluyendo los gastos por los intereses y comisiones </w:t>
      </w:r>
      <w:r w:rsidRPr="00063579">
        <w:rPr>
          <w:rFonts w:ascii="Montserrat" w:hAnsi="Montserrat" w:cs="Arial"/>
          <w:spacing w:val="-1"/>
          <w:sz w:val="18"/>
          <w:szCs w:val="18"/>
        </w:rPr>
        <w:t>correspondientes</w:t>
      </w:r>
      <w:r w:rsidRPr="006F0DF1">
        <w:rPr>
          <w:rFonts w:ascii="Montserrat" w:hAnsi="Montserrat" w:cs="Arial"/>
          <w:spacing w:val="-1"/>
          <w:sz w:val="18"/>
          <w:szCs w:val="18"/>
        </w:rPr>
        <w:t>; el manejo y custodia de los recursos propiedad del Poder Ejecutivo Federal o a su cuidado; así como todas aquellas operaciones contables que modifiquen el Patrimonio, considerando en su registro contable las características administrativas descentralizadas, en este contexto, en la normatividad aplicable se establecen registros que permitan identificar la interrelación de las operaciones.</w:t>
      </w:r>
    </w:p>
    <w:p w14:paraId="2AE921D7" w14:textId="77777777" w:rsidR="00F01A61" w:rsidRPr="006F0DF1" w:rsidRDefault="00F01A61" w:rsidP="00F01A61">
      <w:pPr>
        <w:spacing w:after="0" w:line="240" w:lineRule="auto"/>
        <w:jc w:val="both"/>
        <w:rPr>
          <w:rFonts w:ascii="Montserrat" w:hAnsi="Montserrat" w:cs="Arial"/>
          <w:spacing w:val="-1"/>
          <w:sz w:val="18"/>
          <w:szCs w:val="18"/>
        </w:rPr>
      </w:pPr>
    </w:p>
    <w:p w14:paraId="4CC3F5D8" w14:textId="77777777" w:rsidR="009C3C24" w:rsidRPr="00F174D8" w:rsidRDefault="009C3C24" w:rsidP="00063579">
      <w:pPr>
        <w:spacing w:after="120" w:line="250" w:lineRule="exact"/>
        <w:jc w:val="both"/>
        <w:rPr>
          <w:rFonts w:ascii="Montserrat" w:hAnsi="Montserrat" w:cs="Arial"/>
          <w:b/>
          <w:spacing w:val="-1"/>
          <w:sz w:val="18"/>
          <w:szCs w:val="18"/>
        </w:rPr>
      </w:pPr>
      <w:r w:rsidRPr="00F174D8">
        <w:rPr>
          <w:rFonts w:ascii="Montserrat" w:hAnsi="Montserrat" w:cs="Arial"/>
          <w:b/>
          <w:spacing w:val="-1"/>
          <w:sz w:val="18"/>
          <w:szCs w:val="18"/>
        </w:rPr>
        <w:t>2. Panorama Económico y Financiero</w:t>
      </w:r>
    </w:p>
    <w:p w14:paraId="7B8EB4EE" w14:textId="37DA1079" w:rsidR="00172E13" w:rsidRPr="000F0321" w:rsidRDefault="00FB3416">
      <w:pPr>
        <w:spacing w:after="120" w:line="250" w:lineRule="exact"/>
        <w:jc w:val="both"/>
        <w:rPr>
          <w:rFonts w:ascii="Montserrat" w:hAnsi="Montserrat"/>
          <w:sz w:val="18"/>
          <w:szCs w:val="18"/>
          <w:lang w:val="es-ES_tradnl" w:eastAsia="es-ES"/>
        </w:rPr>
      </w:pPr>
      <w:r w:rsidRPr="00063579">
        <w:rPr>
          <w:rFonts w:ascii="Montserrat" w:hAnsi="Montserrat" w:cs="Arial"/>
          <w:spacing w:val="-1"/>
          <w:sz w:val="18"/>
          <w:szCs w:val="18"/>
        </w:rPr>
        <w:t xml:space="preserve">La actividad económica </w:t>
      </w:r>
      <w:r w:rsidR="00172E13" w:rsidRPr="00063579">
        <w:rPr>
          <w:rFonts w:ascii="Montserrat" w:hAnsi="Montserrat" w:cs="Arial"/>
          <w:spacing w:val="-1"/>
          <w:sz w:val="18"/>
          <w:szCs w:val="18"/>
        </w:rPr>
        <w:t xml:space="preserve">de México </w:t>
      </w:r>
      <w:r w:rsidR="00172E13" w:rsidRPr="00172E13">
        <w:rPr>
          <w:rFonts w:ascii="Montserrat" w:hAnsi="Montserrat" w:cs="Arial"/>
          <w:spacing w:val="-1"/>
          <w:sz w:val="18"/>
          <w:szCs w:val="18"/>
        </w:rPr>
        <w:t>sufrió un</w:t>
      </w:r>
      <w:r w:rsidR="00172E13" w:rsidRPr="000F0321">
        <w:rPr>
          <w:rFonts w:ascii="Montserrat" w:hAnsi="Montserrat"/>
          <w:sz w:val="18"/>
          <w:szCs w:val="18"/>
          <w:lang w:val="es-ES_tradnl" w:eastAsia="es-ES"/>
        </w:rPr>
        <w:t xml:space="preserve"> estancamiento durante 2019 propiciado por una fuerte desaceleración en el sector industrial;</w:t>
      </w:r>
      <w:r w:rsidRPr="000F0321">
        <w:rPr>
          <w:rFonts w:ascii="Montserrat" w:hAnsi="Montserrat"/>
          <w:sz w:val="18"/>
          <w:szCs w:val="18"/>
          <w:lang w:val="es-ES_tradnl" w:eastAsia="es-ES"/>
        </w:rPr>
        <w:t xml:space="preserve"> el PIB </w:t>
      </w:r>
      <w:r w:rsidR="00172E13" w:rsidRPr="000F0321">
        <w:rPr>
          <w:rFonts w:ascii="Montserrat" w:hAnsi="Montserrat"/>
          <w:sz w:val="18"/>
          <w:szCs w:val="18"/>
          <w:lang w:val="es-ES_tradnl" w:eastAsia="es-ES"/>
        </w:rPr>
        <w:t>registró una contracción de 0.1</w:t>
      </w:r>
      <w:r w:rsidR="00F174D8">
        <w:rPr>
          <w:rFonts w:ascii="Montserrat" w:hAnsi="Montserrat"/>
          <w:sz w:val="18"/>
          <w:szCs w:val="18"/>
          <w:lang w:val="es-ES_tradnl" w:eastAsia="es-ES"/>
        </w:rPr>
        <w:t>% para el ejercicio</w:t>
      </w:r>
      <w:r w:rsidR="00172E13" w:rsidRPr="000F0321">
        <w:rPr>
          <w:rFonts w:ascii="Montserrat" w:hAnsi="Montserrat"/>
          <w:sz w:val="18"/>
          <w:szCs w:val="18"/>
          <w:lang w:val="es-ES_tradnl" w:eastAsia="es-ES"/>
        </w:rPr>
        <w:t>, mientras que la tasa de inflación anual en diciembre de 2019 se ubicó en 2.8%, inferior a la proyectada de 3.4% en los Criterios Generales de Política Económica (CGPE) 2019.</w:t>
      </w:r>
    </w:p>
    <w:p w14:paraId="566837C4" w14:textId="29EBDDDD" w:rsidR="00172E13" w:rsidRPr="000F0321" w:rsidRDefault="00172E13" w:rsidP="00063579">
      <w:pPr>
        <w:spacing w:after="120" w:line="250" w:lineRule="exact"/>
        <w:jc w:val="both"/>
        <w:rPr>
          <w:rFonts w:ascii="Montserrat" w:hAnsi="Montserrat"/>
          <w:sz w:val="18"/>
          <w:szCs w:val="18"/>
          <w:lang w:val="es-ES_tradnl" w:eastAsia="es-ES"/>
        </w:rPr>
      </w:pPr>
      <w:r w:rsidRPr="000F0321">
        <w:rPr>
          <w:rFonts w:ascii="Montserrat" w:hAnsi="Montserrat"/>
          <w:sz w:val="18"/>
          <w:szCs w:val="18"/>
          <w:lang w:val="es-ES_tradnl" w:eastAsia="es-ES"/>
        </w:rPr>
        <w:t>La tasa de CETES a 28 días promedió 7.8%, cifra mayor al 7.6% registrada en 2018, pero inferior a la esperada originalmente para el año de 8.3%. Aunado a lo anterior, durante la segunda mitad de 2019, los bancos centrales de las principales economías avanzadas mantuvieron una postura de política monetaria más flexible, ante las señales de desaceleración en estas economías y menores presiones inflacionarias.</w:t>
      </w:r>
    </w:p>
    <w:p w14:paraId="7F3F081A" w14:textId="768107C5" w:rsidR="00172E13" w:rsidRPr="000F0321" w:rsidRDefault="00FB3416" w:rsidP="00063579">
      <w:pPr>
        <w:spacing w:after="120" w:line="250" w:lineRule="exact"/>
        <w:jc w:val="both"/>
        <w:rPr>
          <w:rFonts w:ascii="Montserrat" w:hAnsi="Montserrat"/>
          <w:sz w:val="18"/>
          <w:szCs w:val="18"/>
          <w:lang w:val="es-ES_tradnl" w:eastAsia="es-ES"/>
        </w:rPr>
      </w:pPr>
      <w:r w:rsidRPr="000F0321">
        <w:rPr>
          <w:rFonts w:ascii="Montserrat" w:hAnsi="Montserrat"/>
          <w:sz w:val="18"/>
          <w:szCs w:val="18"/>
          <w:lang w:val="es-ES_tradnl" w:eastAsia="es-ES"/>
        </w:rPr>
        <w:t>Por otra parte la moneda nacional se ubicó en 19.</w:t>
      </w:r>
      <w:r w:rsidR="00172E13" w:rsidRPr="000F0321">
        <w:rPr>
          <w:rFonts w:ascii="Montserrat" w:hAnsi="Montserrat"/>
          <w:sz w:val="18"/>
          <w:szCs w:val="18"/>
          <w:lang w:val="es-ES_tradnl" w:eastAsia="es-ES"/>
        </w:rPr>
        <w:t>26</w:t>
      </w:r>
      <w:r w:rsidRPr="000F0321">
        <w:rPr>
          <w:rFonts w:ascii="Montserrat" w:hAnsi="Montserrat"/>
          <w:sz w:val="18"/>
          <w:szCs w:val="18"/>
          <w:lang w:val="es-ES_tradnl" w:eastAsia="es-ES"/>
        </w:rPr>
        <w:t xml:space="preserve"> pesos por dólar</w:t>
      </w:r>
      <w:r w:rsidR="00172E13" w:rsidRPr="000F0321">
        <w:rPr>
          <w:rFonts w:ascii="Montserrat" w:hAnsi="Montserrat"/>
          <w:sz w:val="18"/>
          <w:szCs w:val="18"/>
          <w:lang w:val="es-ES_tradnl" w:eastAsia="es-ES"/>
        </w:rPr>
        <w:t xml:space="preserve"> en 2019, mayor en 0.13% respecto al promedio de 2018.</w:t>
      </w:r>
    </w:p>
    <w:p w14:paraId="294C6676" w14:textId="77777777" w:rsidR="00172E13" w:rsidRDefault="00172E13" w:rsidP="000F0321">
      <w:pPr>
        <w:pStyle w:val="VIETAFLECHA"/>
        <w:numPr>
          <w:ilvl w:val="0"/>
          <w:numId w:val="0"/>
        </w:numPr>
        <w:rPr>
          <w:lang w:val="es-ES_tradnl" w:eastAsia="es-ES"/>
        </w:rPr>
      </w:pPr>
      <w:r w:rsidRPr="00F86B75">
        <w:rPr>
          <w:lang w:val="es-ES_tradnl" w:eastAsia="es-ES"/>
        </w:rPr>
        <w:lastRenderedPageBreak/>
        <w:t xml:space="preserve">La cuenta corriente de la Balanza de Pagos registró un déficit equivalente a 0.2% del PIB, cifra inferior </w:t>
      </w:r>
      <w:r>
        <w:rPr>
          <w:lang w:val="es-ES_tradnl" w:eastAsia="es-ES"/>
        </w:rPr>
        <w:t xml:space="preserve">al déficit </w:t>
      </w:r>
      <w:r w:rsidRPr="00F86B75">
        <w:rPr>
          <w:lang w:val="es-ES_tradnl" w:eastAsia="es-ES"/>
        </w:rPr>
        <w:t>observad</w:t>
      </w:r>
      <w:r>
        <w:rPr>
          <w:lang w:val="es-ES_tradnl" w:eastAsia="es-ES"/>
        </w:rPr>
        <w:t>o</w:t>
      </w:r>
      <w:r w:rsidRPr="00F86B75">
        <w:rPr>
          <w:lang w:val="es-ES_tradnl" w:eastAsia="es-ES"/>
        </w:rPr>
        <w:t xml:space="preserve"> en 2018 de 1.</w:t>
      </w:r>
      <w:r>
        <w:rPr>
          <w:lang w:val="es-ES_tradnl" w:eastAsia="es-ES"/>
        </w:rPr>
        <w:t>8</w:t>
      </w:r>
      <w:r w:rsidRPr="00F86B75">
        <w:rPr>
          <w:lang w:val="es-ES_tradnl" w:eastAsia="es-ES"/>
        </w:rPr>
        <w:t>%</w:t>
      </w:r>
      <w:r>
        <w:rPr>
          <w:lang w:val="es-ES_tradnl" w:eastAsia="es-ES"/>
        </w:rPr>
        <w:t xml:space="preserve"> y al déficit esperado para 2019 de 2.2%</w:t>
      </w:r>
      <w:r w:rsidRPr="00F86B75">
        <w:rPr>
          <w:lang w:val="es-ES_tradnl" w:eastAsia="es-ES"/>
        </w:rPr>
        <w:t xml:space="preserve">. </w:t>
      </w:r>
    </w:p>
    <w:p w14:paraId="7315CC19" w14:textId="43828AFF" w:rsidR="00172E13" w:rsidRDefault="00172E13" w:rsidP="000F0321">
      <w:pPr>
        <w:pStyle w:val="VIETAFLECHA"/>
        <w:numPr>
          <w:ilvl w:val="0"/>
          <w:numId w:val="0"/>
        </w:numPr>
        <w:rPr>
          <w:lang w:val="es-ES_tradnl" w:eastAsia="es-ES"/>
        </w:rPr>
      </w:pPr>
      <w:r w:rsidRPr="00F86B75">
        <w:rPr>
          <w:lang w:val="es-ES_tradnl" w:eastAsia="es-ES"/>
        </w:rPr>
        <w:t xml:space="preserve">El precio de la mezcla mexicana del petróleo crudo </w:t>
      </w:r>
      <w:r>
        <w:rPr>
          <w:lang w:val="es-ES_tradnl" w:eastAsia="es-ES"/>
        </w:rPr>
        <w:t>se ubicó</w:t>
      </w:r>
      <w:r w:rsidRPr="00F86B75">
        <w:rPr>
          <w:lang w:val="es-ES_tradnl" w:eastAsia="es-ES"/>
        </w:rPr>
        <w:t xml:space="preserve"> </w:t>
      </w:r>
      <w:r>
        <w:rPr>
          <w:lang w:val="es-ES_tradnl" w:eastAsia="es-ES"/>
        </w:rPr>
        <w:t xml:space="preserve">en </w:t>
      </w:r>
      <w:r w:rsidRPr="00F86B75">
        <w:rPr>
          <w:lang w:val="es-ES_tradnl" w:eastAsia="es-ES"/>
        </w:rPr>
        <w:t>55.63 dpb en promedio, nivel inferior en 9.4% al registrado en 2018, la plataforma de producción de petróleo se ubicó en 1</w:t>
      </w:r>
      <w:r>
        <w:rPr>
          <w:lang w:val="es-ES_tradnl" w:eastAsia="es-ES"/>
        </w:rPr>
        <w:t>,701 miles de barriles diarios</w:t>
      </w:r>
      <w:r w:rsidRPr="00F86B75">
        <w:rPr>
          <w:lang w:val="es-ES_tradnl" w:eastAsia="es-ES"/>
        </w:rPr>
        <w:t xml:space="preserve">, nivel 7.2% </w:t>
      </w:r>
      <w:r>
        <w:rPr>
          <w:lang w:val="es-ES_tradnl" w:eastAsia="es-ES"/>
        </w:rPr>
        <w:t>menor que la registrada en 2018.</w:t>
      </w:r>
    </w:p>
    <w:p w14:paraId="2B6B1C39" w14:textId="77777777" w:rsidR="00F01A61" w:rsidRPr="00063579" w:rsidRDefault="00F01A61" w:rsidP="00F01A61">
      <w:pPr>
        <w:spacing w:after="0" w:line="240" w:lineRule="auto"/>
        <w:jc w:val="both"/>
        <w:rPr>
          <w:rFonts w:ascii="Montserrat" w:hAnsi="Montserrat" w:cs="Arial"/>
          <w:spacing w:val="-1"/>
          <w:sz w:val="18"/>
          <w:szCs w:val="18"/>
        </w:rPr>
      </w:pPr>
    </w:p>
    <w:p w14:paraId="47267BDE" w14:textId="77777777" w:rsidR="009C3C24" w:rsidRPr="00F174D8" w:rsidRDefault="009C3C24" w:rsidP="00063579">
      <w:pPr>
        <w:spacing w:after="120" w:line="250" w:lineRule="exact"/>
        <w:jc w:val="both"/>
        <w:rPr>
          <w:rFonts w:ascii="Montserrat" w:hAnsi="Montserrat" w:cs="Arial"/>
          <w:b/>
          <w:spacing w:val="-1"/>
          <w:sz w:val="18"/>
          <w:szCs w:val="18"/>
        </w:rPr>
      </w:pPr>
      <w:r w:rsidRPr="00F174D8">
        <w:rPr>
          <w:rFonts w:ascii="Montserrat" w:hAnsi="Montserrat" w:cs="Arial"/>
          <w:b/>
          <w:spacing w:val="-1"/>
          <w:sz w:val="18"/>
          <w:szCs w:val="18"/>
        </w:rPr>
        <w:t>3. Autorización e Historia</w:t>
      </w:r>
    </w:p>
    <w:p w14:paraId="509E802B" w14:textId="7B29D999" w:rsidR="00142D30" w:rsidRPr="00142D30" w:rsidRDefault="00172E13" w:rsidP="00142D30">
      <w:pPr>
        <w:spacing w:after="120" w:line="250" w:lineRule="exact"/>
        <w:jc w:val="both"/>
        <w:rPr>
          <w:rFonts w:ascii="Montserrat" w:hAnsi="Montserrat" w:cs="Arial"/>
          <w:spacing w:val="-1"/>
          <w:sz w:val="18"/>
          <w:szCs w:val="18"/>
        </w:rPr>
      </w:pPr>
      <w:r w:rsidRPr="00CC3BB7">
        <w:rPr>
          <w:rFonts w:ascii="Montserrat" w:hAnsi="Montserrat" w:cs="Arial"/>
          <w:spacing w:val="-1"/>
          <w:sz w:val="18"/>
          <w:szCs w:val="18"/>
        </w:rPr>
        <w:t xml:space="preserve">En apego a los lineamientos de las Notas de Gestión se señalan las modificaciones realizadas a la estructura del Poder Ejecutivo Federal: durante el ejercicio que se reporta se crea la </w:t>
      </w:r>
      <w:r w:rsidR="001B3AD1">
        <w:rPr>
          <w:rFonts w:ascii="Montserrat" w:hAnsi="Montserrat" w:cs="Arial"/>
          <w:spacing w:val="-1"/>
          <w:sz w:val="18"/>
          <w:szCs w:val="18"/>
        </w:rPr>
        <w:t>SSPC</w:t>
      </w:r>
      <w:r w:rsidRPr="00CC3BB7">
        <w:rPr>
          <w:rFonts w:ascii="Montserrat" w:hAnsi="Montserrat" w:cs="Arial"/>
          <w:spacing w:val="-1"/>
          <w:sz w:val="18"/>
          <w:szCs w:val="18"/>
        </w:rPr>
        <w:t xml:space="preserve"> y se presenta, por ultimo año, información correspondiente a la </w:t>
      </w:r>
      <w:r w:rsidRPr="00CC3BB7">
        <w:rPr>
          <w:rFonts w:ascii="Montserrat" w:hAnsi="Montserrat"/>
          <w:sz w:val="18"/>
          <w:szCs w:val="18"/>
        </w:rPr>
        <w:t>Procuraduría General de la R</w:t>
      </w:r>
      <w:r>
        <w:rPr>
          <w:rFonts w:ascii="Montserrat" w:hAnsi="Montserrat"/>
          <w:sz w:val="18"/>
          <w:szCs w:val="18"/>
        </w:rPr>
        <w:t>epública</w:t>
      </w:r>
      <w:r w:rsidR="001B3AD1">
        <w:rPr>
          <w:rFonts w:ascii="Montserrat" w:hAnsi="Montserrat"/>
          <w:sz w:val="18"/>
          <w:szCs w:val="18"/>
        </w:rPr>
        <w:t xml:space="preserve"> (PGR)</w:t>
      </w:r>
      <w:r>
        <w:rPr>
          <w:rFonts w:ascii="Montserrat" w:hAnsi="Montserrat"/>
          <w:sz w:val="18"/>
          <w:szCs w:val="18"/>
        </w:rPr>
        <w:t xml:space="preserve">, la cual se </w:t>
      </w:r>
      <w:r w:rsidR="00D06797">
        <w:rPr>
          <w:rFonts w:ascii="Montserrat" w:hAnsi="Montserrat"/>
          <w:sz w:val="18"/>
          <w:szCs w:val="18"/>
        </w:rPr>
        <w:t>desincorpora</w:t>
      </w:r>
      <w:r w:rsidRPr="00CC3BB7">
        <w:rPr>
          <w:rFonts w:ascii="Montserrat" w:hAnsi="Montserrat"/>
          <w:sz w:val="18"/>
          <w:szCs w:val="18"/>
        </w:rPr>
        <w:t xml:space="preserve"> del Poder Ejecutivo Federal para convertirse en el Órgano Autónomo Fiscalía General de la Re</w:t>
      </w:r>
      <w:r w:rsidR="001B3AD1">
        <w:rPr>
          <w:rFonts w:ascii="Montserrat" w:hAnsi="Montserrat"/>
          <w:sz w:val="18"/>
          <w:szCs w:val="18"/>
        </w:rPr>
        <w:t>pública (FGR), en atención a</w:t>
      </w:r>
      <w:r w:rsidRPr="00CC3BB7">
        <w:rPr>
          <w:rFonts w:ascii="Montserrat" w:hAnsi="Montserrat"/>
          <w:sz w:val="18"/>
          <w:szCs w:val="18"/>
        </w:rPr>
        <w:t>:</w:t>
      </w:r>
      <w:r w:rsidR="00B549B6">
        <w:rPr>
          <w:rFonts w:ascii="Montserrat" w:hAnsi="Montserrat"/>
          <w:sz w:val="18"/>
          <w:szCs w:val="18"/>
        </w:rPr>
        <w:t xml:space="preserve"> </w:t>
      </w:r>
      <w:r w:rsidR="001B3AD1">
        <w:rPr>
          <w:rFonts w:ascii="Montserrat" w:hAnsi="Montserrat" w:cs="Arial"/>
          <w:spacing w:val="-1"/>
          <w:sz w:val="18"/>
          <w:szCs w:val="18"/>
        </w:rPr>
        <w:t>E</w:t>
      </w:r>
      <w:r w:rsidR="00142D30" w:rsidRPr="00142D30">
        <w:rPr>
          <w:rFonts w:ascii="Montserrat" w:hAnsi="Montserrat" w:cs="Arial"/>
          <w:spacing w:val="-1"/>
          <w:sz w:val="18"/>
          <w:szCs w:val="18"/>
        </w:rPr>
        <w:t xml:space="preserve">l Decreto de Presupuesto de Egresos de la Federación para el Ejercicio Fiscal de 2019, la Cámara de Diputados aprobó el presupuesto de la </w:t>
      </w:r>
      <w:r w:rsidR="001B3AD1">
        <w:rPr>
          <w:rFonts w:ascii="Montserrat" w:hAnsi="Montserrat" w:cs="Arial"/>
          <w:spacing w:val="-1"/>
          <w:sz w:val="18"/>
          <w:szCs w:val="18"/>
        </w:rPr>
        <w:t>FGR</w:t>
      </w:r>
      <w:r w:rsidR="00142D30" w:rsidRPr="00142D30">
        <w:rPr>
          <w:rFonts w:ascii="Montserrat" w:hAnsi="Montserrat" w:cs="Arial"/>
          <w:spacing w:val="-1"/>
          <w:sz w:val="18"/>
          <w:szCs w:val="18"/>
        </w:rPr>
        <w:t xml:space="preserve"> como Ramo 17 “Procuraduría General de la República”, por lo que durante dicho ejercicio fiscal </w:t>
      </w:r>
      <w:r w:rsidR="001B3AD1">
        <w:rPr>
          <w:rFonts w:ascii="Montserrat" w:hAnsi="Montserrat" w:cs="Arial"/>
          <w:spacing w:val="-1"/>
          <w:sz w:val="18"/>
          <w:szCs w:val="18"/>
        </w:rPr>
        <w:t>ese Órgano</w:t>
      </w:r>
      <w:r w:rsidR="001B3AD1" w:rsidRPr="00142D30">
        <w:rPr>
          <w:rFonts w:ascii="Montserrat" w:hAnsi="Montserrat" w:cs="Arial"/>
          <w:spacing w:val="-1"/>
          <w:sz w:val="18"/>
          <w:szCs w:val="18"/>
        </w:rPr>
        <w:t xml:space="preserve"> </w:t>
      </w:r>
      <w:r w:rsidR="00142D30" w:rsidRPr="00142D30">
        <w:rPr>
          <w:rFonts w:ascii="Montserrat" w:hAnsi="Montserrat" w:cs="Arial"/>
          <w:spacing w:val="-1"/>
          <w:sz w:val="18"/>
          <w:szCs w:val="18"/>
        </w:rPr>
        <w:t xml:space="preserve">ejerció sus recursos presupuestarios y dio cumplimiento a todas las disposiciones normativas establecidas por la </w:t>
      </w:r>
      <w:r w:rsidR="001B3AD1">
        <w:rPr>
          <w:rFonts w:ascii="Montserrat" w:hAnsi="Montserrat" w:cs="Arial"/>
          <w:spacing w:val="-1"/>
          <w:sz w:val="18"/>
          <w:szCs w:val="18"/>
        </w:rPr>
        <w:t>SHCP</w:t>
      </w:r>
      <w:r w:rsidR="00142D30" w:rsidRPr="00142D30">
        <w:rPr>
          <w:rFonts w:ascii="Montserrat" w:hAnsi="Montserrat" w:cs="Arial"/>
          <w:spacing w:val="-1"/>
          <w:sz w:val="18"/>
          <w:szCs w:val="18"/>
        </w:rPr>
        <w:t>, conforme lo deben llevar a cabo los ramos administrativos. Por esta razón, la información financiera del Ramo 17 forma parte de los Estados Financieros del ente público Poder Ejecutivo Federal de 2019.</w:t>
      </w:r>
    </w:p>
    <w:p w14:paraId="213AA843" w14:textId="03142AAA" w:rsidR="00142D30" w:rsidRDefault="00142D30" w:rsidP="00F01A61">
      <w:pPr>
        <w:spacing w:after="0" w:line="240" w:lineRule="auto"/>
        <w:jc w:val="both"/>
        <w:rPr>
          <w:rFonts w:ascii="Montserrat" w:hAnsi="Montserrat" w:cs="Arial"/>
          <w:spacing w:val="-1"/>
          <w:sz w:val="18"/>
          <w:szCs w:val="18"/>
        </w:rPr>
      </w:pPr>
      <w:r w:rsidRPr="00142D30">
        <w:rPr>
          <w:rFonts w:ascii="Montserrat" w:hAnsi="Montserrat" w:cs="Arial"/>
          <w:spacing w:val="-1"/>
          <w:sz w:val="18"/>
          <w:szCs w:val="18"/>
        </w:rPr>
        <w:t xml:space="preserve">Lo anterior, acorde con el proceso de transición dispuesto por el Artículo Noveno Transitorio del Decreto por el que se expide la Ley Orgánica de la </w:t>
      </w:r>
      <w:r w:rsidR="001B3AD1">
        <w:rPr>
          <w:rFonts w:ascii="Montserrat" w:hAnsi="Montserrat" w:cs="Arial"/>
          <w:spacing w:val="-1"/>
          <w:sz w:val="18"/>
          <w:szCs w:val="18"/>
        </w:rPr>
        <w:t>PGR</w:t>
      </w:r>
      <w:r w:rsidRPr="00142D30">
        <w:rPr>
          <w:rFonts w:ascii="Montserrat" w:hAnsi="Montserrat" w:cs="Arial"/>
          <w:spacing w:val="-1"/>
          <w:sz w:val="18"/>
          <w:szCs w:val="18"/>
        </w:rPr>
        <w:t>, publicado en el Diario Oficial de la Federación el 14 de diciembre de 2018.</w:t>
      </w:r>
    </w:p>
    <w:p w14:paraId="5C5D3CF9" w14:textId="77777777" w:rsidR="00F01A61" w:rsidRPr="00FB3416" w:rsidRDefault="00F01A61" w:rsidP="00F01A61">
      <w:pPr>
        <w:spacing w:after="0" w:line="240" w:lineRule="auto"/>
        <w:jc w:val="both"/>
        <w:rPr>
          <w:rFonts w:ascii="Montserrat" w:hAnsi="Montserrat" w:cs="Arial"/>
          <w:spacing w:val="-1"/>
          <w:sz w:val="18"/>
          <w:szCs w:val="18"/>
        </w:rPr>
      </w:pPr>
    </w:p>
    <w:p w14:paraId="7FF8F65E" w14:textId="77777777" w:rsidR="009C3C24" w:rsidRPr="00F174D8" w:rsidRDefault="009C3C24" w:rsidP="00063579">
      <w:pPr>
        <w:spacing w:after="120" w:line="250" w:lineRule="exact"/>
        <w:jc w:val="both"/>
        <w:rPr>
          <w:rFonts w:ascii="Montserrat" w:hAnsi="Montserrat" w:cs="Arial"/>
          <w:b/>
          <w:spacing w:val="-1"/>
          <w:sz w:val="18"/>
          <w:szCs w:val="18"/>
        </w:rPr>
      </w:pPr>
      <w:r w:rsidRPr="00F174D8">
        <w:rPr>
          <w:rFonts w:ascii="Montserrat" w:hAnsi="Montserrat" w:cs="Arial"/>
          <w:b/>
          <w:spacing w:val="-1"/>
          <w:sz w:val="18"/>
          <w:szCs w:val="18"/>
        </w:rPr>
        <w:t>4. Organización y Objeto Social</w:t>
      </w:r>
    </w:p>
    <w:p w14:paraId="360C6E28" w14:textId="4742596B" w:rsidR="007C7EB9" w:rsidRDefault="007C7EB9">
      <w:pPr>
        <w:spacing w:after="120" w:line="250" w:lineRule="exact"/>
        <w:jc w:val="both"/>
        <w:rPr>
          <w:rFonts w:ascii="Montserrat" w:hAnsi="Montserrat" w:cs="Arial"/>
          <w:spacing w:val="-1"/>
          <w:sz w:val="18"/>
          <w:szCs w:val="18"/>
        </w:rPr>
      </w:pPr>
      <w:r w:rsidRPr="007C7EB9">
        <w:rPr>
          <w:rFonts w:ascii="Montserrat" w:hAnsi="Montserrat" w:cs="Arial"/>
          <w:spacing w:val="-1"/>
          <w:sz w:val="18"/>
          <w:szCs w:val="18"/>
        </w:rPr>
        <w:t xml:space="preserve">El Poder Ejecutivo gobierna de conformidad con lo establecido por la legislación. Su titular, </w:t>
      </w:r>
      <w:r w:rsidR="004F55E0">
        <w:rPr>
          <w:rFonts w:ascii="Montserrat" w:hAnsi="Montserrat" w:cs="Arial"/>
          <w:spacing w:val="-1"/>
          <w:sz w:val="18"/>
          <w:szCs w:val="18"/>
        </w:rPr>
        <w:t xml:space="preserve">el </w:t>
      </w:r>
      <w:r w:rsidRPr="007C7EB9">
        <w:rPr>
          <w:rFonts w:ascii="Montserrat" w:hAnsi="Montserrat" w:cs="Arial"/>
          <w:spacing w:val="-1"/>
          <w:sz w:val="18"/>
          <w:szCs w:val="18"/>
        </w:rPr>
        <w:t xml:space="preserve">Presidente Constitucional </w:t>
      </w:r>
      <w:r w:rsidR="001B3AD1">
        <w:rPr>
          <w:rFonts w:ascii="Montserrat" w:hAnsi="Montserrat" w:cs="Arial"/>
          <w:spacing w:val="-1"/>
          <w:sz w:val="18"/>
          <w:szCs w:val="18"/>
        </w:rPr>
        <w:t>de los Estados Unidos Mexicanos</w:t>
      </w:r>
      <w:r w:rsidRPr="007C7EB9">
        <w:rPr>
          <w:rFonts w:ascii="Montserrat" w:hAnsi="Montserrat" w:cs="Arial"/>
          <w:spacing w:val="-1"/>
          <w:sz w:val="18"/>
          <w:szCs w:val="18"/>
        </w:rPr>
        <w:t xml:space="preserve"> es elegido mediante elecciones directas cada seis año</w:t>
      </w:r>
      <w:r>
        <w:rPr>
          <w:rFonts w:ascii="Montserrat" w:hAnsi="Montserrat" w:cs="Arial"/>
          <w:spacing w:val="-1"/>
          <w:sz w:val="18"/>
          <w:szCs w:val="18"/>
        </w:rPr>
        <w:t>s sin posibilidad de reelección, p</w:t>
      </w:r>
      <w:r w:rsidRPr="007C7EB9">
        <w:rPr>
          <w:rFonts w:ascii="Montserrat" w:hAnsi="Montserrat" w:cs="Arial"/>
          <w:spacing w:val="-1"/>
          <w:sz w:val="18"/>
          <w:szCs w:val="18"/>
        </w:rPr>
        <w:t xml:space="preserve">ara la ejecución de sus labores el Presidente tiene la facultad legal para nombrar a </w:t>
      </w:r>
      <w:r>
        <w:rPr>
          <w:rFonts w:ascii="Montserrat" w:hAnsi="Montserrat" w:cs="Arial"/>
          <w:spacing w:val="-1"/>
          <w:sz w:val="18"/>
          <w:szCs w:val="18"/>
        </w:rPr>
        <w:t>sus colaboradores más cercanos.</w:t>
      </w:r>
    </w:p>
    <w:p w14:paraId="0D107328" w14:textId="77777777" w:rsidR="009C3C24" w:rsidRDefault="009C3C24" w:rsidP="00063579">
      <w:pPr>
        <w:spacing w:after="120" w:line="250" w:lineRule="exact"/>
        <w:jc w:val="both"/>
        <w:rPr>
          <w:rFonts w:ascii="Montserrat" w:hAnsi="Montserrat" w:cs="Arial"/>
          <w:spacing w:val="-1"/>
          <w:sz w:val="18"/>
          <w:szCs w:val="18"/>
        </w:rPr>
      </w:pPr>
      <w:r w:rsidRPr="006F0DF1">
        <w:rPr>
          <w:rFonts w:ascii="Montserrat" w:hAnsi="Montserrat" w:cs="Arial"/>
          <w:spacing w:val="-1"/>
          <w:sz w:val="18"/>
          <w:szCs w:val="18"/>
        </w:rPr>
        <w:t>La estructura organizacional básica se contempla en la Ley Orgánica de la Administración Pública Federal en su artículo 2º, por lo que respecta a los fideicomisos</w:t>
      </w:r>
      <w:r w:rsidR="008E0E0E">
        <w:rPr>
          <w:rFonts w:ascii="Montserrat" w:hAnsi="Montserrat"/>
          <w:sz w:val="18"/>
          <w:szCs w:val="18"/>
        </w:rPr>
        <w:t xml:space="preserve">, </w:t>
      </w:r>
      <w:r w:rsidR="008E0E0E" w:rsidRPr="00063579">
        <w:rPr>
          <w:rFonts w:ascii="Montserrat" w:hAnsi="Montserrat"/>
          <w:sz w:val="18"/>
          <w:szCs w:val="18"/>
        </w:rPr>
        <w:t>mandatos y contratos análogos</w:t>
      </w:r>
      <w:r w:rsidRPr="006F0DF1">
        <w:rPr>
          <w:rFonts w:ascii="Montserrat" w:hAnsi="Montserrat" w:cs="Arial"/>
          <w:spacing w:val="-1"/>
          <w:sz w:val="18"/>
          <w:szCs w:val="18"/>
        </w:rPr>
        <w:t>, la información está disponible en el Sistema de Control y Transparencia de Fideicomisos.</w:t>
      </w:r>
    </w:p>
    <w:p w14:paraId="4B1E7483" w14:textId="77777777" w:rsidR="00F01A61" w:rsidRPr="006F0DF1" w:rsidRDefault="00F01A61" w:rsidP="00F01A61">
      <w:pPr>
        <w:spacing w:after="0" w:line="240" w:lineRule="auto"/>
        <w:jc w:val="both"/>
        <w:rPr>
          <w:rFonts w:ascii="Montserrat" w:hAnsi="Montserrat" w:cs="Arial"/>
          <w:spacing w:val="-1"/>
          <w:sz w:val="18"/>
          <w:szCs w:val="18"/>
        </w:rPr>
      </w:pPr>
    </w:p>
    <w:p w14:paraId="6A689B28" w14:textId="77777777" w:rsidR="009C3C24" w:rsidRPr="00F174D8" w:rsidRDefault="009C3C24" w:rsidP="00063579">
      <w:pPr>
        <w:spacing w:after="120" w:line="250" w:lineRule="exact"/>
        <w:jc w:val="both"/>
        <w:rPr>
          <w:rFonts w:ascii="Montserrat" w:hAnsi="Montserrat" w:cs="Arial"/>
          <w:b/>
          <w:spacing w:val="-1"/>
          <w:sz w:val="18"/>
          <w:szCs w:val="18"/>
        </w:rPr>
      </w:pPr>
      <w:r w:rsidRPr="00F174D8">
        <w:rPr>
          <w:rFonts w:ascii="Montserrat" w:hAnsi="Montserrat" w:cs="Arial"/>
          <w:b/>
          <w:spacing w:val="-1"/>
          <w:sz w:val="18"/>
          <w:szCs w:val="18"/>
        </w:rPr>
        <w:t>5. Bases de Preparación de los Estados Financieros</w:t>
      </w:r>
    </w:p>
    <w:p w14:paraId="4A153801" w14:textId="56835F35" w:rsidR="009C3C24" w:rsidRPr="006F0DF1" w:rsidRDefault="009C3C24" w:rsidP="00063579">
      <w:pPr>
        <w:spacing w:after="120" w:line="250" w:lineRule="exact"/>
        <w:jc w:val="both"/>
        <w:rPr>
          <w:rFonts w:ascii="Montserrat" w:hAnsi="Montserrat" w:cs="Arial"/>
          <w:spacing w:val="-1"/>
          <w:sz w:val="18"/>
          <w:szCs w:val="18"/>
        </w:rPr>
      </w:pPr>
      <w:r w:rsidRPr="006F0DF1">
        <w:rPr>
          <w:rFonts w:ascii="Montserrat" w:hAnsi="Montserrat" w:cs="Arial"/>
          <w:spacing w:val="-1"/>
          <w:sz w:val="18"/>
          <w:szCs w:val="18"/>
        </w:rPr>
        <w:t xml:space="preserve">Los Estados Financieros del Poder Ejecutivo Federal se han elaborado observando </w:t>
      </w:r>
      <w:r w:rsidR="00A52F42">
        <w:rPr>
          <w:rFonts w:ascii="Montserrat" w:hAnsi="Montserrat" w:cs="Arial"/>
          <w:spacing w:val="-1"/>
          <w:sz w:val="18"/>
          <w:szCs w:val="18"/>
        </w:rPr>
        <w:t xml:space="preserve">lo establecido en la LGCG, </w:t>
      </w:r>
      <w:r w:rsidRPr="006F0DF1">
        <w:rPr>
          <w:rFonts w:ascii="Montserrat" w:hAnsi="Montserrat" w:cs="Arial"/>
          <w:spacing w:val="-1"/>
          <w:sz w:val="18"/>
          <w:szCs w:val="18"/>
        </w:rPr>
        <w:t>las normas</w:t>
      </w:r>
      <w:r w:rsidR="00A52F42">
        <w:rPr>
          <w:rFonts w:ascii="Montserrat" w:hAnsi="Montserrat" w:cs="Arial"/>
          <w:spacing w:val="-1"/>
          <w:sz w:val="18"/>
          <w:szCs w:val="18"/>
        </w:rPr>
        <w:t xml:space="preserve"> y el Manual de Contabilidad Gubernamental emitido</w:t>
      </w:r>
      <w:r w:rsidRPr="006F0DF1">
        <w:rPr>
          <w:rFonts w:ascii="Montserrat" w:hAnsi="Montserrat" w:cs="Arial"/>
          <w:spacing w:val="-1"/>
          <w:sz w:val="18"/>
          <w:szCs w:val="18"/>
        </w:rPr>
        <w:t>s por el C</w:t>
      </w:r>
      <w:r w:rsidR="005D00DF">
        <w:rPr>
          <w:rFonts w:ascii="Montserrat" w:hAnsi="Montserrat" w:cs="Arial"/>
          <w:spacing w:val="-1"/>
          <w:sz w:val="18"/>
          <w:szCs w:val="18"/>
        </w:rPr>
        <w:t>ONAC,</w:t>
      </w:r>
      <w:r w:rsidR="00A52F42">
        <w:rPr>
          <w:rFonts w:ascii="Montserrat" w:hAnsi="Montserrat" w:cs="Arial"/>
          <w:spacing w:val="-1"/>
          <w:sz w:val="18"/>
          <w:szCs w:val="18"/>
        </w:rPr>
        <w:t xml:space="preserve"> el MCGPEF</w:t>
      </w:r>
      <w:r w:rsidRPr="006F0DF1">
        <w:rPr>
          <w:rFonts w:ascii="Montserrat" w:hAnsi="Montserrat" w:cs="Arial"/>
          <w:spacing w:val="-1"/>
          <w:sz w:val="18"/>
          <w:szCs w:val="18"/>
        </w:rPr>
        <w:t xml:space="preserve"> y las disposiciones legales aplicables.</w:t>
      </w:r>
    </w:p>
    <w:p w14:paraId="2B125C7A" w14:textId="0DF8D6B4" w:rsidR="009C3C24" w:rsidRPr="006F0DF1" w:rsidRDefault="009C3C24" w:rsidP="00063579">
      <w:pPr>
        <w:spacing w:after="120" w:line="250" w:lineRule="exact"/>
        <w:jc w:val="both"/>
        <w:rPr>
          <w:rFonts w:ascii="Montserrat" w:hAnsi="Montserrat" w:cs="Arial"/>
          <w:spacing w:val="-1"/>
          <w:sz w:val="18"/>
          <w:szCs w:val="18"/>
        </w:rPr>
      </w:pPr>
      <w:r w:rsidRPr="006F0DF1">
        <w:rPr>
          <w:rFonts w:ascii="Montserrat" w:hAnsi="Montserrat" w:cs="Arial"/>
          <w:spacing w:val="-1"/>
          <w:sz w:val="18"/>
          <w:szCs w:val="18"/>
        </w:rPr>
        <w:t>El reconocimiento, val</w:t>
      </w:r>
      <w:r w:rsidR="00A52F42">
        <w:rPr>
          <w:rFonts w:ascii="Montserrat" w:hAnsi="Montserrat" w:cs="Arial"/>
          <w:spacing w:val="-1"/>
          <w:sz w:val="18"/>
          <w:szCs w:val="18"/>
        </w:rPr>
        <w:t>uación y revaluación, se realizaron</w:t>
      </w:r>
      <w:r w:rsidRPr="006F0DF1">
        <w:rPr>
          <w:rFonts w:ascii="Montserrat" w:hAnsi="Montserrat" w:cs="Arial"/>
          <w:spacing w:val="-1"/>
          <w:sz w:val="18"/>
          <w:szCs w:val="18"/>
        </w:rPr>
        <w:t xml:space="preserve"> considerando que todos los eventos que afecten económicamente al ente público deben ser cuantificados en términos monetarios y se registrarán al costo histórico o al valor económico más objetivo en moneda nacional. Para aquellos bienes que no cuentan con un valor se les asigna un valor de registro de </w:t>
      </w:r>
      <w:r w:rsidR="005D00DF">
        <w:rPr>
          <w:rFonts w:ascii="Montserrat" w:hAnsi="Montserrat" w:cs="Arial"/>
          <w:spacing w:val="-1"/>
          <w:sz w:val="18"/>
          <w:szCs w:val="18"/>
        </w:rPr>
        <w:t>un</w:t>
      </w:r>
      <w:r w:rsidRPr="006F0DF1">
        <w:rPr>
          <w:rFonts w:ascii="Montserrat" w:hAnsi="Montserrat" w:cs="Arial"/>
          <w:spacing w:val="-1"/>
          <w:sz w:val="18"/>
          <w:szCs w:val="18"/>
        </w:rPr>
        <w:t xml:space="preserve"> peso.</w:t>
      </w:r>
    </w:p>
    <w:p w14:paraId="7A726D30" w14:textId="479C9A7B" w:rsidR="009C3C24" w:rsidRPr="006F0DF1" w:rsidRDefault="009C3C24" w:rsidP="00063579">
      <w:pPr>
        <w:spacing w:after="120" w:line="250" w:lineRule="exact"/>
        <w:jc w:val="both"/>
        <w:rPr>
          <w:rFonts w:ascii="Montserrat" w:hAnsi="Montserrat" w:cs="Arial"/>
          <w:spacing w:val="-1"/>
          <w:sz w:val="18"/>
          <w:szCs w:val="18"/>
        </w:rPr>
      </w:pPr>
      <w:r w:rsidRPr="006F0DF1">
        <w:rPr>
          <w:rFonts w:ascii="Montserrat" w:hAnsi="Montserrat" w:cs="Arial"/>
          <w:spacing w:val="-1"/>
          <w:sz w:val="18"/>
          <w:szCs w:val="18"/>
        </w:rPr>
        <w:t xml:space="preserve">Los Estados Financieros del Poder Ejecutivo fueron preparados en apego a los Postulados Básicos de Contabilidad Gubernamental emitidos por el </w:t>
      </w:r>
      <w:r w:rsidR="005D00DF">
        <w:rPr>
          <w:rFonts w:ascii="Montserrat" w:hAnsi="Montserrat" w:cs="Arial"/>
          <w:spacing w:val="-1"/>
          <w:sz w:val="18"/>
          <w:szCs w:val="18"/>
        </w:rPr>
        <w:t>CONAC</w:t>
      </w:r>
      <w:r w:rsidRPr="006F0DF1">
        <w:rPr>
          <w:rFonts w:ascii="Montserrat" w:hAnsi="Montserrat" w:cs="Arial"/>
          <w:spacing w:val="-1"/>
          <w:sz w:val="18"/>
          <w:szCs w:val="18"/>
        </w:rPr>
        <w:t xml:space="preserve">, mismos que configuran el Sistema de Contabilidad Gubernamental. </w:t>
      </w:r>
      <w:r w:rsidR="00A52F42">
        <w:rPr>
          <w:rFonts w:ascii="Montserrat" w:hAnsi="Montserrat" w:cs="Arial"/>
          <w:spacing w:val="-1"/>
          <w:sz w:val="18"/>
          <w:szCs w:val="18"/>
        </w:rPr>
        <w:t>Dichos postulados</w:t>
      </w:r>
      <w:r w:rsidRPr="006F0DF1">
        <w:rPr>
          <w:rFonts w:ascii="Montserrat" w:hAnsi="Montserrat" w:cs="Arial"/>
          <w:spacing w:val="-1"/>
          <w:sz w:val="18"/>
          <w:szCs w:val="18"/>
        </w:rPr>
        <w:t xml:space="preserve"> sustentan de forma técnica tanto el registro como la presentación de la información financiera con la finalidad de uniformar métodos, procedimientos y prácticas contables, a continuación se enlistan:</w:t>
      </w:r>
    </w:p>
    <w:p w14:paraId="12D3C579" w14:textId="77777777" w:rsidR="009C3C24" w:rsidRPr="00E775AB" w:rsidRDefault="009C3C24" w:rsidP="005D00DF">
      <w:pPr>
        <w:numPr>
          <w:ilvl w:val="0"/>
          <w:numId w:val="42"/>
        </w:numPr>
        <w:spacing w:after="120" w:line="250" w:lineRule="exact"/>
        <w:jc w:val="both"/>
        <w:rPr>
          <w:rFonts w:ascii="Montserrat" w:hAnsi="Montserrat" w:cs="Arial"/>
          <w:spacing w:val="-1"/>
          <w:sz w:val="18"/>
          <w:szCs w:val="18"/>
        </w:rPr>
      </w:pPr>
      <w:r w:rsidRPr="00E775AB">
        <w:rPr>
          <w:rFonts w:ascii="Montserrat" w:hAnsi="Montserrat" w:cs="Arial"/>
          <w:spacing w:val="-1"/>
          <w:sz w:val="18"/>
          <w:szCs w:val="18"/>
        </w:rPr>
        <w:lastRenderedPageBreak/>
        <w:t>Sustancia Económica</w:t>
      </w:r>
    </w:p>
    <w:p w14:paraId="614B7052" w14:textId="77777777" w:rsidR="009C3C24" w:rsidRPr="00E775AB" w:rsidRDefault="009C3C24" w:rsidP="005D00DF">
      <w:pPr>
        <w:numPr>
          <w:ilvl w:val="0"/>
          <w:numId w:val="42"/>
        </w:numPr>
        <w:spacing w:after="120" w:line="250" w:lineRule="exact"/>
        <w:jc w:val="both"/>
        <w:rPr>
          <w:rFonts w:ascii="Montserrat" w:hAnsi="Montserrat" w:cs="Arial"/>
          <w:spacing w:val="-1"/>
          <w:sz w:val="18"/>
          <w:szCs w:val="18"/>
        </w:rPr>
      </w:pPr>
      <w:r w:rsidRPr="00E775AB">
        <w:rPr>
          <w:rFonts w:ascii="Montserrat" w:hAnsi="Montserrat" w:cs="Arial"/>
          <w:spacing w:val="-1"/>
          <w:sz w:val="18"/>
          <w:szCs w:val="18"/>
        </w:rPr>
        <w:t>Entes Públicos</w:t>
      </w:r>
    </w:p>
    <w:p w14:paraId="2620F0ED" w14:textId="77777777" w:rsidR="009C3C24" w:rsidRPr="00E775AB" w:rsidRDefault="009C3C24" w:rsidP="005D00DF">
      <w:pPr>
        <w:numPr>
          <w:ilvl w:val="0"/>
          <w:numId w:val="42"/>
        </w:numPr>
        <w:spacing w:after="120" w:line="250" w:lineRule="exact"/>
        <w:jc w:val="both"/>
        <w:rPr>
          <w:rFonts w:ascii="Montserrat" w:hAnsi="Montserrat" w:cs="Arial"/>
          <w:spacing w:val="-1"/>
          <w:sz w:val="18"/>
          <w:szCs w:val="18"/>
        </w:rPr>
      </w:pPr>
      <w:r w:rsidRPr="00E775AB">
        <w:rPr>
          <w:rFonts w:ascii="Montserrat" w:hAnsi="Montserrat" w:cs="Arial"/>
          <w:spacing w:val="-1"/>
          <w:sz w:val="18"/>
          <w:szCs w:val="18"/>
        </w:rPr>
        <w:t>Existencia Permanente</w:t>
      </w:r>
    </w:p>
    <w:p w14:paraId="58C78698" w14:textId="77777777" w:rsidR="009C3C24" w:rsidRPr="00E775AB" w:rsidRDefault="009C3C24" w:rsidP="005D00DF">
      <w:pPr>
        <w:numPr>
          <w:ilvl w:val="0"/>
          <w:numId w:val="42"/>
        </w:numPr>
        <w:spacing w:after="120" w:line="250" w:lineRule="exact"/>
        <w:jc w:val="both"/>
        <w:rPr>
          <w:rFonts w:ascii="Montserrat" w:hAnsi="Montserrat" w:cs="Arial"/>
          <w:spacing w:val="-1"/>
          <w:sz w:val="18"/>
          <w:szCs w:val="18"/>
        </w:rPr>
      </w:pPr>
      <w:r w:rsidRPr="00E775AB">
        <w:rPr>
          <w:rFonts w:ascii="Montserrat" w:hAnsi="Montserrat" w:cs="Arial"/>
          <w:spacing w:val="-1"/>
          <w:sz w:val="18"/>
          <w:szCs w:val="18"/>
        </w:rPr>
        <w:t>Revelación Suficiente</w:t>
      </w:r>
    </w:p>
    <w:p w14:paraId="79834E88" w14:textId="77777777" w:rsidR="009C3C24" w:rsidRPr="00E775AB" w:rsidRDefault="009C3C24" w:rsidP="005D00DF">
      <w:pPr>
        <w:numPr>
          <w:ilvl w:val="0"/>
          <w:numId w:val="42"/>
        </w:numPr>
        <w:spacing w:after="120" w:line="250" w:lineRule="exact"/>
        <w:jc w:val="both"/>
        <w:rPr>
          <w:rFonts w:ascii="Montserrat" w:hAnsi="Montserrat" w:cs="Arial"/>
          <w:spacing w:val="-1"/>
          <w:sz w:val="18"/>
          <w:szCs w:val="18"/>
        </w:rPr>
      </w:pPr>
      <w:r w:rsidRPr="00E775AB">
        <w:rPr>
          <w:rFonts w:ascii="Montserrat" w:hAnsi="Montserrat" w:cs="Arial"/>
          <w:spacing w:val="-1"/>
          <w:sz w:val="18"/>
          <w:szCs w:val="18"/>
        </w:rPr>
        <w:t>Importancia Relativa</w:t>
      </w:r>
    </w:p>
    <w:p w14:paraId="3D68A507" w14:textId="77777777" w:rsidR="009C3C24" w:rsidRPr="00E775AB" w:rsidRDefault="009C3C24" w:rsidP="005D00DF">
      <w:pPr>
        <w:numPr>
          <w:ilvl w:val="0"/>
          <w:numId w:val="42"/>
        </w:numPr>
        <w:spacing w:after="120" w:line="250" w:lineRule="exact"/>
        <w:jc w:val="both"/>
        <w:rPr>
          <w:rFonts w:ascii="Montserrat" w:hAnsi="Montserrat" w:cs="Arial"/>
          <w:spacing w:val="-1"/>
          <w:sz w:val="18"/>
          <w:szCs w:val="18"/>
        </w:rPr>
      </w:pPr>
      <w:r w:rsidRPr="00E775AB">
        <w:rPr>
          <w:rFonts w:ascii="Montserrat" w:hAnsi="Montserrat" w:cs="Arial"/>
          <w:spacing w:val="-1"/>
          <w:sz w:val="18"/>
          <w:szCs w:val="18"/>
        </w:rPr>
        <w:t>Registro e Integración Presupuestaria</w:t>
      </w:r>
    </w:p>
    <w:p w14:paraId="728FCD7D" w14:textId="77777777" w:rsidR="009C3C24" w:rsidRPr="00E775AB" w:rsidRDefault="009C3C24" w:rsidP="005D00DF">
      <w:pPr>
        <w:numPr>
          <w:ilvl w:val="0"/>
          <w:numId w:val="42"/>
        </w:numPr>
        <w:spacing w:after="120" w:line="250" w:lineRule="exact"/>
        <w:jc w:val="both"/>
        <w:rPr>
          <w:rFonts w:ascii="Montserrat" w:hAnsi="Montserrat" w:cs="Arial"/>
          <w:spacing w:val="-1"/>
          <w:sz w:val="18"/>
          <w:szCs w:val="18"/>
        </w:rPr>
      </w:pPr>
      <w:r w:rsidRPr="00E775AB">
        <w:rPr>
          <w:rFonts w:ascii="Montserrat" w:hAnsi="Montserrat" w:cs="Arial"/>
          <w:spacing w:val="-1"/>
          <w:sz w:val="18"/>
          <w:szCs w:val="18"/>
        </w:rPr>
        <w:t>Consolidación de la Información Financiera</w:t>
      </w:r>
    </w:p>
    <w:p w14:paraId="11CB2D59" w14:textId="77777777" w:rsidR="009C3C24" w:rsidRPr="00E775AB" w:rsidRDefault="009C3C24" w:rsidP="005D00DF">
      <w:pPr>
        <w:numPr>
          <w:ilvl w:val="0"/>
          <w:numId w:val="42"/>
        </w:numPr>
        <w:spacing w:after="120" w:line="250" w:lineRule="exact"/>
        <w:jc w:val="both"/>
        <w:rPr>
          <w:rFonts w:ascii="Montserrat" w:hAnsi="Montserrat" w:cs="Arial"/>
          <w:spacing w:val="-1"/>
          <w:sz w:val="18"/>
          <w:szCs w:val="18"/>
        </w:rPr>
      </w:pPr>
      <w:r w:rsidRPr="00E775AB">
        <w:rPr>
          <w:rFonts w:ascii="Montserrat" w:hAnsi="Montserrat" w:cs="Arial"/>
          <w:spacing w:val="-1"/>
          <w:sz w:val="18"/>
          <w:szCs w:val="18"/>
        </w:rPr>
        <w:t>Devengo Contable</w:t>
      </w:r>
    </w:p>
    <w:p w14:paraId="3A976967" w14:textId="77777777" w:rsidR="009C3C24" w:rsidRPr="00E775AB" w:rsidRDefault="009C3C24" w:rsidP="005D00DF">
      <w:pPr>
        <w:numPr>
          <w:ilvl w:val="0"/>
          <w:numId w:val="42"/>
        </w:numPr>
        <w:spacing w:after="120" w:line="250" w:lineRule="exact"/>
        <w:jc w:val="both"/>
        <w:rPr>
          <w:rFonts w:ascii="Montserrat" w:hAnsi="Montserrat" w:cs="Arial"/>
          <w:spacing w:val="-1"/>
          <w:sz w:val="18"/>
          <w:szCs w:val="18"/>
        </w:rPr>
      </w:pPr>
      <w:r w:rsidRPr="00E775AB">
        <w:rPr>
          <w:rFonts w:ascii="Montserrat" w:hAnsi="Montserrat" w:cs="Arial"/>
          <w:spacing w:val="-1"/>
          <w:sz w:val="18"/>
          <w:szCs w:val="18"/>
        </w:rPr>
        <w:t>Valuación</w:t>
      </w:r>
    </w:p>
    <w:p w14:paraId="5DB3657D" w14:textId="77777777" w:rsidR="009C3C24" w:rsidRPr="00E775AB" w:rsidRDefault="009C3C24" w:rsidP="005D00DF">
      <w:pPr>
        <w:numPr>
          <w:ilvl w:val="0"/>
          <w:numId w:val="42"/>
        </w:numPr>
        <w:spacing w:after="120" w:line="250" w:lineRule="exact"/>
        <w:jc w:val="both"/>
        <w:rPr>
          <w:rFonts w:ascii="Montserrat" w:hAnsi="Montserrat" w:cs="Arial"/>
          <w:spacing w:val="-1"/>
          <w:sz w:val="18"/>
          <w:szCs w:val="18"/>
        </w:rPr>
      </w:pPr>
      <w:r w:rsidRPr="00E775AB">
        <w:rPr>
          <w:rFonts w:ascii="Montserrat" w:hAnsi="Montserrat" w:cs="Arial"/>
          <w:spacing w:val="-1"/>
          <w:sz w:val="18"/>
          <w:szCs w:val="18"/>
        </w:rPr>
        <w:t>Dualidad Económica</w:t>
      </w:r>
    </w:p>
    <w:p w14:paraId="46495AC8" w14:textId="77777777" w:rsidR="009C3C24" w:rsidRDefault="009C3C24" w:rsidP="005D00DF">
      <w:pPr>
        <w:numPr>
          <w:ilvl w:val="0"/>
          <w:numId w:val="42"/>
        </w:numPr>
        <w:spacing w:after="120" w:line="250" w:lineRule="exact"/>
        <w:jc w:val="both"/>
        <w:rPr>
          <w:rFonts w:ascii="Montserrat" w:hAnsi="Montserrat" w:cs="Arial"/>
          <w:spacing w:val="-1"/>
          <w:sz w:val="18"/>
          <w:szCs w:val="18"/>
        </w:rPr>
      </w:pPr>
      <w:r w:rsidRPr="00E775AB">
        <w:rPr>
          <w:rFonts w:ascii="Montserrat" w:hAnsi="Montserrat" w:cs="Arial"/>
          <w:spacing w:val="-1"/>
          <w:sz w:val="18"/>
          <w:szCs w:val="18"/>
        </w:rPr>
        <w:t>Consistencia</w:t>
      </w:r>
    </w:p>
    <w:p w14:paraId="072C737E" w14:textId="77777777" w:rsidR="00F01A61" w:rsidRPr="00E775AB" w:rsidRDefault="00F01A61" w:rsidP="00F01A61">
      <w:pPr>
        <w:spacing w:after="0" w:line="240" w:lineRule="auto"/>
        <w:jc w:val="both"/>
        <w:rPr>
          <w:rFonts w:ascii="Montserrat" w:hAnsi="Montserrat" w:cs="Arial"/>
          <w:spacing w:val="-1"/>
          <w:sz w:val="18"/>
          <w:szCs w:val="18"/>
        </w:rPr>
      </w:pPr>
    </w:p>
    <w:p w14:paraId="4F574B2A" w14:textId="77777777" w:rsidR="009C3C24" w:rsidRPr="00FC2554" w:rsidRDefault="009C3C24" w:rsidP="005D00DF">
      <w:pPr>
        <w:numPr>
          <w:ilvl w:val="0"/>
          <w:numId w:val="11"/>
        </w:numPr>
        <w:spacing w:after="120" w:line="250" w:lineRule="exact"/>
        <w:ind w:left="998" w:hanging="284"/>
        <w:jc w:val="both"/>
        <w:rPr>
          <w:rFonts w:ascii="Montserrat" w:hAnsi="Montserrat" w:cs="Arial"/>
          <w:spacing w:val="-1"/>
          <w:sz w:val="18"/>
          <w:szCs w:val="18"/>
        </w:rPr>
      </w:pPr>
      <w:r w:rsidRPr="00FC2554">
        <w:rPr>
          <w:rFonts w:ascii="Montserrat" w:hAnsi="Montserrat" w:cs="Arial"/>
          <w:spacing w:val="-1"/>
          <w:sz w:val="18"/>
          <w:szCs w:val="18"/>
        </w:rPr>
        <w:t>Normatividad supletoria</w:t>
      </w:r>
    </w:p>
    <w:p w14:paraId="62EB7268" w14:textId="2E885805" w:rsidR="009C3C24" w:rsidRPr="00393F62" w:rsidRDefault="009C3C24" w:rsidP="00887D16">
      <w:pPr>
        <w:spacing w:after="120" w:line="250" w:lineRule="exact"/>
        <w:jc w:val="both"/>
        <w:rPr>
          <w:rFonts w:ascii="Montserrat" w:hAnsi="Montserrat" w:cs="Arial"/>
          <w:spacing w:val="-1"/>
          <w:sz w:val="18"/>
          <w:szCs w:val="18"/>
        </w:rPr>
      </w:pPr>
      <w:r w:rsidRPr="006F0DF1">
        <w:rPr>
          <w:rFonts w:ascii="Montserrat" w:hAnsi="Montserrat" w:cs="Arial"/>
          <w:spacing w:val="-1"/>
          <w:sz w:val="18"/>
          <w:szCs w:val="18"/>
        </w:rPr>
        <w:t xml:space="preserve">El Marco Conceptual de Contabilidad Gubernamental </w:t>
      </w:r>
      <w:r w:rsidR="00E74C5A">
        <w:rPr>
          <w:rFonts w:ascii="Montserrat" w:hAnsi="Montserrat" w:cs="Arial"/>
          <w:spacing w:val="-1"/>
          <w:sz w:val="18"/>
          <w:szCs w:val="18"/>
        </w:rPr>
        <w:t>(</w:t>
      </w:r>
      <w:r w:rsidRPr="006F0DF1">
        <w:rPr>
          <w:rFonts w:ascii="Montserrat" w:hAnsi="Montserrat" w:cs="Arial"/>
          <w:spacing w:val="-1"/>
          <w:sz w:val="18"/>
          <w:szCs w:val="18"/>
        </w:rPr>
        <w:t>MCCG</w:t>
      </w:r>
      <w:r w:rsidR="00E74C5A">
        <w:rPr>
          <w:rFonts w:ascii="Montserrat" w:hAnsi="Montserrat" w:cs="Arial"/>
          <w:spacing w:val="-1"/>
          <w:sz w:val="18"/>
          <w:szCs w:val="18"/>
        </w:rPr>
        <w:t>)</w:t>
      </w:r>
      <w:r w:rsidRPr="006F0DF1">
        <w:rPr>
          <w:rFonts w:ascii="Montserrat" w:hAnsi="Montserrat" w:cs="Arial"/>
          <w:spacing w:val="-1"/>
          <w:sz w:val="18"/>
          <w:szCs w:val="18"/>
        </w:rPr>
        <w:t xml:space="preserve"> se sustenta en la </w:t>
      </w:r>
      <w:r w:rsidR="00E74C5A">
        <w:rPr>
          <w:rFonts w:ascii="Montserrat" w:hAnsi="Montserrat" w:cs="Arial"/>
          <w:spacing w:val="-1"/>
          <w:sz w:val="18"/>
          <w:szCs w:val="18"/>
        </w:rPr>
        <w:t>LGCG</w:t>
      </w:r>
      <w:r w:rsidRPr="006F0DF1">
        <w:rPr>
          <w:rFonts w:ascii="Montserrat" w:hAnsi="Montserrat" w:cs="Arial"/>
          <w:spacing w:val="-1"/>
          <w:sz w:val="18"/>
          <w:szCs w:val="18"/>
        </w:rPr>
        <w:t xml:space="preserve">, que otorga al CONAC la atribución de ser el órgano de coordinación para la armonización de la contabilidad gubernamental, teniendo por objeto la emisión de las normas contables y lineamientos para la generación de información financiera que aplicarán los entes públicos. </w:t>
      </w:r>
      <w:r w:rsidR="00A52F42">
        <w:rPr>
          <w:rFonts w:ascii="Montserrat" w:hAnsi="Montserrat" w:cs="Arial"/>
          <w:spacing w:val="-1"/>
          <w:sz w:val="18"/>
          <w:szCs w:val="18"/>
        </w:rPr>
        <w:t>A la fecha n</w:t>
      </w:r>
      <w:r w:rsidRPr="006B0FF4">
        <w:rPr>
          <w:rFonts w:ascii="Montserrat" w:hAnsi="Montserrat" w:cs="Arial"/>
          <w:spacing w:val="-1"/>
          <w:sz w:val="18"/>
          <w:szCs w:val="18"/>
        </w:rPr>
        <w:t xml:space="preserve">o se </w:t>
      </w:r>
      <w:r w:rsidR="00A52F42">
        <w:rPr>
          <w:rFonts w:ascii="Montserrat" w:hAnsi="Montserrat" w:cs="Arial"/>
          <w:spacing w:val="-1"/>
          <w:sz w:val="18"/>
          <w:szCs w:val="18"/>
        </w:rPr>
        <w:t>ha</w:t>
      </w:r>
      <w:r w:rsidRPr="00393F62">
        <w:rPr>
          <w:rFonts w:ascii="Montserrat" w:hAnsi="Montserrat" w:cs="Arial"/>
          <w:spacing w:val="-1"/>
          <w:sz w:val="18"/>
          <w:szCs w:val="18"/>
        </w:rPr>
        <w:t xml:space="preserve"> aplicado</w:t>
      </w:r>
      <w:r w:rsidR="00A52F42">
        <w:rPr>
          <w:rFonts w:ascii="Montserrat" w:hAnsi="Montserrat" w:cs="Arial"/>
          <w:spacing w:val="-1"/>
          <w:sz w:val="18"/>
          <w:szCs w:val="18"/>
        </w:rPr>
        <w:t xml:space="preserve"> la supletoriedad en el Poder Ejecutivo Federal</w:t>
      </w:r>
      <w:r w:rsidRPr="00393F62">
        <w:rPr>
          <w:rFonts w:ascii="Montserrat" w:hAnsi="Montserrat" w:cs="Arial"/>
          <w:spacing w:val="-1"/>
          <w:sz w:val="18"/>
          <w:szCs w:val="18"/>
        </w:rPr>
        <w:t>.</w:t>
      </w:r>
    </w:p>
    <w:p w14:paraId="7D90EC0D" w14:textId="77777777" w:rsidR="00F01A61" w:rsidRPr="00393F62" w:rsidRDefault="00F01A61" w:rsidP="00F01A61">
      <w:pPr>
        <w:spacing w:after="0" w:line="240" w:lineRule="auto"/>
        <w:jc w:val="both"/>
        <w:rPr>
          <w:rFonts w:ascii="Montserrat" w:hAnsi="Montserrat" w:cs="Arial"/>
          <w:spacing w:val="-1"/>
          <w:sz w:val="18"/>
          <w:szCs w:val="18"/>
        </w:rPr>
      </w:pPr>
    </w:p>
    <w:p w14:paraId="3BBC9A9F" w14:textId="31C25382" w:rsidR="009C3C24" w:rsidRPr="00FC2554" w:rsidRDefault="009C3C24" w:rsidP="00887D16">
      <w:pPr>
        <w:spacing w:after="120" w:line="250" w:lineRule="exact"/>
        <w:jc w:val="both"/>
        <w:rPr>
          <w:rFonts w:ascii="Montserrat" w:hAnsi="Montserrat"/>
          <w:b/>
          <w:sz w:val="18"/>
          <w:szCs w:val="18"/>
        </w:rPr>
      </w:pPr>
      <w:r w:rsidRPr="00FC2554">
        <w:rPr>
          <w:rFonts w:ascii="Montserrat" w:hAnsi="Montserrat" w:cs="Arial"/>
          <w:b/>
          <w:spacing w:val="-1"/>
          <w:sz w:val="18"/>
          <w:szCs w:val="18"/>
        </w:rPr>
        <w:t>6. Políticas Contables Significativas</w:t>
      </w:r>
    </w:p>
    <w:p w14:paraId="4D848ED1" w14:textId="77777777" w:rsidR="009C3C24" w:rsidRPr="00FC2554" w:rsidRDefault="009C3C24" w:rsidP="005A5AC5">
      <w:pPr>
        <w:numPr>
          <w:ilvl w:val="0"/>
          <w:numId w:val="11"/>
        </w:numPr>
        <w:spacing w:after="120" w:line="250" w:lineRule="exact"/>
        <w:ind w:left="998" w:hanging="284"/>
        <w:jc w:val="both"/>
        <w:rPr>
          <w:rFonts w:ascii="Montserrat" w:hAnsi="Montserrat" w:cs="Arial"/>
          <w:spacing w:val="-1"/>
          <w:sz w:val="18"/>
          <w:szCs w:val="18"/>
        </w:rPr>
      </w:pPr>
      <w:r w:rsidRPr="00FC2554">
        <w:rPr>
          <w:rFonts w:ascii="Montserrat" w:hAnsi="Montserrat" w:cs="Arial"/>
          <w:spacing w:val="-1"/>
          <w:sz w:val="18"/>
          <w:szCs w:val="18"/>
        </w:rPr>
        <w:t>Actualización</w:t>
      </w:r>
    </w:p>
    <w:p w14:paraId="7167C595" w14:textId="77777777" w:rsidR="009C3C24" w:rsidRPr="006F0DF1" w:rsidRDefault="009C3C24" w:rsidP="006823BB">
      <w:pPr>
        <w:spacing w:after="120" w:line="250" w:lineRule="exact"/>
        <w:jc w:val="both"/>
        <w:rPr>
          <w:rFonts w:ascii="Montserrat" w:hAnsi="Montserrat" w:cs="Arial"/>
          <w:spacing w:val="-1"/>
          <w:sz w:val="18"/>
          <w:szCs w:val="18"/>
        </w:rPr>
      </w:pPr>
      <w:r w:rsidRPr="00393F62">
        <w:rPr>
          <w:rFonts w:ascii="Montserrat" w:hAnsi="Montserrat" w:cs="Arial"/>
          <w:spacing w:val="-1"/>
          <w:sz w:val="18"/>
          <w:szCs w:val="18"/>
        </w:rPr>
        <w:t>En este ejercicio las dependencias del Poder Ejecutivo Federal continuaron con la práctica de obtener avalúos paramétricos a efecto de actualizar los valores de los inmuebles; para efectos de venta, desincorporación o registro de responsabilidades derivadas de pérdidas o destrucción de activos físicos se actualiza el importe</w:t>
      </w:r>
      <w:r w:rsidRPr="006F0DF1">
        <w:rPr>
          <w:rFonts w:ascii="Montserrat" w:hAnsi="Montserrat" w:cs="Arial"/>
          <w:spacing w:val="-1"/>
          <w:sz w:val="18"/>
          <w:szCs w:val="18"/>
        </w:rPr>
        <w:t xml:space="preserve"> de los registros, cuando el valor histórico en libros sea diferente al costo de recuperación o de reposición y la diferencia se refleja como un resultado positivo o negativo según corresponda</w:t>
      </w:r>
      <w:r w:rsidR="001622D5">
        <w:rPr>
          <w:rFonts w:ascii="Montserrat" w:hAnsi="Montserrat" w:cs="Arial"/>
          <w:spacing w:val="-1"/>
          <w:sz w:val="18"/>
          <w:szCs w:val="18"/>
        </w:rPr>
        <w:t>.</w:t>
      </w:r>
    </w:p>
    <w:p w14:paraId="3513E748" w14:textId="77777777" w:rsidR="009C3C24" w:rsidRPr="00FC2554" w:rsidRDefault="009C3C24" w:rsidP="005A5AC5">
      <w:pPr>
        <w:numPr>
          <w:ilvl w:val="0"/>
          <w:numId w:val="11"/>
        </w:numPr>
        <w:spacing w:after="120" w:line="250" w:lineRule="exact"/>
        <w:ind w:left="998" w:hanging="284"/>
        <w:jc w:val="both"/>
        <w:rPr>
          <w:rFonts w:ascii="Montserrat" w:hAnsi="Montserrat" w:cs="Arial"/>
          <w:spacing w:val="-1"/>
          <w:sz w:val="18"/>
          <w:szCs w:val="18"/>
        </w:rPr>
      </w:pPr>
      <w:r w:rsidRPr="00FC2554">
        <w:rPr>
          <w:rFonts w:ascii="Montserrat" w:hAnsi="Montserrat" w:cs="Arial"/>
          <w:spacing w:val="-1"/>
          <w:sz w:val="18"/>
          <w:szCs w:val="18"/>
        </w:rPr>
        <w:t>Operaciones en el Extranjero</w:t>
      </w:r>
    </w:p>
    <w:p w14:paraId="579C7C43" w14:textId="77777777" w:rsidR="009C3C24" w:rsidRPr="006F0DF1" w:rsidRDefault="009C3C24" w:rsidP="006823BB">
      <w:pPr>
        <w:spacing w:after="120" w:line="250" w:lineRule="exact"/>
        <w:jc w:val="both"/>
        <w:rPr>
          <w:rFonts w:ascii="Montserrat" w:hAnsi="Montserrat" w:cs="Arial"/>
          <w:spacing w:val="-1"/>
          <w:sz w:val="18"/>
          <w:szCs w:val="18"/>
        </w:rPr>
      </w:pPr>
      <w:r w:rsidRPr="006F0DF1">
        <w:rPr>
          <w:rFonts w:ascii="Montserrat" w:hAnsi="Montserrat" w:cs="Arial"/>
          <w:spacing w:val="-1"/>
          <w:sz w:val="18"/>
          <w:szCs w:val="18"/>
        </w:rPr>
        <w:t>Las operaciones que se realizan en moneda extranjera se registran al devengarse en su equivalente en moneda nacional, y se actualizan reconociendo el diferencial cambiario.</w:t>
      </w:r>
    </w:p>
    <w:p w14:paraId="2957FEA4" w14:textId="64E687D8" w:rsidR="009C3C24" w:rsidRDefault="009C3C24" w:rsidP="006823BB">
      <w:pPr>
        <w:spacing w:after="120" w:line="250" w:lineRule="exact"/>
        <w:jc w:val="both"/>
        <w:rPr>
          <w:rFonts w:ascii="Montserrat" w:hAnsi="Montserrat" w:cs="Arial"/>
          <w:spacing w:val="-1"/>
          <w:sz w:val="18"/>
          <w:szCs w:val="18"/>
        </w:rPr>
      </w:pPr>
      <w:r w:rsidRPr="006F0DF1">
        <w:rPr>
          <w:rFonts w:ascii="Montserrat" w:hAnsi="Montserrat" w:cs="Arial"/>
          <w:spacing w:val="-1"/>
          <w:sz w:val="18"/>
          <w:szCs w:val="18"/>
        </w:rPr>
        <w:t>En cumplimiento de los Postulados Básicos de Contabilidad Gubernamental, “Valuación” y “Consistencia”, para efe</w:t>
      </w:r>
      <w:r w:rsidR="00040485">
        <w:rPr>
          <w:rFonts w:ascii="Montserrat" w:hAnsi="Montserrat" w:cs="Arial"/>
          <w:spacing w:val="-1"/>
          <w:sz w:val="18"/>
          <w:szCs w:val="18"/>
        </w:rPr>
        <w:t xml:space="preserve">ctos de la presentación en los </w:t>
      </w:r>
      <w:r w:rsidRPr="006F0DF1">
        <w:rPr>
          <w:rFonts w:ascii="Montserrat" w:hAnsi="Montserrat" w:cs="Arial"/>
          <w:spacing w:val="-1"/>
          <w:sz w:val="18"/>
          <w:szCs w:val="18"/>
        </w:rPr>
        <w:t xml:space="preserve"> Estados Financieros de los saldos de las operaciones efectuadas en moneda extranjera, la </w:t>
      </w:r>
      <w:r w:rsidR="00A52F42">
        <w:rPr>
          <w:rFonts w:ascii="Montserrat" w:hAnsi="Montserrat" w:cs="Arial"/>
          <w:spacing w:val="-1"/>
          <w:sz w:val="18"/>
          <w:szCs w:val="18"/>
        </w:rPr>
        <w:t>SHCP</w:t>
      </w:r>
      <w:r w:rsidRPr="006F0DF1">
        <w:rPr>
          <w:rFonts w:ascii="Montserrat" w:hAnsi="Montserrat" w:cs="Arial"/>
          <w:spacing w:val="-1"/>
          <w:sz w:val="18"/>
          <w:szCs w:val="18"/>
        </w:rPr>
        <w:t xml:space="preserve">, a través de la Unidad de Contabilidad Gubernamental </w:t>
      </w:r>
      <w:r w:rsidR="00A52F42">
        <w:rPr>
          <w:rFonts w:ascii="Montserrat" w:hAnsi="Montserrat" w:cs="Arial"/>
          <w:spacing w:val="-1"/>
          <w:sz w:val="18"/>
          <w:szCs w:val="18"/>
        </w:rPr>
        <w:t xml:space="preserve">(UCG) </w:t>
      </w:r>
      <w:r w:rsidRPr="006F0DF1">
        <w:rPr>
          <w:rFonts w:ascii="Montserrat" w:hAnsi="Montserrat" w:cs="Arial"/>
          <w:spacing w:val="-1"/>
          <w:sz w:val="18"/>
          <w:szCs w:val="18"/>
        </w:rPr>
        <w:t xml:space="preserve">expide y difunde, cada año, conforme a la normatividad establecida a la fecha de emisión de la información contable, la </w:t>
      </w:r>
      <w:r w:rsidR="00B549B6">
        <w:rPr>
          <w:rFonts w:ascii="Montserrat" w:hAnsi="Montserrat" w:cs="Arial"/>
          <w:spacing w:val="-1"/>
          <w:sz w:val="18"/>
          <w:szCs w:val="18"/>
        </w:rPr>
        <w:t>tabla T</w:t>
      </w:r>
      <w:r w:rsidRPr="00172E13">
        <w:rPr>
          <w:rFonts w:ascii="Montserrat" w:hAnsi="Montserrat" w:cs="Arial"/>
          <w:spacing w:val="-1"/>
          <w:sz w:val="18"/>
          <w:szCs w:val="18"/>
        </w:rPr>
        <w:t xml:space="preserve">ipos de Cambio de Divisas Extranjeras </w:t>
      </w:r>
      <w:r w:rsidR="00172E13" w:rsidRPr="00172E13">
        <w:rPr>
          <w:rFonts w:ascii="Montserrat" w:hAnsi="Montserrat" w:cs="Arial"/>
          <w:spacing w:val="-1"/>
          <w:sz w:val="18"/>
          <w:szCs w:val="18"/>
        </w:rPr>
        <w:t>para</w:t>
      </w:r>
      <w:r w:rsidR="00172E13" w:rsidRPr="000F0321">
        <w:rPr>
          <w:rFonts w:ascii="Montserrat" w:hAnsi="Montserrat" w:cs="Arial"/>
          <w:spacing w:val="-1"/>
          <w:sz w:val="18"/>
          <w:szCs w:val="18"/>
        </w:rPr>
        <w:t xml:space="preserve"> el </w:t>
      </w:r>
      <w:r w:rsidRPr="00172E13">
        <w:rPr>
          <w:rFonts w:ascii="Montserrat" w:hAnsi="Montserrat" w:cs="Arial"/>
          <w:spacing w:val="-1"/>
          <w:sz w:val="18"/>
          <w:szCs w:val="18"/>
        </w:rPr>
        <w:t>Ci</w:t>
      </w:r>
      <w:r w:rsidR="00B549B6">
        <w:rPr>
          <w:rFonts w:ascii="Montserrat" w:hAnsi="Montserrat" w:cs="Arial"/>
          <w:spacing w:val="-1"/>
          <w:sz w:val="18"/>
          <w:szCs w:val="18"/>
        </w:rPr>
        <w:t>erre Contable al 31 de Diciembre de cada ejercicio</w:t>
      </w:r>
      <w:r w:rsidRPr="00172E13">
        <w:rPr>
          <w:rFonts w:ascii="Montserrat" w:hAnsi="Montserrat" w:cs="Arial"/>
          <w:spacing w:val="-1"/>
          <w:sz w:val="18"/>
          <w:szCs w:val="18"/>
        </w:rPr>
        <w:t>.</w:t>
      </w:r>
      <w:r w:rsidR="00FC29E7">
        <w:rPr>
          <w:rFonts w:ascii="Montserrat" w:hAnsi="Montserrat" w:cs="Arial"/>
          <w:spacing w:val="-1"/>
          <w:sz w:val="18"/>
          <w:szCs w:val="18"/>
        </w:rPr>
        <w:t xml:space="preserve"> </w:t>
      </w:r>
    </w:p>
    <w:p w14:paraId="2658F44D" w14:textId="77777777" w:rsidR="00B34F6C" w:rsidRDefault="00B34F6C" w:rsidP="006823BB">
      <w:pPr>
        <w:spacing w:after="120" w:line="250" w:lineRule="exact"/>
        <w:jc w:val="both"/>
        <w:rPr>
          <w:rFonts w:ascii="Montserrat" w:hAnsi="Montserrat" w:cs="Arial"/>
          <w:spacing w:val="-1"/>
          <w:sz w:val="18"/>
          <w:szCs w:val="18"/>
        </w:rPr>
      </w:pPr>
    </w:p>
    <w:p w14:paraId="2FD0AD6D" w14:textId="77777777" w:rsidR="009C3C24" w:rsidRPr="00FC2554" w:rsidRDefault="009C3C24" w:rsidP="005A5AC5">
      <w:pPr>
        <w:numPr>
          <w:ilvl w:val="0"/>
          <w:numId w:val="11"/>
        </w:numPr>
        <w:spacing w:after="120" w:line="250" w:lineRule="exact"/>
        <w:ind w:left="998" w:hanging="284"/>
        <w:jc w:val="both"/>
        <w:rPr>
          <w:rFonts w:ascii="Montserrat" w:hAnsi="Montserrat"/>
          <w:bCs/>
          <w:spacing w:val="-1"/>
          <w:sz w:val="18"/>
          <w:szCs w:val="18"/>
        </w:rPr>
      </w:pPr>
      <w:r w:rsidRPr="00FC2554">
        <w:rPr>
          <w:rFonts w:ascii="Montserrat" w:hAnsi="Montserrat"/>
          <w:bCs/>
          <w:spacing w:val="-1"/>
          <w:sz w:val="18"/>
          <w:szCs w:val="18"/>
        </w:rPr>
        <w:t xml:space="preserve">Método de valuación </w:t>
      </w:r>
      <w:r w:rsidR="00040485" w:rsidRPr="00FC2554">
        <w:rPr>
          <w:rFonts w:ascii="Montserrat" w:hAnsi="Montserrat"/>
          <w:bCs/>
          <w:spacing w:val="-1"/>
          <w:sz w:val="18"/>
          <w:szCs w:val="18"/>
        </w:rPr>
        <w:t>de la inversión en acciones de c</w:t>
      </w:r>
      <w:r w:rsidRPr="00FC2554">
        <w:rPr>
          <w:rFonts w:ascii="Montserrat" w:hAnsi="Montserrat"/>
          <w:bCs/>
          <w:spacing w:val="-1"/>
          <w:sz w:val="18"/>
          <w:szCs w:val="18"/>
        </w:rPr>
        <w:t>ompañías subsidiarias no consolidadas y asociadas</w:t>
      </w:r>
    </w:p>
    <w:p w14:paraId="7399EBE3" w14:textId="36B783A7" w:rsidR="009C3C24" w:rsidRDefault="009C3C24" w:rsidP="006823BB">
      <w:pPr>
        <w:spacing w:after="120" w:line="250" w:lineRule="exact"/>
        <w:jc w:val="both"/>
        <w:rPr>
          <w:rFonts w:ascii="Montserrat" w:hAnsi="Montserrat" w:cs="Arial"/>
          <w:spacing w:val="-1"/>
          <w:sz w:val="18"/>
          <w:szCs w:val="18"/>
        </w:rPr>
      </w:pPr>
      <w:r w:rsidRPr="006F0DF1">
        <w:rPr>
          <w:rFonts w:ascii="Montserrat" w:hAnsi="Montserrat" w:cs="Arial"/>
          <w:spacing w:val="-1"/>
          <w:sz w:val="18"/>
          <w:szCs w:val="18"/>
        </w:rPr>
        <w:t xml:space="preserve">Atendiendo lo dispuesto por el artículo 32 de </w:t>
      </w:r>
      <w:r w:rsidR="00040485">
        <w:rPr>
          <w:rFonts w:ascii="Montserrat" w:hAnsi="Montserrat" w:cs="Arial"/>
          <w:spacing w:val="-1"/>
          <w:sz w:val="18"/>
          <w:szCs w:val="18"/>
        </w:rPr>
        <w:t>la LGCG</w:t>
      </w:r>
      <w:r w:rsidRPr="006F0DF1">
        <w:rPr>
          <w:rFonts w:ascii="Montserrat" w:hAnsi="Montserrat" w:cs="Arial"/>
          <w:spacing w:val="-1"/>
          <w:sz w:val="18"/>
          <w:szCs w:val="18"/>
        </w:rPr>
        <w:t xml:space="preserve">, </w:t>
      </w:r>
      <w:r w:rsidR="005724B1" w:rsidRPr="006F0DF1">
        <w:rPr>
          <w:rFonts w:ascii="Montserrat" w:hAnsi="Montserrat" w:cs="Arial"/>
          <w:spacing w:val="-1"/>
          <w:sz w:val="18"/>
          <w:szCs w:val="18"/>
        </w:rPr>
        <w:t xml:space="preserve">los derechos patrimoniales que el ente público Poder Ejecutivo Federal tenga en fideicomisos sin estructura orgánica, mandatos y contratos análogos </w:t>
      </w:r>
      <w:r w:rsidRPr="006F0DF1">
        <w:rPr>
          <w:rFonts w:ascii="Montserrat" w:hAnsi="Montserrat" w:cs="Arial"/>
          <w:spacing w:val="-1"/>
          <w:sz w:val="18"/>
          <w:szCs w:val="18"/>
        </w:rPr>
        <w:t>se registran en una cuenta de activo. Asimismo, la participación en el patrimonio o capital de las entidades de la administración pública paraestatal, así como de las empresas productivas del Estado.</w:t>
      </w:r>
    </w:p>
    <w:p w14:paraId="2EC4448C" w14:textId="77777777" w:rsidR="009C3C24" w:rsidRPr="00FC2554" w:rsidRDefault="009C3C24" w:rsidP="005A5AC5">
      <w:pPr>
        <w:numPr>
          <w:ilvl w:val="0"/>
          <w:numId w:val="11"/>
        </w:numPr>
        <w:spacing w:after="120" w:line="250" w:lineRule="exact"/>
        <w:ind w:left="998" w:hanging="284"/>
        <w:jc w:val="both"/>
        <w:rPr>
          <w:rFonts w:ascii="Montserrat" w:hAnsi="Montserrat" w:cs="Arial"/>
          <w:spacing w:val="-1"/>
          <w:sz w:val="18"/>
          <w:szCs w:val="18"/>
        </w:rPr>
      </w:pPr>
      <w:r w:rsidRPr="00FC2554">
        <w:rPr>
          <w:rFonts w:ascii="Montserrat" w:hAnsi="Montserrat" w:cs="Arial"/>
          <w:spacing w:val="-1"/>
          <w:sz w:val="18"/>
          <w:szCs w:val="18"/>
        </w:rPr>
        <w:t>Sistema y método de valuación de inventarios y costo de lo vendido</w:t>
      </w:r>
    </w:p>
    <w:p w14:paraId="3A86687B" w14:textId="77777777" w:rsidR="009C3C24" w:rsidRPr="006F0DF1" w:rsidRDefault="009C3C24" w:rsidP="006823BB">
      <w:pPr>
        <w:spacing w:after="120" w:line="250" w:lineRule="exact"/>
        <w:jc w:val="both"/>
        <w:rPr>
          <w:rFonts w:ascii="Montserrat" w:hAnsi="Montserrat" w:cs="Arial"/>
          <w:spacing w:val="-1"/>
          <w:sz w:val="18"/>
          <w:szCs w:val="18"/>
        </w:rPr>
      </w:pPr>
      <w:r w:rsidRPr="006F0DF1">
        <w:rPr>
          <w:rFonts w:ascii="Montserrat" w:hAnsi="Montserrat" w:cs="Arial"/>
          <w:spacing w:val="-1"/>
          <w:sz w:val="18"/>
          <w:szCs w:val="18"/>
        </w:rPr>
        <w:t>Los inventarios y almacenes se encuentran valuados a su costo de adquisición atendiendo a lo que señalan las Principales Reglas de Registro y Valoración del Patrimonio (Elementos Generales) emitidas por el CONAC y el método aplicable para la valuación de los inventarios es el de costo promedio.</w:t>
      </w:r>
    </w:p>
    <w:p w14:paraId="5163044F" w14:textId="77777777" w:rsidR="009C3C24" w:rsidRPr="00FC2554" w:rsidRDefault="00704631" w:rsidP="005A5AC5">
      <w:pPr>
        <w:numPr>
          <w:ilvl w:val="0"/>
          <w:numId w:val="11"/>
        </w:numPr>
        <w:spacing w:after="120" w:line="250" w:lineRule="exact"/>
        <w:ind w:left="998" w:hanging="284"/>
        <w:jc w:val="both"/>
        <w:rPr>
          <w:rFonts w:ascii="Montserrat" w:hAnsi="Montserrat" w:cs="Arial"/>
          <w:spacing w:val="-1"/>
          <w:sz w:val="18"/>
          <w:szCs w:val="18"/>
        </w:rPr>
      </w:pPr>
      <w:r w:rsidRPr="00FC2554">
        <w:rPr>
          <w:rFonts w:ascii="Montserrat" w:hAnsi="Montserrat" w:cs="Arial"/>
          <w:spacing w:val="-1"/>
          <w:sz w:val="18"/>
          <w:szCs w:val="18"/>
        </w:rPr>
        <w:t>Beneficios a E</w:t>
      </w:r>
      <w:r w:rsidR="009C3C24" w:rsidRPr="00FC2554">
        <w:rPr>
          <w:rFonts w:ascii="Montserrat" w:hAnsi="Montserrat" w:cs="Arial"/>
          <w:spacing w:val="-1"/>
          <w:sz w:val="18"/>
          <w:szCs w:val="18"/>
        </w:rPr>
        <w:t>mpleados</w:t>
      </w:r>
    </w:p>
    <w:p w14:paraId="5EA92B6E" w14:textId="4D6204E4" w:rsidR="009C3C24" w:rsidRPr="007257FE" w:rsidRDefault="009C3C24" w:rsidP="006823BB">
      <w:pPr>
        <w:spacing w:after="120" w:line="250" w:lineRule="exact"/>
        <w:jc w:val="both"/>
        <w:rPr>
          <w:rFonts w:ascii="Montserrat" w:hAnsi="Montserrat" w:cs="Arial"/>
          <w:spacing w:val="-1"/>
          <w:sz w:val="18"/>
          <w:szCs w:val="18"/>
        </w:rPr>
      </w:pPr>
      <w:r w:rsidRPr="007257FE">
        <w:rPr>
          <w:rFonts w:ascii="Montserrat" w:hAnsi="Montserrat" w:cs="Arial"/>
          <w:spacing w:val="-1"/>
          <w:sz w:val="18"/>
          <w:szCs w:val="18"/>
        </w:rPr>
        <w:t xml:space="preserve">A partir de la publicación de la Nueva Ley del Instituto de Seguridad y Servicios Sociales de los Trabajadores del Estado, </w:t>
      </w:r>
      <w:r w:rsidR="006B0FF4" w:rsidRPr="007257FE">
        <w:rPr>
          <w:rFonts w:ascii="Montserrat" w:hAnsi="Montserrat" w:cs="Arial"/>
          <w:spacing w:val="-1"/>
          <w:sz w:val="18"/>
          <w:szCs w:val="18"/>
        </w:rPr>
        <w:t>los trabajadores</w:t>
      </w:r>
      <w:r w:rsidRPr="007257FE">
        <w:rPr>
          <w:rFonts w:ascii="Montserrat" w:hAnsi="Montserrat" w:cs="Arial"/>
          <w:spacing w:val="-1"/>
          <w:sz w:val="18"/>
          <w:szCs w:val="18"/>
        </w:rPr>
        <w:t xml:space="preserve"> </w:t>
      </w:r>
      <w:r w:rsidR="007257FE" w:rsidRPr="007257FE">
        <w:rPr>
          <w:rFonts w:ascii="Montserrat" w:hAnsi="Montserrat" w:cs="Arial"/>
          <w:spacing w:val="-1"/>
          <w:sz w:val="18"/>
          <w:szCs w:val="18"/>
        </w:rPr>
        <w:t>que ya gozaban de los servicios del ISSSTE, tuvieron</w:t>
      </w:r>
      <w:r w:rsidRPr="007257FE">
        <w:rPr>
          <w:rFonts w:ascii="Montserrat" w:hAnsi="Montserrat" w:cs="Arial"/>
          <w:spacing w:val="-1"/>
          <w:sz w:val="18"/>
          <w:szCs w:val="18"/>
        </w:rPr>
        <w:t xml:space="preserve"> derecho a elegir </w:t>
      </w:r>
      <w:r w:rsidR="007257FE" w:rsidRPr="007257FE">
        <w:rPr>
          <w:rFonts w:ascii="Montserrat" w:hAnsi="Montserrat" w:cs="Arial"/>
          <w:spacing w:val="-1"/>
          <w:sz w:val="18"/>
          <w:szCs w:val="18"/>
        </w:rPr>
        <w:t>entre</w:t>
      </w:r>
      <w:r w:rsidR="006B0FF4" w:rsidRPr="007257FE">
        <w:rPr>
          <w:rFonts w:ascii="Montserrat" w:hAnsi="Montserrat" w:cs="Arial"/>
          <w:spacing w:val="-1"/>
          <w:sz w:val="18"/>
          <w:szCs w:val="18"/>
        </w:rPr>
        <w:t xml:space="preserve"> las diferentes modalidades establecidas en la Ley</w:t>
      </w:r>
      <w:r w:rsidR="003043A3" w:rsidRPr="007257FE">
        <w:rPr>
          <w:rFonts w:ascii="Montserrat" w:hAnsi="Montserrat" w:cs="Arial"/>
          <w:spacing w:val="-1"/>
          <w:sz w:val="18"/>
          <w:szCs w:val="18"/>
        </w:rPr>
        <w:t>:</w:t>
      </w:r>
      <w:r w:rsidR="006B0FF4" w:rsidRPr="007257FE">
        <w:rPr>
          <w:rFonts w:ascii="Montserrat" w:hAnsi="Montserrat" w:cs="Arial"/>
          <w:spacing w:val="-1"/>
          <w:sz w:val="18"/>
          <w:szCs w:val="18"/>
        </w:rPr>
        <w:t xml:space="preserve"> </w:t>
      </w:r>
      <w:r w:rsidRPr="007257FE">
        <w:rPr>
          <w:rFonts w:ascii="Montserrat" w:hAnsi="Montserrat" w:cs="Arial"/>
          <w:spacing w:val="-1"/>
          <w:sz w:val="18"/>
          <w:szCs w:val="18"/>
        </w:rPr>
        <w:t>el régimen</w:t>
      </w:r>
      <w:r w:rsidR="006B0FF4" w:rsidRPr="007257FE">
        <w:rPr>
          <w:rFonts w:ascii="Montserrat" w:hAnsi="Montserrat" w:cs="Arial"/>
          <w:spacing w:val="-1"/>
          <w:sz w:val="18"/>
          <w:szCs w:val="18"/>
        </w:rPr>
        <w:t xml:space="preserve"> con la</w:t>
      </w:r>
      <w:r w:rsidRPr="007257FE">
        <w:rPr>
          <w:rFonts w:ascii="Montserrat" w:hAnsi="Montserrat" w:cs="Arial"/>
          <w:spacing w:val="-1"/>
          <w:sz w:val="18"/>
          <w:szCs w:val="18"/>
        </w:rPr>
        <w:t xml:space="preserve"> acreditación de Bonos de Pensión del ISSSTE </w:t>
      </w:r>
      <w:r w:rsidR="006B0FF4" w:rsidRPr="007257FE">
        <w:rPr>
          <w:rFonts w:ascii="Montserrat" w:hAnsi="Montserrat" w:cs="Arial"/>
          <w:spacing w:val="-1"/>
          <w:sz w:val="18"/>
          <w:szCs w:val="18"/>
        </w:rPr>
        <w:t>en sus Cuentas Individuales</w:t>
      </w:r>
      <w:r w:rsidR="003E7751" w:rsidRPr="007257FE">
        <w:rPr>
          <w:rFonts w:ascii="Montserrat" w:hAnsi="Montserrat" w:cs="Arial"/>
          <w:spacing w:val="-1"/>
          <w:sz w:val="18"/>
          <w:szCs w:val="18"/>
        </w:rPr>
        <w:t>,</w:t>
      </w:r>
      <w:r w:rsidRPr="007257FE">
        <w:rPr>
          <w:rFonts w:ascii="Montserrat" w:hAnsi="Montserrat" w:cs="Arial"/>
          <w:spacing w:val="-1"/>
          <w:sz w:val="18"/>
          <w:szCs w:val="18"/>
        </w:rPr>
        <w:t xml:space="preserve"> los cuales generarán rendimientos capitalizables, y representan un pasivo en favor de los trabajadores contabilizado y administrado por el Poder Ejecutivo Federal; o, la opción del pago de las pensiones a cargo del Gobierno Federal incluido el costo de su administración</w:t>
      </w:r>
      <w:r w:rsidR="006B0FF4" w:rsidRPr="007257FE">
        <w:rPr>
          <w:rFonts w:ascii="Montserrat" w:hAnsi="Montserrat" w:cs="Arial"/>
          <w:spacing w:val="-1"/>
          <w:sz w:val="18"/>
          <w:szCs w:val="18"/>
        </w:rPr>
        <w:t>.</w:t>
      </w:r>
    </w:p>
    <w:p w14:paraId="44627F09" w14:textId="10F98084" w:rsidR="007257FE" w:rsidRPr="006F0DF1" w:rsidRDefault="007257FE" w:rsidP="006823BB">
      <w:pPr>
        <w:spacing w:after="120" w:line="250" w:lineRule="exact"/>
        <w:jc w:val="both"/>
        <w:rPr>
          <w:rFonts w:ascii="Montserrat" w:hAnsi="Montserrat" w:cs="Arial"/>
          <w:spacing w:val="-1"/>
          <w:sz w:val="18"/>
          <w:szCs w:val="18"/>
        </w:rPr>
      </w:pPr>
      <w:r w:rsidRPr="007257FE">
        <w:rPr>
          <w:rFonts w:ascii="Montserrat" w:hAnsi="Montserrat" w:cs="Arial"/>
          <w:spacing w:val="-1"/>
          <w:sz w:val="18"/>
          <w:szCs w:val="18"/>
        </w:rPr>
        <w:t>Actualmente, los servidores públicos de nuevo ingreso se incorporan directamente en el régimen con la acreditación de Bonos de Pensión del ISSSTE en sus Cuentas Individuales.</w:t>
      </w:r>
    </w:p>
    <w:p w14:paraId="1AF407E9" w14:textId="77777777" w:rsidR="009C3C24" w:rsidRPr="00FC2554" w:rsidRDefault="009C3C24" w:rsidP="005A5AC5">
      <w:pPr>
        <w:numPr>
          <w:ilvl w:val="0"/>
          <w:numId w:val="11"/>
        </w:numPr>
        <w:spacing w:after="120" w:line="250" w:lineRule="exact"/>
        <w:ind w:left="998" w:hanging="284"/>
        <w:jc w:val="both"/>
        <w:rPr>
          <w:rFonts w:ascii="Montserrat" w:hAnsi="Montserrat" w:cs="Arial"/>
          <w:spacing w:val="-1"/>
          <w:sz w:val="18"/>
          <w:szCs w:val="18"/>
        </w:rPr>
      </w:pPr>
      <w:r w:rsidRPr="00FC2554">
        <w:rPr>
          <w:rFonts w:ascii="Montserrat" w:hAnsi="Montserrat" w:cs="Arial"/>
          <w:spacing w:val="-1"/>
          <w:sz w:val="18"/>
          <w:szCs w:val="18"/>
        </w:rPr>
        <w:t>Provisiones</w:t>
      </w:r>
    </w:p>
    <w:p w14:paraId="1EE02D2B" w14:textId="77777777" w:rsidR="009C3C24" w:rsidRPr="006F0DF1" w:rsidRDefault="009C3C24" w:rsidP="006823BB">
      <w:pPr>
        <w:spacing w:after="120" w:line="250" w:lineRule="exact"/>
        <w:jc w:val="both"/>
        <w:rPr>
          <w:rFonts w:ascii="Montserrat" w:hAnsi="Montserrat" w:cs="Arial"/>
          <w:spacing w:val="-1"/>
          <w:sz w:val="18"/>
          <w:szCs w:val="18"/>
        </w:rPr>
      </w:pPr>
      <w:r w:rsidRPr="006F0DF1">
        <w:rPr>
          <w:rFonts w:ascii="Montserrat" w:hAnsi="Montserrat" w:cs="Arial"/>
          <w:spacing w:val="-1"/>
          <w:sz w:val="18"/>
          <w:szCs w:val="18"/>
        </w:rPr>
        <w:t>De conformidad a las Reglas Específicas del Registro y Valoración del Patrimonio</w:t>
      </w:r>
      <w:r>
        <w:rPr>
          <w:rFonts w:ascii="Montserrat" w:hAnsi="Montserrat" w:cs="Arial"/>
          <w:spacing w:val="-1"/>
          <w:sz w:val="18"/>
          <w:szCs w:val="18"/>
        </w:rPr>
        <w:t>,</w:t>
      </w:r>
      <w:r w:rsidRPr="006F0DF1">
        <w:rPr>
          <w:rFonts w:ascii="Montserrat" w:hAnsi="Montserrat" w:cs="Arial"/>
          <w:spacing w:val="-1"/>
          <w:sz w:val="18"/>
          <w:szCs w:val="18"/>
        </w:rPr>
        <w:t xml:space="preserve"> en específico al numeral “12. Provisiones para demandas, juicios y contingencias.” Establece que “Representa el monto de las obligaciones a cargo del ente público, originadas en circunstancias ciertas, cuya exactitud del valor depende de un hecho futuro; estas obligaciones deben ser justificables y su medición monetaria debe ser confiable”</w:t>
      </w:r>
      <w:r w:rsidR="002F1F07">
        <w:rPr>
          <w:rFonts w:ascii="Montserrat" w:hAnsi="Montserrat" w:cs="Arial"/>
          <w:spacing w:val="-1"/>
          <w:sz w:val="18"/>
          <w:szCs w:val="18"/>
        </w:rPr>
        <w:t>.</w:t>
      </w:r>
    </w:p>
    <w:p w14:paraId="193194F4" w14:textId="39425FFB" w:rsidR="009C3C24" w:rsidRPr="006F0DF1" w:rsidRDefault="00000DA4" w:rsidP="006823BB">
      <w:pPr>
        <w:spacing w:after="120" w:line="250" w:lineRule="exact"/>
        <w:jc w:val="both"/>
        <w:rPr>
          <w:rFonts w:ascii="Montserrat" w:hAnsi="Montserrat" w:cs="Arial"/>
          <w:spacing w:val="-1"/>
          <w:sz w:val="18"/>
          <w:szCs w:val="18"/>
        </w:rPr>
      </w:pPr>
      <w:r>
        <w:rPr>
          <w:rFonts w:ascii="Montserrat" w:hAnsi="Montserrat" w:cs="Arial"/>
          <w:spacing w:val="-1"/>
          <w:sz w:val="18"/>
          <w:szCs w:val="18"/>
        </w:rPr>
        <w:t>En este sentido, n</w:t>
      </w:r>
      <w:r w:rsidR="009C3C24" w:rsidRPr="006F0DF1">
        <w:rPr>
          <w:rFonts w:ascii="Montserrat" w:hAnsi="Montserrat" w:cs="Arial"/>
          <w:spacing w:val="-1"/>
          <w:sz w:val="18"/>
          <w:szCs w:val="18"/>
        </w:rPr>
        <w:t>o se registran provisiones en el Ente Público Poder Ejecutivo Federal.</w:t>
      </w:r>
    </w:p>
    <w:p w14:paraId="1E2C0F50" w14:textId="77777777" w:rsidR="009C3C24" w:rsidRPr="00FC2554" w:rsidRDefault="009C3C24" w:rsidP="005A5AC5">
      <w:pPr>
        <w:numPr>
          <w:ilvl w:val="0"/>
          <w:numId w:val="11"/>
        </w:numPr>
        <w:spacing w:after="120" w:line="250" w:lineRule="exact"/>
        <w:ind w:left="998" w:hanging="284"/>
        <w:jc w:val="both"/>
        <w:rPr>
          <w:rFonts w:ascii="Montserrat" w:hAnsi="Montserrat" w:cs="Arial"/>
          <w:spacing w:val="-1"/>
          <w:sz w:val="18"/>
          <w:szCs w:val="18"/>
        </w:rPr>
      </w:pPr>
      <w:r w:rsidRPr="00FC2554">
        <w:rPr>
          <w:rFonts w:ascii="Montserrat" w:hAnsi="Montserrat" w:cs="Arial"/>
          <w:spacing w:val="-1"/>
          <w:sz w:val="18"/>
          <w:szCs w:val="18"/>
        </w:rPr>
        <w:t>Reservas</w:t>
      </w:r>
    </w:p>
    <w:p w14:paraId="1B542C28" w14:textId="77777777" w:rsidR="009C3C24" w:rsidRPr="00393F62" w:rsidRDefault="009C3C24" w:rsidP="006823BB">
      <w:pPr>
        <w:spacing w:after="120" w:line="250" w:lineRule="exact"/>
        <w:jc w:val="both"/>
        <w:rPr>
          <w:rFonts w:ascii="Montserrat" w:hAnsi="Montserrat" w:cs="Arial"/>
          <w:spacing w:val="-1"/>
          <w:sz w:val="18"/>
          <w:szCs w:val="18"/>
        </w:rPr>
      </w:pPr>
      <w:r w:rsidRPr="00393F62">
        <w:rPr>
          <w:rFonts w:ascii="Montserrat" w:hAnsi="Montserrat" w:cs="Arial"/>
          <w:spacing w:val="-1"/>
          <w:sz w:val="18"/>
          <w:szCs w:val="18"/>
        </w:rPr>
        <w:t>No se registran reservas en el Ente Público Poder Ejecutivo Federal.</w:t>
      </w:r>
    </w:p>
    <w:p w14:paraId="072EC7F0" w14:textId="77777777" w:rsidR="009C3C24" w:rsidRPr="00FC2554" w:rsidRDefault="00704631" w:rsidP="005A5AC5">
      <w:pPr>
        <w:numPr>
          <w:ilvl w:val="0"/>
          <w:numId w:val="11"/>
        </w:numPr>
        <w:spacing w:after="120" w:line="250" w:lineRule="exact"/>
        <w:ind w:left="998" w:hanging="284"/>
        <w:jc w:val="both"/>
        <w:rPr>
          <w:rFonts w:ascii="Montserrat" w:hAnsi="Montserrat" w:cs="Arial"/>
          <w:spacing w:val="-1"/>
          <w:sz w:val="18"/>
          <w:szCs w:val="18"/>
        </w:rPr>
      </w:pPr>
      <w:r w:rsidRPr="00FC2554">
        <w:rPr>
          <w:rFonts w:ascii="Montserrat" w:hAnsi="Montserrat" w:cs="Arial"/>
          <w:spacing w:val="-1"/>
          <w:sz w:val="18"/>
          <w:szCs w:val="18"/>
        </w:rPr>
        <w:t>Cambios en P</w:t>
      </w:r>
      <w:r w:rsidR="009C3C24" w:rsidRPr="00FC2554">
        <w:rPr>
          <w:rFonts w:ascii="Montserrat" w:hAnsi="Montserrat" w:cs="Arial"/>
          <w:spacing w:val="-1"/>
          <w:sz w:val="18"/>
          <w:szCs w:val="18"/>
        </w:rPr>
        <w:t xml:space="preserve">olíticas </w:t>
      </w:r>
      <w:r w:rsidRPr="00FC2554">
        <w:rPr>
          <w:rFonts w:ascii="Montserrat" w:hAnsi="Montserrat" w:cs="Arial"/>
          <w:spacing w:val="-1"/>
          <w:sz w:val="18"/>
          <w:szCs w:val="18"/>
        </w:rPr>
        <w:t>Contables y Corrección de E</w:t>
      </w:r>
      <w:r w:rsidR="009C3C24" w:rsidRPr="00FC2554">
        <w:rPr>
          <w:rFonts w:ascii="Montserrat" w:hAnsi="Montserrat" w:cs="Arial"/>
          <w:spacing w:val="-1"/>
          <w:sz w:val="18"/>
          <w:szCs w:val="18"/>
        </w:rPr>
        <w:t>rrores</w:t>
      </w:r>
    </w:p>
    <w:p w14:paraId="4C29A0C6" w14:textId="77777777" w:rsidR="00393F62" w:rsidRPr="00393F62" w:rsidRDefault="00393F62" w:rsidP="000F0321">
      <w:pPr>
        <w:spacing w:after="120" w:line="250" w:lineRule="exact"/>
        <w:jc w:val="both"/>
        <w:rPr>
          <w:rFonts w:ascii="Montserrat" w:hAnsi="Montserrat" w:cs="Arial"/>
          <w:spacing w:val="-1"/>
          <w:sz w:val="18"/>
          <w:szCs w:val="18"/>
        </w:rPr>
      </w:pPr>
      <w:r w:rsidRPr="00393F62">
        <w:rPr>
          <w:rFonts w:ascii="Montserrat" w:hAnsi="Montserrat" w:cs="Arial"/>
          <w:spacing w:val="-1"/>
          <w:sz w:val="18"/>
          <w:szCs w:val="18"/>
        </w:rPr>
        <w:t>De conformidad a las Reglas Específicas del Registro y Valoración del Patrimonio el numeral “16.1 Cambios en criterios contables.” Se estableció que “Los cambios en criterios contables pueden obedecer, bien a una decisión voluntaria, debidamente justificada, que implique la obtención de una mejor información, o bien a la imposición de una norma.”</w:t>
      </w:r>
    </w:p>
    <w:p w14:paraId="7409B9EC" w14:textId="77777777" w:rsidR="00393F62" w:rsidRPr="00393F62" w:rsidRDefault="00393F62" w:rsidP="000F0321">
      <w:pPr>
        <w:spacing w:after="120" w:line="250" w:lineRule="exact"/>
        <w:jc w:val="both"/>
        <w:rPr>
          <w:rFonts w:ascii="Montserrat" w:hAnsi="Montserrat" w:cs="Arial"/>
          <w:spacing w:val="-1"/>
          <w:sz w:val="18"/>
          <w:szCs w:val="18"/>
        </w:rPr>
      </w:pPr>
      <w:r w:rsidRPr="00393F62">
        <w:rPr>
          <w:rFonts w:ascii="Montserrat" w:hAnsi="Montserrat" w:cs="Arial"/>
          <w:spacing w:val="-1"/>
          <w:sz w:val="18"/>
          <w:szCs w:val="18"/>
        </w:rPr>
        <w:t>Asimismo en el numeral “16.3 Errores” se establece que “Los entes públicos elaborarán sus Estados Financieros corrigiendo los errores realizados en ejercicios anteriores. Dichos errores pueden ser entre otros por omisiones, inexactitudes, imprecisiones, registros contables extemporáneos, errores aritméticos, errores en la aplicación de políticas contables, así como la inadvertencia o mala interpretación de hechos.”</w:t>
      </w:r>
    </w:p>
    <w:p w14:paraId="589BC49D" w14:textId="41192F76" w:rsidR="009C3C24" w:rsidRPr="00393F62" w:rsidRDefault="00393F62" w:rsidP="006823BB">
      <w:pPr>
        <w:spacing w:after="120" w:line="250" w:lineRule="exact"/>
        <w:jc w:val="both"/>
        <w:rPr>
          <w:rFonts w:ascii="Montserrat" w:hAnsi="Montserrat" w:cs="Arial"/>
          <w:spacing w:val="-1"/>
          <w:sz w:val="18"/>
          <w:szCs w:val="18"/>
        </w:rPr>
      </w:pPr>
      <w:r w:rsidRPr="00393F62">
        <w:rPr>
          <w:rFonts w:ascii="Montserrat" w:hAnsi="Montserrat" w:cs="Arial"/>
          <w:spacing w:val="-1"/>
          <w:sz w:val="18"/>
          <w:szCs w:val="18"/>
        </w:rPr>
        <w:lastRenderedPageBreak/>
        <w:t>Sin que se deba de interpretar propiamente como un Cambio en la Política Contable al no tener efecto en los Estados Financieros, se realizaron las adecuaciones en la norma contable del Poder Ejecutivo a fin de atender las actualizaciones realizadas por el CONAC al Clasificador por Rubros de Ingresos.</w:t>
      </w:r>
    </w:p>
    <w:p w14:paraId="6AD297CB" w14:textId="31784336" w:rsidR="009C3C24" w:rsidRPr="00FC2554" w:rsidRDefault="009C3C24" w:rsidP="005A5AC5">
      <w:pPr>
        <w:numPr>
          <w:ilvl w:val="0"/>
          <w:numId w:val="11"/>
        </w:numPr>
        <w:spacing w:after="120" w:line="250" w:lineRule="exact"/>
        <w:ind w:left="998" w:hanging="284"/>
        <w:jc w:val="both"/>
        <w:rPr>
          <w:rFonts w:ascii="Montserrat" w:hAnsi="Montserrat" w:cs="Arial"/>
          <w:spacing w:val="-1"/>
          <w:sz w:val="18"/>
          <w:szCs w:val="18"/>
        </w:rPr>
      </w:pPr>
      <w:r w:rsidRPr="00FC2554">
        <w:rPr>
          <w:rFonts w:ascii="Montserrat" w:hAnsi="Montserrat" w:cs="Arial"/>
          <w:spacing w:val="-1"/>
          <w:sz w:val="18"/>
          <w:szCs w:val="18"/>
        </w:rPr>
        <w:t>Reclasificaciones</w:t>
      </w:r>
    </w:p>
    <w:p w14:paraId="71EB23DB" w14:textId="77777777" w:rsidR="00393F62" w:rsidRPr="000F0321" w:rsidRDefault="00393F62" w:rsidP="000F0321">
      <w:pPr>
        <w:spacing w:after="120" w:line="250" w:lineRule="exact"/>
        <w:jc w:val="both"/>
        <w:rPr>
          <w:rFonts w:ascii="Montserrat" w:hAnsi="Montserrat"/>
          <w:spacing w:val="-1"/>
          <w:sz w:val="18"/>
          <w:szCs w:val="18"/>
        </w:rPr>
      </w:pPr>
      <w:r w:rsidRPr="000F0321">
        <w:rPr>
          <w:rFonts w:ascii="Montserrat" w:hAnsi="Montserrat"/>
          <w:spacing w:val="-1"/>
          <w:sz w:val="18"/>
          <w:szCs w:val="18"/>
        </w:rPr>
        <w:t>Se realizaron las reclasificaciones necesarias en la contabilidad del Poder Ejecutivo, en virtud de la adecuación en su norma que afectaba contablemente la cuenta de Donaciones de Capital, por aquellas donaciones otorgadas, debiendo de aplicarse en los Resultados Acumulados de Ejercicios Anteriores; el efecto de esta reclasificación se encuentra reflejado de forma compensada en ambas cuentas.</w:t>
      </w:r>
    </w:p>
    <w:p w14:paraId="6CEEF28F" w14:textId="77777777" w:rsidR="009C3C24" w:rsidRPr="00FC2554" w:rsidRDefault="00704631" w:rsidP="005A5AC5">
      <w:pPr>
        <w:numPr>
          <w:ilvl w:val="0"/>
          <w:numId w:val="11"/>
        </w:numPr>
        <w:spacing w:after="120" w:line="250" w:lineRule="exact"/>
        <w:ind w:left="998" w:hanging="284"/>
        <w:jc w:val="both"/>
        <w:rPr>
          <w:rFonts w:ascii="Montserrat" w:hAnsi="Montserrat" w:cs="Arial"/>
          <w:spacing w:val="-1"/>
          <w:sz w:val="18"/>
          <w:szCs w:val="18"/>
        </w:rPr>
      </w:pPr>
      <w:r w:rsidRPr="00FC2554">
        <w:rPr>
          <w:rFonts w:ascii="Montserrat" w:hAnsi="Montserrat" w:cs="Arial"/>
          <w:spacing w:val="-1"/>
          <w:sz w:val="18"/>
          <w:szCs w:val="18"/>
        </w:rPr>
        <w:t>Depuración y Cancelación de S</w:t>
      </w:r>
      <w:r w:rsidR="009C3C24" w:rsidRPr="00FC2554">
        <w:rPr>
          <w:rFonts w:ascii="Montserrat" w:hAnsi="Montserrat" w:cs="Arial"/>
          <w:spacing w:val="-1"/>
          <w:sz w:val="18"/>
          <w:szCs w:val="18"/>
        </w:rPr>
        <w:t>aldos</w:t>
      </w:r>
    </w:p>
    <w:p w14:paraId="25DC3BC1" w14:textId="10D5BBC3" w:rsidR="009C3C24" w:rsidRDefault="00000DA4" w:rsidP="006823BB">
      <w:pPr>
        <w:spacing w:after="120" w:line="250" w:lineRule="exact"/>
        <w:jc w:val="both"/>
        <w:rPr>
          <w:rFonts w:ascii="Montserrat" w:hAnsi="Montserrat" w:cs="Arial"/>
          <w:spacing w:val="-1"/>
          <w:sz w:val="18"/>
          <w:szCs w:val="18"/>
        </w:rPr>
      </w:pPr>
      <w:r>
        <w:rPr>
          <w:rFonts w:ascii="Montserrat" w:hAnsi="Montserrat" w:cs="Arial"/>
          <w:spacing w:val="-1"/>
          <w:sz w:val="18"/>
          <w:szCs w:val="18"/>
        </w:rPr>
        <w:t>Estas operaciones se llevan a  cabo</w:t>
      </w:r>
      <w:r w:rsidRPr="004F55E0">
        <w:rPr>
          <w:rFonts w:ascii="Montserrat" w:hAnsi="Montserrat" w:cs="Arial"/>
          <w:spacing w:val="-1"/>
          <w:sz w:val="18"/>
          <w:szCs w:val="18"/>
        </w:rPr>
        <w:t xml:space="preserve"> </w:t>
      </w:r>
      <w:r w:rsidR="00FC2554">
        <w:rPr>
          <w:rFonts w:ascii="Montserrat" w:hAnsi="Montserrat" w:cs="Arial"/>
          <w:spacing w:val="-1"/>
          <w:sz w:val="18"/>
          <w:szCs w:val="18"/>
        </w:rPr>
        <w:t xml:space="preserve">sólo con </w:t>
      </w:r>
      <w:r w:rsidR="009C3C24" w:rsidRPr="004F55E0">
        <w:rPr>
          <w:rFonts w:ascii="Montserrat" w:hAnsi="Montserrat" w:cs="Arial"/>
          <w:spacing w:val="-1"/>
          <w:sz w:val="18"/>
          <w:szCs w:val="18"/>
        </w:rPr>
        <w:t>el propósito de que la información emanada de la contabilidad mue</w:t>
      </w:r>
      <w:r w:rsidR="00FC2554">
        <w:rPr>
          <w:rFonts w:ascii="Montserrat" w:hAnsi="Montserrat" w:cs="Arial"/>
          <w:spacing w:val="-1"/>
          <w:sz w:val="18"/>
          <w:szCs w:val="18"/>
        </w:rPr>
        <w:t>stre razonablemente los saldos</w:t>
      </w:r>
      <w:r w:rsidR="009C3C24" w:rsidRPr="004F55E0">
        <w:rPr>
          <w:rFonts w:ascii="Montserrat" w:hAnsi="Montserrat" w:cs="Arial"/>
          <w:spacing w:val="-1"/>
          <w:sz w:val="18"/>
          <w:szCs w:val="18"/>
        </w:rPr>
        <w:t>.</w:t>
      </w:r>
    </w:p>
    <w:p w14:paraId="02C4C9F0" w14:textId="29202793" w:rsidR="009C3C24" w:rsidRPr="00FC2554" w:rsidRDefault="007257FE" w:rsidP="005A5AC5">
      <w:pPr>
        <w:numPr>
          <w:ilvl w:val="0"/>
          <w:numId w:val="11"/>
        </w:numPr>
        <w:spacing w:after="120" w:line="250" w:lineRule="exact"/>
        <w:ind w:left="998" w:hanging="284"/>
        <w:jc w:val="both"/>
        <w:rPr>
          <w:rFonts w:ascii="Montserrat" w:hAnsi="Montserrat" w:cs="Arial"/>
          <w:spacing w:val="-1"/>
          <w:sz w:val="18"/>
          <w:szCs w:val="18"/>
        </w:rPr>
      </w:pPr>
      <w:r w:rsidRPr="00FC2554">
        <w:rPr>
          <w:rFonts w:ascii="Montserrat" w:hAnsi="Montserrat" w:cs="Arial"/>
          <w:spacing w:val="-1"/>
          <w:sz w:val="18"/>
          <w:szCs w:val="18"/>
        </w:rPr>
        <w:t>Devengo Contable</w:t>
      </w:r>
    </w:p>
    <w:p w14:paraId="62A4746D" w14:textId="77777777" w:rsidR="00B549B6" w:rsidRPr="00B549B6" w:rsidRDefault="00B549B6" w:rsidP="00B549B6">
      <w:pPr>
        <w:spacing w:after="120" w:line="250" w:lineRule="exact"/>
        <w:jc w:val="both"/>
        <w:rPr>
          <w:rFonts w:ascii="Montserrat" w:hAnsi="Montserrat" w:cs="Arial"/>
          <w:spacing w:val="-1"/>
          <w:sz w:val="18"/>
          <w:szCs w:val="18"/>
        </w:rPr>
      </w:pPr>
      <w:r w:rsidRPr="00B549B6">
        <w:rPr>
          <w:rFonts w:ascii="Montserrat" w:hAnsi="Montserrat" w:cs="Arial"/>
          <w:spacing w:val="-1"/>
          <w:sz w:val="18"/>
          <w:szCs w:val="18"/>
        </w:rPr>
        <w:t>Los registros contables se llevan con base acumulativa. El ingreso devengado, es el momento contable que se realiza cuando existe jurídicamente el derecho de cobro de impuestos, derechos, productos, aprovechamientos y otros ingresos por parte de los entes públicos. El gasto devengado, es el momento contable que refleja el reconocimiento de una obligación de pago a favor de terceros por la recepción de conformidad de bienes, servicios y obra pública contratados; así como de las obligaciones que derivan de tratados, leyes, decretos, resoluciones y sentencias definitivas.</w:t>
      </w:r>
    </w:p>
    <w:p w14:paraId="20F11EB1" w14:textId="77777777" w:rsidR="009C3C24" w:rsidRPr="00FC2554" w:rsidRDefault="009C3C24" w:rsidP="005A5AC5">
      <w:pPr>
        <w:numPr>
          <w:ilvl w:val="0"/>
          <w:numId w:val="11"/>
        </w:numPr>
        <w:spacing w:after="120" w:line="250" w:lineRule="exact"/>
        <w:ind w:left="998" w:hanging="284"/>
        <w:jc w:val="both"/>
        <w:rPr>
          <w:rFonts w:ascii="Montserrat" w:hAnsi="Montserrat" w:cs="Arial"/>
          <w:spacing w:val="-1"/>
          <w:sz w:val="18"/>
          <w:szCs w:val="18"/>
        </w:rPr>
      </w:pPr>
      <w:r w:rsidRPr="00FC2554">
        <w:rPr>
          <w:rFonts w:ascii="Montserrat" w:hAnsi="Montserrat" w:cs="Arial"/>
          <w:spacing w:val="-1"/>
          <w:sz w:val="18"/>
          <w:szCs w:val="18"/>
        </w:rPr>
        <w:t>Efectivo y Equivalentes</w:t>
      </w:r>
    </w:p>
    <w:p w14:paraId="5D333E92" w14:textId="52E106A9" w:rsidR="009C3C24" w:rsidRPr="006F0DF1" w:rsidRDefault="009C3C24" w:rsidP="006823BB">
      <w:pPr>
        <w:spacing w:after="120" w:line="250" w:lineRule="exact"/>
        <w:jc w:val="both"/>
        <w:rPr>
          <w:rFonts w:ascii="Montserrat" w:hAnsi="Montserrat" w:cs="Arial"/>
          <w:spacing w:val="-1"/>
          <w:sz w:val="18"/>
          <w:szCs w:val="18"/>
        </w:rPr>
      </w:pPr>
      <w:r w:rsidRPr="006F0DF1">
        <w:rPr>
          <w:rFonts w:ascii="Montserrat" w:hAnsi="Montserrat" w:cs="Arial"/>
          <w:spacing w:val="-1"/>
          <w:sz w:val="18"/>
          <w:szCs w:val="18"/>
        </w:rPr>
        <w:t xml:space="preserve">Se registran los recursos monetarios que el Poder Ejecutivo Federal maneja principalmente en la </w:t>
      </w:r>
      <w:r w:rsidR="00FC2554">
        <w:rPr>
          <w:rFonts w:ascii="Montserrat" w:hAnsi="Montserrat" w:cs="Arial"/>
          <w:spacing w:val="-1"/>
          <w:sz w:val="18"/>
          <w:szCs w:val="18"/>
        </w:rPr>
        <w:t>TESOFE</w:t>
      </w:r>
      <w:r w:rsidRPr="006F0DF1">
        <w:rPr>
          <w:rFonts w:ascii="Montserrat" w:hAnsi="Montserrat" w:cs="Arial"/>
          <w:spacing w:val="-1"/>
          <w:sz w:val="18"/>
          <w:szCs w:val="18"/>
        </w:rPr>
        <w:t>, en cuentas bancarias tanto en moneda nacional como en moneda extranjera, y en menor medida, aquellos que están en poder de las dependencias.</w:t>
      </w:r>
    </w:p>
    <w:p w14:paraId="11F451D1" w14:textId="77777777" w:rsidR="009C3C24" w:rsidRPr="00FC2554" w:rsidRDefault="009C3C24" w:rsidP="005A5AC5">
      <w:pPr>
        <w:numPr>
          <w:ilvl w:val="0"/>
          <w:numId w:val="11"/>
        </w:numPr>
        <w:spacing w:after="120" w:line="250" w:lineRule="exact"/>
        <w:ind w:left="998" w:hanging="284"/>
        <w:jc w:val="both"/>
        <w:rPr>
          <w:rFonts w:ascii="Montserrat" w:hAnsi="Montserrat" w:cs="Arial"/>
          <w:spacing w:val="-1"/>
          <w:sz w:val="18"/>
          <w:szCs w:val="18"/>
        </w:rPr>
      </w:pPr>
      <w:r w:rsidRPr="00FC2554">
        <w:rPr>
          <w:rFonts w:ascii="Montserrat" w:hAnsi="Montserrat" w:cs="Arial"/>
          <w:spacing w:val="-1"/>
          <w:sz w:val="18"/>
          <w:szCs w:val="18"/>
        </w:rPr>
        <w:t>Bonos para Regulación Monetaria</w:t>
      </w:r>
    </w:p>
    <w:p w14:paraId="64F36C2E" w14:textId="77777777" w:rsidR="009C3C24" w:rsidRPr="006F0DF1" w:rsidRDefault="009C3C24" w:rsidP="006823BB">
      <w:pPr>
        <w:spacing w:after="120" w:line="250" w:lineRule="exact"/>
        <w:jc w:val="both"/>
        <w:rPr>
          <w:rFonts w:ascii="Montserrat" w:hAnsi="Montserrat" w:cs="Arial"/>
          <w:spacing w:val="-1"/>
          <w:sz w:val="18"/>
          <w:szCs w:val="18"/>
        </w:rPr>
      </w:pPr>
      <w:r w:rsidRPr="006F0DF1">
        <w:rPr>
          <w:rFonts w:ascii="Montserrat" w:hAnsi="Montserrat" w:cs="Arial"/>
          <w:spacing w:val="-1"/>
          <w:sz w:val="18"/>
          <w:szCs w:val="18"/>
        </w:rPr>
        <w:t xml:space="preserve">Los depósitos para regulación monetaria, de conformidad a la Norma aplicable al Poder Ejecutivo Federal se refieren al valor total de la emisión de los instrumentos en referencia, independientemente de que el BANXICO haya llevado a cabo la colocación total o parcial, de conformidad a la Guía Contabilizadora 61.- Emisión de Valores Gubernamentales Destinados al Tramo de Regulación Monetaria. El depósito para Regulación Monetaria se registra a valor neto, esto es a valor </w:t>
      </w:r>
      <w:r w:rsidR="003F2850">
        <w:rPr>
          <w:rFonts w:ascii="Montserrat" w:hAnsi="Montserrat" w:cs="Arial"/>
          <w:spacing w:val="-1"/>
          <w:sz w:val="18"/>
          <w:szCs w:val="18"/>
        </w:rPr>
        <w:t>nominal menos el descuento y éste,</w:t>
      </w:r>
      <w:r w:rsidRPr="006F0DF1">
        <w:rPr>
          <w:rFonts w:ascii="Montserrat" w:hAnsi="Montserrat" w:cs="Arial"/>
          <w:spacing w:val="-1"/>
          <w:sz w:val="18"/>
          <w:szCs w:val="18"/>
        </w:rPr>
        <w:t xml:space="preserve"> se registra como el diferencial entre el valor nominal y el valor neto. A su vez, la suma de depósitos para regulación monetaria y descuentos coincide con su contraparte en el pasivo “Bonos y Títulos Destinados a Regulación Monetaria a LP”.</w:t>
      </w:r>
    </w:p>
    <w:p w14:paraId="698A15D2" w14:textId="77777777" w:rsidR="009C3C24" w:rsidRPr="00FC2554" w:rsidRDefault="009C3C24" w:rsidP="005A5AC5">
      <w:pPr>
        <w:numPr>
          <w:ilvl w:val="0"/>
          <w:numId w:val="11"/>
        </w:numPr>
        <w:spacing w:after="120" w:line="250" w:lineRule="exact"/>
        <w:ind w:left="998" w:hanging="284"/>
        <w:jc w:val="both"/>
        <w:rPr>
          <w:rFonts w:ascii="Montserrat" w:hAnsi="Montserrat" w:cs="Arial"/>
          <w:spacing w:val="-1"/>
          <w:sz w:val="18"/>
          <w:szCs w:val="18"/>
        </w:rPr>
      </w:pPr>
      <w:r w:rsidRPr="00FC2554">
        <w:rPr>
          <w:rFonts w:ascii="Montserrat" w:hAnsi="Montserrat" w:cs="Arial"/>
          <w:spacing w:val="-1"/>
          <w:sz w:val="18"/>
          <w:szCs w:val="18"/>
        </w:rPr>
        <w:t>Bienes Disponibles para su Transformación o Consumo (Inventarios)</w:t>
      </w:r>
    </w:p>
    <w:p w14:paraId="717415D1" w14:textId="77777777" w:rsidR="009C3C24" w:rsidRPr="006F0DF1" w:rsidRDefault="009C3C24" w:rsidP="006823BB">
      <w:pPr>
        <w:spacing w:after="120" w:line="250" w:lineRule="exact"/>
        <w:jc w:val="both"/>
        <w:rPr>
          <w:rFonts w:ascii="Montserrat" w:hAnsi="Montserrat" w:cs="Arial"/>
          <w:spacing w:val="-1"/>
          <w:sz w:val="18"/>
          <w:szCs w:val="18"/>
        </w:rPr>
      </w:pPr>
      <w:r w:rsidRPr="006F0DF1">
        <w:rPr>
          <w:rFonts w:ascii="Montserrat" w:hAnsi="Montserrat" w:cs="Arial"/>
          <w:spacing w:val="-1"/>
          <w:sz w:val="18"/>
          <w:szCs w:val="18"/>
        </w:rPr>
        <w:t>Los inventarios se conforman por aquellos bienes que se adquieren como materia prima para ll</w:t>
      </w:r>
      <w:r w:rsidR="003F2850">
        <w:rPr>
          <w:rFonts w:ascii="Montserrat" w:hAnsi="Montserrat" w:cs="Arial"/>
          <w:spacing w:val="-1"/>
          <w:sz w:val="18"/>
          <w:szCs w:val="18"/>
        </w:rPr>
        <w:t>evar a cabo elaboraciones y el de consumo</w:t>
      </w:r>
      <w:r w:rsidRPr="006F0DF1">
        <w:rPr>
          <w:rFonts w:ascii="Montserrat" w:hAnsi="Montserrat" w:cs="Arial"/>
          <w:spacing w:val="-1"/>
          <w:sz w:val="18"/>
          <w:szCs w:val="18"/>
        </w:rPr>
        <w:t xml:space="preserve"> por materiales y suministros que serán utilizados en los procesos administrativos correspondientes.</w:t>
      </w:r>
    </w:p>
    <w:p w14:paraId="0D75EEC9" w14:textId="77777777" w:rsidR="009C3C24" w:rsidRDefault="009C3C24" w:rsidP="006823BB">
      <w:pPr>
        <w:spacing w:after="120" w:line="250" w:lineRule="exact"/>
        <w:jc w:val="both"/>
        <w:rPr>
          <w:rFonts w:ascii="Montserrat" w:hAnsi="Montserrat" w:cs="Arial"/>
          <w:spacing w:val="-1"/>
          <w:sz w:val="18"/>
          <w:szCs w:val="18"/>
        </w:rPr>
      </w:pPr>
      <w:r w:rsidRPr="006F0DF1">
        <w:rPr>
          <w:rFonts w:ascii="Montserrat" w:hAnsi="Montserrat" w:cs="Arial"/>
          <w:spacing w:val="-1"/>
          <w:sz w:val="18"/>
          <w:szCs w:val="18"/>
        </w:rPr>
        <w:t>Los inventarios y almacenes se encuentran valuados a su costo de adquisición atendiendo a lo que señalan las Principales Reglas de Registro y Valoración del Patrimonio (Elementos Generales) emitidas por el CONAC y el sistema de costeo utilizado es el de costo promedio.</w:t>
      </w:r>
    </w:p>
    <w:p w14:paraId="3DA0E27F" w14:textId="77777777" w:rsidR="00B34F6C" w:rsidRDefault="00B34F6C" w:rsidP="006823BB">
      <w:pPr>
        <w:spacing w:after="120" w:line="250" w:lineRule="exact"/>
        <w:jc w:val="both"/>
        <w:rPr>
          <w:rFonts w:ascii="Montserrat" w:hAnsi="Montserrat" w:cs="Arial"/>
          <w:spacing w:val="-1"/>
          <w:sz w:val="18"/>
          <w:szCs w:val="18"/>
        </w:rPr>
      </w:pPr>
    </w:p>
    <w:p w14:paraId="601E08A3" w14:textId="77777777" w:rsidR="00B34F6C" w:rsidRDefault="00B34F6C" w:rsidP="006823BB">
      <w:pPr>
        <w:spacing w:after="120" w:line="250" w:lineRule="exact"/>
        <w:jc w:val="both"/>
        <w:rPr>
          <w:rFonts w:ascii="Montserrat" w:hAnsi="Montserrat" w:cs="Arial"/>
          <w:spacing w:val="-1"/>
          <w:sz w:val="18"/>
          <w:szCs w:val="18"/>
        </w:rPr>
      </w:pPr>
    </w:p>
    <w:p w14:paraId="0056523D" w14:textId="77777777" w:rsidR="009C3C24" w:rsidRPr="00FC2554" w:rsidRDefault="009C3C24" w:rsidP="005A5AC5">
      <w:pPr>
        <w:numPr>
          <w:ilvl w:val="0"/>
          <w:numId w:val="11"/>
        </w:numPr>
        <w:spacing w:after="120" w:line="250" w:lineRule="exact"/>
        <w:ind w:left="998" w:hanging="284"/>
        <w:jc w:val="both"/>
        <w:rPr>
          <w:rFonts w:ascii="Montserrat" w:hAnsi="Montserrat" w:cs="Arial"/>
          <w:spacing w:val="-1"/>
          <w:sz w:val="18"/>
          <w:szCs w:val="18"/>
        </w:rPr>
      </w:pPr>
      <w:r w:rsidRPr="00FC2554">
        <w:rPr>
          <w:rFonts w:ascii="Montserrat" w:hAnsi="Montserrat" w:cs="Arial"/>
          <w:spacing w:val="-1"/>
          <w:sz w:val="18"/>
          <w:szCs w:val="18"/>
        </w:rPr>
        <w:lastRenderedPageBreak/>
        <w:t>Fideicomisos, Mandatos y Contratos Análogos del Poder Ejecutivo</w:t>
      </w:r>
    </w:p>
    <w:p w14:paraId="0A9DB100" w14:textId="77777777" w:rsidR="00803988" w:rsidRPr="00CB0E2E" w:rsidRDefault="00803988" w:rsidP="00803988">
      <w:pPr>
        <w:spacing w:after="120" w:line="250" w:lineRule="exact"/>
        <w:jc w:val="both"/>
        <w:rPr>
          <w:rFonts w:ascii="Montserrat" w:hAnsi="Montserrat" w:cs="Arial"/>
          <w:spacing w:val="-1"/>
          <w:sz w:val="18"/>
          <w:szCs w:val="18"/>
        </w:rPr>
      </w:pPr>
      <w:r w:rsidRPr="00CB0E2E">
        <w:rPr>
          <w:rFonts w:ascii="Montserrat" w:hAnsi="Montserrat" w:cs="Arial"/>
          <w:spacing w:val="-1"/>
          <w:sz w:val="18"/>
          <w:szCs w:val="18"/>
        </w:rPr>
        <w:t xml:space="preserve">De acuerdo con el artículo 32 de la </w:t>
      </w:r>
      <w:r w:rsidR="003F2850">
        <w:rPr>
          <w:rFonts w:ascii="Montserrat" w:hAnsi="Montserrat" w:cs="Arial"/>
          <w:spacing w:val="-1"/>
          <w:sz w:val="18"/>
          <w:szCs w:val="18"/>
        </w:rPr>
        <w:t>LGCG</w:t>
      </w:r>
      <w:r w:rsidRPr="00CB0E2E">
        <w:rPr>
          <w:rFonts w:ascii="Montserrat" w:hAnsi="Montserrat" w:cs="Arial"/>
          <w:spacing w:val="-1"/>
          <w:sz w:val="18"/>
          <w:szCs w:val="18"/>
        </w:rPr>
        <w:t>, cada ente público debe registrar en una cuenta de activo, los derechos patrimoniales que tengan en fideicomisos sin estructura orgánica, mandatos y contratos análogos; para ello, en el Poder Ejecutivo se creó la subcuenta específica 1.2.1.3.1, denominada Fideicomisos, Mandatos y Contratos Análogos del Poder Ejecutivo.</w:t>
      </w:r>
    </w:p>
    <w:p w14:paraId="5E9C0160" w14:textId="77777777" w:rsidR="009C3C24" w:rsidRPr="00FC2554" w:rsidRDefault="009C3C24" w:rsidP="005A5AC5">
      <w:pPr>
        <w:numPr>
          <w:ilvl w:val="0"/>
          <w:numId w:val="11"/>
        </w:numPr>
        <w:spacing w:after="120" w:line="250" w:lineRule="exact"/>
        <w:ind w:left="998" w:hanging="284"/>
        <w:jc w:val="both"/>
        <w:rPr>
          <w:rFonts w:ascii="Montserrat" w:hAnsi="Montserrat" w:cs="Arial"/>
          <w:spacing w:val="-1"/>
          <w:sz w:val="18"/>
          <w:szCs w:val="18"/>
        </w:rPr>
      </w:pPr>
      <w:r w:rsidRPr="00FC2554">
        <w:rPr>
          <w:rFonts w:ascii="Montserrat" w:hAnsi="Montserrat" w:cs="Arial"/>
          <w:spacing w:val="-1"/>
          <w:sz w:val="18"/>
          <w:szCs w:val="18"/>
        </w:rPr>
        <w:t>Inversiones a Largo Plazo en el Sector Paraestatal y Empresas Productivas del Estado</w:t>
      </w:r>
    </w:p>
    <w:p w14:paraId="21EDA6D2" w14:textId="77777777" w:rsidR="009C3C24" w:rsidRPr="006F0DF1" w:rsidRDefault="009C3C24" w:rsidP="006823BB">
      <w:pPr>
        <w:spacing w:after="120" w:line="250" w:lineRule="exact"/>
        <w:jc w:val="both"/>
        <w:rPr>
          <w:rFonts w:ascii="Montserrat" w:hAnsi="Montserrat" w:cs="Arial"/>
          <w:spacing w:val="-1"/>
          <w:sz w:val="18"/>
          <w:szCs w:val="18"/>
        </w:rPr>
      </w:pPr>
      <w:r w:rsidRPr="006F0DF1">
        <w:rPr>
          <w:rFonts w:ascii="Montserrat" w:hAnsi="Montserrat" w:cs="Arial"/>
          <w:spacing w:val="-1"/>
          <w:sz w:val="18"/>
          <w:szCs w:val="18"/>
        </w:rPr>
        <w:t xml:space="preserve">El saldo representa el valor de la inversión que el ente público Poder Ejecutivo Federal </w:t>
      </w:r>
      <w:r w:rsidR="003F2850">
        <w:rPr>
          <w:rFonts w:ascii="Montserrat" w:hAnsi="Montserrat" w:cs="Arial"/>
          <w:spacing w:val="-1"/>
          <w:sz w:val="18"/>
          <w:szCs w:val="18"/>
        </w:rPr>
        <w:t>tiene derecho</w:t>
      </w:r>
      <w:r w:rsidRPr="006F0DF1">
        <w:rPr>
          <w:rFonts w:ascii="Montserrat" w:hAnsi="Montserrat" w:cs="Arial"/>
          <w:spacing w:val="-1"/>
          <w:sz w:val="18"/>
          <w:szCs w:val="18"/>
        </w:rPr>
        <w:t xml:space="preserve"> en el sector paraestatal, en congruencia con el artículo 32 de la </w:t>
      </w:r>
      <w:r w:rsidR="003F2850">
        <w:rPr>
          <w:rFonts w:ascii="Montserrat" w:hAnsi="Montserrat" w:cs="Arial"/>
          <w:spacing w:val="-1"/>
          <w:sz w:val="18"/>
          <w:szCs w:val="18"/>
        </w:rPr>
        <w:t xml:space="preserve">LGCG </w:t>
      </w:r>
      <w:r w:rsidRPr="006F0DF1">
        <w:rPr>
          <w:rFonts w:ascii="Montserrat" w:hAnsi="Montserrat" w:cs="Arial"/>
          <w:spacing w:val="-1"/>
          <w:sz w:val="18"/>
          <w:szCs w:val="18"/>
        </w:rPr>
        <w:t xml:space="preserve"> y con las mejores prácticas contables, determinado por el derecho que el ente público tiene sobre el valor del Patrimonio de las entida</w:t>
      </w:r>
      <w:r w:rsidR="00611783">
        <w:rPr>
          <w:rFonts w:ascii="Montserrat" w:hAnsi="Montserrat" w:cs="Arial"/>
          <w:spacing w:val="-1"/>
          <w:sz w:val="18"/>
          <w:szCs w:val="18"/>
        </w:rPr>
        <w:t>des o empresas que lo integran. C</w:t>
      </w:r>
      <w:r w:rsidRPr="006F0DF1">
        <w:rPr>
          <w:rFonts w:ascii="Montserrat" w:hAnsi="Montserrat" w:cs="Arial"/>
          <w:spacing w:val="-1"/>
          <w:sz w:val="18"/>
          <w:szCs w:val="18"/>
        </w:rPr>
        <w:t xml:space="preserve">uando </w:t>
      </w:r>
      <w:r w:rsidR="00611783">
        <w:rPr>
          <w:rFonts w:ascii="Montserrat" w:hAnsi="Montserrat" w:cs="Arial"/>
          <w:spacing w:val="-1"/>
          <w:sz w:val="18"/>
          <w:szCs w:val="18"/>
        </w:rPr>
        <w:t xml:space="preserve">el </w:t>
      </w:r>
      <w:r w:rsidRPr="006F0DF1">
        <w:rPr>
          <w:rFonts w:ascii="Montserrat" w:hAnsi="Montserrat" w:cs="Arial"/>
          <w:spacing w:val="-1"/>
          <w:sz w:val="18"/>
          <w:szCs w:val="18"/>
        </w:rPr>
        <w:t>patrimonio es negativo se considera valor cero.</w:t>
      </w:r>
    </w:p>
    <w:p w14:paraId="35258082" w14:textId="77777777" w:rsidR="009C3C24" w:rsidRPr="00FC2554" w:rsidRDefault="009C3C24" w:rsidP="005A5AC5">
      <w:pPr>
        <w:numPr>
          <w:ilvl w:val="0"/>
          <w:numId w:val="11"/>
        </w:numPr>
        <w:spacing w:after="120" w:line="250" w:lineRule="exact"/>
        <w:ind w:left="998" w:hanging="284"/>
        <w:jc w:val="both"/>
        <w:rPr>
          <w:rFonts w:ascii="Montserrat" w:hAnsi="Montserrat" w:cs="Arial"/>
          <w:spacing w:val="-1"/>
          <w:sz w:val="18"/>
          <w:szCs w:val="18"/>
        </w:rPr>
      </w:pPr>
      <w:r w:rsidRPr="00FC2554">
        <w:rPr>
          <w:rFonts w:ascii="Montserrat" w:hAnsi="Montserrat" w:cs="Arial"/>
          <w:spacing w:val="-1"/>
          <w:sz w:val="18"/>
          <w:szCs w:val="18"/>
        </w:rPr>
        <w:t>Bienes Inmuebles, Muebles e Intangibles</w:t>
      </w:r>
    </w:p>
    <w:p w14:paraId="7ABFDA3B" w14:textId="77777777" w:rsidR="009C3C24" w:rsidRDefault="009C3C24" w:rsidP="006823BB">
      <w:pPr>
        <w:spacing w:after="120" w:line="250" w:lineRule="exact"/>
        <w:jc w:val="both"/>
        <w:rPr>
          <w:rFonts w:ascii="Montserrat" w:hAnsi="Montserrat" w:cs="Arial"/>
          <w:spacing w:val="-1"/>
          <w:sz w:val="18"/>
          <w:szCs w:val="18"/>
        </w:rPr>
      </w:pPr>
      <w:r w:rsidRPr="006F0DF1">
        <w:rPr>
          <w:rFonts w:ascii="Montserrat" w:hAnsi="Montserrat" w:cs="Arial"/>
          <w:spacing w:val="-1"/>
          <w:sz w:val="18"/>
          <w:szCs w:val="18"/>
        </w:rPr>
        <w:t>Los bienes del Poder Ejecutivo Federal, se encuentran valuados al costo histórico y en su caso, a valor de avalúo, conforme a lo señalado en el Postulado Básico de Contabilidad Gubernamental 9.- Valuación. Para fines de control y registro los bienes tienen como valor mínimo en libros el de una unidad monetaria. El valor en libros como se indica es para fines de control y registro y no necesariamente refleja el valor para fines de aseguramiento y, en su caso, de enajenación.</w:t>
      </w:r>
    </w:p>
    <w:p w14:paraId="2D2415ED" w14:textId="77777777" w:rsidR="00F01A61" w:rsidRPr="006F0DF1" w:rsidRDefault="00F01A61" w:rsidP="00F01A61">
      <w:pPr>
        <w:spacing w:after="0" w:line="240" w:lineRule="auto"/>
        <w:jc w:val="both"/>
        <w:rPr>
          <w:rFonts w:ascii="Montserrat" w:hAnsi="Montserrat" w:cs="Arial"/>
          <w:spacing w:val="-1"/>
          <w:sz w:val="18"/>
          <w:szCs w:val="18"/>
        </w:rPr>
      </w:pPr>
    </w:p>
    <w:p w14:paraId="5C69EEC0" w14:textId="77777777" w:rsidR="009C3C24" w:rsidRPr="006F0DF1" w:rsidRDefault="009C3C24" w:rsidP="006823BB">
      <w:pPr>
        <w:spacing w:after="120" w:line="250" w:lineRule="exact"/>
        <w:jc w:val="both"/>
        <w:rPr>
          <w:rFonts w:ascii="Montserrat" w:hAnsi="Montserrat" w:cs="Arial"/>
          <w:spacing w:val="-1"/>
          <w:sz w:val="18"/>
          <w:szCs w:val="18"/>
        </w:rPr>
      </w:pPr>
      <w:r w:rsidRPr="006F0DF1">
        <w:rPr>
          <w:rFonts w:ascii="Montserrat" w:hAnsi="Montserrat" w:cs="Arial"/>
          <w:spacing w:val="-1"/>
          <w:sz w:val="18"/>
          <w:szCs w:val="18"/>
        </w:rPr>
        <w:t>Con fundamento en las Reglas Específicas del Registro y Valoración del Patrimonio emitidas por el CONAC, el Poder Ejecutivo Federal  mediante Dictamen Técnico determinó que sus bienes tiene</w:t>
      </w:r>
      <w:r w:rsidR="00611783">
        <w:rPr>
          <w:rFonts w:ascii="Montserrat" w:hAnsi="Montserrat" w:cs="Arial"/>
          <w:spacing w:val="-1"/>
          <w:sz w:val="18"/>
          <w:szCs w:val="18"/>
        </w:rPr>
        <w:t>n</w:t>
      </w:r>
      <w:r w:rsidRPr="006F0DF1">
        <w:rPr>
          <w:rFonts w:ascii="Montserrat" w:hAnsi="Montserrat" w:cs="Arial"/>
          <w:spacing w:val="-1"/>
          <w:sz w:val="18"/>
          <w:szCs w:val="18"/>
        </w:rPr>
        <w:t xml:space="preserve"> una vida útil indefinida, por lo cual no se deprecian, ni se deterioran y no se amortizan.</w:t>
      </w:r>
    </w:p>
    <w:p w14:paraId="66F92ACB" w14:textId="77777777" w:rsidR="009C3C24" w:rsidRPr="006F0DF1" w:rsidRDefault="009C3C24" w:rsidP="006823BB">
      <w:pPr>
        <w:spacing w:after="120" w:line="250" w:lineRule="exact"/>
        <w:jc w:val="both"/>
        <w:rPr>
          <w:rFonts w:ascii="Montserrat" w:hAnsi="Montserrat" w:cs="Arial"/>
          <w:spacing w:val="-1"/>
          <w:sz w:val="18"/>
          <w:szCs w:val="18"/>
        </w:rPr>
      </w:pPr>
      <w:r>
        <w:rPr>
          <w:rFonts w:ascii="Montserrat" w:hAnsi="Montserrat" w:cs="Arial"/>
          <w:spacing w:val="-1"/>
          <w:sz w:val="18"/>
          <w:szCs w:val="18"/>
        </w:rPr>
        <w:t>E</w:t>
      </w:r>
      <w:r w:rsidR="00611783">
        <w:rPr>
          <w:rFonts w:ascii="Montserrat" w:hAnsi="Montserrat" w:cs="Arial"/>
          <w:spacing w:val="-1"/>
          <w:sz w:val="18"/>
          <w:szCs w:val="18"/>
        </w:rPr>
        <w:t>n la Cuenta Pública, se incluyen</w:t>
      </w:r>
      <w:r>
        <w:rPr>
          <w:rFonts w:ascii="Montserrat" w:hAnsi="Montserrat" w:cs="Arial"/>
          <w:spacing w:val="-1"/>
          <w:sz w:val="18"/>
          <w:szCs w:val="18"/>
        </w:rPr>
        <w:t xml:space="preserve"> en los </w:t>
      </w:r>
      <w:r w:rsidRPr="006F0DF1">
        <w:rPr>
          <w:rFonts w:ascii="Montserrat" w:hAnsi="Montserrat" w:cs="Arial"/>
          <w:spacing w:val="-1"/>
          <w:sz w:val="18"/>
          <w:szCs w:val="18"/>
        </w:rPr>
        <w:t>anexo</w:t>
      </w:r>
      <w:r>
        <w:rPr>
          <w:rFonts w:ascii="Montserrat" w:hAnsi="Montserrat" w:cs="Arial"/>
          <w:spacing w:val="-1"/>
          <w:sz w:val="18"/>
          <w:szCs w:val="18"/>
        </w:rPr>
        <w:t xml:space="preserve">s, </w:t>
      </w:r>
      <w:r w:rsidRPr="006F0DF1">
        <w:rPr>
          <w:rFonts w:ascii="Montserrat" w:hAnsi="Montserrat" w:cs="Arial"/>
          <w:spacing w:val="-1"/>
          <w:sz w:val="18"/>
          <w:szCs w:val="18"/>
        </w:rPr>
        <w:t>las relaciones de bienes que componen el patrimonio del Poder Ejecutivo Federal presentadas por las dependencias.</w:t>
      </w:r>
    </w:p>
    <w:p w14:paraId="7FEB8EED" w14:textId="77777777" w:rsidR="009C3C24" w:rsidRPr="00FC2554" w:rsidRDefault="009C3C24" w:rsidP="005A5AC5">
      <w:pPr>
        <w:numPr>
          <w:ilvl w:val="0"/>
          <w:numId w:val="11"/>
        </w:numPr>
        <w:spacing w:after="120" w:line="250" w:lineRule="exact"/>
        <w:ind w:left="998" w:hanging="284"/>
        <w:jc w:val="both"/>
        <w:rPr>
          <w:rFonts w:ascii="Montserrat" w:hAnsi="Montserrat" w:cs="Arial"/>
          <w:spacing w:val="-1"/>
          <w:sz w:val="18"/>
          <w:szCs w:val="18"/>
        </w:rPr>
      </w:pPr>
      <w:r w:rsidRPr="00FC2554">
        <w:rPr>
          <w:rFonts w:ascii="Montserrat" w:hAnsi="Montserrat" w:cs="Arial"/>
          <w:spacing w:val="-1"/>
          <w:sz w:val="18"/>
          <w:szCs w:val="18"/>
        </w:rPr>
        <w:t>Estimaciones y Deterioros</w:t>
      </w:r>
    </w:p>
    <w:p w14:paraId="0AD70A7E" w14:textId="77777777" w:rsidR="009C3C24" w:rsidRPr="006823BB" w:rsidRDefault="009C3C24" w:rsidP="006823BB">
      <w:pPr>
        <w:spacing w:after="120" w:line="250" w:lineRule="exact"/>
        <w:jc w:val="both"/>
        <w:rPr>
          <w:rFonts w:ascii="Montserrat" w:hAnsi="Montserrat" w:cs="Arial"/>
          <w:spacing w:val="-1"/>
          <w:sz w:val="18"/>
          <w:szCs w:val="18"/>
        </w:rPr>
      </w:pPr>
      <w:r w:rsidRPr="006823BB">
        <w:rPr>
          <w:rFonts w:ascii="Montserrat" w:hAnsi="Montserrat" w:cs="Arial"/>
          <w:spacing w:val="-1"/>
          <w:sz w:val="18"/>
          <w:szCs w:val="18"/>
        </w:rPr>
        <w:t>Estimaciones</w:t>
      </w:r>
    </w:p>
    <w:p w14:paraId="76BA48EE" w14:textId="77777777" w:rsidR="009C3C24" w:rsidRDefault="009C3C24" w:rsidP="006823BB">
      <w:pPr>
        <w:spacing w:after="120" w:line="250" w:lineRule="exact"/>
        <w:jc w:val="both"/>
        <w:rPr>
          <w:rFonts w:ascii="Montserrat" w:hAnsi="Montserrat" w:cs="Arial"/>
          <w:spacing w:val="-1"/>
          <w:sz w:val="18"/>
          <w:szCs w:val="18"/>
        </w:rPr>
      </w:pPr>
      <w:r w:rsidRPr="006F0DF1">
        <w:rPr>
          <w:rFonts w:ascii="Montserrat" w:hAnsi="Montserrat" w:cs="Arial"/>
          <w:spacing w:val="-1"/>
          <w:sz w:val="18"/>
          <w:szCs w:val="18"/>
        </w:rPr>
        <w:t>De conformidad a las Reglas Específicas del Registro y Valoración del Patrimonio en específico al numeral “5. Estimación para cuentas incobrables” se establece que “Es la afectación que un ente público hace a sus resultados, con base en experiencias o estudios y que permiten mostrar, razonablemente el grado de cobrabilidad de las cuentas o documentos, a través de su registro en una cuenta de mayor de naturaleza acreedora”, en ese sentido el Poder Ejecutivo Federal no realiza estimaciones.</w:t>
      </w:r>
    </w:p>
    <w:p w14:paraId="638CC566" w14:textId="77777777" w:rsidR="009C3C24" w:rsidRPr="006823BB" w:rsidRDefault="009C3C24" w:rsidP="006823BB">
      <w:pPr>
        <w:spacing w:after="120" w:line="250" w:lineRule="exact"/>
        <w:jc w:val="both"/>
        <w:rPr>
          <w:rFonts w:ascii="Montserrat" w:hAnsi="Montserrat" w:cs="Arial"/>
          <w:spacing w:val="-1"/>
          <w:sz w:val="18"/>
          <w:szCs w:val="18"/>
        </w:rPr>
      </w:pPr>
      <w:r w:rsidRPr="006823BB">
        <w:rPr>
          <w:rFonts w:ascii="Montserrat" w:hAnsi="Montserrat" w:cs="Arial"/>
          <w:spacing w:val="-1"/>
          <w:sz w:val="18"/>
          <w:szCs w:val="18"/>
        </w:rPr>
        <w:t>Deterioros</w:t>
      </w:r>
    </w:p>
    <w:p w14:paraId="2A7DCC79" w14:textId="77777777" w:rsidR="009C3C24" w:rsidRDefault="009C3C24" w:rsidP="006823BB">
      <w:pPr>
        <w:spacing w:after="120" w:line="250" w:lineRule="exact"/>
        <w:jc w:val="both"/>
        <w:rPr>
          <w:rFonts w:ascii="Montserrat" w:hAnsi="Montserrat" w:cs="Arial"/>
          <w:spacing w:val="-1"/>
          <w:sz w:val="18"/>
          <w:szCs w:val="18"/>
        </w:rPr>
      </w:pPr>
      <w:r w:rsidRPr="006F0DF1">
        <w:rPr>
          <w:rFonts w:ascii="Montserrat" w:hAnsi="Montserrat" w:cs="Arial"/>
          <w:spacing w:val="-1"/>
          <w:sz w:val="18"/>
          <w:szCs w:val="18"/>
        </w:rPr>
        <w:t xml:space="preserve">Con fundamento en las Reglas Específicas del Registro y Valoración del Patrimonio emitidas por el </w:t>
      </w:r>
      <w:r w:rsidR="006E647B">
        <w:rPr>
          <w:rFonts w:ascii="Montserrat" w:hAnsi="Montserrat" w:cs="Arial"/>
          <w:spacing w:val="-1"/>
          <w:sz w:val="18"/>
          <w:szCs w:val="18"/>
        </w:rPr>
        <w:t>CONAC</w:t>
      </w:r>
      <w:r w:rsidRPr="006F0DF1">
        <w:rPr>
          <w:rFonts w:ascii="Montserrat" w:hAnsi="Montserrat" w:cs="Arial"/>
          <w:spacing w:val="-1"/>
          <w:sz w:val="18"/>
          <w:szCs w:val="18"/>
        </w:rPr>
        <w:t>, el Poder Ejecutivo Federal mediante Dictamen Técnico determinó que sus bienes tiene</w:t>
      </w:r>
      <w:r w:rsidR="006E647B">
        <w:rPr>
          <w:rFonts w:ascii="Montserrat" w:hAnsi="Montserrat" w:cs="Arial"/>
          <w:spacing w:val="-1"/>
          <w:sz w:val="18"/>
          <w:szCs w:val="18"/>
        </w:rPr>
        <w:t>n</w:t>
      </w:r>
      <w:r w:rsidRPr="006F0DF1">
        <w:rPr>
          <w:rFonts w:ascii="Montserrat" w:hAnsi="Montserrat" w:cs="Arial"/>
          <w:spacing w:val="-1"/>
          <w:sz w:val="18"/>
          <w:szCs w:val="18"/>
        </w:rPr>
        <w:t xml:space="preserve"> una vida útil indefinida, por lo cual no se deprecian ni se deterioran.</w:t>
      </w:r>
    </w:p>
    <w:p w14:paraId="3719FF72" w14:textId="77777777" w:rsidR="009C3C24" w:rsidRPr="006823BB" w:rsidRDefault="009C3C24" w:rsidP="006823BB">
      <w:pPr>
        <w:spacing w:after="120" w:line="250" w:lineRule="exact"/>
        <w:jc w:val="both"/>
        <w:rPr>
          <w:rFonts w:ascii="Montserrat" w:hAnsi="Montserrat" w:cs="Arial"/>
          <w:spacing w:val="-1"/>
          <w:sz w:val="18"/>
          <w:szCs w:val="18"/>
        </w:rPr>
      </w:pPr>
      <w:r w:rsidRPr="006823BB">
        <w:rPr>
          <w:rFonts w:ascii="Montserrat" w:hAnsi="Montserrat" w:cs="Arial"/>
          <w:spacing w:val="-1"/>
          <w:sz w:val="18"/>
          <w:szCs w:val="18"/>
        </w:rPr>
        <w:t>Deuda Pública</w:t>
      </w:r>
    </w:p>
    <w:p w14:paraId="7B6988CF" w14:textId="06814814" w:rsidR="009C3C24" w:rsidRDefault="009C3C24" w:rsidP="006823BB">
      <w:pPr>
        <w:spacing w:after="120" w:line="250" w:lineRule="exact"/>
        <w:jc w:val="both"/>
        <w:rPr>
          <w:rFonts w:ascii="Montserrat" w:hAnsi="Montserrat" w:cs="Arial"/>
          <w:spacing w:val="-1"/>
          <w:sz w:val="18"/>
          <w:szCs w:val="18"/>
        </w:rPr>
      </w:pPr>
      <w:r w:rsidRPr="006F0DF1">
        <w:rPr>
          <w:rFonts w:ascii="Montserrat" w:hAnsi="Montserrat" w:cs="Arial"/>
          <w:spacing w:val="-1"/>
          <w:sz w:val="18"/>
          <w:szCs w:val="18"/>
        </w:rPr>
        <w:t xml:space="preserve">Destaca por su monto la deuda pública interna </w:t>
      </w:r>
      <w:r w:rsidR="008A6457">
        <w:rPr>
          <w:rFonts w:ascii="Montserrat" w:hAnsi="Montserrat" w:cs="Arial"/>
          <w:spacing w:val="-1"/>
          <w:sz w:val="18"/>
          <w:szCs w:val="18"/>
        </w:rPr>
        <w:t>derivada de la colocación de</w:t>
      </w:r>
      <w:r w:rsidR="008A6457" w:rsidRPr="006F0DF1">
        <w:rPr>
          <w:rFonts w:ascii="Montserrat" w:hAnsi="Montserrat" w:cs="Arial"/>
          <w:spacing w:val="-1"/>
          <w:sz w:val="18"/>
          <w:szCs w:val="18"/>
        </w:rPr>
        <w:t xml:space="preserve"> </w:t>
      </w:r>
      <w:r w:rsidRPr="006F0DF1">
        <w:rPr>
          <w:rFonts w:ascii="Montserrat" w:hAnsi="Montserrat" w:cs="Arial"/>
          <w:spacing w:val="-1"/>
          <w:sz w:val="18"/>
          <w:szCs w:val="18"/>
        </w:rPr>
        <w:t xml:space="preserve">valores gubernamentales, los cuales se registran de acuerdo a la Guía Contabilizadora 39.- Valores Gubernamentales, Bonos, Otros Títulos de Crédito y Servicio de la Deuda del Tramo de Financiamiento Interno del </w:t>
      </w:r>
      <w:r w:rsidR="00A52F42">
        <w:rPr>
          <w:rFonts w:ascii="Montserrat" w:hAnsi="Montserrat" w:cs="Arial"/>
          <w:spacing w:val="-1"/>
          <w:sz w:val="18"/>
          <w:szCs w:val="18"/>
        </w:rPr>
        <w:t>MCGPEF</w:t>
      </w:r>
      <w:r w:rsidRPr="006F0DF1">
        <w:rPr>
          <w:rFonts w:ascii="Montserrat" w:hAnsi="Montserrat" w:cs="Arial"/>
          <w:spacing w:val="-1"/>
          <w:sz w:val="18"/>
          <w:szCs w:val="18"/>
        </w:rPr>
        <w:t>.</w:t>
      </w:r>
    </w:p>
    <w:p w14:paraId="1AB26995" w14:textId="77777777" w:rsidR="00F01A61" w:rsidRPr="006F0DF1" w:rsidRDefault="00F01A61" w:rsidP="00F01A61">
      <w:pPr>
        <w:spacing w:after="0" w:line="240" w:lineRule="auto"/>
        <w:jc w:val="both"/>
        <w:rPr>
          <w:rFonts w:ascii="Montserrat" w:hAnsi="Montserrat" w:cs="Arial"/>
          <w:spacing w:val="-1"/>
          <w:sz w:val="18"/>
          <w:szCs w:val="18"/>
        </w:rPr>
      </w:pPr>
    </w:p>
    <w:p w14:paraId="7FEB1367" w14:textId="77777777" w:rsidR="006815FE" w:rsidRPr="00F174D8" w:rsidRDefault="006815FE" w:rsidP="006815FE">
      <w:pPr>
        <w:spacing w:after="120" w:line="250" w:lineRule="exact"/>
        <w:jc w:val="both"/>
        <w:rPr>
          <w:rFonts w:ascii="Montserrat" w:hAnsi="Montserrat" w:cs="Arial"/>
          <w:b/>
          <w:spacing w:val="-1"/>
          <w:sz w:val="18"/>
          <w:szCs w:val="18"/>
        </w:rPr>
      </w:pPr>
      <w:r w:rsidRPr="00F174D8">
        <w:rPr>
          <w:rFonts w:ascii="Montserrat" w:hAnsi="Montserrat" w:cs="Arial"/>
          <w:b/>
          <w:spacing w:val="-1"/>
          <w:sz w:val="18"/>
          <w:szCs w:val="18"/>
        </w:rPr>
        <w:lastRenderedPageBreak/>
        <w:t>7. Posición en Moneda Extranjera y Protección por Riesgo Cambiario</w:t>
      </w:r>
    </w:p>
    <w:p w14:paraId="78544BD4" w14:textId="77777777" w:rsidR="006815FE" w:rsidRPr="00F62928" w:rsidRDefault="006815FE" w:rsidP="006815FE">
      <w:pPr>
        <w:spacing w:after="120" w:line="250" w:lineRule="exact"/>
        <w:jc w:val="both"/>
        <w:rPr>
          <w:rFonts w:ascii="Montserrat" w:hAnsi="Montserrat" w:cs="Arial"/>
          <w:spacing w:val="-1"/>
          <w:sz w:val="18"/>
          <w:szCs w:val="18"/>
        </w:rPr>
      </w:pPr>
      <w:r w:rsidRPr="00F62928">
        <w:rPr>
          <w:rFonts w:ascii="Montserrat" w:hAnsi="Montserrat" w:cs="Arial"/>
          <w:spacing w:val="-1"/>
          <w:sz w:val="18"/>
          <w:szCs w:val="18"/>
        </w:rPr>
        <w:t xml:space="preserve">Los activos y pasivos en moneda extranjera, documentalmente se encuentran expresados en la moneda de origen, su registro se efectúa de acuerdo a su equivalente en moneda nacional, y se actualiza reconociendo un diferencial cambiario. </w:t>
      </w:r>
    </w:p>
    <w:p w14:paraId="54EDF621" w14:textId="77777777" w:rsidR="006815FE" w:rsidRPr="00F62928" w:rsidRDefault="006815FE" w:rsidP="006815FE">
      <w:pPr>
        <w:spacing w:after="120" w:line="250" w:lineRule="exact"/>
        <w:jc w:val="both"/>
        <w:rPr>
          <w:rFonts w:ascii="Montserrat" w:hAnsi="Montserrat" w:cs="Arial"/>
          <w:spacing w:val="-1"/>
          <w:sz w:val="18"/>
          <w:szCs w:val="18"/>
        </w:rPr>
      </w:pPr>
      <w:r w:rsidRPr="00F62928">
        <w:rPr>
          <w:rFonts w:ascii="Montserrat" w:hAnsi="Montserrat" w:cs="Arial"/>
          <w:spacing w:val="-1"/>
          <w:sz w:val="18"/>
          <w:szCs w:val="18"/>
        </w:rPr>
        <w:t>La posición en moneda extranjera se entiende como el efecto por el diferencial cambiario que se refleja en los resultados del ejercicio.</w:t>
      </w:r>
    </w:p>
    <w:p w14:paraId="48084267" w14:textId="082AF47A" w:rsidR="006815FE" w:rsidRPr="006937CA" w:rsidRDefault="006815FE" w:rsidP="006815FE">
      <w:pPr>
        <w:spacing w:after="120" w:line="250" w:lineRule="exact"/>
        <w:jc w:val="both"/>
        <w:rPr>
          <w:rFonts w:ascii="Montserrat" w:hAnsi="Montserrat" w:cs="Arial"/>
          <w:spacing w:val="-1"/>
          <w:sz w:val="18"/>
          <w:szCs w:val="18"/>
        </w:rPr>
      </w:pPr>
      <w:r w:rsidRPr="00F62928">
        <w:rPr>
          <w:rFonts w:ascii="Montserrat" w:hAnsi="Montserrat" w:cs="Arial"/>
          <w:spacing w:val="-1"/>
          <w:sz w:val="18"/>
          <w:szCs w:val="18"/>
        </w:rPr>
        <w:t>Tipo de cambio y equivalente en moneda nacional: En cumplimiento de los Postulados Básicos de Contabilidad Gubernamental, “Valuación” y “Consistencia”, para la presentación en los Estados Financieros de las operaciones efectuadas en moneda extranjera, a la fecha de emisión de la información contable, éstas se actualizan aplicando la tabla "Tipos de Cambio de Divisas Extranjeras para el Cierre Contable al 31</w:t>
      </w:r>
      <w:r w:rsidR="00B549B6">
        <w:rPr>
          <w:rFonts w:ascii="Montserrat" w:hAnsi="Montserrat" w:cs="Arial"/>
          <w:spacing w:val="-1"/>
          <w:sz w:val="18"/>
          <w:szCs w:val="18"/>
        </w:rPr>
        <w:t xml:space="preserve"> de Diciembre de 2019” que expidió y difundió</w:t>
      </w:r>
      <w:r w:rsidRPr="00F62928">
        <w:rPr>
          <w:rFonts w:ascii="Montserrat" w:hAnsi="Montserrat" w:cs="Arial"/>
          <w:spacing w:val="-1"/>
          <w:sz w:val="18"/>
          <w:szCs w:val="18"/>
        </w:rPr>
        <w:t xml:space="preserve"> la Secretaría de Hacienda y Crédito Público, a través de la Unidad de Contabilidad Gubernamental.</w:t>
      </w:r>
      <w:r>
        <w:rPr>
          <w:rFonts w:ascii="Montserrat" w:hAnsi="Montserrat" w:cs="Arial"/>
          <w:spacing w:val="-1"/>
          <w:sz w:val="18"/>
          <w:szCs w:val="18"/>
        </w:rPr>
        <w:t xml:space="preserve"> </w:t>
      </w:r>
    </w:p>
    <w:p w14:paraId="5A241C67" w14:textId="77777777" w:rsidR="00F01A61" w:rsidRPr="006F0DF1" w:rsidRDefault="00F01A61" w:rsidP="00F01A61">
      <w:pPr>
        <w:spacing w:after="0" w:line="240" w:lineRule="auto"/>
        <w:jc w:val="both"/>
        <w:rPr>
          <w:rFonts w:ascii="Montserrat" w:hAnsi="Montserrat" w:cs="Arial"/>
          <w:spacing w:val="-1"/>
          <w:sz w:val="18"/>
          <w:szCs w:val="18"/>
        </w:rPr>
      </w:pPr>
    </w:p>
    <w:p w14:paraId="36627BED" w14:textId="77777777" w:rsidR="009C3C24" w:rsidRPr="00F174D8" w:rsidRDefault="009C3C24" w:rsidP="00887D16">
      <w:pPr>
        <w:spacing w:after="120" w:line="250" w:lineRule="exact"/>
        <w:jc w:val="both"/>
        <w:rPr>
          <w:rFonts w:ascii="Montserrat" w:hAnsi="Montserrat" w:cs="Arial"/>
          <w:b/>
          <w:spacing w:val="-1"/>
          <w:sz w:val="18"/>
          <w:szCs w:val="18"/>
        </w:rPr>
      </w:pPr>
      <w:r w:rsidRPr="00F174D8">
        <w:rPr>
          <w:rFonts w:ascii="Montserrat" w:hAnsi="Montserrat" w:cs="Arial"/>
          <w:b/>
          <w:spacing w:val="-1"/>
          <w:sz w:val="18"/>
          <w:szCs w:val="18"/>
        </w:rPr>
        <w:t>8. Reporte Analítico de Activo</w:t>
      </w:r>
    </w:p>
    <w:p w14:paraId="7B390B23" w14:textId="77777777" w:rsidR="009C3C24" w:rsidRPr="006F0DF1" w:rsidRDefault="009C3C24" w:rsidP="00887D16">
      <w:pPr>
        <w:spacing w:after="120" w:line="250" w:lineRule="exact"/>
        <w:jc w:val="both"/>
        <w:rPr>
          <w:rFonts w:ascii="Montserrat" w:hAnsi="Montserrat" w:cs="Arial"/>
          <w:spacing w:val="-1"/>
          <w:sz w:val="18"/>
          <w:szCs w:val="18"/>
        </w:rPr>
      </w:pPr>
      <w:r w:rsidRPr="006F0DF1">
        <w:rPr>
          <w:rFonts w:ascii="Montserrat" w:hAnsi="Montserrat" w:cs="Arial"/>
          <w:spacing w:val="-1"/>
          <w:sz w:val="18"/>
          <w:szCs w:val="18"/>
        </w:rPr>
        <w:t>Vida útil o porcentaje de depreciación, deterioro o amortización utilizado por los diferentes tipos de activos. En las Reglas Específicas del Registro y Valoración del Patrimonio, se definió como vida útil de un activo, al período durante el que se espera utilizar el activo por parte del ente público, en este mismo documento se menciona que se considerará que un activo tiene una vida útil indefinida cuando, sobre la base de un análisis de todos los factores relevantes, no exista un límite previsible al período a lo largo del cual se espera que el activo</w:t>
      </w:r>
      <w:r w:rsidR="006E647B">
        <w:rPr>
          <w:rFonts w:ascii="Montserrat" w:hAnsi="Montserrat" w:cs="Arial"/>
          <w:spacing w:val="-1"/>
          <w:sz w:val="18"/>
          <w:szCs w:val="18"/>
        </w:rPr>
        <w:t xml:space="preserve"> genere rendimientos económicos,</w:t>
      </w:r>
      <w:r w:rsidRPr="006F0DF1">
        <w:rPr>
          <w:rFonts w:ascii="Montserrat" w:hAnsi="Montserrat" w:cs="Arial"/>
          <w:spacing w:val="-1"/>
          <w:sz w:val="18"/>
          <w:szCs w:val="18"/>
        </w:rPr>
        <w:t xml:space="preserve"> potencial de servicio para el ente público, o a la utilización en la producción de bienes y servicios públicos. Con base en estas reglas, el Poder Ejecutivo Federal determinó que sus bienes tiene</w:t>
      </w:r>
      <w:r w:rsidR="006E647B">
        <w:rPr>
          <w:rFonts w:ascii="Montserrat" w:hAnsi="Montserrat" w:cs="Arial"/>
          <w:spacing w:val="-1"/>
          <w:sz w:val="18"/>
          <w:szCs w:val="18"/>
        </w:rPr>
        <w:t>n</w:t>
      </w:r>
      <w:r w:rsidRPr="006F0DF1">
        <w:rPr>
          <w:rFonts w:ascii="Montserrat" w:hAnsi="Montserrat" w:cs="Arial"/>
          <w:spacing w:val="-1"/>
          <w:sz w:val="18"/>
          <w:szCs w:val="18"/>
        </w:rPr>
        <w:t xml:space="preserve"> una vida útil indefinida, por lo cual no se deprecian, deterioran o amortizan.</w:t>
      </w:r>
    </w:p>
    <w:p w14:paraId="566D27F6" w14:textId="77777777" w:rsidR="009C3C24" w:rsidRPr="006F0DF1" w:rsidRDefault="009C3C24" w:rsidP="00887D16">
      <w:pPr>
        <w:spacing w:after="120" w:line="250" w:lineRule="exact"/>
        <w:jc w:val="both"/>
        <w:rPr>
          <w:rFonts w:ascii="Montserrat" w:hAnsi="Montserrat" w:cs="Arial"/>
          <w:spacing w:val="-1"/>
          <w:sz w:val="18"/>
          <w:szCs w:val="18"/>
        </w:rPr>
      </w:pPr>
      <w:r w:rsidRPr="006F0DF1">
        <w:rPr>
          <w:rFonts w:ascii="Montserrat" w:hAnsi="Montserrat" w:cs="Arial"/>
          <w:spacing w:val="-1"/>
          <w:sz w:val="18"/>
          <w:szCs w:val="18"/>
        </w:rPr>
        <w:t>Cambios en el porcentaje de depreciación o</w:t>
      </w:r>
      <w:r w:rsidR="006E647B">
        <w:rPr>
          <w:rFonts w:ascii="Montserrat" w:hAnsi="Montserrat" w:cs="Arial"/>
          <w:spacing w:val="-1"/>
          <w:sz w:val="18"/>
          <w:szCs w:val="18"/>
        </w:rPr>
        <w:t xml:space="preserve"> valor residual de los activos: </w:t>
      </w:r>
      <w:r w:rsidRPr="006F0DF1">
        <w:rPr>
          <w:rFonts w:ascii="Montserrat" w:hAnsi="Montserrat" w:cs="Arial"/>
          <w:spacing w:val="-1"/>
          <w:sz w:val="18"/>
          <w:szCs w:val="18"/>
        </w:rPr>
        <w:t>El Poder Ejecutivo Federal no deprecia sus bienes por lo tanto no se tiene cambios en e</w:t>
      </w:r>
      <w:r w:rsidR="006E647B">
        <w:rPr>
          <w:rFonts w:ascii="Montserrat" w:hAnsi="Montserrat" w:cs="Arial"/>
          <w:spacing w:val="-1"/>
          <w:sz w:val="18"/>
          <w:szCs w:val="18"/>
        </w:rPr>
        <w:t>ste</w:t>
      </w:r>
      <w:r w:rsidRPr="006F0DF1">
        <w:rPr>
          <w:rFonts w:ascii="Montserrat" w:hAnsi="Montserrat" w:cs="Arial"/>
          <w:spacing w:val="-1"/>
          <w:sz w:val="18"/>
          <w:szCs w:val="18"/>
        </w:rPr>
        <w:t xml:space="preserve"> porcentaje.</w:t>
      </w:r>
    </w:p>
    <w:p w14:paraId="34A2F816" w14:textId="77777777" w:rsidR="009C3C24" w:rsidRPr="006F0DF1" w:rsidRDefault="009C3C24" w:rsidP="00887D16">
      <w:pPr>
        <w:spacing w:after="120" w:line="250" w:lineRule="exact"/>
        <w:jc w:val="both"/>
        <w:rPr>
          <w:rFonts w:ascii="Montserrat" w:hAnsi="Montserrat" w:cs="Arial"/>
          <w:spacing w:val="-1"/>
          <w:sz w:val="18"/>
          <w:szCs w:val="18"/>
        </w:rPr>
      </w:pPr>
      <w:r w:rsidRPr="006F0DF1">
        <w:rPr>
          <w:rFonts w:ascii="Montserrat" w:hAnsi="Montserrat" w:cs="Arial"/>
          <w:spacing w:val="-1"/>
          <w:sz w:val="18"/>
          <w:szCs w:val="18"/>
        </w:rPr>
        <w:t>Importe de los gastos de capitalización en el ejercicio</w:t>
      </w:r>
      <w:r w:rsidR="006E647B">
        <w:rPr>
          <w:rFonts w:ascii="Montserrat" w:hAnsi="Montserrat" w:cs="Arial"/>
          <w:spacing w:val="-1"/>
          <w:sz w:val="18"/>
          <w:szCs w:val="18"/>
        </w:rPr>
        <w:t>:</w:t>
      </w:r>
      <w:r w:rsidRPr="006F0DF1">
        <w:rPr>
          <w:rFonts w:ascii="Montserrat" w:hAnsi="Montserrat" w:cs="Arial"/>
          <w:spacing w:val="-1"/>
          <w:sz w:val="18"/>
          <w:szCs w:val="18"/>
        </w:rPr>
        <w:t xml:space="preserve"> No se realizaron </w:t>
      </w:r>
      <w:r w:rsidR="006E647B">
        <w:rPr>
          <w:rFonts w:ascii="Montserrat" w:hAnsi="Montserrat" w:cs="Arial"/>
          <w:spacing w:val="-1"/>
          <w:sz w:val="18"/>
          <w:szCs w:val="18"/>
        </w:rPr>
        <w:t xml:space="preserve">este tipo de </w:t>
      </w:r>
      <w:r w:rsidRPr="006F0DF1">
        <w:rPr>
          <w:rFonts w:ascii="Montserrat" w:hAnsi="Montserrat" w:cs="Arial"/>
          <w:spacing w:val="-1"/>
          <w:sz w:val="18"/>
          <w:szCs w:val="18"/>
        </w:rPr>
        <w:t>gastos.</w:t>
      </w:r>
    </w:p>
    <w:p w14:paraId="6B143729" w14:textId="65C1C260" w:rsidR="009C3C24" w:rsidRDefault="009C3C24" w:rsidP="00887D16">
      <w:pPr>
        <w:spacing w:after="120" w:line="250" w:lineRule="exact"/>
        <w:jc w:val="both"/>
        <w:rPr>
          <w:rFonts w:ascii="Montserrat" w:hAnsi="Montserrat" w:cs="Arial"/>
          <w:spacing w:val="-1"/>
          <w:sz w:val="18"/>
          <w:szCs w:val="18"/>
        </w:rPr>
      </w:pPr>
      <w:r w:rsidRPr="006F0DF1">
        <w:rPr>
          <w:rFonts w:ascii="Montserrat" w:hAnsi="Montserrat" w:cs="Arial"/>
          <w:spacing w:val="-1"/>
          <w:sz w:val="18"/>
          <w:szCs w:val="18"/>
        </w:rPr>
        <w:t>Riesgos por tipo de cambio o por tipo de int</w:t>
      </w:r>
      <w:r w:rsidR="006E647B">
        <w:rPr>
          <w:rFonts w:ascii="Montserrat" w:hAnsi="Montserrat" w:cs="Arial"/>
          <w:spacing w:val="-1"/>
          <w:sz w:val="18"/>
          <w:szCs w:val="18"/>
        </w:rPr>
        <w:t>erés de inversiones financieras:</w:t>
      </w:r>
      <w:r w:rsidRPr="006F0DF1">
        <w:rPr>
          <w:rFonts w:ascii="Montserrat" w:hAnsi="Montserrat" w:cs="Arial"/>
          <w:spacing w:val="-1"/>
          <w:sz w:val="18"/>
          <w:szCs w:val="18"/>
        </w:rPr>
        <w:t xml:space="preserve"> El Poder Ejecutivo Federal no tiene esquemas bursátiles y de coberturas financieras</w:t>
      </w:r>
      <w:r w:rsidR="006E647B">
        <w:rPr>
          <w:rFonts w:ascii="Montserrat" w:hAnsi="Montserrat" w:cs="Arial"/>
          <w:spacing w:val="-1"/>
          <w:sz w:val="18"/>
          <w:szCs w:val="18"/>
        </w:rPr>
        <w:t>;</w:t>
      </w:r>
      <w:r w:rsidRPr="006F0DF1">
        <w:rPr>
          <w:rFonts w:ascii="Montserrat" w:hAnsi="Montserrat" w:cs="Arial"/>
          <w:spacing w:val="-1"/>
          <w:sz w:val="18"/>
          <w:szCs w:val="18"/>
        </w:rPr>
        <w:t xml:space="preserve"> sin embargo</w:t>
      </w:r>
      <w:r w:rsidR="006E647B">
        <w:rPr>
          <w:rFonts w:ascii="Montserrat" w:hAnsi="Montserrat" w:cs="Arial"/>
          <w:spacing w:val="-1"/>
          <w:sz w:val="18"/>
          <w:szCs w:val="18"/>
        </w:rPr>
        <w:t>,</w:t>
      </w:r>
      <w:r w:rsidRPr="006F0DF1">
        <w:rPr>
          <w:rFonts w:ascii="Montserrat" w:hAnsi="Montserrat" w:cs="Arial"/>
          <w:spacing w:val="-1"/>
          <w:sz w:val="18"/>
          <w:szCs w:val="18"/>
        </w:rPr>
        <w:t xml:space="preserve"> el Fideicomiso Fondo de Estabilización de los Ingresos Presupuestarios se mantiene como instrumento de administración de riesgos, tal como se establece en el artículo 21 Bis, fracciones II y VI, de la Ley Federal de Presupuesto y Responsabilidad Hacendaria</w:t>
      </w:r>
      <w:r w:rsidR="00B549B6">
        <w:rPr>
          <w:rFonts w:ascii="Montserrat" w:hAnsi="Montserrat" w:cs="Arial"/>
          <w:spacing w:val="-1"/>
          <w:sz w:val="18"/>
          <w:szCs w:val="18"/>
        </w:rPr>
        <w:t xml:space="preserve"> (LFPRH)</w:t>
      </w:r>
      <w:r w:rsidRPr="006F0DF1">
        <w:rPr>
          <w:rFonts w:ascii="Montserrat" w:hAnsi="Montserrat" w:cs="Arial"/>
          <w:spacing w:val="-1"/>
          <w:sz w:val="18"/>
          <w:szCs w:val="18"/>
        </w:rPr>
        <w:t>; se integra en la cuenta “Fideicomisos, Mandatos y Contratos Análogos del Poder Ejecutivo”.</w:t>
      </w:r>
    </w:p>
    <w:p w14:paraId="01951191" w14:textId="77777777" w:rsidR="00F01A61" w:rsidRPr="006F0DF1" w:rsidRDefault="00F01A61" w:rsidP="00F01A61">
      <w:pPr>
        <w:spacing w:after="0" w:line="240" w:lineRule="auto"/>
        <w:jc w:val="both"/>
        <w:rPr>
          <w:rFonts w:ascii="Montserrat" w:hAnsi="Montserrat" w:cs="Arial"/>
          <w:spacing w:val="-1"/>
          <w:sz w:val="18"/>
          <w:szCs w:val="18"/>
        </w:rPr>
      </w:pPr>
    </w:p>
    <w:p w14:paraId="4ECF89EB" w14:textId="77777777" w:rsidR="009C3C24" w:rsidRPr="00F174D8" w:rsidRDefault="009C3C24" w:rsidP="00887D16">
      <w:pPr>
        <w:spacing w:after="120" w:line="250" w:lineRule="exact"/>
        <w:jc w:val="both"/>
        <w:rPr>
          <w:rFonts w:ascii="Montserrat" w:hAnsi="Montserrat" w:cs="Arial"/>
          <w:b/>
          <w:spacing w:val="-1"/>
          <w:sz w:val="18"/>
          <w:szCs w:val="18"/>
        </w:rPr>
      </w:pPr>
      <w:r w:rsidRPr="00F174D8">
        <w:rPr>
          <w:rFonts w:ascii="Montserrat" w:hAnsi="Montserrat" w:cs="Arial"/>
          <w:b/>
          <w:spacing w:val="-1"/>
          <w:sz w:val="18"/>
          <w:szCs w:val="18"/>
        </w:rPr>
        <w:t>9. Fideicomisos, Mandatos y Análogos</w:t>
      </w:r>
    </w:p>
    <w:p w14:paraId="0BF9CFC7" w14:textId="6D43D395" w:rsidR="00172E13" w:rsidRDefault="00172E13" w:rsidP="00172E13">
      <w:pPr>
        <w:spacing w:after="120" w:line="250" w:lineRule="exact"/>
        <w:jc w:val="both"/>
        <w:rPr>
          <w:rFonts w:ascii="Montserrat" w:hAnsi="Montserrat" w:cs="Arial"/>
          <w:spacing w:val="-1"/>
          <w:sz w:val="18"/>
          <w:szCs w:val="18"/>
        </w:rPr>
      </w:pPr>
      <w:r w:rsidRPr="001D0BA0">
        <w:rPr>
          <w:rFonts w:ascii="Montserrat" w:hAnsi="Montserrat" w:cs="Arial"/>
          <w:spacing w:val="-1"/>
          <w:sz w:val="18"/>
          <w:szCs w:val="18"/>
        </w:rPr>
        <w:t>Para la cuenta pública de 2019, se presenta un saldo en la subcuenta de Fideicomisos, Mandatos y Contratos Análogos del P</w:t>
      </w:r>
      <w:r w:rsidR="00A52F42">
        <w:rPr>
          <w:rFonts w:ascii="Montserrat" w:hAnsi="Montserrat" w:cs="Arial"/>
          <w:spacing w:val="-1"/>
          <w:sz w:val="18"/>
          <w:szCs w:val="18"/>
        </w:rPr>
        <w:t xml:space="preserve">oder Ejecutivo que asciende a </w:t>
      </w:r>
      <w:r w:rsidRPr="001D0BA0">
        <w:rPr>
          <w:rFonts w:ascii="Montserrat" w:hAnsi="Montserrat" w:cs="Arial"/>
          <w:spacing w:val="-1"/>
          <w:sz w:val="18"/>
          <w:szCs w:val="18"/>
        </w:rPr>
        <w:t>536,21</w:t>
      </w:r>
      <w:r w:rsidR="00A52F42">
        <w:rPr>
          <w:rFonts w:ascii="Montserrat" w:hAnsi="Montserrat" w:cs="Arial"/>
          <w:spacing w:val="-1"/>
          <w:sz w:val="18"/>
          <w:szCs w:val="18"/>
        </w:rPr>
        <w:t xml:space="preserve">2,347,715 pesos, de los cuales </w:t>
      </w:r>
      <w:r w:rsidRPr="001D0BA0">
        <w:rPr>
          <w:rFonts w:ascii="Montserrat" w:hAnsi="Montserrat" w:cs="Arial"/>
          <w:spacing w:val="-1"/>
          <w:sz w:val="18"/>
          <w:szCs w:val="18"/>
        </w:rPr>
        <w:t xml:space="preserve">41,600,000 pesos corresponden a aportaciones pagadas como ADEFA en 2020 que se registraron el </w:t>
      </w:r>
      <w:r w:rsidR="00A52F42">
        <w:rPr>
          <w:rFonts w:ascii="Montserrat" w:hAnsi="Montserrat" w:cs="Arial"/>
          <w:spacing w:val="-1"/>
          <w:sz w:val="18"/>
          <w:szCs w:val="18"/>
        </w:rPr>
        <w:t xml:space="preserve">diciembre 2019. El importe de </w:t>
      </w:r>
      <w:r w:rsidRPr="001D0BA0">
        <w:rPr>
          <w:rFonts w:ascii="Montserrat" w:hAnsi="Montserrat" w:cs="Arial"/>
          <w:spacing w:val="-1"/>
          <w:sz w:val="18"/>
          <w:szCs w:val="18"/>
        </w:rPr>
        <w:t>536,212,347,715 pesos, se integra de 93 fideicomisos que son administrados por diversas dependencias del Poder Ejecutivo Federal. Durante el ejercicio de 2019 se crearon 5 fideicomisos: Mandato para la realización de Actos Previos a la Enajenación de las Aeronaves al Servicio de la Oficina de la Presidencia de la República, Contrato de Mandato 2263, Contrato de Mandato 2264, Fideicomiso Fondo de Mejoramiento Urbano y el Mandato para la Realización de Actos Previos a la Enajenación de las Aeronaves al Servicio de la Policía Federal.</w:t>
      </w:r>
    </w:p>
    <w:p w14:paraId="26078E08" w14:textId="77777777" w:rsidR="00172E13" w:rsidRPr="001D0BA0" w:rsidRDefault="00172E13" w:rsidP="00172E13">
      <w:pPr>
        <w:spacing w:after="120" w:line="250" w:lineRule="exact"/>
        <w:jc w:val="both"/>
        <w:rPr>
          <w:rFonts w:ascii="Montserrat" w:hAnsi="Montserrat" w:cs="Arial"/>
          <w:spacing w:val="-1"/>
          <w:sz w:val="18"/>
          <w:szCs w:val="18"/>
        </w:rPr>
      </w:pPr>
    </w:p>
    <w:p w14:paraId="09A4B83F" w14:textId="2546F803" w:rsidR="00172E13" w:rsidRPr="001D0BA0" w:rsidRDefault="00172E13" w:rsidP="00172E13">
      <w:pPr>
        <w:spacing w:after="120" w:line="250" w:lineRule="exact"/>
        <w:jc w:val="both"/>
        <w:rPr>
          <w:rFonts w:ascii="Montserrat" w:hAnsi="Montserrat" w:cs="Arial"/>
          <w:spacing w:val="-1"/>
          <w:sz w:val="18"/>
          <w:szCs w:val="18"/>
        </w:rPr>
      </w:pPr>
      <w:r w:rsidRPr="001D0BA0">
        <w:rPr>
          <w:rFonts w:ascii="Montserrat" w:hAnsi="Montserrat" w:cs="Arial"/>
          <w:spacing w:val="-1"/>
          <w:sz w:val="18"/>
          <w:szCs w:val="18"/>
        </w:rPr>
        <w:lastRenderedPageBreak/>
        <w:t>Adicionalmente, en el mismo periodo se extinguieron o se encuentran en proceso de extinción 10 fideicomisos y el saldo contable que acredita el derecho patrimonial en el Poder Ejecutivo es “0”: Convenio Específico para la Operación y De</w:t>
      </w:r>
      <w:r w:rsidR="00631A66">
        <w:rPr>
          <w:rFonts w:ascii="Montserrat" w:hAnsi="Montserrat" w:cs="Arial"/>
          <w:spacing w:val="-1"/>
          <w:sz w:val="18"/>
          <w:szCs w:val="18"/>
        </w:rPr>
        <w:t>sarrollo del Programa SEPA-INGLÉ</w:t>
      </w:r>
      <w:r w:rsidRPr="001D0BA0">
        <w:rPr>
          <w:rFonts w:ascii="Montserrat" w:hAnsi="Montserrat" w:cs="Arial"/>
          <w:spacing w:val="-1"/>
          <w:sz w:val="18"/>
          <w:szCs w:val="18"/>
        </w:rPr>
        <w:t>S, Convenio de Cooperación para la Operación del Programa de Educación a Distancia II, Convenio de Cooperación para la Operación del Programa de Educación a Distancia, Programa Nacional de Superación de Personal Académico (SUPERA), Fondo de Apoyo al Programa Intersectorial de Educación Saludable, Fideicomiso para el Desarrollo de la Región Centro País (FIDCENTRO), Fideicomiso para el Desarrollo de la Región Centro-Occidente (FIDERCO), Fondo de Ahorro para los Trabajadores del CORETT, Fideicomiso Traslativo de Dominio Puerto los Cabos y Fideicomiso para la Adaptación de los Museos Diego Rivera y Frida Kalo.</w:t>
      </w:r>
    </w:p>
    <w:p w14:paraId="6E37121B" w14:textId="77777777" w:rsidR="00F01A61" w:rsidRPr="00A93AE2" w:rsidRDefault="00F01A61" w:rsidP="00F01A61">
      <w:pPr>
        <w:spacing w:after="0" w:line="240" w:lineRule="auto"/>
        <w:jc w:val="both"/>
        <w:rPr>
          <w:rFonts w:ascii="Montserrat" w:hAnsi="Montserrat" w:cs="Arial"/>
          <w:spacing w:val="-1"/>
          <w:sz w:val="18"/>
          <w:szCs w:val="18"/>
        </w:rPr>
      </w:pPr>
    </w:p>
    <w:p w14:paraId="51BE78F0" w14:textId="77777777" w:rsidR="009C3C24" w:rsidRPr="00F174D8" w:rsidRDefault="009C3C24" w:rsidP="00887D16">
      <w:pPr>
        <w:spacing w:after="120" w:line="250" w:lineRule="exact"/>
        <w:jc w:val="both"/>
        <w:rPr>
          <w:rFonts w:ascii="Montserrat" w:hAnsi="Montserrat" w:cs="Arial"/>
          <w:b/>
          <w:spacing w:val="-1"/>
          <w:sz w:val="18"/>
          <w:szCs w:val="18"/>
        </w:rPr>
      </w:pPr>
      <w:r w:rsidRPr="00F174D8">
        <w:rPr>
          <w:rFonts w:ascii="Montserrat" w:hAnsi="Montserrat" w:cs="Arial"/>
          <w:b/>
          <w:spacing w:val="-1"/>
          <w:sz w:val="18"/>
          <w:szCs w:val="18"/>
        </w:rPr>
        <w:t>10. Reporte de Recaudación</w:t>
      </w:r>
    </w:p>
    <w:p w14:paraId="13327505" w14:textId="77777777" w:rsidR="009C3C24" w:rsidRPr="00887D16" w:rsidRDefault="009C3C24" w:rsidP="00887D16">
      <w:pPr>
        <w:spacing w:after="120" w:line="250" w:lineRule="exact"/>
        <w:jc w:val="both"/>
        <w:rPr>
          <w:rFonts w:ascii="Montserrat" w:hAnsi="Montserrat" w:cs="Arial"/>
          <w:spacing w:val="-1"/>
          <w:sz w:val="18"/>
          <w:szCs w:val="18"/>
        </w:rPr>
      </w:pPr>
      <w:r w:rsidRPr="00887D16">
        <w:rPr>
          <w:rFonts w:ascii="Montserrat" w:hAnsi="Montserrat" w:cs="Arial"/>
          <w:spacing w:val="-1"/>
          <w:sz w:val="18"/>
          <w:szCs w:val="18"/>
        </w:rPr>
        <w:t>Análisis del comportamiento de la recaudación</w:t>
      </w:r>
    </w:p>
    <w:p w14:paraId="11BFEE87" w14:textId="039AA650" w:rsidR="009C3C24" w:rsidRDefault="009C3C24" w:rsidP="00887D16">
      <w:pPr>
        <w:spacing w:after="120" w:line="250" w:lineRule="exact"/>
        <w:jc w:val="both"/>
        <w:rPr>
          <w:rFonts w:ascii="Montserrat" w:hAnsi="Montserrat" w:cs="Arial"/>
          <w:spacing w:val="-1"/>
          <w:sz w:val="18"/>
          <w:szCs w:val="18"/>
        </w:rPr>
      </w:pPr>
      <w:r w:rsidRPr="006F0DF1">
        <w:rPr>
          <w:rFonts w:ascii="Montserrat" w:hAnsi="Montserrat" w:cs="Arial"/>
          <w:spacing w:val="-1"/>
          <w:sz w:val="18"/>
          <w:szCs w:val="18"/>
        </w:rPr>
        <w:t xml:space="preserve">Los ingresos presupuestarios obtenidos como resultado de la política de recaudación aplicada por el Ejecutivo Federal, fueron de </w:t>
      </w:r>
      <w:r w:rsidR="00F36D96" w:rsidRPr="00F36D96">
        <w:rPr>
          <w:rFonts w:ascii="Montserrat" w:hAnsi="Montserrat" w:cs="Arial"/>
          <w:spacing w:val="-1"/>
          <w:sz w:val="18"/>
          <w:szCs w:val="18"/>
        </w:rPr>
        <w:t>4,575,725,032,170</w:t>
      </w:r>
      <w:r w:rsidR="00F36D96">
        <w:rPr>
          <w:rFonts w:ascii="Montserrat" w:hAnsi="Montserrat" w:cs="Arial"/>
          <w:spacing w:val="-1"/>
          <w:sz w:val="18"/>
          <w:szCs w:val="18"/>
        </w:rPr>
        <w:t xml:space="preserve"> </w:t>
      </w:r>
      <w:r w:rsidRPr="001735E7">
        <w:rPr>
          <w:rFonts w:ascii="Montserrat" w:hAnsi="Montserrat" w:cs="Arial"/>
          <w:spacing w:val="-1"/>
          <w:sz w:val="18"/>
          <w:szCs w:val="18"/>
        </w:rPr>
        <w:t>pesos</w:t>
      </w:r>
      <w:r w:rsidRPr="006F0DF1">
        <w:rPr>
          <w:rFonts w:ascii="Montserrat" w:hAnsi="Montserrat" w:cs="Arial"/>
          <w:spacing w:val="-1"/>
          <w:sz w:val="18"/>
          <w:szCs w:val="18"/>
        </w:rPr>
        <w:t xml:space="preserve"> siendo los más representativos los provenientes de impuestos, aprovechamientos, así como por Transferencias, Asignaciones, Subsidios y Otras Ayudas, que se integran de la siguiente manera:</w:t>
      </w:r>
    </w:p>
    <w:tbl>
      <w:tblPr>
        <w:tblW w:w="7560" w:type="dxa"/>
        <w:tblInd w:w="2770" w:type="dxa"/>
        <w:tblCellMar>
          <w:left w:w="70" w:type="dxa"/>
          <w:right w:w="70" w:type="dxa"/>
        </w:tblCellMar>
        <w:tblLook w:val="04A0" w:firstRow="1" w:lastRow="0" w:firstColumn="1" w:lastColumn="0" w:noHBand="0" w:noVBand="1"/>
      </w:tblPr>
      <w:tblGrid>
        <w:gridCol w:w="4320"/>
        <w:gridCol w:w="1620"/>
        <w:gridCol w:w="1620"/>
      </w:tblGrid>
      <w:tr w:rsidR="009C3C24" w:rsidRPr="006F0DF1" w14:paraId="3857E920" w14:textId="77777777" w:rsidTr="001C7B52">
        <w:trPr>
          <w:trHeight w:val="215"/>
        </w:trPr>
        <w:tc>
          <w:tcPr>
            <w:tcW w:w="7560" w:type="dxa"/>
            <w:gridSpan w:val="3"/>
            <w:tcBorders>
              <w:top w:val="nil"/>
              <w:left w:val="nil"/>
              <w:bottom w:val="single" w:sz="12" w:space="0" w:color="808080" w:themeColor="background1" w:themeShade="80"/>
            </w:tcBorders>
            <w:shd w:val="clear" w:color="auto" w:fill="auto"/>
            <w:vAlign w:val="center"/>
            <w:hideMark/>
          </w:tcPr>
          <w:p w14:paraId="7341A4B0" w14:textId="77777777" w:rsidR="009C3C24" w:rsidRPr="00B77373" w:rsidRDefault="009C3C24" w:rsidP="009173AE">
            <w:pPr>
              <w:spacing w:after="60" w:line="240" w:lineRule="auto"/>
              <w:jc w:val="center"/>
              <w:rPr>
                <w:rFonts w:ascii="Montserrat" w:eastAsia="Times New Roman" w:hAnsi="Montserrat" w:cs="Calibri"/>
                <w:bCs/>
                <w:sz w:val="16"/>
                <w:szCs w:val="16"/>
                <w:lang w:val="es-MX" w:eastAsia="es-MX"/>
              </w:rPr>
            </w:pPr>
            <w:r w:rsidRPr="00B77373">
              <w:rPr>
                <w:rFonts w:ascii="Montserrat" w:eastAsia="Times New Roman" w:hAnsi="Montserrat" w:cs="Calibri"/>
                <w:bCs/>
                <w:sz w:val="16"/>
                <w:szCs w:val="16"/>
                <w:lang w:val="es-MX" w:eastAsia="es-MX"/>
              </w:rPr>
              <w:t>(Pesos)</w:t>
            </w:r>
          </w:p>
        </w:tc>
      </w:tr>
      <w:tr w:rsidR="001C7B52" w:rsidRPr="001C7B52" w14:paraId="0A8F0337" w14:textId="77777777" w:rsidTr="00F01A61">
        <w:trPr>
          <w:trHeight w:val="57"/>
        </w:trPr>
        <w:tc>
          <w:tcPr>
            <w:tcW w:w="7560" w:type="dxa"/>
            <w:gridSpan w:val="3"/>
            <w:tcBorders>
              <w:top w:val="single" w:sz="12" w:space="0" w:color="808080" w:themeColor="background1" w:themeShade="80"/>
            </w:tcBorders>
            <w:shd w:val="clear" w:color="auto" w:fill="auto"/>
            <w:vAlign w:val="center"/>
          </w:tcPr>
          <w:p w14:paraId="1F974DC3" w14:textId="77777777" w:rsidR="001C7B52" w:rsidRPr="001C7B52" w:rsidRDefault="001C7B52" w:rsidP="002F797B">
            <w:pPr>
              <w:spacing w:after="0" w:line="240" w:lineRule="auto"/>
              <w:jc w:val="center"/>
              <w:rPr>
                <w:rFonts w:ascii="Montserrat" w:eastAsia="Times New Roman" w:hAnsi="Montserrat" w:cs="Calibri"/>
                <w:b/>
                <w:bCs/>
                <w:color w:val="FFFFFF"/>
                <w:sz w:val="4"/>
                <w:szCs w:val="4"/>
                <w:lang w:eastAsia="es-MX"/>
              </w:rPr>
            </w:pPr>
          </w:p>
        </w:tc>
      </w:tr>
      <w:tr w:rsidR="009C3C24" w:rsidRPr="006F0DF1" w14:paraId="7C90C90D" w14:textId="77777777" w:rsidTr="00F01A61">
        <w:trPr>
          <w:trHeight w:val="317"/>
        </w:trPr>
        <w:tc>
          <w:tcPr>
            <w:tcW w:w="4320" w:type="dxa"/>
            <w:tcBorders>
              <w:bottom w:val="double" w:sz="12" w:space="0" w:color="808080" w:themeColor="background1" w:themeShade="80"/>
              <w:right w:val="single" w:sz="8" w:space="0" w:color="FFFFFF" w:themeColor="background1"/>
            </w:tcBorders>
            <w:shd w:val="clear" w:color="auto" w:fill="D4C19C"/>
            <w:vAlign w:val="center"/>
            <w:hideMark/>
          </w:tcPr>
          <w:p w14:paraId="2B7B1280" w14:textId="77777777" w:rsidR="009C3C24" w:rsidRPr="006F0DF1" w:rsidRDefault="009C3C24" w:rsidP="002F797B">
            <w:pPr>
              <w:spacing w:after="0" w:line="240" w:lineRule="auto"/>
              <w:jc w:val="center"/>
              <w:rPr>
                <w:rFonts w:ascii="Montserrat" w:eastAsia="Times New Roman" w:hAnsi="Montserrat" w:cs="Calibri"/>
                <w:b/>
                <w:bCs/>
                <w:color w:val="FFFFFF"/>
                <w:sz w:val="16"/>
                <w:szCs w:val="16"/>
                <w:lang w:val="es-MX" w:eastAsia="es-MX"/>
              </w:rPr>
            </w:pPr>
            <w:r w:rsidRPr="006F0DF1">
              <w:rPr>
                <w:rFonts w:ascii="Montserrat" w:eastAsia="Times New Roman" w:hAnsi="Montserrat" w:cs="Calibri"/>
                <w:b/>
                <w:bCs/>
                <w:color w:val="FFFFFF"/>
                <w:sz w:val="16"/>
                <w:szCs w:val="16"/>
                <w:lang w:val="es-MX" w:eastAsia="es-MX"/>
              </w:rPr>
              <w:t>Concepto</w:t>
            </w:r>
          </w:p>
        </w:tc>
        <w:tc>
          <w:tcPr>
            <w:tcW w:w="1620" w:type="dxa"/>
            <w:tcBorders>
              <w:left w:val="single" w:sz="8" w:space="0" w:color="FFFFFF" w:themeColor="background1"/>
              <w:bottom w:val="double" w:sz="12" w:space="0" w:color="808080" w:themeColor="background1" w:themeShade="80"/>
              <w:right w:val="single" w:sz="8" w:space="0" w:color="FFFFFF" w:themeColor="background1"/>
            </w:tcBorders>
            <w:shd w:val="clear" w:color="auto" w:fill="D4C19C"/>
            <w:vAlign w:val="center"/>
            <w:hideMark/>
          </w:tcPr>
          <w:p w14:paraId="2B8170D9" w14:textId="77777777" w:rsidR="009C3C24" w:rsidRPr="006F0DF1" w:rsidRDefault="009C3C24" w:rsidP="002F797B">
            <w:pPr>
              <w:spacing w:after="0" w:line="240" w:lineRule="auto"/>
              <w:jc w:val="center"/>
              <w:rPr>
                <w:rFonts w:ascii="Montserrat" w:eastAsia="Times New Roman" w:hAnsi="Montserrat" w:cs="Calibri"/>
                <w:b/>
                <w:bCs/>
                <w:color w:val="FFFFFF"/>
                <w:sz w:val="16"/>
                <w:szCs w:val="16"/>
                <w:lang w:val="es-MX" w:eastAsia="es-MX"/>
              </w:rPr>
            </w:pPr>
            <w:r w:rsidRPr="006F0DF1">
              <w:rPr>
                <w:rFonts w:ascii="Montserrat" w:eastAsia="Times New Roman" w:hAnsi="Montserrat" w:cs="Calibri"/>
                <w:b/>
                <w:bCs/>
                <w:color w:val="FFFFFF"/>
                <w:sz w:val="16"/>
                <w:szCs w:val="16"/>
                <w:lang w:val="es-MX" w:eastAsia="es-MX"/>
              </w:rPr>
              <w:t>201</w:t>
            </w:r>
            <w:r w:rsidR="007E26E9">
              <w:rPr>
                <w:rFonts w:ascii="Montserrat" w:eastAsia="Times New Roman" w:hAnsi="Montserrat" w:cs="Calibri"/>
                <w:b/>
                <w:bCs/>
                <w:color w:val="FFFFFF"/>
                <w:sz w:val="16"/>
                <w:szCs w:val="16"/>
                <w:lang w:val="es-MX" w:eastAsia="es-MX"/>
              </w:rPr>
              <w:t>9</w:t>
            </w:r>
          </w:p>
        </w:tc>
        <w:tc>
          <w:tcPr>
            <w:tcW w:w="1620" w:type="dxa"/>
            <w:tcBorders>
              <w:left w:val="single" w:sz="8" w:space="0" w:color="FFFFFF" w:themeColor="background1"/>
              <w:bottom w:val="double" w:sz="12" w:space="0" w:color="808080" w:themeColor="background1" w:themeShade="80"/>
            </w:tcBorders>
            <w:shd w:val="clear" w:color="auto" w:fill="D4C19C"/>
            <w:vAlign w:val="center"/>
            <w:hideMark/>
          </w:tcPr>
          <w:p w14:paraId="1FD2FF17" w14:textId="77777777" w:rsidR="009C3C24" w:rsidRPr="006F0DF1" w:rsidRDefault="009C3C24" w:rsidP="002F797B">
            <w:pPr>
              <w:spacing w:after="0" w:line="240" w:lineRule="auto"/>
              <w:jc w:val="center"/>
              <w:rPr>
                <w:rFonts w:ascii="Montserrat" w:eastAsia="Times New Roman" w:hAnsi="Montserrat" w:cs="Calibri"/>
                <w:b/>
                <w:bCs/>
                <w:color w:val="FFFFFF"/>
                <w:sz w:val="16"/>
                <w:szCs w:val="16"/>
                <w:lang w:val="es-MX" w:eastAsia="es-MX"/>
              </w:rPr>
            </w:pPr>
            <w:r>
              <w:rPr>
                <w:rFonts w:ascii="Montserrat" w:eastAsia="Times New Roman" w:hAnsi="Montserrat" w:cs="Calibri"/>
                <w:b/>
                <w:bCs/>
                <w:color w:val="FFFFFF"/>
                <w:sz w:val="16"/>
                <w:szCs w:val="16"/>
                <w:lang w:val="es-MX" w:eastAsia="es-MX"/>
              </w:rPr>
              <w:t>201</w:t>
            </w:r>
            <w:r w:rsidR="007E26E9">
              <w:rPr>
                <w:rFonts w:ascii="Montserrat" w:eastAsia="Times New Roman" w:hAnsi="Montserrat" w:cs="Calibri"/>
                <w:b/>
                <w:bCs/>
                <w:color w:val="FFFFFF"/>
                <w:sz w:val="16"/>
                <w:szCs w:val="16"/>
                <w:lang w:val="es-MX" w:eastAsia="es-MX"/>
              </w:rPr>
              <w:t>8</w:t>
            </w:r>
          </w:p>
        </w:tc>
      </w:tr>
      <w:tr w:rsidR="007E26E9" w:rsidRPr="006F0DF1" w14:paraId="129EE798" w14:textId="77777777" w:rsidTr="0023764E">
        <w:trPr>
          <w:trHeight w:val="215"/>
        </w:trPr>
        <w:tc>
          <w:tcPr>
            <w:tcW w:w="4320" w:type="dxa"/>
            <w:tcBorders>
              <w:top w:val="double" w:sz="12" w:space="0" w:color="808080" w:themeColor="background1" w:themeShade="80"/>
            </w:tcBorders>
            <w:shd w:val="clear" w:color="auto" w:fill="F2F2F2" w:themeFill="background1" w:themeFillShade="F2"/>
            <w:vAlign w:val="center"/>
            <w:hideMark/>
          </w:tcPr>
          <w:p w14:paraId="597E04A9" w14:textId="77777777" w:rsidR="007E26E9" w:rsidRPr="000F0321" w:rsidRDefault="007E26E9" w:rsidP="007E26E9">
            <w:pPr>
              <w:spacing w:after="0" w:line="240" w:lineRule="auto"/>
              <w:ind w:left="170"/>
              <w:rPr>
                <w:rFonts w:ascii="Montserrat" w:eastAsia="Times New Roman" w:hAnsi="Montserrat" w:cs="Calibri"/>
                <w:bCs/>
                <w:color w:val="000000"/>
                <w:sz w:val="15"/>
                <w:szCs w:val="15"/>
                <w:lang w:val="es-MX" w:eastAsia="es-MX"/>
              </w:rPr>
            </w:pPr>
            <w:r w:rsidRPr="000F0321">
              <w:rPr>
                <w:rFonts w:ascii="Montserrat" w:eastAsia="Times New Roman" w:hAnsi="Montserrat" w:cs="Calibri"/>
                <w:bCs/>
                <w:color w:val="000000"/>
                <w:sz w:val="15"/>
                <w:szCs w:val="15"/>
                <w:lang w:val="es-MX" w:eastAsia="es-MX"/>
              </w:rPr>
              <w:t>1 Impuestos</w:t>
            </w:r>
          </w:p>
        </w:tc>
        <w:tc>
          <w:tcPr>
            <w:tcW w:w="1620" w:type="dxa"/>
            <w:tcBorders>
              <w:top w:val="double" w:sz="12" w:space="0" w:color="808080" w:themeColor="background1" w:themeShade="80"/>
            </w:tcBorders>
            <w:shd w:val="clear" w:color="auto" w:fill="F2F2F2" w:themeFill="background1" w:themeFillShade="F2"/>
            <w:vAlign w:val="center"/>
          </w:tcPr>
          <w:p w14:paraId="5285BADC" w14:textId="3AF3A1E1" w:rsidR="007E26E9" w:rsidRPr="000F0321" w:rsidRDefault="004154FC" w:rsidP="007E26E9">
            <w:pPr>
              <w:spacing w:after="0" w:line="240" w:lineRule="auto"/>
              <w:jc w:val="right"/>
              <w:rPr>
                <w:rFonts w:ascii="Montserrat" w:hAnsi="Montserrat" w:cs="Calibri"/>
                <w:color w:val="000000"/>
                <w:sz w:val="15"/>
                <w:szCs w:val="15"/>
                <w:lang w:val="es-MX" w:eastAsia="es-MX"/>
              </w:rPr>
            </w:pPr>
            <w:r w:rsidRPr="000F0321">
              <w:rPr>
                <w:rFonts w:ascii="Montserrat" w:hAnsi="Montserrat" w:cs="Arial"/>
                <w:color w:val="000000"/>
                <w:sz w:val="15"/>
                <w:szCs w:val="15"/>
              </w:rPr>
              <w:t>3,202,650,721,264</w:t>
            </w:r>
          </w:p>
        </w:tc>
        <w:tc>
          <w:tcPr>
            <w:tcW w:w="1620" w:type="dxa"/>
            <w:tcBorders>
              <w:top w:val="double" w:sz="12" w:space="0" w:color="808080" w:themeColor="background1" w:themeShade="80"/>
            </w:tcBorders>
            <w:shd w:val="clear" w:color="auto" w:fill="F2F2F2" w:themeFill="background1" w:themeFillShade="F2"/>
            <w:vAlign w:val="center"/>
            <w:hideMark/>
          </w:tcPr>
          <w:p w14:paraId="6F5E603D" w14:textId="77777777" w:rsidR="007E26E9" w:rsidRPr="000F0321" w:rsidRDefault="007E26E9" w:rsidP="007E26E9">
            <w:pPr>
              <w:spacing w:after="0" w:line="240" w:lineRule="auto"/>
              <w:jc w:val="right"/>
              <w:rPr>
                <w:rFonts w:ascii="Montserrat" w:hAnsi="Montserrat" w:cs="Calibri"/>
                <w:color w:val="000000"/>
                <w:sz w:val="15"/>
                <w:szCs w:val="15"/>
                <w:lang w:val="es-MX" w:eastAsia="es-MX"/>
              </w:rPr>
            </w:pPr>
            <w:r w:rsidRPr="000F0321">
              <w:rPr>
                <w:rFonts w:ascii="Montserrat" w:hAnsi="Montserrat" w:cs="Calibri"/>
                <w:color w:val="000000"/>
                <w:sz w:val="15"/>
                <w:szCs w:val="15"/>
              </w:rPr>
              <w:t>3,062,334,012,884</w:t>
            </w:r>
          </w:p>
        </w:tc>
      </w:tr>
      <w:tr w:rsidR="007E26E9" w:rsidRPr="006F0DF1" w14:paraId="53174BDF" w14:textId="77777777" w:rsidTr="0023764E">
        <w:trPr>
          <w:trHeight w:val="215"/>
        </w:trPr>
        <w:tc>
          <w:tcPr>
            <w:tcW w:w="4320" w:type="dxa"/>
            <w:tcBorders>
              <w:top w:val="nil"/>
            </w:tcBorders>
            <w:shd w:val="clear" w:color="auto" w:fill="F2F2F2" w:themeFill="background1" w:themeFillShade="F2"/>
            <w:vAlign w:val="center"/>
            <w:hideMark/>
          </w:tcPr>
          <w:p w14:paraId="75276731" w14:textId="77777777" w:rsidR="007E26E9" w:rsidRPr="000F0321" w:rsidRDefault="007E26E9" w:rsidP="007E26E9">
            <w:pPr>
              <w:spacing w:after="0" w:line="240" w:lineRule="auto"/>
              <w:ind w:left="170"/>
              <w:rPr>
                <w:rFonts w:ascii="Montserrat" w:eastAsia="Times New Roman" w:hAnsi="Montserrat" w:cs="Calibri"/>
                <w:color w:val="000000"/>
                <w:sz w:val="15"/>
                <w:szCs w:val="15"/>
                <w:lang w:val="es-MX" w:eastAsia="es-MX"/>
              </w:rPr>
            </w:pPr>
            <w:r w:rsidRPr="000F0321">
              <w:rPr>
                <w:rFonts w:ascii="Montserrat" w:eastAsia="Times New Roman" w:hAnsi="Montserrat" w:cs="Calibri"/>
                <w:color w:val="000000"/>
                <w:sz w:val="15"/>
                <w:szCs w:val="15"/>
                <w:lang w:val="es-MX" w:eastAsia="es-MX"/>
              </w:rPr>
              <w:t>2 Cuotas y Aportaciones de Seguridad Social</w:t>
            </w:r>
          </w:p>
        </w:tc>
        <w:tc>
          <w:tcPr>
            <w:tcW w:w="1620" w:type="dxa"/>
            <w:tcBorders>
              <w:top w:val="nil"/>
            </w:tcBorders>
            <w:shd w:val="clear" w:color="auto" w:fill="F2F2F2" w:themeFill="background1" w:themeFillShade="F2"/>
            <w:vAlign w:val="center"/>
          </w:tcPr>
          <w:p w14:paraId="03AEACC1" w14:textId="3EB6213F" w:rsidR="007E26E9" w:rsidRPr="000F0321" w:rsidRDefault="004154FC" w:rsidP="007E26E9">
            <w:pPr>
              <w:spacing w:after="0" w:line="240" w:lineRule="auto"/>
              <w:jc w:val="right"/>
              <w:rPr>
                <w:rFonts w:ascii="Montserrat" w:hAnsi="Montserrat" w:cs="Calibri"/>
                <w:color w:val="000000"/>
                <w:sz w:val="15"/>
                <w:szCs w:val="15"/>
              </w:rPr>
            </w:pPr>
            <w:r w:rsidRPr="000F0321">
              <w:rPr>
                <w:rFonts w:ascii="Montserrat" w:hAnsi="Montserrat" w:cs="Calibri"/>
                <w:color w:val="000000"/>
                <w:sz w:val="15"/>
                <w:szCs w:val="15"/>
              </w:rPr>
              <w:t>0</w:t>
            </w:r>
          </w:p>
        </w:tc>
        <w:tc>
          <w:tcPr>
            <w:tcW w:w="1620" w:type="dxa"/>
            <w:tcBorders>
              <w:top w:val="nil"/>
            </w:tcBorders>
            <w:shd w:val="clear" w:color="auto" w:fill="F2F2F2" w:themeFill="background1" w:themeFillShade="F2"/>
            <w:vAlign w:val="center"/>
            <w:hideMark/>
          </w:tcPr>
          <w:p w14:paraId="5F261598" w14:textId="77777777" w:rsidR="007E26E9" w:rsidRPr="000F0321" w:rsidRDefault="007E26E9" w:rsidP="007E26E9">
            <w:pPr>
              <w:spacing w:after="0" w:line="240" w:lineRule="auto"/>
              <w:jc w:val="right"/>
              <w:rPr>
                <w:rFonts w:ascii="Montserrat" w:hAnsi="Montserrat" w:cs="Calibri"/>
                <w:color w:val="000000"/>
                <w:sz w:val="15"/>
                <w:szCs w:val="15"/>
              </w:rPr>
            </w:pPr>
            <w:r w:rsidRPr="000F0321">
              <w:rPr>
                <w:rFonts w:ascii="Montserrat" w:hAnsi="Montserrat" w:cs="Calibri"/>
                <w:color w:val="000000"/>
                <w:sz w:val="15"/>
                <w:szCs w:val="15"/>
              </w:rPr>
              <w:t>0</w:t>
            </w:r>
          </w:p>
        </w:tc>
      </w:tr>
      <w:tr w:rsidR="007E26E9" w:rsidRPr="006F0DF1" w14:paraId="67937B48" w14:textId="77777777" w:rsidTr="0023764E">
        <w:trPr>
          <w:trHeight w:val="215"/>
        </w:trPr>
        <w:tc>
          <w:tcPr>
            <w:tcW w:w="4320" w:type="dxa"/>
            <w:tcBorders>
              <w:top w:val="nil"/>
            </w:tcBorders>
            <w:shd w:val="clear" w:color="auto" w:fill="F2F2F2" w:themeFill="background1" w:themeFillShade="F2"/>
            <w:vAlign w:val="center"/>
            <w:hideMark/>
          </w:tcPr>
          <w:p w14:paraId="3FC69A2E" w14:textId="77777777" w:rsidR="007E26E9" w:rsidRPr="000F0321" w:rsidRDefault="007E26E9" w:rsidP="007E26E9">
            <w:pPr>
              <w:spacing w:after="0" w:line="240" w:lineRule="auto"/>
              <w:ind w:left="170"/>
              <w:rPr>
                <w:rFonts w:ascii="Montserrat" w:eastAsia="Times New Roman" w:hAnsi="Montserrat" w:cs="Calibri"/>
                <w:bCs/>
                <w:color w:val="000000"/>
                <w:sz w:val="15"/>
                <w:szCs w:val="15"/>
                <w:lang w:val="es-MX" w:eastAsia="es-MX"/>
              </w:rPr>
            </w:pPr>
            <w:r w:rsidRPr="000F0321">
              <w:rPr>
                <w:rFonts w:ascii="Montserrat" w:eastAsia="Times New Roman" w:hAnsi="Montserrat" w:cs="Calibri"/>
                <w:bCs/>
                <w:color w:val="000000"/>
                <w:sz w:val="15"/>
                <w:szCs w:val="15"/>
                <w:lang w:val="es-MX" w:eastAsia="es-MX"/>
              </w:rPr>
              <w:t>3 Contribuciones de Mejoras</w:t>
            </w:r>
          </w:p>
        </w:tc>
        <w:tc>
          <w:tcPr>
            <w:tcW w:w="1620" w:type="dxa"/>
            <w:tcBorders>
              <w:top w:val="nil"/>
            </w:tcBorders>
            <w:shd w:val="clear" w:color="auto" w:fill="F2F2F2" w:themeFill="background1" w:themeFillShade="F2"/>
            <w:vAlign w:val="center"/>
          </w:tcPr>
          <w:p w14:paraId="4115AD54" w14:textId="5B6EA4D3" w:rsidR="007E26E9" w:rsidRPr="000F0321" w:rsidRDefault="004154FC" w:rsidP="007E26E9">
            <w:pPr>
              <w:spacing w:after="0" w:line="240" w:lineRule="auto"/>
              <w:jc w:val="right"/>
              <w:rPr>
                <w:rFonts w:ascii="Montserrat" w:hAnsi="Montserrat" w:cs="Calibri"/>
                <w:color w:val="000000"/>
                <w:sz w:val="15"/>
                <w:szCs w:val="15"/>
              </w:rPr>
            </w:pPr>
            <w:r w:rsidRPr="000F0321">
              <w:rPr>
                <w:rFonts w:ascii="Montserrat" w:hAnsi="Montserrat" w:cs="Arial"/>
                <w:color w:val="000000"/>
                <w:sz w:val="15"/>
                <w:szCs w:val="15"/>
              </w:rPr>
              <w:t>54,844,450</w:t>
            </w:r>
          </w:p>
        </w:tc>
        <w:tc>
          <w:tcPr>
            <w:tcW w:w="1620" w:type="dxa"/>
            <w:tcBorders>
              <w:top w:val="nil"/>
            </w:tcBorders>
            <w:shd w:val="clear" w:color="auto" w:fill="F2F2F2" w:themeFill="background1" w:themeFillShade="F2"/>
            <w:vAlign w:val="center"/>
            <w:hideMark/>
          </w:tcPr>
          <w:p w14:paraId="77A74874" w14:textId="77777777" w:rsidR="007E26E9" w:rsidRPr="000F0321" w:rsidRDefault="007E26E9" w:rsidP="007E26E9">
            <w:pPr>
              <w:spacing w:after="0" w:line="240" w:lineRule="auto"/>
              <w:jc w:val="right"/>
              <w:rPr>
                <w:rFonts w:ascii="Montserrat" w:hAnsi="Montserrat" w:cs="Calibri"/>
                <w:color w:val="000000"/>
                <w:sz w:val="15"/>
                <w:szCs w:val="15"/>
              </w:rPr>
            </w:pPr>
            <w:r w:rsidRPr="000F0321">
              <w:rPr>
                <w:rFonts w:ascii="Montserrat" w:hAnsi="Montserrat" w:cs="Calibri"/>
                <w:color w:val="000000"/>
                <w:sz w:val="15"/>
                <w:szCs w:val="15"/>
              </w:rPr>
              <w:t>79,412,649</w:t>
            </w:r>
          </w:p>
        </w:tc>
      </w:tr>
      <w:tr w:rsidR="009F1852" w:rsidRPr="006F0DF1" w14:paraId="15C12FDB" w14:textId="77777777" w:rsidTr="0023764E">
        <w:trPr>
          <w:trHeight w:val="215"/>
        </w:trPr>
        <w:tc>
          <w:tcPr>
            <w:tcW w:w="4320" w:type="dxa"/>
            <w:tcBorders>
              <w:top w:val="nil"/>
            </w:tcBorders>
            <w:shd w:val="clear" w:color="auto" w:fill="F2F2F2" w:themeFill="background1" w:themeFillShade="F2"/>
            <w:vAlign w:val="center"/>
            <w:hideMark/>
          </w:tcPr>
          <w:p w14:paraId="1FED5DCA" w14:textId="77777777" w:rsidR="009F1852" w:rsidRPr="000F0321" w:rsidRDefault="009F1852" w:rsidP="009F1852">
            <w:pPr>
              <w:spacing w:after="0" w:line="240" w:lineRule="auto"/>
              <w:ind w:left="170"/>
              <w:rPr>
                <w:rFonts w:ascii="Montserrat" w:eastAsia="Times New Roman" w:hAnsi="Montserrat" w:cs="Calibri"/>
                <w:bCs/>
                <w:color w:val="000000"/>
                <w:sz w:val="15"/>
                <w:szCs w:val="15"/>
                <w:lang w:val="es-MX" w:eastAsia="es-MX"/>
              </w:rPr>
            </w:pPr>
            <w:r w:rsidRPr="000F0321">
              <w:rPr>
                <w:rFonts w:ascii="Montserrat" w:eastAsia="Times New Roman" w:hAnsi="Montserrat" w:cs="Calibri"/>
                <w:bCs/>
                <w:color w:val="000000"/>
                <w:sz w:val="15"/>
                <w:szCs w:val="15"/>
                <w:lang w:val="es-MX" w:eastAsia="es-MX"/>
              </w:rPr>
              <w:t>4 Derechos</w:t>
            </w:r>
          </w:p>
        </w:tc>
        <w:tc>
          <w:tcPr>
            <w:tcW w:w="1620" w:type="dxa"/>
            <w:tcBorders>
              <w:top w:val="nil"/>
            </w:tcBorders>
            <w:shd w:val="clear" w:color="auto" w:fill="F2F2F2" w:themeFill="background1" w:themeFillShade="F2"/>
            <w:vAlign w:val="center"/>
          </w:tcPr>
          <w:p w14:paraId="7033BFAF" w14:textId="7B1DB730" w:rsidR="009F1852" w:rsidRPr="000F0321" w:rsidRDefault="009F1852" w:rsidP="009F1852">
            <w:pPr>
              <w:spacing w:after="0" w:line="240" w:lineRule="auto"/>
              <w:jc w:val="right"/>
              <w:rPr>
                <w:rFonts w:ascii="Montserrat" w:hAnsi="Montserrat" w:cs="Calibri"/>
                <w:color w:val="000000"/>
                <w:sz w:val="15"/>
                <w:szCs w:val="15"/>
              </w:rPr>
            </w:pPr>
            <w:r w:rsidRPr="000F0321">
              <w:rPr>
                <w:rFonts w:ascii="Montserrat" w:hAnsi="Montserrat" w:cs="Arial"/>
                <w:color w:val="000000"/>
                <w:sz w:val="15"/>
                <w:szCs w:val="15"/>
              </w:rPr>
              <w:t>82,996,735,859</w:t>
            </w:r>
          </w:p>
        </w:tc>
        <w:tc>
          <w:tcPr>
            <w:tcW w:w="1620" w:type="dxa"/>
            <w:tcBorders>
              <w:top w:val="nil"/>
            </w:tcBorders>
            <w:shd w:val="clear" w:color="auto" w:fill="F2F2F2" w:themeFill="background1" w:themeFillShade="F2"/>
            <w:vAlign w:val="center"/>
            <w:hideMark/>
          </w:tcPr>
          <w:p w14:paraId="0C4D8A59" w14:textId="77777777" w:rsidR="009F1852" w:rsidRPr="000F0321" w:rsidRDefault="009F1852" w:rsidP="009F1852">
            <w:pPr>
              <w:spacing w:after="0" w:line="240" w:lineRule="auto"/>
              <w:jc w:val="right"/>
              <w:rPr>
                <w:rFonts w:ascii="Montserrat" w:hAnsi="Montserrat" w:cs="Calibri"/>
                <w:color w:val="000000"/>
                <w:sz w:val="15"/>
                <w:szCs w:val="15"/>
              </w:rPr>
            </w:pPr>
            <w:r w:rsidRPr="000F0321">
              <w:rPr>
                <w:rFonts w:ascii="Montserrat" w:hAnsi="Montserrat" w:cs="Calibri"/>
                <w:color w:val="000000"/>
                <w:sz w:val="15"/>
                <w:szCs w:val="15"/>
              </w:rPr>
              <w:t>64,305,749,598</w:t>
            </w:r>
          </w:p>
        </w:tc>
      </w:tr>
      <w:tr w:rsidR="009F1852" w:rsidRPr="006F0DF1" w14:paraId="4AF6C99F" w14:textId="77777777" w:rsidTr="0023764E">
        <w:trPr>
          <w:trHeight w:val="215"/>
        </w:trPr>
        <w:tc>
          <w:tcPr>
            <w:tcW w:w="4320" w:type="dxa"/>
            <w:tcBorders>
              <w:top w:val="nil"/>
            </w:tcBorders>
            <w:shd w:val="clear" w:color="auto" w:fill="F2F2F2" w:themeFill="background1" w:themeFillShade="F2"/>
            <w:vAlign w:val="center"/>
            <w:hideMark/>
          </w:tcPr>
          <w:p w14:paraId="2F55AEE4" w14:textId="77777777" w:rsidR="009F1852" w:rsidRPr="000F0321" w:rsidRDefault="009F1852" w:rsidP="009F1852">
            <w:pPr>
              <w:spacing w:after="0" w:line="240" w:lineRule="auto"/>
              <w:ind w:left="170"/>
              <w:rPr>
                <w:rFonts w:ascii="Montserrat" w:eastAsia="Times New Roman" w:hAnsi="Montserrat" w:cs="Calibri"/>
                <w:bCs/>
                <w:color w:val="000000"/>
                <w:sz w:val="15"/>
                <w:szCs w:val="15"/>
                <w:lang w:val="es-MX" w:eastAsia="es-MX"/>
              </w:rPr>
            </w:pPr>
            <w:r w:rsidRPr="000F0321">
              <w:rPr>
                <w:rFonts w:ascii="Montserrat" w:eastAsia="Times New Roman" w:hAnsi="Montserrat" w:cs="Calibri"/>
                <w:bCs/>
                <w:color w:val="000000"/>
                <w:sz w:val="15"/>
                <w:szCs w:val="15"/>
                <w:lang w:val="es-MX" w:eastAsia="es-MX"/>
              </w:rPr>
              <w:t>5 Productos</w:t>
            </w:r>
          </w:p>
        </w:tc>
        <w:tc>
          <w:tcPr>
            <w:tcW w:w="1620" w:type="dxa"/>
            <w:tcBorders>
              <w:top w:val="nil"/>
            </w:tcBorders>
            <w:shd w:val="clear" w:color="auto" w:fill="F2F2F2" w:themeFill="background1" w:themeFillShade="F2"/>
            <w:vAlign w:val="center"/>
          </w:tcPr>
          <w:p w14:paraId="05231B80" w14:textId="04570574" w:rsidR="009F1852" w:rsidRPr="000F0321" w:rsidRDefault="009F1852">
            <w:pPr>
              <w:spacing w:after="0" w:line="240" w:lineRule="auto"/>
              <w:jc w:val="right"/>
              <w:rPr>
                <w:rFonts w:ascii="Montserrat" w:hAnsi="Montserrat" w:cs="Calibri"/>
                <w:color w:val="000000"/>
                <w:sz w:val="15"/>
                <w:szCs w:val="15"/>
              </w:rPr>
            </w:pPr>
            <w:r w:rsidRPr="000F0321">
              <w:rPr>
                <w:rFonts w:ascii="Montserrat" w:hAnsi="Montserrat" w:cs="Arial"/>
                <w:color w:val="000000"/>
                <w:sz w:val="15"/>
                <w:szCs w:val="15"/>
              </w:rPr>
              <w:t>37,012,097,127</w:t>
            </w:r>
          </w:p>
        </w:tc>
        <w:tc>
          <w:tcPr>
            <w:tcW w:w="1620" w:type="dxa"/>
            <w:tcBorders>
              <w:top w:val="nil"/>
            </w:tcBorders>
            <w:shd w:val="clear" w:color="auto" w:fill="F2F2F2" w:themeFill="background1" w:themeFillShade="F2"/>
            <w:vAlign w:val="center"/>
            <w:hideMark/>
          </w:tcPr>
          <w:p w14:paraId="2EE2B998" w14:textId="77777777" w:rsidR="009F1852" w:rsidRPr="000F0321" w:rsidRDefault="009F1852" w:rsidP="009F1852">
            <w:pPr>
              <w:spacing w:after="0" w:line="240" w:lineRule="auto"/>
              <w:jc w:val="right"/>
              <w:rPr>
                <w:rFonts w:ascii="Montserrat" w:hAnsi="Montserrat" w:cs="Calibri"/>
                <w:color w:val="000000"/>
                <w:sz w:val="15"/>
                <w:szCs w:val="15"/>
              </w:rPr>
            </w:pPr>
            <w:r w:rsidRPr="000F0321">
              <w:rPr>
                <w:rFonts w:ascii="Montserrat" w:hAnsi="Montserrat" w:cs="Calibri"/>
                <w:color w:val="000000"/>
                <w:sz w:val="15"/>
                <w:szCs w:val="15"/>
              </w:rPr>
              <w:t>33,753,602,874</w:t>
            </w:r>
          </w:p>
        </w:tc>
      </w:tr>
      <w:tr w:rsidR="009F1852" w:rsidRPr="006F0DF1" w14:paraId="48B70D7F" w14:textId="77777777" w:rsidTr="0023764E">
        <w:trPr>
          <w:trHeight w:val="215"/>
        </w:trPr>
        <w:tc>
          <w:tcPr>
            <w:tcW w:w="4320" w:type="dxa"/>
            <w:tcBorders>
              <w:top w:val="nil"/>
            </w:tcBorders>
            <w:shd w:val="clear" w:color="auto" w:fill="F2F2F2" w:themeFill="background1" w:themeFillShade="F2"/>
            <w:vAlign w:val="center"/>
            <w:hideMark/>
          </w:tcPr>
          <w:p w14:paraId="6F972E37" w14:textId="77777777" w:rsidR="009F1852" w:rsidRPr="000F0321" w:rsidRDefault="009F1852" w:rsidP="009F1852">
            <w:pPr>
              <w:spacing w:after="0" w:line="240" w:lineRule="auto"/>
              <w:ind w:left="170"/>
              <w:rPr>
                <w:rFonts w:ascii="Montserrat" w:eastAsia="Times New Roman" w:hAnsi="Montserrat" w:cs="Calibri"/>
                <w:bCs/>
                <w:color w:val="000000"/>
                <w:sz w:val="15"/>
                <w:szCs w:val="15"/>
                <w:lang w:val="es-MX" w:eastAsia="es-MX"/>
              </w:rPr>
            </w:pPr>
            <w:r w:rsidRPr="000F0321">
              <w:rPr>
                <w:rFonts w:ascii="Montserrat" w:eastAsia="Times New Roman" w:hAnsi="Montserrat" w:cs="Calibri"/>
                <w:bCs/>
                <w:color w:val="000000"/>
                <w:sz w:val="15"/>
                <w:szCs w:val="15"/>
                <w:lang w:val="es-MX" w:eastAsia="es-MX"/>
              </w:rPr>
              <w:t>6 Aprovechamientos</w:t>
            </w:r>
          </w:p>
        </w:tc>
        <w:tc>
          <w:tcPr>
            <w:tcW w:w="1620" w:type="dxa"/>
            <w:tcBorders>
              <w:top w:val="nil"/>
            </w:tcBorders>
            <w:shd w:val="clear" w:color="auto" w:fill="F2F2F2" w:themeFill="background1" w:themeFillShade="F2"/>
            <w:vAlign w:val="center"/>
          </w:tcPr>
          <w:p w14:paraId="15D4E9EC" w14:textId="5C92DD58" w:rsidR="009F1852" w:rsidRPr="000F0321" w:rsidRDefault="009F1852" w:rsidP="009F1852">
            <w:pPr>
              <w:spacing w:after="0" w:line="240" w:lineRule="auto"/>
              <w:jc w:val="right"/>
              <w:rPr>
                <w:rFonts w:ascii="Montserrat" w:hAnsi="Montserrat" w:cs="Calibri"/>
                <w:color w:val="000000"/>
                <w:sz w:val="15"/>
                <w:szCs w:val="15"/>
              </w:rPr>
            </w:pPr>
            <w:r w:rsidRPr="000F0321">
              <w:rPr>
                <w:rFonts w:ascii="Montserrat" w:hAnsi="Montserrat" w:cs="Arial"/>
                <w:color w:val="000000"/>
                <w:sz w:val="15"/>
                <w:szCs w:val="15"/>
              </w:rPr>
              <w:t>278,067,288,102</w:t>
            </w:r>
          </w:p>
        </w:tc>
        <w:tc>
          <w:tcPr>
            <w:tcW w:w="1620" w:type="dxa"/>
            <w:tcBorders>
              <w:top w:val="nil"/>
            </w:tcBorders>
            <w:shd w:val="clear" w:color="auto" w:fill="F2F2F2" w:themeFill="background1" w:themeFillShade="F2"/>
            <w:vAlign w:val="center"/>
            <w:hideMark/>
          </w:tcPr>
          <w:p w14:paraId="241EB29E" w14:textId="77777777" w:rsidR="009F1852" w:rsidRPr="000F0321" w:rsidRDefault="009F1852" w:rsidP="009F1852">
            <w:pPr>
              <w:spacing w:after="0" w:line="240" w:lineRule="auto"/>
              <w:jc w:val="right"/>
              <w:rPr>
                <w:rFonts w:ascii="Montserrat" w:hAnsi="Montserrat" w:cs="Calibri"/>
                <w:color w:val="000000"/>
                <w:sz w:val="15"/>
                <w:szCs w:val="15"/>
              </w:rPr>
            </w:pPr>
            <w:r w:rsidRPr="000F0321">
              <w:rPr>
                <w:rFonts w:ascii="Montserrat" w:hAnsi="Montserrat" w:cs="Calibri"/>
                <w:color w:val="000000"/>
                <w:sz w:val="15"/>
                <w:szCs w:val="15"/>
              </w:rPr>
              <w:t>193,351,700,163</w:t>
            </w:r>
          </w:p>
        </w:tc>
      </w:tr>
      <w:tr w:rsidR="007E26E9" w:rsidRPr="006F0DF1" w14:paraId="0E440055" w14:textId="77777777" w:rsidTr="0023764E">
        <w:trPr>
          <w:trHeight w:val="215"/>
        </w:trPr>
        <w:tc>
          <w:tcPr>
            <w:tcW w:w="4320" w:type="dxa"/>
            <w:tcBorders>
              <w:top w:val="nil"/>
            </w:tcBorders>
            <w:shd w:val="clear" w:color="auto" w:fill="F2F2F2" w:themeFill="background1" w:themeFillShade="F2"/>
            <w:vAlign w:val="center"/>
            <w:hideMark/>
          </w:tcPr>
          <w:p w14:paraId="44A37890" w14:textId="629902BF" w:rsidR="007E26E9" w:rsidRPr="000F0321" w:rsidRDefault="007E26E9" w:rsidP="007E26E9">
            <w:pPr>
              <w:spacing w:after="0" w:line="240" w:lineRule="auto"/>
              <w:ind w:left="170"/>
              <w:rPr>
                <w:rFonts w:ascii="Montserrat" w:eastAsia="Times New Roman" w:hAnsi="Montserrat" w:cs="Calibri"/>
                <w:bCs/>
                <w:color w:val="000000"/>
                <w:sz w:val="15"/>
                <w:szCs w:val="15"/>
                <w:lang w:val="es-MX" w:eastAsia="es-MX"/>
              </w:rPr>
            </w:pPr>
            <w:r w:rsidRPr="000F0321">
              <w:rPr>
                <w:rFonts w:ascii="Montserrat" w:eastAsia="Times New Roman" w:hAnsi="Montserrat" w:cs="Calibri"/>
                <w:bCs/>
                <w:color w:val="000000"/>
                <w:sz w:val="15"/>
                <w:szCs w:val="15"/>
                <w:lang w:val="es-MX" w:eastAsia="es-MX"/>
              </w:rPr>
              <w:t xml:space="preserve">9 </w:t>
            </w:r>
            <w:r w:rsidR="00A52F42" w:rsidRPr="00A52F42">
              <w:rPr>
                <w:rFonts w:ascii="Montserrat" w:eastAsia="Times New Roman" w:hAnsi="Montserrat" w:cs="Calibri"/>
                <w:bCs/>
                <w:color w:val="000000"/>
                <w:sz w:val="15"/>
                <w:szCs w:val="15"/>
                <w:lang w:val="es-MX" w:eastAsia="es-MX"/>
              </w:rPr>
              <w:t>Transferencias, Asignaciones, Subsidios y Subvenciones, y Pensiones y Jubilaciones</w:t>
            </w:r>
          </w:p>
        </w:tc>
        <w:tc>
          <w:tcPr>
            <w:tcW w:w="1620" w:type="dxa"/>
            <w:tcBorders>
              <w:top w:val="nil"/>
            </w:tcBorders>
            <w:shd w:val="clear" w:color="auto" w:fill="F2F2F2" w:themeFill="background1" w:themeFillShade="F2"/>
            <w:vAlign w:val="center"/>
          </w:tcPr>
          <w:p w14:paraId="4E54F5D1" w14:textId="38D3B0CD" w:rsidR="007E26E9" w:rsidRPr="000F0321" w:rsidRDefault="004154FC" w:rsidP="007E26E9">
            <w:pPr>
              <w:spacing w:after="0" w:line="240" w:lineRule="auto"/>
              <w:jc w:val="right"/>
              <w:rPr>
                <w:rFonts w:ascii="Montserrat" w:hAnsi="Montserrat" w:cs="Calibri"/>
                <w:color w:val="000000"/>
                <w:sz w:val="15"/>
                <w:szCs w:val="15"/>
              </w:rPr>
            </w:pPr>
            <w:r w:rsidRPr="000F0321">
              <w:rPr>
                <w:rFonts w:ascii="Montserrat" w:hAnsi="Montserrat" w:cs="Arial"/>
                <w:color w:val="000000"/>
                <w:sz w:val="15"/>
                <w:szCs w:val="15"/>
              </w:rPr>
              <w:t>431,895,759,401</w:t>
            </w:r>
          </w:p>
        </w:tc>
        <w:tc>
          <w:tcPr>
            <w:tcW w:w="1620" w:type="dxa"/>
            <w:tcBorders>
              <w:top w:val="nil"/>
            </w:tcBorders>
            <w:shd w:val="clear" w:color="auto" w:fill="F2F2F2" w:themeFill="background1" w:themeFillShade="F2"/>
            <w:vAlign w:val="center"/>
            <w:hideMark/>
          </w:tcPr>
          <w:p w14:paraId="2C673409" w14:textId="77777777" w:rsidR="007E26E9" w:rsidRPr="000F0321" w:rsidRDefault="007E26E9" w:rsidP="007E26E9">
            <w:pPr>
              <w:spacing w:after="0" w:line="240" w:lineRule="auto"/>
              <w:jc w:val="right"/>
              <w:rPr>
                <w:rFonts w:ascii="Montserrat" w:hAnsi="Montserrat" w:cs="Calibri"/>
                <w:color w:val="000000"/>
                <w:sz w:val="15"/>
                <w:szCs w:val="15"/>
              </w:rPr>
            </w:pPr>
            <w:r w:rsidRPr="000F0321">
              <w:rPr>
                <w:rFonts w:ascii="Montserrat" w:hAnsi="Montserrat" w:cs="Calibri"/>
                <w:color w:val="000000"/>
                <w:sz w:val="15"/>
                <w:szCs w:val="15"/>
              </w:rPr>
              <w:t>541,747,431,165</w:t>
            </w:r>
          </w:p>
        </w:tc>
      </w:tr>
      <w:tr w:rsidR="007E26E9" w:rsidRPr="006F0DF1" w14:paraId="5DB7B062" w14:textId="77777777" w:rsidTr="0023764E">
        <w:trPr>
          <w:trHeight w:val="215"/>
        </w:trPr>
        <w:tc>
          <w:tcPr>
            <w:tcW w:w="4320" w:type="dxa"/>
            <w:tcBorders>
              <w:top w:val="nil"/>
            </w:tcBorders>
            <w:shd w:val="clear" w:color="auto" w:fill="F2F2F2" w:themeFill="background1" w:themeFillShade="F2"/>
            <w:vAlign w:val="center"/>
            <w:hideMark/>
          </w:tcPr>
          <w:p w14:paraId="61CD8628" w14:textId="77777777" w:rsidR="007E26E9" w:rsidRPr="000F0321" w:rsidRDefault="007E26E9" w:rsidP="007E26E9">
            <w:pPr>
              <w:spacing w:after="0" w:line="240" w:lineRule="auto"/>
              <w:ind w:left="170"/>
              <w:rPr>
                <w:rFonts w:ascii="Montserrat" w:eastAsia="Times New Roman" w:hAnsi="Montserrat" w:cs="Calibri"/>
                <w:bCs/>
                <w:color w:val="000000"/>
                <w:sz w:val="15"/>
                <w:szCs w:val="15"/>
                <w:lang w:val="es-MX" w:eastAsia="es-MX"/>
              </w:rPr>
            </w:pPr>
            <w:r w:rsidRPr="000F0321">
              <w:rPr>
                <w:rFonts w:ascii="Montserrat" w:eastAsia="Times New Roman" w:hAnsi="Montserrat" w:cs="Calibri"/>
                <w:bCs/>
                <w:color w:val="000000"/>
                <w:sz w:val="15"/>
                <w:szCs w:val="15"/>
                <w:lang w:val="es-MX" w:eastAsia="es-MX"/>
              </w:rPr>
              <w:t>0 Ingresos Derivados de Financiamientos</w:t>
            </w:r>
          </w:p>
        </w:tc>
        <w:tc>
          <w:tcPr>
            <w:tcW w:w="1620" w:type="dxa"/>
            <w:tcBorders>
              <w:top w:val="nil"/>
            </w:tcBorders>
            <w:shd w:val="clear" w:color="auto" w:fill="F2F2F2"/>
            <w:vAlign w:val="center"/>
          </w:tcPr>
          <w:p w14:paraId="24A09F19" w14:textId="1031ACDD" w:rsidR="007E26E9" w:rsidRPr="000F0321" w:rsidRDefault="004154FC" w:rsidP="007E26E9">
            <w:pPr>
              <w:spacing w:after="0" w:line="240" w:lineRule="auto"/>
              <w:jc w:val="right"/>
              <w:rPr>
                <w:rFonts w:ascii="Montserrat" w:hAnsi="Montserrat" w:cs="Calibri"/>
                <w:color w:val="000000"/>
                <w:sz w:val="15"/>
                <w:szCs w:val="15"/>
              </w:rPr>
            </w:pPr>
            <w:r w:rsidRPr="000F0321">
              <w:rPr>
                <w:rFonts w:ascii="Montserrat" w:hAnsi="Montserrat" w:cs="Calibri"/>
                <w:color w:val="000000"/>
                <w:sz w:val="15"/>
                <w:szCs w:val="15"/>
              </w:rPr>
              <w:t>543,047,585,967</w:t>
            </w:r>
          </w:p>
        </w:tc>
        <w:tc>
          <w:tcPr>
            <w:tcW w:w="1620" w:type="dxa"/>
            <w:tcBorders>
              <w:top w:val="nil"/>
            </w:tcBorders>
            <w:shd w:val="clear" w:color="auto" w:fill="F2F2F2" w:themeFill="background1" w:themeFillShade="F2"/>
            <w:vAlign w:val="center"/>
            <w:hideMark/>
          </w:tcPr>
          <w:p w14:paraId="41045182" w14:textId="77777777" w:rsidR="007E26E9" w:rsidRPr="000F0321" w:rsidRDefault="007E26E9" w:rsidP="007E26E9">
            <w:pPr>
              <w:spacing w:after="0" w:line="240" w:lineRule="auto"/>
              <w:jc w:val="right"/>
              <w:rPr>
                <w:rFonts w:ascii="Montserrat" w:hAnsi="Montserrat" w:cs="Calibri"/>
                <w:color w:val="000000"/>
                <w:sz w:val="15"/>
                <w:szCs w:val="15"/>
              </w:rPr>
            </w:pPr>
            <w:r w:rsidRPr="000F0321">
              <w:rPr>
                <w:rFonts w:ascii="Montserrat" w:hAnsi="Montserrat" w:cs="Calibri"/>
                <w:color w:val="000000"/>
                <w:sz w:val="15"/>
                <w:szCs w:val="15"/>
              </w:rPr>
              <w:t>528,104,654,738</w:t>
            </w:r>
          </w:p>
        </w:tc>
      </w:tr>
      <w:tr w:rsidR="007E26E9" w:rsidRPr="006F0DF1" w14:paraId="58CAEA5D" w14:textId="77777777" w:rsidTr="0023764E">
        <w:trPr>
          <w:trHeight w:val="215"/>
        </w:trPr>
        <w:tc>
          <w:tcPr>
            <w:tcW w:w="4320" w:type="dxa"/>
            <w:tcBorders>
              <w:bottom w:val="single" w:sz="12" w:space="0" w:color="808080" w:themeColor="background1" w:themeShade="80"/>
            </w:tcBorders>
            <w:shd w:val="clear" w:color="auto" w:fill="F2F2F2" w:themeFill="background1" w:themeFillShade="F2"/>
            <w:vAlign w:val="center"/>
            <w:hideMark/>
          </w:tcPr>
          <w:p w14:paraId="6AF6765E" w14:textId="77777777" w:rsidR="007E26E9" w:rsidRPr="00255081" w:rsidRDefault="007E26E9" w:rsidP="007E26E9">
            <w:pPr>
              <w:spacing w:after="0" w:line="240" w:lineRule="auto"/>
              <w:ind w:left="170"/>
              <w:jc w:val="center"/>
              <w:rPr>
                <w:rFonts w:ascii="Montserrat" w:eastAsia="Times New Roman" w:hAnsi="Montserrat" w:cs="Calibri"/>
                <w:b/>
                <w:bCs/>
                <w:color w:val="000000"/>
                <w:sz w:val="15"/>
                <w:szCs w:val="15"/>
                <w:lang w:val="es-MX" w:eastAsia="es-MX"/>
              </w:rPr>
            </w:pPr>
            <w:r w:rsidRPr="00255081">
              <w:rPr>
                <w:rFonts w:ascii="Montserrat" w:eastAsia="Times New Roman" w:hAnsi="Montserrat" w:cs="Calibri"/>
                <w:b/>
                <w:bCs/>
                <w:color w:val="000000"/>
                <w:sz w:val="15"/>
                <w:szCs w:val="15"/>
                <w:lang w:val="es-MX" w:eastAsia="es-MX"/>
              </w:rPr>
              <w:t>Total</w:t>
            </w:r>
          </w:p>
        </w:tc>
        <w:tc>
          <w:tcPr>
            <w:tcW w:w="1620" w:type="dxa"/>
            <w:tcBorders>
              <w:bottom w:val="single" w:sz="12" w:space="0" w:color="808080" w:themeColor="background1" w:themeShade="80"/>
            </w:tcBorders>
            <w:shd w:val="clear" w:color="auto" w:fill="F2F2F2"/>
            <w:vAlign w:val="center"/>
          </w:tcPr>
          <w:p w14:paraId="0C27DB07" w14:textId="5AC707B1" w:rsidR="007E26E9" w:rsidRPr="00255081" w:rsidRDefault="004154FC" w:rsidP="007E26E9">
            <w:pPr>
              <w:spacing w:after="0" w:line="240" w:lineRule="auto"/>
              <w:jc w:val="right"/>
              <w:rPr>
                <w:rFonts w:ascii="Montserrat" w:hAnsi="Montserrat" w:cs="Calibri"/>
                <w:b/>
                <w:bCs/>
                <w:color w:val="000000"/>
                <w:sz w:val="15"/>
                <w:szCs w:val="15"/>
              </w:rPr>
            </w:pPr>
            <w:r w:rsidRPr="00255081">
              <w:rPr>
                <w:rFonts w:ascii="Montserrat" w:hAnsi="Montserrat" w:cs="Calibri"/>
                <w:b/>
                <w:bCs/>
                <w:color w:val="000000"/>
                <w:sz w:val="15"/>
                <w:szCs w:val="15"/>
              </w:rPr>
              <w:t>4,575,725,032,170</w:t>
            </w:r>
          </w:p>
        </w:tc>
        <w:tc>
          <w:tcPr>
            <w:tcW w:w="1620" w:type="dxa"/>
            <w:tcBorders>
              <w:bottom w:val="single" w:sz="12" w:space="0" w:color="808080" w:themeColor="background1" w:themeShade="80"/>
            </w:tcBorders>
            <w:shd w:val="clear" w:color="auto" w:fill="F2F2F2" w:themeFill="background1" w:themeFillShade="F2"/>
            <w:vAlign w:val="center"/>
            <w:hideMark/>
          </w:tcPr>
          <w:p w14:paraId="700A5E27" w14:textId="77777777" w:rsidR="007E26E9" w:rsidRPr="00255081" w:rsidRDefault="007E26E9" w:rsidP="007E26E9">
            <w:pPr>
              <w:spacing w:after="0" w:line="240" w:lineRule="auto"/>
              <w:jc w:val="right"/>
              <w:rPr>
                <w:rFonts w:ascii="Montserrat" w:hAnsi="Montserrat" w:cs="Calibri"/>
                <w:b/>
                <w:bCs/>
                <w:color w:val="000000"/>
                <w:sz w:val="15"/>
                <w:szCs w:val="15"/>
              </w:rPr>
            </w:pPr>
            <w:r w:rsidRPr="00255081">
              <w:rPr>
                <w:rFonts w:ascii="Montserrat" w:eastAsia="Times New Roman" w:hAnsi="Montserrat" w:cs="Calibri"/>
                <w:b/>
                <w:bCs/>
                <w:sz w:val="15"/>
                <w:szCs w:val="15"/>
                <w:lang w:val="es-MX" w:eastAsia="es-MX"/>
              </w:rPr>
              <w:t>4,423,676,564,071</w:t>
            </w:r>
          </w:p>
        </w:tc>
      </w:tr>
    </w:tbl>
    <w:p w14:paraId="7B8DD6B6" w14:textId="77777777" w:rsidR="00F01A61" w:rsidRDefault="00F01A61" w:rsidP="00F01A61">
      <w:pPr>
        <w:spacing w:after="0" w:line="240" w:lineRule="auto"/>
        <w:jc w:val="both"/>
        <w:rPr>
          <w:rFonts w:ascii="Montserrat" w:hAnsi="Montserrat" w:cs="Arial"/>
          <w:spacing w:val="-1"/>
          <w:sz w:val="18"/>
          <w:szCs w:val="18"/>
        </w:rPr>
      </w:pPr>
    </w:p>
    <w:p w14:paraId="0B72F7A9" w14:textId="53644A0A" w:rsidR="006937CA" w:rsidRPr="006F0DF1" w:rsidRDefault="00134B19" w:rsidP="00F01A61">
      <w:pPr>
        <w:spacing w:after="120" w:line="250" w:lineRule="exact"/>
        <w:jc w:val="both"/>
        <w:rPr>
          <w:rFonts w:ascii="Montserrat" w:hAnsi="Montserrat" w:cs="Arial"/>
          <w:spacing w:val="-1"/>
          <w:sz w:val="18"/>
          <w:szCs w:val="18"/>
        </w:rPr>
      </w:pPr>
      <w:r w:rsidRPr="00134B19">
        <w:rPr>
          <w:rFonts w:ascii="Montserrat" w:hAnsi="Montserrat" w:cs="Arial"/>
          <w:spacing w:val="-1"/>
          <w:sz w:val="18"/>
          <w:szCs w:val="18"/>
          <w:lang w:eastAsia="es-ES"/>
        </w:rPr>
        <w:t>En términos generales la recaudación del ejercicio fiscal 201</w:t>
      </w:r>
      <w:r w:rsidR="00DD5812">
        <w:rPr>
          <w:rFonts w:ascii="Montserrat" w:hAnsi="Montserrat" w:cs="Arial"/>
          <w:spacing w:val="-1"/>
          <w:sz w:val="18"/>
          <w:szCs w:val="18"/>
          <w:lang w:eastAsia="es-ES"/>
        </w:rPr>
        <w:t>9</w:t>
      </w:r>
      <w:r w:rsidRPr="00134B19">
        <w:rPr>
          <w:rFonts w:ascii="Montserrat" w:hAnsi="Montserrat" w:cs="Arial"/>
          <w:spacing w:val="-1"/>
          <w:sz w:val="18"/>
          <w:szCs w:val="18"/>
          <w:lang w:eastAsia="es-ES"/>
        </w:rPr>
        <w:t xml:space="preserve"> tuvo un incremento en un </w:t>
      </w:r>
      <w:r w:rsidR="00DD5812">
        <w:rPr>
          <w:rFonts w:ascii="Montserrat" w:hAnsi="Montserrat" w:cs="Arial"/>
          <w:spacing w:val="-1"/>
          <w:sz w:val="18"/>
          <w:szCs w:val="18"/>
          <w:lang w:eastAsia="es-ES"/>
        </w:rPr>
        <w:t>3.44</w:t>
      </w:r>
      <w:r w:rsidRPr="00134B19">
        <w:rPr>
          <w:rFonts w:ascii="Montserrat" w:hAnsi="Montserrat" w:cs="Arial"/>
          <w:spacing w:val="-1"/>
          <w:sz w:val="18"/>
          <w:szCs w:val="18"/>
          <w:lang w:eastAsia="es-ES"/>
        </w:rPr>
        <w:t>% respecto al ejercicio fiscal 201</w:t>
      </w:r>
      <w:r w:rsidR="00DD5812">
        <w:rPr>
          <w:rFonts w:ascii="Montserrat" w:hAnsi="Montserrat" w:cs="Arial"/>
          <w:spacing w:val="-1"/>
          <w:sz w:val="18"/>
          <w:szCs w:val="18"/>
          <w:lang w:eastAsia="es-ES"/>
        </w:rPr>
        <w:t>8</w:t>
      </w:r>
      <w:r w:rsidRPr="00134B19">
        <w:rPr>
          <w:rFonts w:ascii="Montserrat" w:hAnsi="Montserrat" w:cs="Arial"/>
          <w:spacing w:val="-1"/>
          <w:sz w:val="18"/>
          <w:szCs w:val="18"/>
          <w:lang w:eastAsia="es-ES"/>
        </w:rPr>
        <w:t>; la fuente tradicional de las contribuciones (impuestos) se mantienen a la alza al incrementar su padrón de contribuyentes de personas morales</w:t>
      </w:r>
      <w:r w:rsidR="00DD5812">
        <w:rPr>
          <w:rFonts w:ascii="Montserrat" w:hAnsi="Montserrat" w:cs="Arial"/>
          <w:spacing w:val="-1"/>
          <w:sz w:val="18"/>
          <w:szCs w:val="18"/>
          <w:lang w:eastAsia="es-ES"/>
        </w:rPr>
        <w:t>.</w:t>
      </w:r>
    </w:p>
    <w:p w14:paraId="5493C577" w14:textId="77777777" w:rsidR="009C3C24" w:rsidRPr="00887D16" w:rsidRDefault="009C3C24" w:rsidP="00887D16">
      <w:pPr>
        <w:spacing w:after="120" w:line="250" w:lineRule="exact"/>
        <w:jc w:val="both"/>
        <w:rPr>
          <w:rFonts w:ascii="Montserrat" w:hAnsi="Montserrat" w:cs="Arial"/>
          <w:spacing w:val="-1"/>
          <w:sz w:val="18"/>
          <w:szCs w:val="18"/>
        </w:rPr>
      </w:pPr>
      <w:r w:rsidRPr="00887D16">
        <w:rPr>
          <w:rFonts w:ascii="Montserrat" w:hAnsi="Montserrat" w:cs="Arial"/>
          <w:spacing w:val="-1"/>
          <w:sz w:val="18"/>
          <w:szCs w:val="18"/>
        </w:rPr>
        <w:t>Proyección de la recaudación e ingresos en el mediano plazo</w:t>
      </w:r>
    </w:p>
    <w:p w14:paraId="440B537A" w14:textId="5159CCCA" w:rsidR="009C3C24" w:rsidRPr="006F0DF1" w:rsidRDefault="009C3C24" w:rsidP="00887D16">
      <w:pPr>
        <w:spacing w:after="120" w:line="250" w:lineRule="exact"/>
        <w:jc w:val="both"/>
        <w:rPr>
          <w:rFonts w:ascii="Montserrat" w:hAnsi="Montserrat" w:cs="Arial"/>
          <w:spacing w:val="-1"/>
          <w:sz w:val="18"/>
          <w:szCs w:val="18"/>
        </w:rPr>
      </w:pPr>
      <w:r w:rsidRPr="003E0C1C">
        <w:rPr>
          <w:rFonts w:ascii="Montserrat" w:hAnsi="Montserrat" w:cs="Arial"/>
          <w:spacing w:val="-1"/>
          <w:sz w:val="18"/>
          <w:szCs w:val="18"/>
        </w:rPr>
        <w:t>La proyección de los Ingresos del Gobierno Federal 20</w:t>
      </w:r>
      <w:r w:rsidR="00DD5812">
        <w:rPr>
          <w:rFonts w:ascii="Montserrat" w:hAnsi="Montserrat" w:cs="Arial"/>
          <w:spacing w:val="-1"/>
          <w:sz w:val="18"/>
          <w:szCs w:val="18"/>
        </w:rPr>
        <w:t>20</w:t>
      </w:r>
      <w:r w:rsidRPr="003E0C1C">
        <w:rPr>
          <w:rFonts w:ascii="Montserrat" w:hAnsi="Montserrat" w:cs="Arial"/>
          <w:spacing w:val="-1"/>
          <w:sz w:val="18"/>
          <w:szCs w:val="18"/>
        </w:rPr>
        <w:t>-</w:t>
      </w:r>
      <w:r w:rsidR="00DD5812" w:rsidRPr="003E0C1C">
        <w:rPr>
          <w:rFonts w:ascii="Montserrat" w:hAnsi="Montserrat" w:cs="Arial"/>
          <w:spacing w:val="-1"/>
          <w:sz w:val="18"/>
          <w:szCs w:val="18"/>
        </w:rPr>
        <w:t>202</w:t>
      </w:r>
      <w:r w:rsidR="00DD5812">
        <w:rPr>
          <w:rFonts w:ascii="Montserrat" w:hAnsi="Montserrat" w:cs="Arial"/>
          <w:spacing w:val="-1"/>
          <w:sz w:val="18"/>
          <w:szCs w:val="18"/>
        </w:rPr>
        <w:t>4</w:t>
      </w:r>
      <w:r w:rsidR="00DD5812" w:rsidRPr="003E0C1C">
        <w:rPr>
          <w:rFonts w:ascii="Montserrat" w:hAnsi="Montserrat" w:cs="Arial"/>
          <w:spacing w:val="-1"/>
          <w:sz w:val="18"/>
          <w:szCs w:val="18"/>
        </w:rPr>
        <w:t xml:space="preserve"> </w:t>
      </w:r>
      <w:r w:rsidRPr="003E0C1C">
        <w:rPr>
          <w:rFonts w:ascii="Montserrat" w:hAnsi="Montserrat" w:cs="Arial"/>
          <w:spacing w:val="-1"/>
          <w:sz w:val="18"/>
          <w:szCs w:val="18"/>
        </w:rPr>
        <w:t>que a continuación se muestra, corresponde a la publicada en la Iniciativa de la Ley de Ingresos de la Federación para el Ejercicio Fiscal de 201</w:t>
      </w:r>
      <w:r w:rsidR="00DD5812">
        <w:rPr>
          <w:rFonts w:ascii="Montserrat" w:hAnsi="Montserrat" w:cs="Arial"/>
          <w:spacing w:val="-1"/>
          <w:sz w:val="18"/>
          <w:szCs w:val="18"/>
        </w:rPr>
        <w:t>9</w:t>
      </w:r>
      <w:r w:rsidR="003E0C1C" w:rsidRPr="003E0C1C">
        <w:rPr>
          <w:rFonts w:ascii="Montserrat" w:hAnsi="Montserrat" w:cs="Arial"/>
          <w:spacing w:val="-1"/>
          <w:sz w:val="18"/>
          <w:szCs w:val="18"/>
        </w:rPr>
        <w:t>.</w:t>
      </w:r>
    </w:p>
    <w:tbl>
      <w:tblPr>
        <w:tblW w:w="7060" w:type="dxa"/>
        <w:jc w:val="center"/>
        <w:tblCellMar>
          <w:left w:w="70" w:type="dxa"/>
          <w:right w:w="70" w:type="dxa"/>
        </w:tblCellMar>
        <w:tblLook w:val="04A0" w:firstRow="1" w:lastRow="0" w:firstColumn="1" w:lastColumn="0" w:noHBand="0" w:noVBand="1"/>
      </w:tblPr>
      <w:tblGrid>
        <w:gridCol w:w="1147"/>
        <w:gridCol w:w="2133"/>
        <w:gridCol w:w="1800"/>
        <w:gridCol w:w="1980"/>
      </w:tblGrid>
      <w:tr w:rsidR="009C3C24" w:rsidRPr="006F0DF1" w14:paraId="49A246B0" w14:textId="77777777" w:rsidTr="000F0321">
        <w:trPr>
          <w:trHeight w:val="215"/>
          <w:tblHeader/>
          <w:jc w:val="center"/>
        </w:trPr>
        <w:tc>
          <w:tcPr>
            <w:tcW w:w="7060" w:type="dxa"/>
            <w:gridSpan w:val="4"/>
            <w:tcBorders>
              <w:top w:val="nil"/>
              <w:left w:val="nil"/>
              <w:bottom w:val="single" w:sz="12" w:space="0" w:color="808080" w:themeColor="background1" w:themeShade="80"/>
            </w:tcBorders>
            <w:shd w:val="clear" w:color="auto" w:fill="auto"/>
            <w:vAlign w:val="center"/>
            <w:hideMark/>
          </w:tcPr>
          <w:p w14:paraId="018E42B8" w14:textId="77777777" w:rsidR="009C3C24" w:rsidRPr="00B77373" w:rsidRDefault="009C3C24" w:rsidP="009173AE">
            <w:pPr>
              <w:spacing w:after="60" w:line="240" w:lineRule="auto"/>
              <w:jc w:val="center"/>
              <w:rPr>
                <w:rFonts w:ascii="Montserrat" w:eastAsia="Times New Roman" w:hAnsi="Montserrat" w:cs="Calibri"/>
                <w:bCs/>
                <w:sz w:val="16"/>
                <w:szCs w:val="16"/>
                <w:lang w:val="es-MX" w:eastAsia="es-MX"/>
              </w:rPr>
            </w:pPr>
            <w:r w:rsidRPr="00B77373">
              <w:rPr>
                <w:rFonts w:ascii="Montserrat" w:eastAsia="Times New Roman" w:hAnsi="Montserrat" w:cs="Calibri"/>
                <w:bCs/>
                <w:sz w:val="16"/>
                <w:szCs w:val="16"/>
                <w:lang w:eastAsia="es-MX"/>
              </w:rPr>
              <w:t>(Porcentajes)</w:t>
            </w:r>
          </w:p>
        </w:tc>
      </w:tr>
      <w:tr w:rsidR="001C7B52" w:rsidRPr="006F0DF1" w14:paraId="2444CB6E" w14:textId="77777777" w:rsidTr="000F0321">
        <w:trPr>
          <w:trHeight w:val="57"/>
          <w:tblHeader/>
          <w:jc w:val="center"/>
        </w:trPr>
        <w:tc>
          <w:tcPr>
            <w:tcW w:w="7060" w:type="dxa"/>
            <w:gridSpan w:val="4"/>
            <w:tcBorders>
              <w:top w:val="single" w:sz="12" w:space="0" w:color="808080" w:themeColor="background1" w:themeShade="80"/>
            </w:tcBorders>
            <w:shd w:val="clear" w:color="auto" w:fill="auto"/>
            <w:vAlign w:val="center"/>
          </w:tcPr>
          <w:p w14:paraId="717EB077" w14:textId="77777777" w:rsidR="001C7B52" w:rsidRPr="001C7B52" w:rsidRDefault="001C7B52" w:rsidP="002F797B">
            <w:pPr>
              <w:spacing w:after="0" w:line="240" w:lineRule="auto"/>
              <w:jc w:val="center"/>
              <w:rPr>
                <w:rFonts w:ascii="Montserrat" w:eastAsia="Times New Roman" w:hAnsi="Montserrat" w:cs="Calibri"/>
                <w:b/>
                <w:bCs/>
                <w:color w:val="FFFFFF"/>
                <w:sz w:val="4"/>
                <w:szCs w:val="4"/>
                <w:lang w:eastAsia="es-MX"/>
              </w:rPr>
            </w:pPr>
          </w:p>
        </w:tc>
      </w:tr>
      <w:tr w:rsidR="009C3C24" w:rsidRPr="006F0DF1" w14:paraId="5598D46E" w14:textId="77777777" w:rsidTr="000F0321">
        <w:trPr>
          <w:trHeight w:val="317"/>
          <w:tblHeader/>
          <w:jc w:val="center"/>
        </w:trPr>
        <w:tc>
          <w:tcPr>
            <w:tcW w:w="1147" w:type="dxa"/>
            <w:tcBorders>
              <w:bottom w:val="double" w:sz="12" w:space="0" w:color="808080" w:themeColor="background1" w:themeShade="80"/>
              <w:right w:val="single" w:sz="8" w:space="0" w:color="FFFFFF" w:themeColor="background1"/>
            </w:tcBorders>
            <w:shd w:val="clear" w:color="auto" w:fill="D4C19C"/>
            <w:vAlign w:val="center"/>
            <w:hideMark/>
          </w:tcPr>
          <w:p w14:paraId="7E3CFAB9" w14:textId="77777777" w:rsidR="009C3C24" w:rsidRPr="006F0DF1" w:rsidRDefault="009C3C24" w:rsidP="002F797B">
            <w:pPr>
              <w:spacing w:after="0" w:line="240" w:lineRule="auto"/>
              <w:jc w:val="center"/>
              <w:rPr>
                <w:rFonts w:ascii="Montserrat" w:eastAsia="Times New Roman" w:hAnsi="Montserrat" w:cs="Calibri"/>
                <w:b/>
                <w:bCs/>
                <w:color w:val="FFFFFF"/>
                <w:sz w:val="16"/>
                <w:szCs w:val="16"/>
                <w:lang w:val="es-MX" w:eastAsia="es-MX"/>
              </w:rPr>
            </w:pPr>
            <w:r w:rsidRPr="006F0DF1">
              <w:rPr>
                <w:rFonts w:ascii="Montserrat" w:eastAsia="Times New Roman" w:hAnsi="Montserrat" w:cs="Calibri"/>
                <w:b/>
                <w:bCs/>
                <w:color w:val="FFFFFF"/>
                <w:sz w:val="16"/>
                <w:szCs w:val="16"/>
                <w:lang w:eastAsia="es-MX"/>
              </w:rPr>
              <w:t>Año</w:t>
            </w:r>
          </w:p>
        </w:tc>
        <w:tc>
          <w:tcPr>
            <w:tcW w:w="2133" w:type="dxa"/>
            <w:tcBorders>
              <w:left w:val="single" w:sz="8" w:space="0" w:color="FFFFFF" w:themeColor="background1"/>
              <w:bottom w:val="double" w:sz="12" w:space="0" w:color="808080" w:themeColor="background1" w:themeShade="80"/>
              <w:right w:val="single" w:sz="8" w:space="0" w:color="FFFFFF" w:themeColor="background1"/>
            </w:tcBorders>
            <w:shd w:val="clear" w:color="auto" w:fill="D4C19C"/>
            <w:vAlign w:val="center"/>
            <w:hideMark/>
          </w:tcPr>
          <w:p w14:paraId="046B7B27" w14:textId="77777777" w:rsidR="009C3C24" w:rsidRPr="006F0DF1" w:rsidRDefault="009C3C24" w:rsidP="002F797B">
            <w:pPr>
              <w:spacing w:after="0" w:line="240" w:lineRule="auto"/>
              <w:jc w:val="center"/>
              <w:rPr>
                <w:rFonts w:ascii="Montserrat" w:eastAsia="Times New Roman" w:hAnsi="Montserrat" w:cs="Calibri"/>
                <w:b/>
                <w:bCs/>
                <w:color w:val="FFFFFF"/>
                <w:sz w:val="16"/>
                <w:szCs w:val="16"/>
                <w:lang w:val="es-MX" w:eastAsia="es-MX"/>
              </w:rPr>
            </w:pPr>
            <w:r w:rsidRPr="006F0DF1">
              <w:rPr>
                <w:rFonts w:ascii="Montserrat" w:eastAsia="Times New Roman" w:hAnsi="Montserrat" w:cs="Calibri"/>
                <w:b/>
                <w:bCs/>
                <w:color w:val="FFFFFF"/>
                <w:sz w:val="16"/>
                <w:szCs w:val="16"/>
                <w:lang w:eastAsia="es-MX"/>
              </w:rPr>
              <w:t>Total Ingresos</w:t>
            </w:r>
          </w:p>
        </w:tc>
        <w:tc>
          <w:tcPr>
            <w:tcW w:w="1800" w:type="dxa"/>
            <w:tcBorders>
              <w:left w:val="single" w:sz="8" w:space="0" w:color="FFFFFF" w:themeColor="background1"/>
              <w:bottom w:val="double" w:sz="12" w:space="0" w:color="808080" w:themeColor="background1" w:themeShade="80"/>
              <w:right w:val="single" w:sz="8" w:space="0" w:color="FFFFFF" w:themeColor="background1"/>
            </w:tcBorders>
            <w:shd w:val="clear" w:color="auto" w:fill="D4C19C"/>
            <w:vAlign w:val="center"/>
            <w:hideMark/>
          </w:tcPr>
          <w:p w14:paraId="2A604908" w14:textId="77777777" w:rsidR="009C3C24" w:rsidRPr="006F0DF1" w:rsidRDefault="009C3C24" w:rsidP="002F797B">
            <w:pPr>
              <w:spacing w:after="0" w:line="240" w:lineRule="auto"/>
              <w:jc w:val="center"/>
              <w:rPr>
                <w:rFonts w:ascii="Montserrat" w:eastAsia="Times New Roman" w:hAnsi="Montserrat" w:cs="Calibri"/>
                <w:b/>
                <w:bCs/>
                <w:color w:val="FFFFFF"/>
                <w:sz w:val="16"/>
                <w:szCs w:val="16"/>
                <w:lang w:val="es-MX" w:eastAsia="es-MX"/>
              </w:rPr>
            </w:pPr>
            <w:r w:rsidRPr="006F0DF1">
              <w:rPr>
                <w:rFonts w:ascii="Montserrat" w:eastAsia="Times New Roman" w:hAnsi="Montserrat" w:cs="Calibri"/>
                <w:b/>
                <w:bCs/>
                <w:color w:val="FFFFFF"/>
                <w:sz w:val="16"/>
                <w:szCs w:val="16"/>
                <w:lang w:eastAsia="es-MX"/>
              </w:rPr>
              <w:t>Petroleros</w:t>
            </w:r>
          </w:p>
        </w:tc>
        <w:tc>
          <w:tcPr>
            <w:tcW w:w="1980" w:type="dxa"/>
            <w:tcBorders>
              <w:left w:val="single" w:sz="8" w:space="0" w:color="FFFFFF" w:themeColor="background1"/>
              <w:bottom w:val="double" w:sz="12" w:space="0" w:color="808080" w:themeColor="background1" w:themeShade="80"/>
            </w:tcBorders>
            <w:shd w:val="clear" w:color="auto" w:fill="D4C19C"/>
            <w:vAlign w:val="center"/>
            <w:hideMark/>
          </w:tcPr>
          <w:p w14:paraId="4ADE84C8" w14:textId="77777777" w:rsidR="009C3C24" w:rsidRPr="006F0DF1" w:rsidRDefault="009C3C24" w:rsidP="002F797B">
            <w:pPr>
              <w:spacing w:after="0" w:line="240" w:lineRule="auto"/>
              <w:jc w:val="center"/>
              <w:rPr>
                <w:rFonts w:ascii="Montserrat" w:eastAsia="Times New Roman" w:hAnsi="Montserrat" w:cs="Calibri"/>
                <w:b/>
                <w:bCs/>
                <w:color w:val="FFFFFF"/>
                <w:sz w:val="16"/>
                <w:szCs w:val="16"/>
                <w:lang w:val="es-MX" w:eastAsia="es-MX"/>
              </w:rPr>
            </w:pPr>
            <w:r w:rsidRPr="006F0DF1">
              <w:rPr>
                <w:rFonts w:ascii="Montserrat" w:eastAsia="Times New Roman" w:hAnsi="Montserrat" w:cs="Calibri"/>
                <w:b/>
                <w:bCs/>
                <w:color w:val="FFFFFF"/>
                <w:sz w:val="16"/>
                <w:szCs w:val="16"/>
                <w:lang w:eastAsia="es-MX"/>
              </w:rPr>
              <w:t>No Petroleros</w:t>
            </w:r>
          </w:p>
        </w:tc>
      </w:tr>
      <w:tr w:rsidR="009C3C24" w:rsidRPr="006F0DF1" w14:paraId="112F992E" w14:textId="77777777" w:rsidTr="0023764E">
        <w:trPr>
          <w:trHeight w:val="215"/>
          <w:jc w:val="center"/>
        </w:trPr>
        <w:tc>
          <w:tcPr>
            <w:tcW w:w="1147" w:type="dxa"/>
            <w:tcBorders>
              <w:top w:val="double" w:sz="12" w:space="0" w:color="808080" w:themeColor="background1" w:themeShade="80"/>
            </w:tcBorders>
            <w:shd w:val="clear" w:color="auto" w:fill="F2F2F2" w:themeFill="background1" w:themeFillShade="F2"/>
            <w:vAlign w:val="center"/>
            <w:hideMark/>
          </w:tcPr>
          <w:p w14:paraId="631A6FC1" w14:textId="7D123719" w:rsidR="009C3C24" w:rsidRPr="00255081" w:rsidRDefault="009C3C24" w:rsidP="002F797B">
            <w:pPr>
              <w:spacing w:after="0" w:line="240" w:lineRule="auto"/>
              <w:jc w:val="center"/>
              <w:rPr>
                <w:rFonts w:ascii="Montserrat" w:eastAsia="Times New Roman" w:hAnsi="Montserrat" w:cs="Calibri"/>
                <w:color w:val="000000"/>
                <w:sz w:val="15"/>
                <w:szCs w:val="15"/>
                <w:lang w:eastAsia="es-MX"/>
              </w:rPr>
            </w:pPr>
            <w:r w:rsidRPr="00255081">
              <w:rPr>
                <w:rFonts w:ascii="Montserrat" w:eastAsia="Times New Roman" w:hAnsi="Montserrat" w:cs="Calibri"/>
                <w:color w:val="000000"/>
                <w:sz w:val="15"/>
                <w:szCs w:val="15"/>
                <w:lang w:eastAsia="es-MX"/>
              </w:rPr>
              <w:t>20</w:t>
            </w:r>
            <w:r w:rsidR="00DD5812" w:rsidRPr="00255081">
              <w:rPr>
                <w:rFonts w:ascii="Montserrat" w:eastAsia="Times New Roman" w:hAnsi="Montserrat" w:cs="Calibri"/>
                <w:color w:val="000000"/>
                <w:sz w:val="15"/>
                <w:szCs w:val="15"/>
                <w:lang w:eastAsia="es-MX"/>
              </w:rPr>
              <w:t>20</w:t>
            </w:r>
          </w:p>
        </w:tc>
        <w:tc>
          <w:tcPr>
            <w:tcW w:w="2133" w:type="dxa"/>
            <w:tcBorders>
              <w:top w:val="double" w:sz="12" w:space="0" w:color="808080" w:themeColor="background1" w:themeShade="80"/>
            </w:tcBorders>
            <w:shd w:val="clear" w:color="auto" w:fill="F2F2F2" w:themeFill="background1" w:themeFillShade="F2"/>
            <w:vAlign w:val="center"/>
            <w:hideMark/>
          </w:tcPr>
          <w:p w14:paraId="083E1941" w14:textId="77777777" w:rsidR="009C3C24" w:rsidRPr="00255081" w:rsidRDefault="009C3C24" w:rsidP="0067511B">
            <w:pPr>
              <w:spacing w:after="0" w:line="240" w:lineRule="auto"/>
              <w:jc w:val="center"/>
              <w:rPr>
                <w:rFonts w:ascii="Montserrat" w:eastAsia="Times New Roman" w:hAnsi="Montserrat" w:cs="Calibri"/>
                <w:color w:val="000000"/>
                <w:sz w:val="15"/>
                <w:szCs w:val="15"/>
                <w:lang w:eastAsia="es-MX"/>
              </w:rPr>
            </w:pPr>
            <w:r w:rsidRPr="00255081">
              <w:rPr>
                <w:rFonts w:ascii="Montserrat" w:eastAsia="Times New Roman" w:hAnsi="Montserrat" w:cs="Calibri"/>
                <w:color w:val="000000"/>
                <w:sz w:val="15"/>
                <w:szCs w:val="15"/>
                <w:lang w:eastAsia="es-MX"/>
              </w:rPr>
              <w:t>2</w:t>
            </w:r>
            <w:r w:rsidR="0067511B" w:rsidRPr="00255081">
              <w:rPr>
                <w:rFonts w:ascii="Montserrat" w:eastAsia="Times New Roman" w:hAnsi="Montserrat" w:cs="Calibri"/>
                <w:color w:val="000000"/>
                <w:sz w:val="15"/>
                <w:szCs w:val="15"/>
                <w:lang w:eastAsia="es-MX"/>
              </w:rPr>
              <w:t>0.7</w:t>
            </w:r>
          </w:p>
        </w:tc>
        <w:tc>
          <w:tcPr>
            <w:tcW w:w="1800" w:type="dxa"/>
            <w:tcBorders>
              <w:top w:val="double" w:sz="12" w:space="0" w:color="808080" w:themeColor="background1" w:themeShade="80"/>
            </w:tcBorders>
            <w:shd w:val="clear" w:color="auto" w:fill="F2F2F2" w:themeFill="background1" w:themeFillShade="F2"/>
            <w:vAlign w:val="center"/>
            <w:hideMark/>
          </w:tcPr>
          <w:p w14:paraId="515B99CB" w14:textId="3ED8B27E" w:rsidR="009C3C24" w:rsidRPr="00255081" w:rsidRDefault="009C3C24" w:rsidP="0067511B">
            <w:pPr>
              <w:spacing w:after="0" w:line="240" w:lineRule="auto"/>
              <w:jc w:val="center"/>
              <w:rPr>
                <w:rFonts w:ascii="Montserrat" w:eastAsia="Times New Roman" w:hAnsi="Montserrat" w:cs="Calibri"/>
                <w:color w:val="000000"/>
                <w:sz w:val="15"/>
                <w:szCs w:val="15"/>
                <w:lang w:eastAsia="es-MX"/>
              </w:rPr>
            </w:pPr>
            <w:r w:rsidRPr="00255081">
              <w:rPr>
                <w:rFonts w:ascii="Montserrat" w:eastAsia="Times New Roman" w:hAnsi="Montserrat" w:cs="Calibri"/>
                <w:color w:val="000000"/>
                <w:sz w:val="15"/>
                <w:szCs w:val="15"/>
                <w:lang w:eastAsia="es-MX"/>
              </w:rPr>
              <w:t>3.</w:t>
            </w:r>
            <w:r w:rsidR="00DD5812" w:rsidRPr="00255081">
              <w:rPr>
                <w:rFonts w:ascii="Montserrat" w:eastAsia="Times New Roman" w:hAnsi="Montserrat" w:cs="Calibri"/>
                <w:color w:val="000000"/>
                <w:sz w:val="15"/>
                <w:szCs w:val="15"/>
                <w:lang w:eastAsia="es-MX"/>
              </w:rPr>
              <w:t>7</w:t>
            </w:r>
          </w:p>
        </w:tc>
        <w:tc>
          <w:tcPr>
            <w:tcW w:w="1980" w:type="dxa"/>
            <w:tcBorders>
              <w:top w:val="double" w:sz="12" w:space="0" w:color="808080" w:themeColor="background1" w:themeShade="80"/>
            </w:tcBorders>
            <w:shd w:val="clear" w:color="auto" w:fill="F2F2F2" w:themeFill="background1" w:themeFillShade="F2"/>
            <w:vAlign w:val="center"/>
            <w:hideMark/>
          </w:tcPr>
          <w:p w14:paraId="4227F004" w14:textId="1A4461B8" w:rsidR="009C3C24" w:rsidRPr="00255081" w:rsidRDefault="009C3C24" w:rsidP="0067511B">
            <w:pPr>
              <w:spacing w:after="0" w:line="240" w:lineRule="auto"/>
              <w:jc w:val="center"/>
              <w:rPr>
                <w:rFonts w:ascii="Montserrat" w:eastAsia="Times New Roman" w:hAnsi="Montserrat" w:cs="Calibri"/>
                <w:color w:val="000000"/>
                <w:sz w:val="15"/>
                <w:szCs w:val="15"/>
                <w:lang w:eastAsia="es-MX"/>
              </w:rPr>
            </w:pPr>
            <w:r w:rsidRPr="00255081">
              <w:rPr>
                <w:rFonts w:ascii="Montserrat" w:eastAsia="Times New Roman" w:hAnsi="Montserrat" w:cs="Calibri"/>
                <w:color w:val="000000"/>
                <w:sz w:val="15"/>
                <w:szCs w:val="15"/>
                <w:lang w:eastAsia="es-MX"/>
              </w:rPr>
              <w:t>17.</w:t>
            </w:r>
            <w:r w:rsidR="00DD5812" w:rsidRPr="00255081">
              <w:rPr>
                <w:rFonts w:ascii="Montserrat" w:eastAsia="Times New Roman" w:hAnsi="Montserrat" w:cs="Calibri"/>
                <w:color w:val="000000"/>
                <w:sz w:val="15"/>
                <w:szCs w:val="15"/>
                <w:lang w:eastAsia="es-MX"/>
              </w:rPr>
              <w:t>0</w:t>
            </w:r>
          </w:p>
        </w:tc>
      </w:tr>
      <w:tr w:rsidR="00DD5812" w:rsidRPr="006F0DF1" w14:paraId="1C6DED12" w14:textId="77777777" w:rsidTr="000F0321">
        <w:trPr>
          <w:trHeight w:val="215"/>
          <w:jc w:val="center"/>
        </w:trPr>
        <w:tc>
          <w:tcPr>
            <w:tcW w:w="1147" w:type="dxa"/>
            <w:shd w:val="clear" w:color="auto" w:fill="F2F2F2" w:themeFill="background1" w:themeFillShade="F2"/>
            <w:vAlign w:val="center"/>
            <w:hideMark/>
          </w:tcPr>
          <w:p w14:paraId="6A143760" w14:textId="4C65906E" w:rsidR="00DD5812" w:rsidRPr="00255081" w:rsidRDefault="00DD5812" w:rsidP="00DD5812">
            <w:pPr>
              <w:spacing w:after="0" w:line="240" w:lineRule="auto"/>
              <w:jc w:val="center"/>
              <w:rPr>
                <w:rFonts w:ascii="Montserrat" w:eastAsia="Times New Roman" w:hAnsi="Montserrat" w:cs="Calibri"/>
                <w:color w:val="000000"/>
                <w:sz w:val="15"/>
                <w:szCs w:val="15"/>
                <w:lang w:val="es-MX" w:eastAsia="es-MX"/>
              </w:rPr>
            </w:pPr>
            <w:r w:rsidRPr="00255081">
              <w:rPr>
                <w:rFonts w:ascii="Montserrat" w:eastAsia="Times New Roman" w:hAnsi="Montserrat" w:cs="Calibri"/>
                <w:color w:val="000000"/>
                <w:sz w:val="15"/>
                <w:szCs w:val="15"/>
                <w:lang w:eastAsia="es-MX"/>
              </w:rPr>
              <w:t>2021</w:t>
            </w:r>
          </w:p>
        </w:tc>
        <w:tc>
          <w:tcPr>
            <w:tcW w:w="2133" w:type="dxa"/>
            <w:shd w:val="clear" w:color="auto" w:fill="F2F2F2" w:themeFill="background1" w:themeFillShade="F2"/>
            <w:vAlign w:val="center"/>
            <w:hideMark/>
          </w:tcPr>
          <w:p w14:paraId="249D4A86" w14:textId="6F62BBD4" w:rsidR="00DD5812" w:rsidRPr="00255081" w:rsidRDefault="00DD5812" w:rsidP="00DD5812">
            <w:pPr>
              <w:spacing w:after="0" w:line="240" w:lineRule="auto"/>
              <w:jc w:val="center"/>
              <w:rPr>
                <w:rFonts w:ascii="Montserrat" w:eastAsia="Times New Roman" w:hAnsi="Montserrat" w:cs="Calibri"/>
                <w:color w:val="000000"/>
                <w:sz w:val="15"/>
                <w:szCs w:val="15"/>
                <w:lang w:val="es-MX" w:eastAsia="es-MX"/>
              </w:rPr>
            </w:pPr>
            <w:r w:rsidRPr="00255081">
              <w:rPr>
                <w:rFonts w:ascii="Montserrat" w:eastAsia="Times New Roman" w:hAnsi="Montserrat" w:cs="Calibri"/>
                <w:color w:val="000000"/>
                <w:sz w:val="15"/>
                <w:szCs w:val="15"/>
                <w:lang w:eastAsia="es-MX"/>
              </w:rPr>
              <w:t>20.5</w:t>
            </w:r>
          </w:p>
        </w:tc>
        <w:tc>
          <w:tcPr>
            <w:tcW w:w="1800" w:type="dxa"/>
            <w:shd w:val="clear" w:color="auto" w:fill="F2F2F2" w:themeFill="background1" w:themeFillShade="F2"/>
            <w:vAlign w:val="center"/>
            <w:hideMark/>
          </w:tcPr>
          <w:p w14:paraId="4140B8B1" w14:textId="39CC9520" w:rsidR="00DD5812" w:rsidRPr="00255081" w:rsidRDefault="00DD5812" w:rsidP="00DD5812">
            <w:pPr>
              <w:spacing w:after="0" w:line="240" w:lineRule="auto"/>
              <w:jc w:val="center"/>
              <w:rPr>
                <w:rFonts w:ascii="Montserrat" w:eastAsia="Times New Roman" w:hAnsi="Montserrat" w:cs="Calibri"/>
                <w:color w:val="000000"/>
                <w:sz w:val="15"/>
                <w:szCs w:val="15"/>
                <w:lang w:val="es-MX" w:eastAsia="es-MX"/>
              </w:rPr>
            </w:pPr>
            <w:r w:rsidRPr="00255081">
              <w:rPr>
                <w:rFonts w:ascii="Montserrat" w:eastAsia="Times New Roman" w:hAnsi="Montserrat" w:cs="Calibri"/>
                <w:color w:val="000000"/>
                <w:sz w:val="15"/>
                <w:szCs w:val="15"/>
                <w:lang w:eastAsia="es-MX"/>
              </w:rPr>
              <w:t>3.5</w:t>
            </w:r>
          </w:p>
        </w:tc>
        <w:tc>
          <w:tcPr>
            <w:tcW w:w="1980" w:type="dxa"/>
            <w:shd w:val="clear" w:color="auto" w:fill="F2F2F2" w:themeFill="background1" w:themeFillShade="F2"/>
            <w:hideMark/>
          </w:tcPr>
          <w:p w14:paraId="6AFA391D" w14:textId="7881AFAF" w:rsidR="00DD5812" w:rsidRPr="00255081" w:rsidRDefault="00DD5812" w:rsidP="00DD5812">
            <w:pPr>
              <w:spacing w:after="0" w:line="240" w:lineRule="auto"/>
              <w:jc w:val="center"/>
              <w:rPr>
                <w:rFonts w:ascii="Montserrat" w:eastAsia="Times New Roman" w:hAnsi="Montserrat" w:cs="Calibri"/>
                <w:color w:val="000000"/>
                <w:sz w:val="15"/>
                <w:szCs w:val="15"/>
                <w:lang w:val="es-MX" w:eastAsia="es-MX"/>
              </w:rPr>
            </w:pPr>
            <w:r w:rsidRPr="00255081">
              <w:rPr>
                <w:rFonts w:ascii="Montserrat" w:eastAsia="Times New Roman" w:hAnsi="Montserrat" w:cs="Calibri"/>
                <w:color w:val="000000"/>
                <w:sz w:val="15"/>
                <w:szCs w:val="15"/>
                <w:lang w:eastAsia="es-MX"/>
              </w:rPr>
              <w:t>17.0</w:t>
            </w:r>
          </w:p>
        </w:tc>
      </w:tr>
      <w:tr w:rsidR="00DD5812" w:rsidRPr="006F0DF1" w14:paraId="0D425D24" w14:textId="77777777" w:rsidTr="000F0321">
        <w:trPr>
          <w:trHeight w:val="215"/>
          <w:jc w:val="center"/>
        </w:trPr>
        <w:tc>
          <w:tcPr>
            <w:tcW w:w="1147" w:type="dxa"/>
            <w:tcBorders>
              <w:top w:val="nil"/>
            </w:tcBorders>
            <w:shd w:val="clear" w:color="auto" w:fill="F2F2F2" w:themeFill="background1" w:themeFillShade="F2"/>
            <w:vAlign w:val="center"/>
            <w:hideMark/>
          </w:tcPr>
          <w:p w14:paraId="4AD1B333" w14:textId="77777777" w:rsidR="00A15EEC" w:rsidRDefault="00A15EEC" w:rsidP="00DD5812">
            <w:pPr>
              <w:spacing w:after="0" w:line="240" w:lineRule="auto"/>
              <w:jc w:val="center"/>
              <w:rPr>
                <w:rFonts w:ascii="Montserrat" w:eastAsia="Times New Roman" w:hAnsi="Montserrat" w:cs="Calibri"/>
                <w:color w:val="000000"/>
                <w:sz w:val="15"/>
                <w:szCs w:val="15"/>
                <w:lang w:eastAsia="es-MX"/>
              </w:rPr>
            </w:pPr>
          </w:p>
          <w:p w14:paraId="402C95CB" w14:textId="223DBC38" w:rsidR="00DD5812" w:rsidRPr="00255081" w:rsidRDefault="00DD5812" w:rsidP="00DD5812">
            <w:pPr>
              <w:spacing w:after="0" w:line="240" w:lineRule="auto"/>
              <w:jc w:val="center"/>
              <w:rPr>
                <w:rFonts w:ascii="Montserrat" w:eastAsia="Times New Roman" w:hAnsi="Montserrat" w:cs="Calibri"/>
                <w:color w:val="000000"/>
                <w:sz w:val="15"/>
                <w:szCs w:val="15"/>
                <w:lang w:val="es-MX" w:eastAsia="es-MX"/>
              </w:rPr>
            </w:pPr>
            <w:r w:rsidRPr="00255081">
              <w:rPr>
                <w:rFonts w:ascii="Montserrat" w:eastAsia="Times New Roman" w:hAnsi="Montserrat" w:cs="Calibri"/>
                <w:color w:val="000000"/>
                <w:sz w:val="15"/>
                <w:szCs w:val="15"/>
                <w:lang w:eastAsia="es-MX"/>
              </w:rPr>
              <w:t>2022</w:t>
            </w:r>
          </w:p>
        </w:tc>
        <w:tc>
          <w:tcPr>
            <w:tcW w:w="2133" w:type="dxa"/>
            <w:tcBorders>
              <w:top w:val="nil"/>
            </w:tcBorders>
            <w:shd w:val="clear" w:color="auto" w:fill="F2F2F2" w:themeFill="background1" w:themeFillShade="F2"/>
            <w:vAlign w:val="center"/>
            <w:hideMark/>
          </w:tcPr>
          <w:p w14:paraId="69D47C4C" w14:textId="77777777" w:rsidR="00A15EEC" w:rsidRDefault="00A15EEC" w:rsidP="00DD5812">
            <w:pPr>
              <w:spacing w:after="0" w:line="240" w:lineRule="auto"/>
              <w:jc w:val="center"/>
              <w:rPr>
                <w:rFonts w:ascii="Montserrat" w:eastAsia="Times New Roman" w:hAnsi="Montserrat" w:cs="Calibri"/>
                <w:color w:val="000000"/>
                <w:sz w:val="15"/>
                <w:szCs w:val="15"/>
                <w:lang w:eastAsia="es-MX"/>
              </w:rPr>
            </w:pPr>
          </w:p>
          <w:p w14:paraId="097B66D0" w14:textId="356A7CB2" w:rsidR="00DD5812" w:rsidRPr="00255081" w:rsidRDefault="00DD5812" w:rsidP="00DD5812">
            <w:pPr>
              <w:spacing w:after="0" w:line="240" w:lineRule="auto"/>
              <w:jc w:val="center"/>
              <w:rPr>
                <w:rFonts w:ascii="Montserrat" w:eastAsia="Times New Roman" w:hAnsi="Montserrat" w:cs="Calibri"/>
                <w:color w:val="000000"/>
                <w:sz w:val="15"/>
                <w:szCs w:val="15"/>
                <w:lang w:val="es-MX" w:eastAsia="es-MX"/>
              </w:rPr>
            </w:pPr>
            <w:r w:rsidRPr="00255081">
              <w:rPr>
                <w:rFonts w:ascii="Montserrat" w:eastAsia="Times New Roman" w:hAnsi="Montserrat" w:cs="Calibri"/>
                <w:color w:val="000000"/>
                <w:sz w:val="15"/>
                <w:szCs w:val="15"/>
                <w:lang w:eastAsia="es-MX"/>
              </w:rPr>
              <w:t>20.7</w:t>
            </w:r>
          </w:p>
        </w:tc>
        <w:tc>
          <w:tcPr>
            <w:tcW w:w="1800" w:type="dxa"/>
            <w:tcBorders>
              <w:top w:val="nil"/>
            </w:tcBorders>
            <w:shd w:val="clear" w:color="auto" w:fill="F2F2F2" w:themeFill="background1" w:themeFillShade="F2"/>
            <w:vAlign w:val="center"/>
            <w:hideMark/>
          </w:tcPr>
          <w:p w14:paraId="17B16879" w14:textId="77777777" w:rsidR="00A15EEC" w:rsidRDefault="00A15EEC" w:rsidP="00DD5812">
            <w:pPr>
              <w:spacing w:after="0" w:line="240" w:lineRule="auto"/>
              <w:jc w:val="center"/>
              <w:rPr>
                <w:rFonts w:ascii="Montserrat" w:eastAsia="Times New Roman" w:hAnsi="Montserrat" w:cs="Calibri"/>
                <w:color w:val="000000"/>
                <w:sz w:val="15"/>
                <w:szCs w:val="15"/>
                <w:lang w:eastAsia="es-MX"/>
              </w:rPr>
            </w:pPr>
          </w:p>
          <w:p w14:paraId="5E23F9C6" w14:textId="513E9606" w:rsidR="00DD5812" w:rsidRPr="00255081" w:rsidRDefault="00DD5812" w:rsidP="00DD5812">
            <w:pPr>
              <w:spacing w:after="0" w:line="240" w:lineRule="auto"/>
              <w:jc w:val="center"/>
              <w:rPr>
                <w:rFonts w:ascii="Montserrat" w:eastAsia="Times New Roman" w:hAnsi="Montserrat" w:cs="Calibri"/>
                <w:color w:val="000000"/>
                <w:sz w:val="15"/>
                <w:szCs w:val="15"/>
                <w:lang w:val="es-MX" w:eastAsia="es-MX"/>
              </w:rPr>
            </w:pPr>
            <w:r w:rsidRPr="00255081">
              <w:rPr>
                <w:rFonts w:ascii="Montserrat" w:eastAsia="Times New Roman" w:hAnsi="Montserrat" w:cs="Calibri"/>
                <w:color w:val="000000"/>
                <w:sz w:val="15"/>
                <w:szCs w:val="15"/>
                <w:lang w:eastAsia="es-MX"/>
              </w:rPr>
              <w:t>3.8</w:t>
            </w:r>
          </w:p>
        </w:tc>
        <w:tc>
          <w:tcPr>
            <w:tcW w:w="1980" w:type="dxa"/>
            <w:tcBorders>
              <w:top w:val="nil"/>
            </w:tcBorders>
            <w:shd w:val="clear" w:color="auto" w:fill="F2F2F2" w:themeFill="background1" w:themeFillShade="F2"/>
            <w:hideMark/>
          </w:tcPr>
          <w:p w14:paraId="0C019CE9" w14:textId="77777777" w:rsidR="00A15EEC" w:rsidRDefault="00A15EEC" w:rsidP="00DD5812">
            <w:pPr>
              <w:spacing w:after="0" w:line="240" w:lineRule="auto"/>
              <w:jc w:val="center"/>
              <w:rPr>
                <w:rFonts w:ascii="Montserrat" w:eastAsia="Times New Roman" w:hAnsi="Montserrat" w:cs="Calibri"/>
                <w:color w:val="000000"/>
                <w:sz w:val="15"/>
                <w:szCs w:val="15"/>
                <w:lang w:eastAsia="es-MX"/>
              </w:rPr>
            </w:pPr>
          </w:p>
          <w:p w14:paraId="25321452" w14:textId="690E4A74" w:rsidR="00DD5812" w:rsidRPr="00255081" w:rsidRDefault="00DD5812" w:rsidP="00DD5812">
            <w:pPr>
              <w:spacing w:after="0" w:line="240" w:lineRule="auto"/>
              <w:jc w:val="center"/>
              <w:rPr>
                <w:rFonts w:ascii="Montserrat" w:eastAsia="Times New Roman" w:hAnsi="Montserrat" w:cs="Calibri"/>
                <w:color w:val="000000"/>
                <w:sz w:val="15"/>
                <w:szCs w:val="15"/>
                <w:lang w:val="es-MX" w:eastAsia="es-MX"/>
              </w:rPr>
            </w:pPr>
            <w:r w:rsidRPr="00255081">
              <w:rPr>
                <w:rFonts w:ascii="Montserrat" w:eastAsia="Times New Roman" w:hAnsi="Montserrat" w:cs="Calibri"/>
                <w:color w:val="000000"/>
                <w:sz w:val="15"/>
                <w:szCs w:val="15"/>
                <w:lang w:eastAsia="es-MX"/>
              </w:rPr>
              <w:t>17.0</w:t>
            </w:r>
          </w:p>
        </w:tc>
      </w:tr>
      <w:tr w:rsidR="00DD5812" w:rsidRPr="006F0DF1" w14:paraId="20718A28" w14:textId="77777777" w:rsidTr="000F0321">
        <w:trPr>
          <w:trHeight w:val="215"/>
          <w:jc w:val="center"/>
        </w:trPr>
        <w:tc>
          <w:tcPr>
            <w:tcW w:w="1147" w:type="dxa"/>
            <w:tcBorders>
              <w:top w:val="nil"/>
            </w:tcBorders>
            <w:shd w:val="clear" w:color="auto" w:fill="F2F2F2" w:themeFill="background1" w:themeFillShade="F2"/>
            <w:vAlign w:val="center"/>
            <w:hideMark/>
          </w:tcPr>
          <w:p w14:paraId="45FBEF44" w14:textId="644B4205" w:rsidR="00DD5812" w:rsidRPr="00255081" w:rsidRDefault="00DD5812" w:rsidP="00DD5812">
            <w:pPr>
              <w:spacing w:after="0" w:line="240" w:lineRule="auto"/>
              <w:jc w:val="center"/>
              <w:rPr>
                <w:rFonts w:ascii="Montserrat" w:eastAsia="Times New Roman" w:hAnsi="Montserrat" w:cs="Calibri"/>
                <w:color w:val="000000"/>
                <w:sz w:val="15"/>
                <w:szCs w:val="15"/>
                <w:lang w:val="es-MX" w:eastAsia="es-MX"/>
              </w:rPr>
            </w:pPr>
            <w:r w:rsidRPr="00255081">
              <w:rPr>
                <w:rFonts w:ascii="Montserrat" w:eastAsia="Times New Roman" w:hAnsi="Montserrat" w:cs="Calibri"/>
                <w:color w:val="000000"/>
                <w:sz w:val="15"/>
                <w:szCs w:val="15"/>
                <w:lang w:eastAsia="es-MX"/>
              </w:rPr>
              <w:t>2023</w:t>
            </w:r>
          </w:p>
        </w:tc>
        <w:tc>
          <w:tcPr>
            <w:tcW w:w="2133" w:type="dxa"/>
            <w:tcBorders>
              <w:top w:val="nil"/>
            </w:tcBorders>
            <w:shd w:val="clear" w:color="auto" w:fill="F2F2F2" w:themeFill="background1" w:themeFillShade="F2"/>
            <w:vAlign w:val="center"/>
            <w:hideMark/>
          </w:tcPr>
          <w:p w14:paraId="6D16DE97" w14:textId="363099A7" w:rsidR="00DD5812" w:rsidRPr="00255081" w:rsidRDefault="00DD5812" w:rsidP="00DD5812">
            <w:pPr>
              <w:spacing w:after="0" w:line="240" w:lineRule="auto"/>
              <w:jc w:val="center"/>
              <w:rPr>
                <w:rFonts w:ascii="Montserrat" w:eastAsia="Times New Roman" w:hAnsi="Montserrat" w:cs="Calibri"/>
                <w:color w:val="000000"/>
                <w:sz w:val="15"/>
                <w:szCs w:val="15"/>
                <w:lang w:val="es-MX" w:eastAsia="es-MX"/>
              </w:rPr>
            </w:pPr>
            <w:r w:rsidRPr="00255081">
              <w:rPr>
                <w:rFonts w:ascii="Montserrat" w:eastAsia="Times New Roman" w:hAnsi="Montserrat" w:cs="Calibri"/>
                <w:color w:val="000000"/>
                <w:sz w:val="15"/>
                <w:szCs w:val="15"/>
                <w:lang w:eastAsia="es-MX"/>
              </w:rPr>
              <w:t>20.8</w:t>
            </w:r>
          </w:p>
        </w:tc>
        <w:tc>
          <w:tcPr>
            <w:tcW w:w="1800" w:type="dxa"/>
            <w:tcBorders>
              <w:top w:val="nil"/>
            </w:tcBorders>
            <w:shd w:val="clear" w:color="auto" w:fill="F2F2F2" w:themeFill="background1" w:themeFillShade="F2"/>
            <w:vAlign w:val="center"/>
            <w:hideMark/>
          </w:tcPr>
          <w:p w14:paraId="21662D5C" w14:textId="01835B5C" w:rsidR="00DD5812" w:rsidRPr="00255081" w:rsidRDefault="00DD5812" w:rsidP="00DD5812">
            <w:pPr>
              <w:spacing w:after="0" w:line="240" w:lineRule="auto"/>
              <w:jc w:val="center"/>
              <w:rPr>
                <w:rFonts w:ascii="Montserrat" w:eastAsia="Times New Roman" w:hAnsi="Montserrat" w:cs="Calibri"/>
                <w:color w:val="000000"/>
                <w:sz w:val="15"/>
                <w:szCs w:val="15"/>
                <w:lang w:val="es-MX" w:eastAsia="es-MX"/>
              </w:rPr>
            </w:pPr>
            <w:r w:rsidRPr="00255081">
              <w:rPr>
                <w:rFonts w:ascii="Montserrat" w:eastAsia="Times New Roman" w:hAnsi="Montserrat" w:cs="Calibri"/>
                <w:color w:val="000000"/>
                <w:sz w:val="15"/>
                <w:szCs w:val="15"/>
                <w:lang w:eastAsia="es-MX"/>
              </w:rPr>
              <w:t>3.9</w:t>
            </w:r>
          </w:p>
        </w:tc>
        <w:tc>
          <w:tcPr>
            <w:tcW w:w="1980" w:type="dxa"/>
            <w:tcBorders>
              <w:top w:val="nil"/>
            </w:tcBorders>
            <w:shd w:val="clear" w:color="auto" w:fill="F2F2F2" w:themeFill="background1" w:themeFillShade="F2"/>
            <w:hideMark/>
          </w:tcPr>
          <w:p w14:paraId="67E6E87A" w14:textId="27549B09" w:rsidR="00DD5812" w:rsidRPr="00255081" w:rsidRDefault="00DD5812" w:rsidP="00DD5812">
            <w:pPr>
              <w:spacing w:after="0" w:line="240" w:lineRule="auto"/>
              <w:jc w:val="center"/>
              <w:rPr>
                <w:rFonts w:ascii="Montserrat" w:eastAsia="Times New Roman" w:hAnsi="Montserrat" w:cs="Calibri"/>
                <w:color w:val="000000"/>
                <w:sz w:val="15"/>
                <w:szCs w:val="15"/>
                <w:lang w:val="es-MX" w:eastAsia="es-MX"/>
              </w:rPr>
            </w:pPr>
            <w:r w:rsidRPr="00255081">
              <w:rPr>
                <w:rFonts w:ascii="Montserrat" w:eastAsia="Times New Roman" w:hAnsi="Montserrat" w:cs="Calibri"/>
                <w:color w:val="000000"/>
                <w:sz w:val="15"/>
                <w:szCs w:val="15"/>
                <w:lang w:eastAsia="es-MX"/>
              </w:rPr>
              <w:t>17.0</w:t>
            </w:r>
          </w:p>
        </w:tc>
      </w:tr>
      <w:tr w:rsidR="00DD5812" w:rsidRPr="006F0DF1" w14:paraId="03C3D1F6" w14:textId="77777777" w:rsidTr="000F0321">
        <w:trPr>
          <w:trHeight w:val="215"/>
          <w:jc w:val="center"/>
        </w:trPr>
        <w:tc>
          <w:tcPr>
            <w:tcW w:w="1147" w:type="dxa"/>
            <w:tcBorders>
              <w:bottom w:val="single" w:sz="12" w:space="0" w:color="808080" w:themeColor="background1" w:themeShade="80"/>
            </w:tcBorders>
            <w:shd w:val="clear" w:color="auto" w:fill="F2F2F2" w:themeFill="background1" w:themeFillShade="F2"/>
            <w:vAlign w:val="center"/>
          </w:tcPr>
          <w:p w14:paraId="3ECDE158" w14:textId="73CC6E1A" w:rsidR="00DD5812" w:rsidRPr="00255081" w:rsidRDefault="00DD5812" w:rsidP="00DD5812">
            <w:pPr>
              <w:spacing w:after="0" w:line="240" w:lineRule="auto"/>
              <w:jc w:val="center"/>
              <w:rPr>
                <w:rFonts w:ascii="Montserrat" w:eastAsia="Times New Roman" w:hAnsi="Montserrat" w:cs="Calibri"/>
                <w:color w:val="000000"/>
                <w:sz w:val="15"/>
                <w:szCs w:val="15"/>
                <w:lang w:eastAsia="es-MX"/>
              </w:rPr>
            </w:pPr>
            <w:r w:rsidRPr="00255081">
              <w:rPr>
                <w:rFonts w:ascii="Montserrat" w:eastAsia="Times New Roman" w:hAnsi="Montserrat" w:cs="Calibri"/>
                <w:color w:val="000000"/>
                <w:sz w:val="15"/>
                <w:szCs w:val="15"/>
                <w:lang w:eastAsia="es-MX"/>
              </w:rPr>
              <w:t>2024</w:t>
            </w:r>
          </w:p>
        </w:tc>
        <w:tc>
          <w:tcPr>
            <w:tcW w:w="2133" w:type="dxa"/>
            <w:tcBorders>
              <w:bottom w:val="single" w:sz="12" w:space="0" w:color="808080" w:themeColor="background1" w:themeShade="80"/>
            </w:tcBorders>
            <w:shd w:val="clear" w:color="auto" w:fill="F2F2F2" w:themeFill="background1" w:themeFillShade="F2"/>
            <w:vAlign w:val="center"/>
          </w:tcPr>
          <w:p w14:paraId="7B4ACB60" w14:textId="04A8CBE1" w:rsidR="00DD5812" w:rsidRPr="00255081" w:rsidRDefault="00DD5812" w:rsidP="00DD5812">
            <w:pPr>
              <w:spacing w:after="0" w:line="240" w:lineRule="auto"/>
              <w:jc w:val="center"/>
              <w:rPr>
                <w:rFonts w:ascii="Montserrat" w:eastAsia="Times New Roman" w:hAnsi="Montserrat" w:cs="Calibri"/>
                <w:color w:val="000000"/>
                <w:sz w:val="15"/>
                <w:szCs w:val="15"/>
                <w:lang w:eastAsia="es-MX"/>
              </w:rPr>
            </w:pPr>
            <w:r w:rsidRPr="00255081">
              <w:rPr>
                <w:rFonts w:ascii="Montserrat" w:eastAsia="Times New Roman" w:hAnsi="Montserrat" w:cs="Calibri"/>
                <w:color w:val="000000"/>
                <w:sz w:val="15"/>
                <w:szCs w:val="15"/>
                <w:lang w:eastAsia="es-MX"/>
              </w:rPr>
              <w:t>20.8</w:t>
            </w:r>
          </w:p>
        </w:tc>
        <w:tc>
          <w:tcPr>
            <w:tcW w:w="1800" w:type="dxa"/>
            <w:tcBorders>
              <w:bottom w:val="single" w:sz="12" w:space="0" w:color="808080" w:themeColor="background1" w:themeShade="80"/>
            </w:tcBorders>
            <w:shd w:val="clear" w:color="auto" w:fill="F2F2F2" w:themeFill="background1" w:themeFillShade="F2"/>
            <w:vAlign w:val="center"/>
          </w:tcPr>
          <w:p w14:paraId="7F691CFB" w14:textId="5AA22C50" w:rsidR="00DD5812" w:rsidRPr="00255081" w:rsidRDefault="00DD5812" w:rsidP="00DD5812">
            <w:pPr>
              <w:spacing w:after="0" w:line="240" w:lineRule="auto"/>
              <w:jc w:val="center"/>
              <w:rPr>
                <w:rFonts w:ascii="Montserrat" w:eastAsia="Times New Roman" w:hAnsi="Montserrat" w:cs="Calibri"/>
                <w:color w:val="000000"/>
                <w:sz w:val="15"/>
                <w:szCs w:val="15"/>
                <w:lang w:eastAsia="es-MX"/>
              </w:rPr>
            </w:pPr>
            <w:r w:rsidRPr="00255081">
              <w:rPr>
                <w:rFonts w:ascii="Montserrat" w:eastAsia="Times New Roman" w:hAnsi="Montserrat" w:cs="Calibri"/>
                <w:color w:val="000000"/>
                <w:sz w:val="15"/>
                <w:szCs w:val="15"/>
                <w:lang w:eastAsia="es-MX"/>
              </w:rPr>
              <w:t>3.9</w:t>
            </w:r>
          </w:p>
        </w:tc>
        <w:tc>
          <w:tcPr>
            <w:tcW w:w="1980" w:type="dxa"/>
            <w:tcBorders>
              <w:bottom w:val="single" w:sz="12" w:space="0" w:color="808080" w:themeColor="background1" w:themeShade="80"/>
            </w:tcBorders>
            <w:shd w:val="clear" w:color="auto" w:fill="F2F2F2" w:themeFill="background1" w:themeFillShade="F2"/>
          </w:tcPr>
          <w:p w14:paraId="7E89B3CE" w14:textId="1A8ACE09" w:rsidR="00DD5812" w:rsidRPr="00255081" w:rsidRDefault="00DD5812" w:rsidP="00DD5812">
            <w:pPr>
              <w:spacing w:after="0" w:line="240" w:lineRule="auto"/>
              <w:jc w:val="center"/>
              <w:rPr>
                <w:rFonts w:ascii="Montserrat" w:eastAsia="Times New Roman" w:hAnsi="Montserrat" w:cs="Calibri"/>
                <w:color w:val="000000"/>
                <w:sz w:val="15"/>
                <w:szCs w:val="15"/>
                <w:lang w:eastAsia="es-MX"/>
              </w:rPr>
            </w:pPr>
            <w:r w:rsidRPr="00255081">
              <w:rPr>
                <w:rFonts w:ascii="Montserrat" w:eastAsia="Times New Roman" w:hAnsi="Montserrat" w:cs="Calibri"/>
                <w:color w:val="000000"/>
                <w:sz w:val="15"/>
                <w:szCs w:val="15"/>
                <w:lang w:eastAsia="es-MX"/>
              </w:rPr>
              <w:t>17.0</w:t>
            </w:r>
          </w:p>
        </w:tc>
      </w:tr>
    </w:tbl>
    <w:p w14:paraId="17D9A2C4" w14:textId="77777777" w:rsidR="00F36D96" w:rsidRDefault="00F36D96" w:rsidP="00F01A61">
      <w:pPr>
        <w:spacing w:after="0" w:line="240" w:lineRule="auto"/>
        <w:jc w:val="both"/>
        <w:rPr>
          <w:rFonts w:ascii="Montserrat" w:hAnsi="Montserrat" w:cs="Arial"/>
          <w:spacing w:val="-1"/>
          <w:sz w:val="18"/>
          <w:szCs w:val="18"/>
        </w:rPr>
      </w:pPr>
    </w:p>
    <w:p w14:paraId="0158FD59" w14:textId="77777777" w:rsidR="009C3C24" w:rsidRPr="00F174D8" w:rsidRDefault="009C3C24" w:rsidP="00887D16">
      <w:pPr>
        <w:spacing w:after="120" w:line="250" w:lineRule="exact"/>
        <w:jc w:val="both"/>
        <w:rPr>
          <w:rFonts w:ascii="Montserrat" w:hAnsi="Montserrat" w:cs="Arial"/>
          <w:b/>
          <w:spacing w:val="-1"/>
          <w:sz w:val="18"/>
          <w:szCs w:val="18"/>
        </w:rPr>
      </w:pPr>
      <w:r w:rsidRPr="00F174D8">
        <w:rPr>
          <w:rFonts w:ascii="Montserrat" w:hAnsi="Montserrat" w:cs="Arial"/>
          <w:b/>
          <w:spacing w:val="-1"/>
          <w:sz w:val="18"/>
          <w:szCs w:val="18"/>
        </w:rPr>
        <w:t>11. Información sobre la Deuda y el Reporte Analítico de la Deuda</w:t>
      </w:r>
    </w:p>
    <w:p w14:paraId="4DFBFC2C" w14:textId="77777777" w:rsidR="009C3C24" w:rsidRDefault="009C3C24" w:rsidP="00887D16">
      <w:pPr>
        <w:spacing w:after="120" w:line="250" w:lineRule="exact"/>
        <w:jc w:val="both"/>
        <w:rPr>
          <w:rFonts w:ascii="Montserrat" w:hAnsi="Montserrat" w:cs="Arial"/>
          <w:spacing w:val="-1"/>
          <w:sz w:val="18"/>
          <w:szCs w:val="18"/>
        </w:rPr>
      </w:pPr>
      <w:r w:rsidRPr="006F0DF1">
        <w:rPr>
          <w:rFonts w:ascii="Montserrat" w:hAnsi="Montserrat" w:cs="Arial"/>
          <w:spacing w:val="-1"/>
          <w:sz w:val="18"/>
          <w:szCs w:val="18"/>
        </w:rPr>
        <w:t xml:space="preserve">La Deuda Pública a largo plazo reportada en el Estado Analítico de Deuda y Otros Pasivos, así como los indicadores de la Deuda Pública del Ejecutivo Federal, con respecto al </w:t>
      </w:r>
      <w:r w:rsidR="00553C8B">
        <w:rPr>
          <w:rFonts w:ascii="Montserrat" w:hAnsi="Montserrat" w:cs="Arial"/>
          <w:spacing w:val="-1"/>
          <w:sz w:val="18"/>
          <w:szCs w:val="18"/>
        </w:rPr>
        <w:t>PIB, se presentan</w:t>
      </w:r>
      <w:r w:rsidRPr="006F0DF1">
        <w:rPr>
          <w:rFonts w:ascii="Montserrat" w:hAnsi="Montserrat" w:cs="Arial"/>
          <w:spacing w:val="-1"/>
          <w:sz w:val="18"/>
          <w:szCs w:val="18"/>
        </w:rPr>
        <w:t xml:space="preserve"> </w:t>
      </w:r>
      <w:r w:rsidR="00553C8B">
        <w:rPr>
          <w:rFonts w:ascii="Montserrat" w:hAnsi="Montserrat" w:cs="Arial"/>
          <w:spacing w:val="-1"/>
          <w:sz w:val="18"/>
          <w:szCs w:val="18"/>
        </w:rPr>
        <w:t>a continuación</w:t>
      </w:r>
      <w:r w:rsidRPr="006F0DF1">
        <w:rPr>
          <w:rFonts w:ascii="Montserrat" w:hAnsi="Montserrat" w:cs="Arial"/>
          <w:spacing w:val="-1"/>
          <w:sz w:val="18"/>
          <w:szCs w:val="18"/>
        </w:rPr>
        <w:t>:</w:t>
      </w:r>
    </w:p>
    <w:tbl>
      <w:tblPr>
        <w:tblW w:w="9072" w:type="dxa"/>
        <w:jc w:val="center"/>
        <w:tblCellMar>
          <w:left w:w="70" w:type="dxa"/>
          <w:right w:w="70" w:type="dxa"/>
        </w:tblCellMar>
        <w:tblLook w:val="04A0" w:firstRow="1" w:lastRow="0" w:firstColumn="1" w:lastColumn="0" w:noHBand="0" w:noVBand="1"/>
      </w:tblPr>
      <w:tblGrid>
        <w:gridCol w:w="5103"/>
        <w:gridCol w:w="1677"/>
        <w:gridCol w:w="2292"/>
      </w:tblGrid>
      <w:tr w:rsidR="009C3C24" w:rsidRPr="006F0DF1" w14:paraId="00285CF9" w14:textId="77777777" w:rsidTr="00FE6A54">
        <w:trPr>
          <w:trHeight w:val="163"/>
          <w:jc w:val="center"/>
        </w:trPr>
        <w:tc>
          <w:tcPr>
            <w:tcW w:w="9072" w:type="dxa"/>
            <w:gridSpan w:val="3"/>
            <w:tcBorders>
              <w:bottom w:val="single" w:sz="12" w:space="0" w:color="808080" w:themeColor="background1" w:themeShade="80"/>
            </w:tcBorders>
            <w:shd w:val="clear" w:color="auto" w:fill="auto"/>
          </w:tcPr>
          <w:p w14:paraId="77B54516" w14:textId="77777777" w:rsidR="009C3C24" w:rsidRPr="00685332" w:rsidRDefault="009C3C24" w:rsidP="009173AE">
            <w:pPr>
              <w:spacing w:after="60" w:line="240" w:lineRule="auto"/>
              <w:jc w:val="center"/>
              <w:rPr>
                <w:rFonts w:ascii="Montserrat" w:hAnsi="Montserrat" w:cs="Arial"/>
                <w:color w:val="FFFFFF"/>
                <w:spacing w:val="-1"/>
                <w:sz w:val="16"/>
                <w:szCs w:val="16"/>
              </w:rPr>
            </w:pPr>
            <w:r w:rsidRPr="00685332">
              <w:rPr>
                <w:rFonts w:ascii="Montserrat" w:hAnsi="Montserrat" w:cs="Arial"/>
                <w:spacing w:val="-1"/>
                <w:sz w:val="16"/>
                <w:szCs w:val="16"/>
              </w:rPr>
              <w:t>(Pesos)</w:t>
            </w:r>
          </w:p>
        </w:tc>
      </w:tr>
      <w:tr w:rsidR="001C7B52" w:rsidRPr="001C7B52" w14:paraId="79CE6575" w14:textId="77777777" w:rsidTr="00F01A61">
        <w:trPr>
          <w:trHeight w:val="57"/>
          <w:jc w:val="center"/>
        </w:trPr>
        <w:tc>
          <w:tcPr>
            <w:tcW w:w="9072" w:type="dxa"/>
            <w:gridSpan w:val="3"/>
            <w:tcBorders>
              <w:top w:val="single" w:sz="12" w:space="0" w:color="808080" w:themeColor="background1" w:themeShade="80"/>
            </w:tcBorders>
            <w:shd w:val="clear" w:color="auto" w:fill="auto"/>
          </w:tcPr>
          <w:p w14:paraId="2783793A" w14:textId="77777777" w:rsidR="001C7B52" w:rsidRPr="001C7B52" w:rsidRDefault="001C7B52" w:rsidP="001C7B52">
            <w:pPr>
              <w:spacing w:after="0" w:line="240" w:lineRule="auto"/>
              <w:rPr>
                <w:sz w:val="4"/>
                <w:szCs w:val="4"/>
              </w:rPr>
            </w:pPr>
          </w:p>
        </w:tc>
      </w:tr>
      <w:tr w:rsidR="009C3C24" w:rsidRPr="006F0DF1" w14:paraId="34BDF25C" w14:textId="77777777" w:rsidTr="005D46E6">
        <w:trPr>
          <w:trHeight w:val="317"/>
          <w:jc w:val="center"/>
        </w:trPr>
        <w:tc>
          <w:tcPr>
            <w:tcW w:w="5103" w:type="dxa"/>
            <w:tcBorders>
              <w:bottom w:val="double" w:sz="12" w:space="0" w:color="808080" w:themeColor="background1" w:themeShade="80"/>
              <w:right w:val="single" w:sz="8" w:space="0" w:color="FFFFFF" w:themeColor="background1"/>
            </w:tcBorders>
            <w:shd w:val="clear" w:color="auto" w:fill="D4C19C"/>
            <w:vAlign w:val="center"/>
          </w:tcPr>
          <w:p w14:paraId="7E173B5A" w14:textId="77777777" w:rsidR="009C3C24" w:rsidRPr="006F0DF1" w:rsidRDefault="0081331F" w:rsidP="00F01A61">
            <w:pPr>
              <w:spacing w:after="0" w:line="240" w:lineRule="exact"/>
              <w:ind w:right="57"/>
              <w:jc w:val="center"/>
              <w:rPr>
                <w:rFonts w:ascii="Montserrat" w:hAnsi="Montserrat" w:cs="Arial"/>
                <w:b/>
                <w:color w:val="FFFFFF"/>
                <w:spacing w:val="-1"/>
                <w:sz w:val="16"/>
                <w:szCs w:val="16"/>
              </w:rPr>
            </w:pPr>
            <w:r w:rsidRPr="006F0DF1">
              <w:rPr>
                <w:rFonts w:ascii="Montserrat" w:eastAsia="Times New Roman" w:hAnsi="Montserrat" w:cs="Calibri"/>
                <w:b/>
                <w:bCs/>
                <w:color w:val="FFFFFF"/>
                <w:sz w:val="16"/>
                <w:szCs w:val="16"/>
                <w:lang w:val="es-MX" w:eastAsia="es-MX"/>
              </w:rPr>
              <w:t>Concepto</w:t>
            </w:r>
          </w:p>
        </w:tc>
        <w:tc>
          <w:tcPr>
            <w:tcW w:w="1677" w:type="dxa"/>
            <w:tcBorders>
              <w:left w:val="single" w:sz="8" w:space="0" w:color="FFFFFF" w:themeColor="background1"/>
              <w:bottom w:val="double" w:sz="12" w:space="0" w:color="808080" w:themeColor="background1" w:themeShade="80"/>
              <w:right w:val="single" w:sz="8" w:space="0" w:color="FFFFFF" w:themeColor="background1"/>
            </w:tcBorders>
            <w:shd w:val="clear" w:color="auto" w:fill="D4C19C"/>
            <w:vAlign w:val="center"/>
          </w:tcPr>
          <w:p w14:paraId="5C4CE3A7" w14:textId="77777777" w:rsidR="009C3C24" w:rsidRPr="006F0DF1" w:rsidRDefault="009C3C24" w:rsidP="00F01A61">
            <w:pPr>
              <w:spacing w:after="0" w:line="240" w:lineRule="exact"/>
              <w:ind w:right="57"/>
              <w:jc w:val="center"/>
              <w:rPr>
                <w:rFonts w:ascii="Montserrat" w:hAnsi="Montserrat" w:cs="Arial"/>
                <w:b/>
                <w:color w:val="FFFFFF"/>
                <w:spacing w:val="-1"/>
                <w:sz w:val="16"/>
                <w:szCs w:val="16"/>
              </w:rPr>
            </w:pPr>
            <w:r w:rsidRPr="006F0DF1">
              <w:rPr>
                <w:rFonts w:ascii="Montserrat" w:hAnsi="Montserrat" w:cs="Arial"/>
                <w:b/>
                <w:color w:val="FFFFFF"/>
                <w:spacing w:val="-1"/>
                <w:sz w:val="16"/>
                <w:szCs w:val="16"/>
              </w:rPr>
              <w:t>201</w:t>
            </w:r>
            <w:r w:rsidR="007E26E9">
              <w:rPr>
                <w:rFonts w:ascii="Montserrat" w:hAnsi="Montserrat" w:cs="Arial"/>
                <w:b/>
                <w:color w:val="FFFFFF"/>
                <w:spacing w:val="-1"/>
                <w:sz w:val="16"/>
                <w:szCs w:val="16"/>
              </w:rPr>
              <w:t>9</w:t>
            </w:r>
          </w:p>
        </w:tc>
        <w:tc>
          <w:tcPr>
            <w:tcW w:w="2292" w:type="dxa"/>
            <w:tcBorders>
              <w:left w:val="single" w:sz="8" w:space="0" w:color="FFFFFF" w:themeColor="background1"/>
              <w:bottom w:val="double" w:sz="12" w:space="0" w:color="808080" w:themeColor="background1" w:themeShade="80"/>
              <w:right w:val="single" w:sz="8" w:space="0" w:color="BFBFBF"/>
            </w:tcBorders>
            <w:shd w:val="clear" w:color="auto" w:fill="D4C19C"/>
            <w:vAlign w:val="center"/>
          </w:tcPr>
          <w:p w14:paraId="0CC67688" w14:textId="77777777" w:rsidR="009C3C24" w:rsidRPr="00FE6A54" w:rsidRDefault="009C3C24" w:rsidP="00F01A61">
            <w:pPr>
              <w:spacing w:after="0" w:line="240" w:lineRule="exact"/>
              <w:ind w:right="57"/>
              <w:jc w:val="center"/>
              <w:rPr>
                <w:rFonts w:ascii="Montserrat" w:hAnsi="Montserrat" w:cs="Arial"/>
                <w:b/>
                <w:color w:val="FFFFFF"/>
                <w:spacing w:val="-1"/>
                <w:sz w:val="16"/>
                <w:szCs w:val="16"/>
              </w:rPr>
            </w:pPr>
            <w:r w:rsidRPr="00FE6A54">
              <w:rPr>
                <w:rFonts w:ascii="Montserrat" w:hAnsi="Montserrat" w:cs="Arial"/>
                <w:b/>
                <w:color w:val="FFFFFF"/>
                <w:spacing w:val="-1"/>
                <w:sz w:val="16"/>
                <w:szCs w:val="16"/>
              </w:rPr>
              <w:t>201</w:t>
            </w:r>
            <w:r w:rsidR="007E26E9">
              <w:rPr>
                <w:rFonts w:ascii="Montserrat" w:hAnsi="Montserrat" w:cs="Arial"/>
                <w:b/>
                <w:color w:val="FFFFFF"/>
                <w:spacing w:val="-1"/>
                <w:sz w:val="16"/>
                <w:szCs w:val="16"/>
              </w:rPr>
              <w:t>8</w:t>
            </w:r>
          </w:p>
        </w:tc>
      </w:tr>
      <w:tr w:rsidR="007E26E9" w:rsidRPr="006F0DF1" w14:paraId="6B00635D" w14:textId="77777777" w:rsidTr="005D46E6">
        <w:trPr>
          <w:trHeight w:val="65"/>
          <w:jc w:val="center"/>
        </w:trPr>
        <w:tc>
          <w:tcPr>
            <w:tcW w:w="5103" w:type="dxa"/>
            <w:tcBorders>
              <w:top w:val="double" w:sz="12" w:space="0" w:color="808080" w:themeColor="background1" w:themeShade="80"/>
            </w:tcBorders>
            <w:shd w:val="clear" w:color="auto" w:fill="F2F2F2" w:themeFill="background1" w:themeFillShade="F2"/>
            <w:noWrap/>
            <w:vAlign w:val="bottom"/>
            <w:hideMark/>
          </w:tcPr>
          <w:p w14:paraId="76077AAD" w14:textId="77777777" w:rsidR="007E26E9" w:rsidRPr="00255081" w:rsidRDefault="007E26E9" w:rsidP="007E26E9">
            <w:pPr>
              <w:spacing w:after="0" w:line="240" w:lineRule="exact"/>
              <w:ind w:right="57"/>
              <w:rPr>
                <w:rFonts w:ascii="Montserrat" w:hAnsi="Montserrat"/>
                <w:b/>
                <w:color w:val="000000"/>
                <w:sz w:val="15"/>
                <w:szCs w:val="15"/>
              </w:rPr>
            </w:pPr>
            <w:r w:rsidRPr="00255081">
              <w:rPr>
                <w:rFonts w:ascii="Montserrat" w:hAnsi="Montserrat"/>
                <w:b/>
                <w:color w:val="000000"/>
                <w:sz w:val="15"/>
                <w:szCs w:val="15"/>
              </w:rPr>
              <w:t>Deuda Pública a Largo Plazo reportada en Estado Analítico de la Deuda y Otros Pasivos</w:t>
            </w:r>
          </w:p>
        </w:tc>
        <w:tc>
          <w:tcPr>
            <w:tcW w:w="1677" w:type="dxa"/>
            <w:tcBorders>
              <w:top w:val="double" w:sz="6" w:space="0" w:color="808080"/>
              <w:left w:val="nil"/>
              <w:bottom w:val="nil"/>
              <w:right w:val="nil"/>
            </w:tcBorders>
            <w:shd w:val="clear" w:color="000000" w:fill="F2F2F2"/>
            <w:vAlign w:val="center"/>
          </w:tcPr>
          <w:p w14:paraId="17FA3516" w14:textId="31C69CD2" w:rsidR="007E26E9" w:rsidRPr="00255081" w:rsidRDefault="00DD5812" w:rsidP="007E26E9">
            <w:pPr>
              <w:spacing w:after="0" w:line="240" w:lineRule="auto"/>
              <w:jc w:val="right"/>
              <w:rPr>
                <w:rFonts w:ascii="Montserrat" w:hAnsi="Montserrat" w:cs="Calibri"/>
                <w:b/>
                <w:bCs/>
                <w:color w:val="000000"/>
                <w:sz w:val="15"/>
                <w:szCs w:val="15"/>
                <w:lang w:val="es-MX" w:eastAsia="es-MX"/>
              </w:rPr>
            </w:pPr>
            <w:r w:rsidRPr="00255081">
              <w:rPr>
                <w:rFonts w:ascii="Montserrat" w:hAnsi="Montserrat" w:cs="Calibri"/>
                <w:b/>
                <w:bCs/>
                <w:color w:val="000000"/>
                <w:sz w:val="15"/>
                <w:szCs w:val="15"/>
                <w:lang w:val="es-MX" w:eastAsia="es-MX"/>
              </w:rPr>
              <w:t>8,029,312,627,130</w:t>
            </w:r>
          </w:p>
        </w:tc>
        <w:tc>
          <w:tcPr>
            <w:tcW w:w="2292" w:type="dxa"/>
            <w:tcBorders>
              <w:top w:val="double" w:sz="12" w:space="0" w:color="808080" w:themeColor="background1" w:themeShade="80"/>
            </w:tcBorders>
            <w:shd w:val="clear" w:color="auto" w:fill="F2F2F2" w:themeFill="background1" w:themeFillShade="F2"/>
            <w:noWrap/>
            <w:vAlign w:val="center"/>
          </w:tcPr>
          <w:p w14:paraId="74D358BE" w14:textId="77777777" w:rsidR="007E26E9" w:rsidRPr="00255081" w:rsidRDefault="007E26E9" w:rsidP="007E26E9">
            <w:pPr>
              <w:spacing w:after="0" w:line="240" w:lineRule="auto"/>
              <w:jc w:val="right"/>
              <w:rPr>
                <w:rFonts w:ascii="Montserrat" w:hAnsi="Montserrat" w:cs="Calibri"/>
                <w:b/>
                <w:bCs/>
                <w:color w:val="000000"/>
                <w:sz w:val="15"/>
                <w:szCs w:val="15"/>
                <w:lang w:val="es-MX" w:eastAsia="es-MX"/>
              </w:rPr>
            </w:pPr>
            <w:r w:rsidRPr="00255081">
              <w:rPr>
                <w:rFonts w:ascii="Montserrat" w:hAnsi="Montserrat" w:cs="Calibri"/>
                <w:b/>
                <w:bCs/>
                <w:color w:val="000000"/>
                <w:sz w:val="15"/>
                <w:szCs w:val="15"/>
              </w:rPr>
              <w:t>7,581,377,339,669</w:t>
            </w:r>
          </w:p>
        </w:tc>
      </w:tr>
      <w:tr w:rsidR="005D46E6" w:rsidRPr="006F0DF1" w14:paraId="08227C16" w14:textId="77777777" w:rsidTr="000F0321">
        <w:trPr>
          <w:trHeight w:val="71"/>
          <w:jc w:val="center"/>
        </w:trPr>
        <w:tc>
          <w:tcPr>
            <w:tcW w:w="5103" w:type="dxa"/>
            <w:shd w:val="clear" w:color="auto" w:fill="F2F2F2" w:themeFill="background1" w:themeFillShade="F2"/>
            <w:noWrap/>
            <w:vAlign w:val="bottom"/>
          </w:tcPr>
          <w:p w14:paraId="08F0C7D2" w14:textId="5A0EE1FF" w:rsidR="005D46E6" w:rsidRPr="00255081" w:rsidRDefault="005D46E6" w:rsidP="005D46E6">
            <w:pPr>
              <w:spacing w:after="0" w:line="240" w:lineRule="exact"/>
              <w:ind w:left="457" w:right="57"/>
              <w:rPr>
                <w:rFonts w:ascii="Montserrat" w:hAnsi="Montserrat"/>
                <w:color w:val="000000"/>
                <w:sz w:val="15"/>
                <w:szCs w:val="15"/>
              </w:rPr>
            </w:pPr>
            <w:r w:rsidRPr="00255081">
              <w:rPr>
                <w:rFonts w:ascii="Montserrat" w:hAnsi="Montserrat"/>
                <w:color w:val="000000"/>
                <w:sz w:val="15"/>
                <w:szCs w:val="15"/>
              </w:rPr>
              <w:t>Adeudos Generados por Reestructuración en UDIS a LP</w:t>
            </w:r>
          </w:p>
        </w:tc>
        <w:tc>
          <w:tcPr>
            <w:tcW w:w="1677" w:type="dxa"/>
            <w:tcBorders>
              <w:top w:val="nil"/>
              <w:left w:val="nil"/>
              <w:bottom w:val="nil"/>
              <w:right w:val="nil"/>
            </w:tcBorders>
            <w:shd w:val="clear" w:color="000000" w:fill="F2F2F2"/>
            <w:vAlign w:val="center"/>
          </w:tcPr>
          <w:p w14:paraId="182E7F76" w14:textId="308409AB" w:rsidR="005D46E6" w:rsidRPr="00255081" w:rsidRDefault="005D46E6" w:rsidP="005D46E6">
            <w:pPr>
              <w:spacing w:after="0"/>
              <w:jc w:val="right"/>
              <w:rPr>
                <w:rFonts w:ascii="Montserrat" w:hAnsi="Montserrat" w:cs="Calibri"/>
                <w:color w:val="000000"/>
                <w:sz w:val="15"/>
                <w:szCs w:val="15"/>
              </w:rPr>
            </w:pPr>
            <w:r w:rsidRPr="00255081">
              <w:rPr>
                <w:rFonts w:ascii="Montserrat" w:hAnsi="Montserrat" w:cs="Calibri"/>
                <w:color w:val="000000"/>
                <w:sz w:val="15"/>
                <w:szCs w:val="15"/>
              </w:rPr>
              <w:t>41,845,998,411</w:t>
            </w:r>
          </w:p>
        </w:tc>
        <w:tc>
          <w:tcPr>
            <w:tcW w:w="2292" w:type="dxa"/>
            <w:shd w:val="clear" w:color="auto" w:fill="F2F2F2" w:themeFill="background1" w:themeFillShade="F2"/>
            <w:noWrap/>
            <w:vAlign w:val="center"/>
          </w:tcPr>
          <w:p w14:paraId="4ADC7FDF" w14:textId="0800CC5B" w:rsidR="005D46E6" w:rsidRPr="00255081" w:rsidRDefault="005D46E6" w:rsidP="005D46E6">
            <w:pPr>
              <w:spacing w:after="0"/>
              <w:jc w:val="right"/>
              <w:rPr>
                <w:rFonts w:ascii="Montserrat" w:hAnsi="Montserrat" w:cs="Calibri"/>
                <w:color w:val="000000"/>
                <w:sz w:val="15"/>
                <w:szCs w:val="15"/>
              </w:rPr>
            </w:pPr>
            <w:r w:rsidRPr="00255081">
              <w:rPr>
                <w:rFonts w:ascii="Montserrat" w:hAnsi="Montserrat" w:cs="Calibri"/>
                <w:color w:val="000000"/>
                <w:sz w:val="15"/>
                <w:szCs w:val="15"/>
              </w:rPr>
              <w:t>44,503,734,189</w:t>
            </w:r>
          </w:p>
        </w:tc>
      </w:tr>
      <w:tr w:rsidR="005D46E6" w:rsidRPr="0013519D" w14:paraId="42A0A473" w14:textId="77777777" w:rsidTr="005D46E6">
        <w:trPr>
          <w:trHeight w:val="71"/>
          <w:jc w:val="center"/>
        </w:trPr>
        <w:tc>
          <w:tcPr>
            <w:tcW w:w="5103" w:type="dxa"/>
            <w:shd w:val="clear" w:color="auto" w:fill="F2F2F2" w:themeFill="background1" w:themeFillShade="F2"/>
            <w:noWrap/>
            <w:vAlign w:val="bottom"/>
          </w:tcPr>
          <w:p w14:paraId="1F32F29B" w14:textId="45879FA3" w:rsidR="005D46E6" w:rsidRPr="0013519D" w:rsidRDefault="005D46E6" w:rsidP="005D46E6">
            <w:pPr>
              <w:spacing w:after="0" w:line="240" w:lineRule="exact"/>
              <w:ind w:left="457" w:right="57"/>
              <w:rPr>
                <w:rFonts w:ascii="Montserrat" w:hAnsi="Montserrat"/>
                <w:color w:val="000000"/>
                <w:sz w:val="15"/>
                <w:szCs w:val="15"/>
              </w:rPr>
            </w:pPr>
            <w:r w:rsidRPr="00172E13">
              <w:rPr>
                <w:rFonts w:ascii="Montserrat" w:hAnsi="Montserrat"/>
                <w:color w:val="000000"/>
                <w:sz w:val="15"/>
                <w:szCs w:val="15"/>
              </w:rPr>
              <w:t>Descuentos en la Colocación de Financiamientos a LP</w:t>
            </w:r>
          </w:p>
        </w:tc>
        <w:tc>
          <w:tcPr>
            <w:tcW w:w="1677" w:type="dxa"/>
            <w:tcBorders>
              <w:top w:val="nil"/>
              <w:left w:val="nil"/>
              <w:bottom w:val="nil"/>
              <w:right w:val="nil"/>
            </w:tcBorders>
            <w:shd w:val="clear" w:color="000000" w:fill="F2F2F2"/>
            <w:vAlign w:val="center"/>
          </w:tcPr>
          <w:p w14:paraId="0091E9C5" w14:textId="5EED132E" w:rsidR="005D46E6" w:rsidRPr="0013519D" w:rsidRDefault="005D46E6" w:rsidP="005D46E6">
            <w:pPr>
              <w:spacing w:after="0"/>
              <w:jc w:val="right"/>
              <w:rPr>
                <w:rFonts w:ascii="Montserrat" w:hAnsi="Montserrat" w:cs="Calibri"/>
                <w:color w:val="000000"/>
                <w:sz w:val="15"/>
                <w:szCs w:val="15"/>
              </w:rPr>
            </w:pPr>
            <w:r w:rsidRPr="0013519D">
              <w:rPr>
                <w:rFonts w:ascii="Montserrat" w:hAnsi="Montserrat" w:cs="Calibri"/>
                <w:color w:val="000000"/>
                <w:sz w:val="15"/>
                <w:szCs w:val="15"/>
              </w:rPr>
              <w:t>1,048,554,107,982</w:t>
            </w:r>
          </w:p>
        </w:tc>
        <w:tc>
          <w:tcPr>
            <w:tcW w:w="2292" w:type="dxa"/>
            <w:shd w:val="clear" w:color="auto" w:fill="F2F2F2" w:themeFill="background1" w:themeFillShade="F2"/>
            <w:noWrap/>
            <w:vAlign w:val="center"/>
          </w:tcPr>
          <w:p w14:paraId="78C1ECA6" w14:textId="7F040568" w:rsidR="005D46E6" w:rsidRPr="0013519D" w:rsidRDefault="005D46E6" w:rsidP="005D46E6">
            <w:pPr>
              <w:spacing w:after="0"/>
              <w:jc w:val="right"/>
              <w:rPr>
                <w:rFonts w:ascii="Montserrat" w:hAnsi="Montserrat" w:cs="Calibri"/>
                <w:color w:val="000000"/>
                <w:sz w:val="15"/>
                <w:szCs w:val="15"/>
              </w:rPr>
            </w:pPr>
            <w:r w:rsidRPr="0013519D">
              <w:rPr>
                <w:rFonts w:ascii="Montserrat" w:hAnsi="Montserrat" w:cs="Calibri"/>
                <w:color w:val="000000"/>
                <w:sz w:val="15"/>
                <w:szCs w:val="15"/>
              </w:rPr>
              <w:t>1,161,450,525,445</w:t>
            </w:r>
          </w:p>
        </w:tc>
      </w:tr>
      <w:tr w:rsidR="004B5803" w:rsidRPr="0013519D" w14:paraId="2C079A83" w14:textId="77777777" w:rsidTr="005D46E6">
        <w:trPr>
          <w:trHeight w:val="71"/>
          <w:jc w:val="center"/>
        </w:trPr>
        <w:tc>
          <w:tcPr>
            <w:tcW w:w="5103" w:type="dxa"/>
            <w:shd w:val="clear" w:color="auto" w:fill="F2F2F2" w:themeFill="background1" w:themeFillShade="F2"/>
            <w:noWrap/>
            <w:vAlign w:val="bottom"/>
          </w:tcPr>
          <w:p w14:paraId="17667D99" w14:textId="10F4EB02" w:rsidR="004B5803" w:rsidRPr="0013519D" w:rsidRDefault="004B5803" w:rsidP="005D46E6">
            <w:pPr>
              <w:spacing w:after="0" w:line="240" w:lineRule="exact"/>
              <w:ind w:left="457" w:right="57"/>
              <w:rPr>
                <w:rFonts w:ascii="Montserrat" w:hAnsi="Montserrat"/>
                <w:color w:val="000000"/>
                <w:sz w:val="15"/>
                <w:szCs w:val="15"/>
              </w:rPr>
            </w:pPr>
            <w:r w:rsidRPr="0013519D">
              <w:rPr>
                <w:rFonts w:ascii="Montserrat" w:hAnsi="Montserrat"/>
                <w:color w:val="000000"/>
                <w:sz w:val="15"/>
                <w:szCs w:val="15"/>
              </w:rPr>
              <w:t>Préstamos de la Deuda Pública Externa por Pagar a LP</w:t>
            </w:r>
          </w:p>
        </w:tc>
        <w:tc>
          <w:tcPr>
            <w:tcW w:w="1677" w:type="dxa"/>
            <w:tcBorders>
              <w:top w:val="nil"/>
              <w:left w:val="nil"/>
              <w:bottom w:val="nil"/>
              <w:right w:val="nil"/>
            </w:tcBorders>
            <w:shd w:val="clear" w:color="000000" w:fill="F2F2F2"/>
            <w:vAlign w:val="center"/>
          </w:tcPr>
          <w:p w14:paraId="51ED24E2" w14:textId="2BA6F744" w:rsidR="004B5803" w:rsidRPr="0013519D" w:rsidRDefault="00015BA1" w:rsidP="005D46E6">
            <w:pPr>
              <w:spacing w:after="0"/>
              <w:jc w:val="right"/>
              <w:rPr>
                <w:rFonts w:ascii="Montserrat" w:hAnsi="Montserrat" w:cs="Calibri"/>
                <w:color w:val="000000"/>
                <w:sz w:val="15"/>
                <w:szCs w:val="15"/>
              </w:rPr>
            </w:pPr>
            <w:r w:rsidRPr="0013519D">
              <w:rPr>
                <w:rFonts w:ascii="Montserrat" w:hAnsi="Montserrat" w:cs="Calibri"/>
                <w:color w:val="000000"/>
                <w:sz w:val="15"/>
                <w:szCs w:val="15"/>
              </w:rPr>
              <w:t>-2,187,603</w:t>
            </w:r>
          </w:p>
        </w:tc>
        <w:tc>
          <w:tcPr>
            <w:tcW w:w="2292" w:type="dxa"/>
            <w:shd w:val="clear" w:color="auto" w:fill="F2F2F2" w:themeFill="background1" w:themeFillShade="F2"/>
            <w:noWrap/>
            <w:vAlign w:val="center"/>
          </w:tcPr>
          <w:p w14:paraId="11ACC4D3" w14:textId="3ABF4E7C" w:rsidR="004B5803" w:rsidRPr="0013519D" w:rsidRDefault="004B5803" w:rsidP="005D46E6">
            <w:pPr>
              <w:spacing w:after="0"/>
              <w:jc w:val="right"/>
              <w:rPr>
                <w:rFonts w:ascii="Montserrat" w:hAnsi="Montserrat" w:cs="Calibri"/>
                <w:color w:val="000000"/>
                <w:sz w:val="15"/>
                <w:szCs w:val="15"/>
              </w:rPr>
            </w:pPr>
            <w:r w:rsidRPr="0013519D">
              <w:rPr>
                <w:rFonts w:ascii="Montserrat" w:hAnsi="Montserrat" w:cs="Calibri"/>
                <w:color w:val="000000"/>
                <w:sz w:val="15"/>
                <w:szCs w:val="15"/>
              </w:rPr>
              <w:t>0</w:t>
            </w:r>
          </w:p>
        </w:tc>
      </w:tr>
      <w:tr w:rsidR="005D46E6" w:rsidRPr="0013519D" w14:paraId="2E85B71C" w14:textId="77777777" w:rsidTr="005D46E6">
        <w:trPr>
          <w:trHeight w:val="71"/>
          <w:jc w:val="center"/>
        </w:trPr>
        <w:tc>
          <w:tcPr>
            <w:tcW w:w="5103" w:type="dxa"/>
            <w:shd w:val="clear" w:color="auto" w:fill="F2F2F2" w:themeFill="background1" w:themeFillShade="F2"/>
            <w:noWrap/>
            <w:vAlign w:val="bottom"/>
          </w:tcPr>
          <w:p w14:paraId="35B203AD" w14:textId="7CCE788D" w:rsidR="005D46E6" w:rsidRPr="0013519D" w:rsidRDefault="005D46E6" w:rsidP="005D46E6">
            <w:pPr>
              <w:spacing w:after="0" w:line="240" w:lineRule="exact"/>
              <w:ind w:left="457" w:right="57"/>
              <w:rPr>
                <w:rFonts w:ascii="Montserrat" w:hAnsi="Montserrat"/>
                <w:color w:val="000000"/>
                <w:sz w:val="15"/>
                <w:szCs w:val="15"/>
              </w:rPr>
            </w:pPr>
            <w:r w:rsidRPr="0013519D">
              <w:rPr>
                <w:rFonts w:ascii="Montserrat" w:hAnsi="Montserrat"/>
                <w:color w:val="000000"/>
                <w:sz w:val="15"/>
                <w:szCs w:val="15"/>
              </w:rPr>
              <w:t>Intereses por Pagar Arrendamiento Financiero a LP</w:t>
            </w:r>
          </w:p>
        </w:tc>
        <w:tc>
          <w:tcPr>
            <w:tcW w:w="1677" w:type="dxa"/>
            <w:tcBorders>
              <w:top w:val="nil"/>
              <w:left w:val="nil"/>
              <w:bottom w:val="nil"/>
              <w:right w:val="nil"/>
            </w:tcBorders>
            <w:shd w:val="clear" w:color="000000" w:fill="F2F2F2"/>
            <w:vAlign w:val="center"/>
          </w:tcPr>
          <w:p w14:paraId="0943DFB7" w14:textId="336F7991" w:rsidR="005D46E6" w:rsidRPr="0013519D" w:rsidRDefault="005D46E6" w:rsidP="005D46E6">
            <w:pPr>
              <w:spacing w:after="0"/>
              <w:jc w:val="right"/>
              <w:rPr>
                <w:rFonts w:ascii="Montserrat" w:hAnsi="Montserrat" w:cs="Calibri"/>
                <w:color w:val="000000"/>
                <w:sz w:val="15"/>
                <w:szCs w:val="15"/>
              </w:rPr>
            </w:pPr>
            <w:r w:rsidRPr="0013519D">
              <w:rPr>
                <w:rFonts w:ascii="Montserrat" w:hAnsi="Montserrat" w:cs="Calibri"/>
                <w:color w:val="000000"/>
                <w:sz w:val="15"/>
                <w:szCs w:val="15"/>
              </w:rPr>
              <w:t>10,415,340,570</w:t>
            </w:r>
          </w:p>
        </w:tc>
        <w:tc>
          <w:tcPr>
            <w:tcW w:w="2292" w:type="dxa"/>
            <w:shd w:val="clear" w:color="auto" w:fill="F2F2F2" w:themeFill="background1" w:themeFillShade="F2"/>
            <w:noWrap/>
            <w:vAlign w:val="center"/>
          </w:tcPr>
          <w:p w14:paraId="0BEA171F" w14:textId="17F3BE00" w:rsidR="005D46E6" w:rsidRPr="0013519D" w:rsidRDefault="005D46E6" w:rsidP="005D46E6">
            <w:pPr>
              <w:spacing w:after="0"/>
              <w:jc w:val="right"/>
              <w:rPr>
                <w:rFonts w:ascii="Montserrat" w:hAnsi="Montserrat" w:cs="Calibri"/>
                <w:color w:val="000000"/>
                <w:sz w:val="15"/>
                <w:szCs w:val="15"/>
              </w:rPr>
            </w:pPr>
            <w:r w:rsidRPr="0013519D">
              <w:rPr>
                <w:rFonts w:ascii="Montserrat" w:hAnsi="Montserrat" w:cs="Calibri"/>
                <w:color w:val="000000"/>
                <w:sz w:val="15"/>
                <w:szCs w:val="15"/>
              </w:rPr>
              <w:t>13,247,177,254</w:t>
            </w:r>
          </w:p>
        </w:tc>
      </w:tr>
      <w:tr w:rsidR="005D46E6" w:rsidRPr="0013519D" w14:paraId="308C1D78" w14:textId="77777777" w:rsidTr="005D46E6">
        <w:trPr>
          <w:trHeight w:val="71"/>
          <w:jc w:val="center"/>
        </w:trPr>
        <w:tc>
          <w:tcPr>
            <w:tcW w:w="5103" w:type="dxa"/>
            <w:shd w:val="clear" w:color="auto" w:fill="F2F2F2" w:themeFill="background1" w:themeFillShade="F2"/>
            <w:noWrap/>
            <w:vAlign w:val="bottom"/>
          </w:tcPr>
          <w:p w14:paraId="4E6DFF87" w14:textId="063908F7" w:rsidR="005D46E6" w:rsidRPr="0013519D" w:rsidRDefault="005D46E6" w:rsidP="005D46E6">
            <w:pPr>
              <w:spacing w:after="0" w:line="240" w:lineRule="exact"/>
              <w:ind w:left="457" w:right="57"/>
              <w:rPr>
                <w:rFonts w:ascii="Montserrat" w:hAnsi="Montserrat"/>
                <w:color w:val="000000"/>
                <w:sz w:val="15"/>
                <w:szCs w:val="15"/>
              </w:rPr>
            </w:pPr>
            <w:r w:rsidRPr="0013519D">
              <w:rPr>
                <w:rFonts w:ascii="Montserrat" w:hAnsi="Montserrat"/>
                <w:color w:val="000000"/>
                <w:sz w:val="15"/>
                <w:szCs w:val="15"/>
              </w:rPr>
              <w:t>Arrendamiento Financiero Especial a LP</w:t>
            </w:r>
          </w:p>
        </w:tc>
        <w:tc>
          <w:tcPr>
            <w:tcW w:w="1677" w:type="dxa"/>
            <w:tcBorders>
              <w:top w:val="nil"/>
              <w:left w:val="nil"/>
              <w:bottom w:val="nil"/>
              <w:right w:val="nil"/>
            </w:tcBorders>
            <w:shd w:val="clear" w:color="000000" w:fill="F2F2F2"/>
            <w:vAlign w:val="center"/>
          </w:tcPr>
          <w:p w14:paraId="6CF0AB71" w14:textId="7932D79C" w:rsidR="005D46E6" w:rsidRPr="0013519D" w:rsidRDefault="005D46E6" w:rsidP="005D46E6">
            <w:pPr>
              <w:spacing w:after="0"/>
              <w:jc w:val="right"/>
              <w:rPr>
                <w:rFonts w:ascii="Montserrat" w:hAnsi="Montserrat" w:cs="Calibri"/>
                <w:color w:val="000000"/>
                <w:sz w:val="15"/>
                <w:szCs w:val="15"/>
              </w:rPr>
            </w:pPr>
            <w:r w:rsidRPr="0013519D">
              <w:rPr>
                <w:rFonts w:ascii="Montserrat" w:hAnsi="Montserrat" w:cs="Calibri"/>
                <w:color w:val="000000"/>
                <w:sz w:val="15"/>
                <w:szCs w:val="15"/>
              </w:rPr>
              <w:t>33,548,714,053</w:t>
            </w:r>
          </w:p>
        </w:tc>
        <w:tc>
          <w:tcPr>
            <w:tcW w:w="2292" w:type="dxa"/>
            <w:shd w:val="clear" w:color="auto" w:fill="F2F2F2" w:themeFill="background1" w:themeFillShade="F2"/>
            <w:noWrap/>
            <w:vAlign w:val="center"/>
          </w:tcPr>
          <w:p w14:paraId="67EE003D" w14:textId="5519A5B9" w:rsidR="005D46E6" w:rsidRPr="0013519D" w:rsidRDefault="005D46E6" w:rsidP="005D46E6">
            <w:pPr>
              <w:spacing w:after="0"/>
              <w:jc w:val="right"/>
              <w:rPr>
                <w:rFonts w:ascii="Montserrat" w:hAnsi="Montserrat" w:cs="Calibri"/>
                <w:color w:val="000000"/>
                <w:sz w:val="15"/>
                <w:szCs w:val="15"/>
              </w:rPr>
            </w:pPr>
            <w:r w:rsidRPr="0013519D">
              <w:rPr>
                <w:rFonts w:ascii="Montserrat" w:hAnsi="Montserrat" w:cs="Calibri"/>
                <w:color w:val="000000"/>
                <w:sz w:val="15"/>
                <w:szCs w:val="15"/>
              </w:rPr>
              <w:t>37,482,938,103</w:t>
            </w:r>
          </w:p>
        </w:tc>
      </w:tr>
      <w:tr w:rsidR="005D46E6" w:rsidRPr="0013519D" w14:paraId="43ECB176" w14:textId="77777777" w:rsidTr="005D46E6">
        <w:trPr>
          <w:trHeight w:val="71"/>
          <w:jc w:val="center"/>
        </w:trPr>
        <w:tc>
          <w:tcPr>
            <w:tcW w:w="5103" w:type="dxa"/>
            <w:shd w:val="clear" w:color="auto" w:fill="F2F2F2" w:themeFill="background1" w:themeFillShade="F2"/>
            <w:noWrap/>
            <w:vAlign w:val="bottom"/>
            <w:hideMark/>
          </w:tcPr>
          <w:p w14:paraId="1C82FF4E" w14:textId="24C5DF12" w:rsidR="005D46E6" w:rsidRPr="0013519D" w:rsidRDefault="005D46E6" w:rsidP="005D46E6">
            <w:pPr>
              <w:spacing w:after="0" w:line="240" w:lineRule="exact"/>
              <w:ind w:left="457" w:right="57"/>
              <w:rPr>
                <w:rFonts w:ascii="Montserrat" w:hAnsi="Montserrat"/>
                <w:color w:val="000000"/>
                <w:sz w:val="15"/>
                <w:szCs w:val="15"/>
              </w:rPr>
            </w:pPr>
            <w:r w:rsidRPr="0013519D">
              <w:rPr>
                <w:rFonts w:ascii="Montserrat" w:hAnsi="Montserrat"/>
                <w:color w:val="000000"/>
                <w:sz w:val="15"/>
                <w:szCs w:val="15"/>
              </w:rPr>
              <w:t xml:space="preserve">Fondos en Banco de México </w:t>
            </w:r>
            <w:r w:rsidR="00BF6E75">
              <w:rPr>
                <w:rFonts w:ascii="Montserrat" w:eastAsia="Times New Roman" w:hAnsi="Montserrat" w:cs="Calibri"/>
                <w:color w:val="000000"/>
                <w:sz w:val="15"/>
                <w:szCs w:val="15"/>
                <w:lang w:val="es-MX" w:eastAsia="es-MX"/>
              </w:rPr>
              <w:t>Pensió</w:t>
            </w:r>
            <w:r w:rsidR="00BF6E75" w:rsidRPr="0013519D">
              <w:rPr>
                <w:rFonts w:ascii="Montserrat" w:eastAsia="Times New Roman" w:hAnsi="Montserrat" w:cs="Calibri"/>
                <w:color w:val="000000"/>
                <w:sz w:val="15"/>
                <w:szCs w:val="15"/>
                <w:lang w:val="es-MX" w:eastAsia="es-MX"/>
              </w:rPr>
              <w:t xml:space="preserve">nissste </w:t>
            </w:r>
            <w:r w:rsidRPr="0013519D">
              <w:rPr>
                <w:rFonts w:ascii="Montserrat" w:hAnsi="Montserrat"/>
                <w:color w:val="000000"/>
                <w:sz w:val="15"/>
                <w:szCs w:val="15"/>
              </w:rPr>
              <w:t>a LP</w:t>
            </w:r>
          </w:p>
        </w:tc>
        <w:tc>
          <w:tcPr>
            <w:tcW w:w="1677" w:type="dxa"/>
            <w:tcBorders>
              <w:top w:val="nil"/>
              <w:left w:val="nil"/>
              <w:bottom w:val="nil"/>
              <w:right w:val="nil"/>
            </w:tcBorders>
            <w:shd w:val="clear" w:color="auto" w:fill="F2F2F2" w:themeFill="background1" w:themeFillShade="F2"/>
            <w:vAlign w:val="center"/>
          </w:tcPr>
          <w:p w14:paraId="68891BDD" w14:textId="0989BD05" w:rsidR="005D46E6" w:rsidRPr="0013519D" w:rsidRDefault="00174A96" w:rsidP="005D46E6">
            <w:pPr>
              <w:spacing w:after="0"/>
              <w:jc w:val="right"/>
              <w:rPr>
                <w:rFonts w:ascii="Montserrat" w:hAnsi="Montserrat" w:cs="Calibri"/>
                <w:color w:val="000000"/>
                <w:sz w:val="15"/>
                <w:szCs w:val="15"/>
              </w:rPr>
            </w:pPr>
            <w:r w:rsidRPr="0013519D">
              <w:rPr>
                <w:rFonts w:ascii="Montserrat" w:hAnsi="Montserrat" w:cs="Calibri"/>
                <w:color w:val="000000"/>
                <w:sz w:val="15"/>
                <w:szCs w:val="15"/>
              </w:rPr>
              <w:t>-</w:t>
            </w:r>
            <w:r w:rsidR="005D46E6" w:rsidRPr="0013519D">
              <w:rPr>
                <w:rFonts w:ascii="Montserrat" w:hAnsi="Montserrat" w:cs="Calibri"/>
                <w:color w:val="000000"/>
                <w:sz w:val="15"/>
                <w:szCs w:val="15"/>
              </w:rPr>
              <w:t>10,039,585,705</w:t>
            </w:r>
          </w:p>
        </w:tc>
        <w:tc>
          <w:tcPr>
            <w:tcW w:w="2292" w:type="dxa"/>
            <w:shd w:val="clear" w:color="auto" w:fill="F2F2F2" w:themeFill="background1" w:themeFillShade="F2"/>
            <w:noWrap/>
            <w:vAlign w:val="center"/>
          </w:tcPr>
          <w:p w14:paraId="6EFEE6E4" w14:textId="77777777" w:rsidR="005D46E6" w:rsidRPr="0013519D" w:rsidRDefault="005D46E6" w:rsidP="005D46E6">
            <w:pPr>
              <w:spacing w:after="0"/>
              <w:jc w:val="right"/>
              <w:rPr>
                <w:rFonts w:ascii="Montserrat" w:hAnsi="Montserrat" w:cs="Calibri"/>
                <w:color w:val="000000"/>
                <w:sz w:val="15"/>
                <w:szCs w:val="15"/>
              </w:rPr>
            </w:pPr>
            <w:r w:rsidRPr="0013519D">
              <w:rPr>
                <w:rFonts w:ascii="Montserrat" w:hAnsi="Montserrat" w:cs="Calibri"/>
                <w:color w:val="000000"/>
                <w:sz w:val="15"/>
                <w:szCs w:val="15"/>
              </w:rPr>
              <w:t>-10,039,585,705</w:t>
            </w:r>
          </w:p>
        </w:tc>
      </w:tr>
      <w:tr w:rsidR="00174A96" w:rsidRPr="0013519D" w14:paraId="4125EDF7" w14:textId="77777777" w:rsidTr="005D46E6">
        <w:trPr>
          <w:trHeight w:val="71"/>
          <w:jc w:val="center"/>
        </w:trPr>
        <w:tc>
          <w:tcPr>
            <w:tcW w:w="5103" w:type="dxa"/>
            <w:shd w:val="clear" w:color="auto" w:fill="F2F2F2" w:themeFill="background1" w:themeFillShade="F2"/>
            <w:noWrap/>
            <w:vAlign w:val="bottom"/>
          </w:tcPr>
          <w:p w14:paraId="09548B1C" w14:textId="5FD31D3D" w:rsidR="00174A96" w:rsidRPr="0013519D" w:rsidRDefault="00174A96" w:rsidP="005D46E6">
            <w:pPr>
              <w:spacing w:after="0" w:line="240" w:lineRule="exact"/>
              <w:ind w:left="457" w:right="57"/>
              <w:rPr>
                <w:rFonts w:ascii="Montserrat" w:hAnsi="Montserrat"/>
                <w:color w:val="000000"/>
                <w:sz w:val="15"/>
                <w:szCs w:val="15"/>
              </w:rPr>
            </w:pPr>
            <w:r w:rsidRPr="0013519D">
              <w:rPr>
                <w:rFonts w:ascii="Montserrat" w:eastAsia="Times New Roman" w:hAnsi="Montserrat" w:cs="Calibri"/>
                <w:color w:val="000000"/>
                <w:sz w:val="15"/>
                <w:szCs w:val="15"/>
                <w:lang w:val="es-MX" w:eastAsia="es-MX"/>
              </w:rPr>
              <w:t>Porción a Corto Plazo de la Deuda Pública a Largo Plazo</w:t>
            </w:r>
          </w:p>
        </w:tc>
        <w:tc>
          <w:tcPr>
            <w:tcW w:w="1677" w:type="dxa"/>
            <w:tcBorders>
              <w:top w:val="nil"/>
              <w:left w:val="nil"/>
              <w:bottom w:val="nil"/>
              <w:right w:val="nil"/>
            </w:tcBorders>
            <w:shd w:val="clear" w:color="auto" w:fill="F2F2F2" w:themeFill="background1" w:themeFillShade="F2"/>
            <w:vAlign w:val="center"/>
          </w:tcPr>
          <w:p w14:paraId="0B6971D7" w14:textId="28FA0A38" w:rsidR="00174A96" w:rsidRPr="00172E13" w:rsidRDefault="00174A96" w:rsidP="005D46E6">
            <w:pPr>
              <w:spacing w:after="0"/>
              <w:jc w:val="right"/>
              <w:rPr>
                <w:rFonts w:ascii="Montserrat" w:hAnsi="Montserrat" w:cs="Calibri"/>
                <w:color w:val="000000"/>
                <w:sz w:val="15"/>
                <w:szCs w:val="15"/>
              </w:rPr>
            </w:pPr>
            <w:r w:rsidRPr="000F0321">
              <w:rPr>
                <w:rFonts w:ascii="Montserrat" w:hAnsi="Montserrat" w:cs="Arial"/>
                <w:color w:val="000000"/>
                <w:sz w:val="15"/>
                <w:szCs w:val="15"/>
              </w:rPr>
              <w:t>-504,666,347,409</w:t>
            </w:r>
          </w:p>
        </w:tc>
        <w:tc>
          <w:tcPr>
            <w:tcW w:w="2292" w:type="dxa"/>
            <w:shd w:val="clear" w:color="auto" w:fill="F2F2F2" w:themeFill="background1" w:themeFillShade="F2"/>
            <w:noWrap/>
            <w:vAlign w:val="center"/>
          </w:tcPr>
          <w:p w14:paraId="6740EF37" w14:textId="41159D67" w:rsidR="00174A96" w:rsidRPr="0013519D" w:rsidRDefault="00174A96" w:rsidP="005D46E6">
            <w:pPr>
              <w:spacing w:after="0"/>
              <w:jc w:val="right"/>
              <w:rPr>
                <w:rFonts w:ascii="Montserrat" w:hAnsi="Montserrat" w:cs="Calibri"/>
                <w:color w:val="000000"/>
                <w:sz w:val="15"/>
                <w:szCs w:val="15"/>
              </w:rPr>
            </w:pPr>
            <w:r w:rsidRPr="0013519D">
              <w:rPr>
                <w:rFonts w:ascii="Montserrat" w:hAnsi="Montserrat" w:cs="Calibri"/>
                <w:color w:val="000000"/>
                <w:sz w:val="15"/>
                <w:szCs w:val="15"/>
              </w:rPr>
              <w:t>0</w:t>
            </w:r>
          </w:p>
        </w:tc>
      </w:tr>
      <w:tr w:rsidR="004B5803" w:rsidRPr="0013519D" w14:paraId="7E4BB7C4" w14:textId="77777777" w:rsidTr="005D46E6">
        <w:trPr>
          <w:trHeight w:val="71"/>
          <w:jc w:val="center"/>
        </w:trPr>
        <w:tc>
          <w:tcPr>
            <w:tcW w:w="5103" w:type="dxa"/>
            <w:shd w:val="clear" w:color="auto" w:fill="F2F2F2" w:themeFill="background1" w:themeFillShade="F2"/>
            <w:noWrap/>
            <w:vAlign w:val="bottom"/>
          </w:tcPr>
          <w:p w14:paraId="278DF11A" w14:textId="709E7D12" w:rsidR="004B5803" w:rsidRPr="0013519D" w:rsidRDefault="004B5803" w:rsidP="005D46E6">
            <w:pPr>
              <w:spacing w:after="0" w:line="240" w:lineRule="exact"/>
              <w:ind w:left="457" w:right="57"/>
              <w:rPr>
                <w:rFonts w:ascii="Montserrat" w:eastAsia="Times New Roman" w:hAnsi="Montserrat" w:cs="Calibri"/>
                <w:color w:val="000000"/>
                <w:sz w:val="15"/>
                <w:szCs w:val="15"/>
                <w:lang w:val="es-MX" w:eastAsia="es-MX"/>
              </w:rPr>
            </w:pPr>
            <w:r w:rsidRPr="0013519D">
              <w:rPr>
                <w:rFonts w:ascii="Montserrat" w:eastAsia="Times New Roman" w:hAnsi="Montserrat" w:cs="Calibri"/>
                <w:color w:val="000000"/>
                <w:sz w:val="15"/>
                <w:szCs w:val="15"/>
                <w:lang w:val="es-MX" w:eastAsia="es-MX"/>
              </w:rPr>
              <w:t>Depósitos en Banco d</w:t>
            </w:r>
            <w:r w:rsidR="00BF6E75">
              <w:rPr>
                <w:rFonts w:ascii="Montserrat" w:eastAsia="Times New Roman" w:hAnsi="Montserrat" w:cs="Calibri"/>
                <w:color w:val="000000"/>
                <w:sz w:val="15"/>
                <w:szCs w:val="15"/>
                <w:lang w:val="es-MX" w:eastAsia="es-MX"/>
              </w:rPr>
              <w:t>e México de Pensió</w:t>
            </w:r>
            <w:r w:rsidRPr="0013519D">
              <w:rPr>
                <w:rFonts w:ascii="Montserrat" w:eastAsia="Times New Roman" w:hAnsi="Montserrat" w:cs="Calibri"/>
                <w:color w:val="000000"/>
                <w:sz w:val="15"/>
                <w:szCs w:val="15"/>
                <w:lang w:val="es-MX" w:eastAsia="es-MX"/>
              </w:rPr>
              <w:t>nissste a CP</w:t>
            </w:r>
          </w:p>
        </w:tc>
        <w:tc>
          <w:tcPr>
            <w:tcW w:w="1677" w:type="dxa"/>
            <w:tcBorders>
              <w:top w:val="nil"/>
              <w:left w:val="nil"/>
              <w:bottom w:val="nil"/>
              <w:right w:val="nil"/>
            </w:tcBorders>
            <w:shd w:val="clear" w:color="auto" w:fill="F2F2F2" w:themeFill="background1" w:themeFillShade="F2"/>
            <w:vAlign w:val="center"/>
          </w:tcPr>
          <w:p w14:paraId="0B674D43" w14:textId="650C5FA0" w:rsidR="004B5803" w:rsidRPr="000F0321" w:rsidRDefault="004B5803" w:rsidP="005D46E6">
            <w:pPr>
              <w:spacing w:after="0"/>
              <w:jc w:val="right"/>
              <w:rPr>
                <w:rFonts w:ascii="Montserrat" w:hAnsi="Montserrat" w:cs="Arial"/>
                <w:color w:val="000000"/>
                <w:sz w:val="15"/>
                <w:szCs w:val="15"/>
              </w:rPr>
            </w:pPr>
            <w:r w:rsidRPr="0013519D">
              <w:rPr>
                <w:rFonts w:ascii="Montserrat" w:eastAsia="Times New Roman" w:hAnsi="Montserrat" w:cs="Calibri"/>
                <w:color w:val="000000"/>
                <w:sz w:val="15"/>
                <w:szCs w:val="15"/>
                <w:lang w:val="es-MX" w:eastAsia="es-MX"/>
              </w:rPr>
              <w:t>-731,601,020</w:t>
            </w:r>
          </w:p>
        </w:tc>
        <w:tc>
          <w:tcPr>
            <w:tcW w:w="2292" w:type="dxa"/>
            <w:shd w:val="clear" w:color="auto" w:fill="F2F2F2" w:themeFill="background1" w:themeFillShade="F2"/>
            <w:noWrap/>
            <w:vAlign w:val="center"/>
          </w:tcPr>
          <w:p w14:paraId="150BBC83" w14:textId="21937371" w:rsidR="004B5803" w:rsidRPr="0013519D" w:rsidRDefault="004B5803" w:rsidP="005D46E6">
            <w:pPr>
              <w:spacing w:after="0"/>
              <w:jc w:val="right"/>
              <w:rPr>
                <w:rFonts w:ascii="Montserrat" w:hAnsi="Montserrat" w:cs="Calibri"/>
                <w:color w:val="000000"/>
                <w:sz w:val="15"/>
                <w:szCs w:val="15"/>
              </w:rPr>
            </w:pPr>
            <w:r w:rsidRPr="00172E13">
              <w:rPr>
                <w:rFonts w:ascii="Montserrat" w:hAnsi="Montserrat" w:cs="Calibri"/>
                <w:color w:val="000000"/>
                <w:sz w:val="15"/>
                <w:szCs w:val="15"/>
              </w:rPr>
              <w:t>0</w:t>
            </w:r>
          </w:p>
        </w:tc>
      </w:tr>
      <w:tr w:rsidR="005D46E6" w:rsidRPr="006F0DF1" w14:paraId="212D3E5E" w14:textId="77777777" w:rsidTr="005D46E6">
        <w:trPr>
          <w:trHeight w:val="71"/>
          <w:jc w:val="center"/>
        </w:trPr>
        <w:tc>
          <w:tcPr>
            <w:tcW w:w="5103" w:type="dxa"/>
            <w:tcBorders>
              <w:bottom w:val="single" w:sz="12" w:space="0" w:color="808080" w:themeColor="background1" w:themeShade="80"/>
            </w:tcBorders>
            <w:shd w:val="clear" w:color="auto" w:fill="F2F2F2" w:themeFill="background1" w:themeFillShade="F2"/>
            <w:noWrap/>
            <w:vAlign w:val="bottom"/>
            <w:hideMark/>
          </w:tcPr>
          <w:p w14:paraId="6A60E6CA" w14:textId="77777777" w:rsidR="005D46E6" w:rsidRPr="00255081" w:rsidRDefault="005D46E6" w:rsidP="005D46E6">
            <w:pPr>
              <w:spacing w:after="0" w:line="240" w:lineRule="exact"/>
              <w:ind w:right="57"/>
              <w:jc w:val="right"/>
              <w:rPr>
                <w:rFonts w:ascii="Montserrat" w:hAnsi="Montserrat"/>
                <w:b/>
                <w:color w:val="000000"/>
                <w:sz w:val="15"/>
                <w:szCs w:val="15"/>
              </w:rPr>
            </w:pPr>
            <w:r w:rsidRPr="00255081">
              <w:rPr>
                <w:rFonts w:ascii="Montserrat" w:hAnsi="Montserrat"/>
                <w:b/>
                <w:color w:val="000000"/>
                <w:sz w:val="15"/>
                <w:szCs w:val="15"/>
              </w:rPr>
              <w:t>Total Deuda Pública a Largo Plazo en el Estado de Situación Financiera</w:t>
            </w:r>
          </w:p>
        </w:tc>
        <w:tc>
          <w:tcPr>
            <w:tcW w:w="1677" w:type="dxa"/>
            <w:tcBorders>
              <w:top w:val="nil"/>
              <w:left w:val="nil"/>
              <w:bottom w:val="single" w:sz="12" w:space="0" w:color="808080"/>
              <w:right w:val="nil"/>
            </w:tcBorders>
            <w:shd w:val="clear" w:color="000000" w:fill="F2F2F2"/>
            <w:vAlign w:val="center"/>
          </w:tcPr>
          <w:p w14:paraId="2282B4F1" w14:textId="14C8AEF4" w:rsidR="005D46E6" w:rsidRPr="00255081" w:rsidRDefault="005D46E6" w:rsidP="005D46E6">
            <w:pPr>
              <w:spacing w:after="0" w:line="240" w:lineRule="exact"/>
              <w:jc w:val="right"/>
              <w:rPr>
                <w:rFonts w:ascii="Montserrat" w:hAnsi="Montserrat" w:cs="Arial"/>
                <w:b/>
                <w:spacing w:val="-1"/>
                <w:sz w:val="15"/>
                <w:szCs w:val="15"/>
              </w:rPr>
            </w:pPr>
            <w:r w:rsidRPr="00255081">
              <w:rPr>
                <w:rFonts w:ascii="Montserrat" w:hAnsi="Montserrat" w:cs="Arial"/>
                <w:b/>
                <w:spacing w:val="-1"/>
                <w:sz w:val="15"/>
                <w:szCs w:val="15"/>
              </w:rPr>
              <w:t>8,648,237,066,409</w:t>
            </w:r>
          </w:p>
        </w:tc>
        <w:tc>
          <w:tcPr>
            <w:tcW w:w="2292" w:type="dxa"/>
            <w:tcBorders>
              <w:bottom w:val="single" w:sz="12" w:space="0" w:color="808080" w:themeColor="background1" w:themeShade="80"/>
            </w:tcBorders>
            <w:shd w:val="clear" w:color="auto" w:fill="F2F2F2" w:themeFill="background1" w:themeFillShade="F2"/>
            <w:noWrap/>
            <w:vAlign w:val="center"/>
          </w:tcPr>
          <w:p w14:paraId="0B644810" w14:textId="77777777" w:rsidR="005D46E6" w:rsidRPr="00255081" w:rsidRDefault="005D46E6" w:rsidP="005D46E6">
            <w:pPr>
              <w:spacing w:after="0" w:line="240" w:lineRule="exact"/>
              <w:ind w:right="57"/>
              <w:jc w:val="right"/>
              <w:rPr>
                <w:rFonts w:ascii="Montserrat" w:hAnsi="Montserrat" w:cs="Arial"/>
                <w:b/>
                <w:spacing w:val="-1"/>
                <w:sz w:val="15"/>
                <w:szCs w:val="15"/>
              </w:rPr>
            </w:pPr>
            <w:r w:rsidRPr="00255081">
              <w:rPr>
                <w:rFonts w:ascii="Montserrat" w:hAnsi="Montserrat" w:cs="Arial"/>
                <w:b/>
                <w:spacing w:val="-1"/>
                <w:sz w:val="15"/>
                <w:szCs w:val="15"/>
              </w:rPr>
              <w:t>8,828,022,128,955</w:t>
            </w:r>
          </w:p>
        </w:tc>
      </w:tr>
    </w:tbl>
    <w:p w14:paraId="5FBE6A99" w14:textId="77777777" w:rsidR="00553C8B" w:rsidRPr="00F01A61" w:rsidRDefault="00553C8B" w:rsidP="00F01A61">
      <w:pPr>
        <w:spacing w:after="0" w:line="240" w:lineRule="auto"/>
        <w:jc w:val="both"/>
        <w:rPr>
          <w:rFonts w:ascii="Montserrat" w:hAnsi="Montserrat" w:cs="Arial"/>
          <w:spacing w:val="-1"/>
          <w:sz w:val="18"/>
          <w:szCs w:val="18"/>
        </w:rPr>
      </w:pPr>
    </w:p>
    <w:p w14:paraId="270C503E" w14:textId="77777777" w:rsidR="00553C8B" w:rsidRPr="00F01A61" w:rsidRDefault="00553C8B" w:rsidP="00F01A61">
      <w:pPr>
        <w:spacing w:after="0" w:line="240" w:lineRule="auto"/>
        <w:jc w:val="both"/>
        <w:rPr>
          <w:rFonts w:ascii="Montserrat" w:hAnsi="Montserrat" w:cs="Arial"/>
          <w:spacing w:val="-1"/>
          <w:sz w:val="18"/>
          <w:szCs w:val="18"/>
        </w:rPr>
      </w:pPr>
    </w:p>
    <w:p w14:paraId="1E6F1A24" w14:textId="50FD0E3B" w:rsidR="009C3C24" w:rsidRPr="00CA3625" w:rsidRDefault="009C3C24" w:rsidP="005A5AC5">
      <w:pPr>
        <w:pStyle w:val="Prrafodelista"/>
        <w:numPr>
          <w:ilvl w:val="0"/>
          <w:numId w:val="17"/>
        </w:numPr>
        <w:spacing w:after="120" w:line="250" w:lineRule="exact"/>
        <w:ind w:left="714" w:hanging="357"/>
        <w:jc w:val="both"/>
        <w:rPr>
          <w:rFonts w:ascii="Montserrat" w:hAnsi="Montserrat" w:cs="Arial"/>
          <w:spacing w:val="-1"/>
          <w:sz w:val="18"/>
          <w:szCs w:val="18"/>
        </w:rPr>
      </w:pPr>
      <w:r w:rsidRPr="00CA3625">
        <w:rPr>
          <w:rFonts w:ascii="Montserrat" w:hAnsi="Montserrat" w:cs="Arial"/>
          <w:spacing w:val="-1"/>
          <w:sz w:val="18"/>
          <w:szCs w:val="18"/>
        </w:rPr>
        <w:t xml:space="preserve">Deuda Pública del Ejecutivo Federal respecto al PIB </w:t>
      </w:r>
    </w:p>
    <w:p w14:paraId="274A92B9" w14:textId="77777777" w:rsidR="009C3C24" w:rsidRPr="00685332" w:rsidRDefault="009C3C24" w:rsidP="009173AE">
      <w:pPr>
        <w:spacing w:after="60" w:line="240" w:lineRule="auto"/>
        <w:jc w:val="center"/>
        <w:rPr>
          <w:rFonts w:ascii="Montserrat" w:hAnsi="Montserrat" w:cs="Arial"/>
          <w:spacing w:val="-1"/>
          <w:sz w:val="18"/>
          <w:szCs w:val="18"/>
        </w:rPr>
      </w:pPr>
      <w:r w:rsidRPr="00685332">
        <w:rPr>
          <w:rFonts w:ascii="Montserrat" w:hAnsi="Montserrat" w:cs="Arial"/>
          <w:spacing w:val="-1"/>
          <w:sz w:val="16"/>
          <w:szCs w:val="16"/>
        </w:rPr>
        <w:t>(Pesos)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2"/>
        <w:gridCol w:w="2698"/>
        <w:gridCol w:w="2134"/>
      </w:tblGrid>
      <w:tr w:rsidR="00A71F0F" w:rsidRPr="001C7B52" w14:paraId="51934273" w14:textId="77777777" w:rsidTr="000F0321">
        <w:trPr>
          <w:trHeight w:val="57"/>
          <w:jc w:val="center"/>
        </w:trPr>
        <w:tc>
          <w:tcPr>
            <w:tcW w:w="6154" w:type="dxa"/>
            <w:gridSpan w:val="3"/>
            <w:tcBorders>
              <w:top w:val="single" w:sz="12" w:space="0" w:color="808080" w:themeColor="background1" w:themeShade="80"/>
              <w:left w:val="nil"/>
              <w:bottom w:val="nil"/>
              <w:right w:val="nil"/>
            </w:tcBorders>
            <w:shd w:val="clear" w:color="auto" w:fill="auto"/>
            <w:vAlign w:val="center"/>
          </w:tcPr>
          <w:p w14:paraId="72EB8D29" w14:textId="77777777" w:rsidR="00A71F0F" w:rsidRPr="001C7B52" w:rsidRDefault="00A71F0F" w:rsidP="00A71F0F">
            <w:pPr>
              <w:spacing w:after="0" w:line="240" w:lineRule="auto"/>
              <w:rPr>
                <w:sz w:val="4"/>
                <w:szCs w:val="4"/>
              </w:rPr>
            </w:pPr>
          </w:p>
        </w:tc>
      </w:tr>
      <w:tr w:rsidR="009C3C24" w:rsidRPr="006F0DF1" w14:paraId="24E2616E" w14:textId="77777777" w:rsidTr="000F0321">
        <w:trPr>
          <w:trHeight w:val="317"/>
          <w:jc w:val="center"/>
        </w:trPr>
        <w:tc>
          <w:tcPr>
            <w:tcW w:w="1322" w:type="dxa"/>
            <w:tcBorders>
              <w:top w:val="nil"/>
              <w:left w:val="nil"/>
              <w:bottom w:val="double" w:sz="12" w:space="0" w:color="808080" w:themeColor="background1" w:themeShade="80"/>
              <w:right w:val="single" w:sz="8" w:space="0" w:color="FFFFFF" w:themeColor="background1"/>
            </w:tcBorders>
            <w:shd w:val="clear" w:color="auto" w:fill="D4C19C"/>
            <w:vAlign w:val="center"/>
            <w:hideMark/>
          </w:tcPr>
          <w:p w14:paraId="196906A1" w14:textId="77777777" w:rsidR="009C3C24" w:rsidRPr="006F0DF1" w:rsidRDefault="009C3C24" w:rsidP="002F797B">
            <w:pPr>
              <w:spacing w:after="0" w:line="240" w:lineRule="exact"/>
              <w:jc w:val="center"/>
              <w:rPr>
                <w:rFonts w:ascii="Montserrat" w:hAnsi="Montserrat" w:cs="Arial"/>
                <w:b/>
                <w:color w:val="FFFFFF"/>
                <w:spacing w:val="-1"/>
                <w:sz w:val="16"/>
                <w:szCs w:val="16"/>
              </w:rPr>
            </w:pPr>
            <w:r w:rsidRPr="006F0DF1">
              <w:rPr>
                <w:rFonts w:ascii="Montserrat" w:hAnsi="Montserrat" w:cs="Arial"/>
                <w:b/>
                <w:color w:val="FFFFFF"/>
                <w:spacing w:val="-1"/>
                <w:sz w:val="16"/>
                <w:szCs w:val="16"/>
              </w:rPr>
              <w:t>Año</w:t>
            </w:r>
          </w:p>
        </w:tc>
        <w:tc>
          <w:tcPr>
            <w:tcW w:w="2698" w:type="dxa"/>
            <w:tcBorders>
              <w:top w:val="nil"/>
              <w:left w:val="single" w:sz="8" w:space="0" w:color="FFFFFF" w:themeColor="background1"/>
              <w:bottom w:val="double" w:sz="12" w:space="0" w:color="808080" w:themeColor="background1" w:themeShade="80"/>
              <w:right w:val="single" w:sz="8" w:space="0" w:color="FFFFFF" w:themeColor="background1"/>
            </w:tcBorders>
            <w:shd w:val="clear" w:color="auto" w:fill="D4C19C"/>
            <w:vAlign w:val="center"/>
            <w:hideMark/>
          </w:tcPr>
          <w:p w14:paraId="6D300196" w14:textId="77777777" w:rsidR="009C3C24" w:rsidRPr="006F0DF1" w:rsidRDefault="009C3C24" w:rsidP="002F797B">
            <w:pPr>
              <w:spacing w:after="0" w:line="240" w:lineRule="exact"/>
              <w:jc w:val="center"/>
              <w:rPr>
                <w:rFonts w:ascii="Montserrat" w:hAnsi="Montserrat" w:cs="Arial"/>
                <w:b/>
                <w:color w:val="FFFFFF"/>
                <w:spacing w:val="-1"/>
                <w:sz w:val="16"/>
                <w:szCs w:val="16"/>
              </w:rPr>
            </w:pPr>
            <w:r w:rsidRPr="006F0DF1">
              <w:rPr>
                <w:rFonts w:ascii="Montserrat" w:hAnsi="Montserrat" w:cs="Arial"/>
                <w:b/>
                <w:color w:val="FFFFFF"/>
                <w:spacing w:val="-1"/>
                <w:sz w:val="16"/>
                <w:szCs w:val="16"/>
              </w:rPr>
              <w:t>Deuda Pública</w:t>
            </w:r>
          </w:p>
        </w:tc>
        <w:tc>
          <w:tcPr>
            <w:tcW w:w="2134" w:type="dxa"/>
            <w:tcBorders>
              <w:top w:val="nil"/>
              <w:left w:val="single" w:sz="8" w:space="0" w:color="FFFFFF" w:themeColor="background1"/>
              <w:bottom w:val="double" w:sz="12" w:space="0" w:color="808080" w:themeColor="background1" w:themeShade="80"/>
              <w:right w:val="single" w:sz="8" w:space="0" w:color="BFBFBF"/>
            </w:tcBorders>
            <w:shd w:val="clear" w:color="auto" w:fill="D4C19C"/>
            <w:vAlign w:val="center"/>
            <w:hideMark/>
          </w:tcPr>
          <w:p w14:paraId="65B9D30C" w14:textId="77777777" w:rsidR="009C3C24" w:rsidRPr="006F0DF1" w:rsidRDefault="009C3C24" w:rsidP="002F797B">
            <w:pPr>
              <w:spacing w:after="0" w:line="240" w:lineRule="exact"/>
              <w:jc w:val="center"/>
              <w:rPr>
                <w:rFonts w:ascii="Montserrat" w:hAnsi="Montserrat" w:cs="Arial"/>
                <w:b/>
                <w:color w:val="FFFFFF"/>
                <w:spacing w:val="-1"/>
                <w:sz w:val="16"/>
                <w:szCs w:val="16"/>
              </w:rPr>
            </w:pPr>
            <w:r w:rsidRPr="006F0DF1">
              <w:rPr>
                <w:rFonts w:ascii="Montserrat" w:hAnsi="Montserrat" w:cs="Arial"/>
                <w:b/>
                <w:color w:val="FFFFFF"/>
                <w:spacing w:val="-1"/>
                <w:sz w:val="16"/>
                <w:szCs w:val="16"/>
              </w:rPr>
              <w:t>% respecto al PIB</w:t>
            </w:r>
          </w:p>
        </w:tc>
      </w:tr>
      <w:tr w:rsidR="009C3C24" w:rsidRPr="006F0DF1" w14:paraId="3DAC525C" w14:textId="77777777" w:rsidTr="000F0321">
        <w:trPr>
          <w:jc w:val="center"/>
        </w:trPr>
        <w:tc>
          <w:tcPr>
            <w:tcW w:w="1322" w:type="dxa"/>
            <w:tcBorders>
              <w:top w:val="nil"/>
              <w:left w:val="nil"/>
              <w:bottom w:val="nil"/>
              <w:right w:val="nil"/>
            </w:tcBorders>
            <w:shd w:val="clear" w:color="auto" w:fill="F2F2F2" w:themeFill="background1" w:themeFillShade="F2"/>
            <w:hideMark/>
          </w:tcPr>
          <w:p w14:paraId="60FD60D4" w14:textId="77777777" w:rsidR="009C3C24" w:rsidRPr="000F0321" w:rsidRDefault="009C3C24" w:rsidP="002F797B">
            <w:pPr>
              <w:spacing w:after="0" w:line="240" w:lineRule="exact"/>
              <w:jc w:val="center"/>
              <w:rPr>
                <w:rFonts w:ascii="Montserrat" w:hAnsi="Montserrat"/>
                <w:color w:val="000000"/>
                <w:sz w:val="15"/>
                <w:szCs w:val="15"/>
              </w:rPr>
            </w:pPr>
            <w:r w:rsidRPr="000F0321">
              <w:rPr>
                <w:rFonts w:ascii="Montserrat" w:hAnsi="Montserrat"/>
                <w:color w:val="000000"/>
                <w:sz w:val="15"/>
                <w:szCs w:val="15"/>
              </w:rPr>
              <w:t>2015</w:t>
            </w:r>
          </w:p>
        </w:tc>
        <w:tc>
          <w:tcPr>
            <w:tcW w:w="2698" w:type="dxa"/>
            <w:tcBorders>
              <w:top w:val="nil"/>
              <w:left w:val="nil"/>
              <w:bottom w:val="nil"/>
              <w:right w:val="nil"/>
            </w:tcBorders>
            <w:shd w:val="clear" w:color="auto" w:fill="F2F2F2" w:themeFill="background1" w:themeFillShade="F2"/>
            <w:vAlign w:val="center"/>
          </w:tcPr>
          <w:p w14:paraId="73788D9D" w14:textId="77777777" w:rsidR="009C3C24" w:rsidRPr="000F0321" w:rsidRDefault="009C3C24" w:rsidP="002F797B">
            <w:pPr>
              <w:spacing w:after="0" w:line="240" w:lineRule="exact"/>
              <w:jc w:val="right"/>
              <w:rPr>
                <w:rFonts w:ascii="Montserrat" w:hAnsi="Montserrat"/>
                <w:color w:val="000000"/>
                <w:sz w:val="15"/>
                <w:szCs w:val="15"/>
              </w:rPr>
            </w:pPr>
            <w:r w:rsidRPr="000F0321">
              <w:rPr>
                <w:rFonts w:ascii="Montserrat" w:hAnsi="Montserrat"/>
                <w:color w:val="000000"/>
                <w:sz w:val="15"/>
                <w:szCs w:val="15"/>
              </w:rPr>
              <w:t>6,495,078,771,859</w:t>
            </w:r>
          </w:p>
        </w:tc>
        <w:tc>
          <w:tcPr>
            <w:tcW w:w="2134" w:type="dxa"/>
            <w:tcBorders>
              <w:top w:val="nil"/>
              <w:left w:val="nil"/>
              <w:bottom w:val="nil"/>
              <w:right w:val="nil"/>
            </w:tcBorders>
            <w:shd w:val="clear" w:color="auto" w:fill="F2F2F2" w:themeFill="background1" w:themeFillShade="F2"/>
            <w:vAlign w:val="bottom"/>
          </w:tcPr>
          <w:p w14:paraId="72DDAFC0" w14:textId="77777777" w:rsidR="009C3C24" w:rsidRPr="000F0321" w:rsidRDefault="009C3C24" w:rsidP="002F797B">
            <w:pPr>
              <w:spacing w:after="0" w:line="240" w:lineRule="exact"/>
              <w:jc w:val="center"/>
              <w:rPr>
                <w:rFonts w:ascii="Montserrat" w:hAnsi="Montserrat"/>
                <w:color w:val="000000"/>
                <w:sz w:val="15"/>
                <w:szCs w:val="15"/>
              </w:rPr>
            </w:pPr>
            <w:r w:rsidRPr="000F0321">
              <w:rPr>
                <w:rFonts w:ascii="Montserrat" w:hAnsi="Montserrat"/>
                <w:color w:val="000000"/>
                <w:sz w:val="15"/>
                <w:szCs w:val="15"/>
              </w:rPr>
              <w:t>35.8</w:t>
            </w:r>
          </w:p>
        </w:tc>
      </w:tr>
      <w:tr w:rsidR="009C3C24" w:rsidRPr="006F0DF1" w14:paraId="065561A3" w14:textId="77777777" w:rsidTr="000F0321">
        <w:trPr>
          <w:jc w:val="center"/>
        </w:trPr>
        <w:tc>
          <w:tcPr>
            <w:tcW w:w="1322" w:type="dxa"/>
            <w:tcBorders>
              <w:top w:val="nil"/>
              <w:left w:val="nil"/>
              <w:bottom w:val="nil"/>
              <w:right w:val="nil"/>
            </w:tcBorders>
            <w:shd w:val="clear" w:color="auto" w:fill="F2F2F2" w:themeFill="background1" w:themeFillShade="F2"/>
          </w:tcPr>
          <w:p w14:paraId="16E065C5" w14:textId="77777777" w:rsidR="009C3C24" w:rsidRPr="000F0321" w:rsidRDefault="009C3C24" w:rsidP="002F797B">
            <w:pPr>
              <w:spacing w:after="0" w:line="240" w:lineRule="exact"/>
              <w:jc w:val="center"/>
              <w:rPr>
                <w:rFonts w:ascii="Montserrat" w:hAnsi="Montserrat"/>
                <w:color w:val="000000"/>
                <w:sz w:val="15"/>
                <w:szCs w:val="15"/>
              </w:rPr>
            </w:pPr>
            <w:r w:rsidRPr="000F0321">
              <w:rPr>
                <w:rFonts w:ascii="Montserrat" w:hAnsi="Montserrat"/>
                <w:color w:val="000000"/>
                <w:sz w:val="15"/>
                <w:szCs w:val="15"/>
              </w:rPr>
              <w:t>2016</w:t>
            </w:r>
          </w:p>
        </w:tc>
        <w:tc>
          <w:tcPr>
            <w:tcW w:w="2698" w:type="dxa"/>
            <w:tcBorders>
              <w:top w:val="nil"/>
              <w:left w:val="nil"/>
              <w:bottom w:val="nil"/>
              <w:right w:val="nil"/>
            </w:tcBorders>
            <w:shd w:val="clear" w:color="auto" w:fill="F2F2F2" w:themeFill="background1" w:themeFillShade="F2"/>
            <w:vAlign w:val="center"/>
          </w:tcPr>
          <w:p w14:paraId="39AD01F2" w14:textId="77777777" w:rsidR="009C3C24" w:rsidRPr="000F0321" w:rsidRDefault="009C3C24" w:rsidP="002F797B">
            <w:pPr>
              <w:spacing w:after="0" w:line="240" w:lineRule="exact"/>
              <w:jc w:val="right"/>
              <w:rPr>
                <w:rFonts w:ascii="Montserrat" w:hAnsi="Montserrat"/>
                <w:color w:val="000000"/>
                <w:sz w:val="15"/>
                <w:szCs w:val="15"/>
              </w:rPr>
            </w:pPr>
            <w:r w:rsidRPr="000F0321">
              <w:rPr>
                <w:rFonts w:ascii="Montserrat" w:hAnsi="Montserrat"/>
                <w:spacing w:val="-1"/>
                <w:sz w:val="15"/>
                <w:szCs w:val="15"/>
              </w:rPr>
              <w:t>7,447,963,862,853</w:t>
            </w:r>
          </w:p>
        </w:tc>
        <w:tc>
          <w:tcPr>
            <w:tcW w:w="2134" w:type="dxa"/>
            <w:tcBorders>
              <w:top w:val="nil"/>
              <w:left w:val="nil"/>
              <w:bottom w:val="nil"/>
              <w:right w:val="nil"/>
            </w:tcBorders>
            <w:shd w:val="clear" w:color="auto" w:fill="F2F2F2" w:themeFill="background1" w:themeFillShade="F2"/>
            <w:vAlign w:val="bottom"/>
          </w:tcPr>
          <w:p w14:paraId="3D30706A" w14:textId="77777777" w:rsidR="009C3C24" w:rsidRPr="000F0321" w:rsidRDefault="009C3C24" w:rsidP="002F797B">
            <w:pPr>
              <w:spacing w:after="0" w:line="240" w:lineRule="exact"/>
              <w:jc w:val="center"/>
              <w:rPr>
                <w:rFonts w:ascii="Montserrat" w:hAnsi="Montserrat"/>
                <w:color w:val="000000"/>
                <w:sz w:val="15"/>
                <w:szCs w:val="15"/>
              </w:rPr>
            </w:pPr>
            <w:r w:rsidRPr="000F0321">
              <w:rPr>
                <w:rFonts w:ascii="Montserrat" w:hAnsi="Montserrat"/>
                <w:color w:val="000000"/>
                <w:sz w:val="15"/>
                <w:szCs w:val="15"/>
              </w:rPr>
              <w:t>38.2</w:t>
            </w:r>
          </w:p>
        </w:tc>
      </w:tr>
      <w:tr w:rsidR="00567D59" w:rsidRPr="006F0DF1" w14:paraId="06714498" w14:textId="77777777" w:rsidTr="000F0321">
        <w:trPr>
          <w:jc w:val="center"/>
        </w:trPr>
        <w:tc>
          <w:tcPr>
            <w:tcW w:w="1322" w:type="dxa"/>
            <w:tcBorders>
              <w:top w:val="nil"/>
              <w:left w:val="nil"/>
              <w:bottom w:val="nil"/>
              <w:right w:val="nil"/>
            </w:tcBorders>
            <w:shd w:val="clear" w:color="auto" w:fill="F2F2F2" w:themeFill="background1" w:themeFillShade="F2"/>
          </w:tcPr>
          <w:p w14:paraId="148F5680" w14:textId="77777777" w:rsidR="00567D59" w:rsidRPr="000F0321" w:rsidRDefault="00567D59" w:rsidP="00567D59">
            <w:pPr>
              <w:spacing w:after="0" w:line="240" w:lineRule="exact"/>
              <w:jc w:val="center"/>
              <w:rPr>
                <w:rFonts w:ascii="Montserrat" w:hAnsi="Montserrat"/>
                <w:sz w:val="15"/>
                <w:szCs w:val="15"/>
              </w:rPr>
            </w:pPr>
            <w:r w:rsidRPr="000F0321">
              <w:rPr>
                <w:rFonts w:ascii="Montserrat" w:hAnsi="Montserrat"/>
                <w:sz w:val="15"/>
                <w:szCs w:val="15"/>
              </w:rPr>
              <w:t>2017</w:t>
            </w:r>
          </w:p>
        </w:tc>
        <w:tc>
          <w:tcPr>
            <w:tcW w:w="2698" w:type="dxa"/>
            <w:tcBorders>
              <w:top w:val="nil"/>
              <w:left w:val="nil"/>
              <w:bottom w:val="nil"/>
              <w:right w:val="nil"/>
            </w:tcBorders>
            <w:shd w:val="clear" w:color="auto" w:fill="F2F2F2" w:themeFill="background1" w:themeFillShade="F2"/>
            <w:vAlign w:val="center"/>
          </w:tcPr>
          <w:p w14:paraId="59F62D63" w14:textId="77777777" w:rsidR="00567D59" w:rsidRPr="000F0321" w:rsidRDefault="00567D59" w:rsidP="00567D59">
            <w:pPr>
              <w:spacing w:after="0" w:line="240" w:lineRule="exact"/>
              <w:jc w:val="right"/>
              <w:rPr>
                <w:rFonts w:ascii="Montserrat" w:hAnsi="Montserrat"/>
                <w:spacing w:val="-1"/>
                <w:sz w:val="15"/>
                <w:szCs w:val="15"/>
              </w:rPr>
            </w:pPr>
            <w:r w:rsidRPr="000F0321">
              <w:rPr>
                <w:rFonts w:ascii="Montserrat" w:hAnsi="Montserrat"/>
                <w:spacing w:val="-1"/>
                <w:sz w:val="15"/>
                <w:szCs w:val="15"/>
              </w:rPr>
              <w:t>7,722,185,541,115</w:t>
            </w:r>
          </w:p>
        </w:tc>
        <w:tc>
          <w:tcPr>
            <w:tcW w:w="2134" w:type="dxa"/>
            <w:tcBorders>
              <w:top w:val="nil"/>
              <w:left w:val="nil"/>
              <w:bottom w:val="nil"/>
              <w:right w:val="nil"/>
            </w:tcBorders>
            <w:shd w:val="clear" w:color="auto" w:fill="F2F2F2" w:themeFill="background1" w:themeFillShade="F2"/>
            <w:vAlign w:val="bottom"/>
          </w:tcPr>
          <w:p w14:paraId="54381458" w14:textId="77777777" w:rsidR="00567D59" w:rsidRPr="000F0321" w:rsidRDefault="00567D59" w:rsidP="00567D59">
            <w:pPr>
              <w:spacing w:after="0" w:line="240" w:lineRule="exact"/>
              <w:jc w:val="center"/>
              <w:rPr>
                <w:rFonts w:ascii="Montserrat" w:hAnsi="Montserrat"/>
                <w:sz w:val="15"/>
                <w:szCs w:val="15"/>
              </w:rPr>
            </w:pPr>
            <w:r w:rsidRPr="000F0321">
              <w:rPr>
                <w:rFonts w:ascii="Montserrat" w:hAnsi="Montserrat"/>
                <w:color w:val="000000"/>
                <w:sz w:val="15"/>
                <w:szCs w:val="15"/>
              </w:rPr>
              <w:t>35.5</w:t>
            </w:r>
          </w:p>
        </w:tc>
      </w:tr>
      <w:tr w:rsidR="00B8182B" w:rsidRPr="00393F62" w14:paraId="53BB2DAB" w14:textId="77777777" w:rsidTr="000F0321">
        <w:trPr>
          <w:jc w:val="center"/>
        </w:trPr>
        <w:tc>
          <w:tcPr>
            <w:tcW w:w="1322" w:type="dxa"/>
            <w:tcBorders>
              <w:top w:val="nil"/>
              <w:left w:val="nil"/>
              <w:bottom w:val="nil"/>
              <w:right w:val="nil"/>
            </w:tcBorders>
            <w:shd w:val="clear" w:color="auto" w:fill="F2F2F2" w:themeFill="background1" w:themeFillShade="F2"/>
          </w:tcPr>
          <w:p w14:paraId="3F4F6DB3" w14:textId="2806A157" w:rsidR="00B8182B" w:rsidRPr="000F0321" w:rsidRDefault="00B8182B" w:rsidP="00B8182B">
            <w:pPr>
              <w:spacing w:after="0" w:line="240" w:lineRule="exact"/>
              <w:jc w:val="center"/>
              <w:rPr>
                <w:rFonts w:ascii="Montserrat" w:hAnsi="Montserrat"/>
                <w:sz w:val="15"/>
                <w:szCs w:val="15"/>
              </w:rPr>
            </w:pPr>
            <w:r w:rsidRPr="000F0321">
              <w:rPr>
                <w:rFonts w:ascii="Montserrat" w:hAnsi="Montserrat"/>
                <w:sz w:val="15"/>
                <w:szCs w:val="15"/>
              </w:rPr>
              <w:t>2018</w:t>
            </w:r>
          </w:p>
        </w:tc>
        <w:tc>
          <w:tcPr>
            <w:tcW w:w="2698" w:type="dxa"/>
            <w:tcBorders>
              <w:top w:val="nil"/>
              <w:left w:val="nil"/>
              <w:bottom w:val="nil"/>
              <w:right w:val="nil"/>
            </w:tcBorders>
            <w:shd w:val="clear" w:color="auto" w:fill="F2F2F2" w:themeFill="background1" w:themeFillShade="F2"/>
            <w:vAlign w:val="center"/>
          </w:tcPr>
          <w:p w14:paraId="65303049" w14:textId="21684A91" w:rsidR="00B8182B" w:rsidRPr="000F0321" w:rsidRDefault="00B8182B" w:rsidP="00B8182B">
            <w:pPr>
              <w:spacing w:after="0" w:line="240" w:lineRule="exact"/>
              <w:jc w:val="right"/>
              <w:rPr>
                <w:rFonts w:ascii="Montserrat" w:hAnsi="Montserrat"/>
                <w:spacing w:val="-1"/>
                <w:sz w:val="15"/>
                <w:szCs w:val="15"/>
              </w:rPr>
            </w:pPr>
            <w:r w:rsidRPr="000F0321">
              <w:rPr>
                <w:rFonts w:ascii="Montserrat" w:hAnsi="Montserrat"/>
                <w:spacing w:val="-1"/>
                <w:sz w:val="15"/>
                <w:szCs w:val="15"/>
              </w:rPr>
              <w:t>8,315,864,562,499</w:t>
            </w:r>
          </w:p>
        </w:tc>
        <w:tc>
          <w:tcPr>
            <w:tcW w:w="2134" w:type="dxa"/>
            <w:tcBorders>
              <w:top w:val="nil"/>
              <w:left w:val="nil"/>
              <w:bottom w:val="nil"/>
              <w:right w:val="nil"/>
            </w:tcBorders>
            <w:shd w:val="clear" w:color="auto" w:fill="F2F2F2" w:themeFill="background1" w:themeFillShade="F2"/>
            <w:vAlign w:val="bottom"/>
          </w:tcPr>
          <w:p w14:paraId="04B94C92" w14:textId="39016CDA" w:rsidR="00B8182B" w:rsidRPr="000F0321" w:rsidRDefault="00B8182B" w:rsidP="00B8182B">
            <w:pPr>
              <w:spacing w:after="0" w:line="240" w:lineRule="exact"/>
              <w:jc w:val="center"/>
              <w:rPr>
                <w:rFonts w:ascii="Montserrat" w:hAnsi="Montserrat"/>
                <w:color w:val="000000"/>
                <w:sz w:val="15"/>
                <w:szCs w:val="15"/>
              </w:rPr>
            </w:pPr>
            <w:r w:rsidRPr="000F0321">
              <w:rPr>
                <w:rFonts w:ascii="Montserrat" w:hAnsi="Montserrat"/>
                <w:sz w:val="15"/>
                <w:szCs w:val="15"/>
              </w:rPr>
              <w:t>43.6</w:t>
            </w:r>
          </w:p>
        </w:tc>
      </w:tr>
      <w:tr w:rsidR="00B8182B" w:rsidRPr="00393F62" w14:paraId="533BA34E" w14:textId="77777777" w:rsidTr="000F0321">
        <w:trPr>
          <w:jc w:val="center"/>
        </w:trPr>
        <w:tc>
          <w:tcPr>
            <w:tcW w:w="1322" w:type="dxa"/>
            <w:tcBorders>
              <w:top w:val="nil"/>
              <w:left w:val="nil"/>
              <w:bottom w:val="single" w:sz="12" w:space="0" w:color="808080" w:themeColor="background1" w:themeShade="80"/>
              <w:right w:val="nil"/>
            </w:tcBorders>
            <w:shd w:val="clear" w:color="auto" w:fill="F2F2F2" w:themeFill="background1" w:themeFillShade="F2"/>
          </w:tcPr>
          <w:p w14:paraId="42613FC7" w14:textId="21AC74EF" w:rsidR="00B8182B" w:rsidRPr="000F0321" w:rsidRDefault="00B8182B" w:rsidP="00B8182B">
            <w:pPr>
              <w:spacing w:after="0" w:line="240" w:lineRule="exact"/>
              <w:jc w:val="center"/>
              <w:rPr>
                <w:rFonts w:ascii="Montserrat" w:hAnsi="Montserrat"/>
                <w:sz w:val="15"/>
                <w:szCs w:val="15"/>
              </w:rPr>
            </w:pPr>
            <w:r w:rsidRPr="000F0321">
              <w:rPr>
                <w:rFonts w:ascii="Montserrat" w:hAnsi="Montserrat"/>
                <w:sz w:val="15"/>
                <w:szCs w:val="15"/>
              </w:rPr>
              <w:t>2019</w:t>
            </w:r>
          </w:p>
        </w:tc>
        <w:tc>
          <w:tcPr>
            <w:tcW w:w="2698" w:type="dxa"/>
            <w:tcBorders>
              <w:top w:val="nil"/>
              <w:left w:val="nil"/>
              <w:bottom w:val="single" w:sz="12" w:space="0" w:color="808080" w:themeColor="background1" w:themeShade="80"/>
              <w:right w:val="nil"/>
            </w:tcBorders>
            <w:shd w:val="clear" w:color="auto" w:fill="F2F2F2" w:themeFill="background1" w:themeFillShade="F2"/>
            <w:vAlign w:val="center"/>
          </w:tcPr>
          <w:p w14:paraId="27D896DA" w14:textId="700EBF4D" w:rsidR="00B8182B" w:rsidRPr="000F0321" w:rsidRDefault="00B8182B" w:rsidP="00B8182B">
            <w:pPr>
              <w:spacing w:after="0" w:line="240" w:lineRule="exact"/>
              <w:jc w:val="right"/>
              <w:rPr>
                <w:rFonts w:ascii="Montserrat" w:hAnsi="Montserrat"/>
                <w:spacing w:val="-1"/>
                <w:sz w:val="15"/>
                <w:szCs w:val="15"/>
              </w:rPr>
            </w:pPr>
            <w:r w:rsidRPr="000F0321">
              <w:rPr>
                <w:rFonts w:ascii="Montserrat" w:hAnsi="Montserrat"/>
                <w:spacing w:val="-1"/>
                <w:sz w:val="15"/>
                <w:szCs w:val="15"/>
              </w:rPr>
              <w:t>8,831,870,930,135</w:t>
            </w:r>
          </w:p>
        </w:tc>
        <w:tc>
          <w:tcPr>
            <w:tcW w:w="2134" w:type="dxa"/>
            <w:tcBorders>
              <w:top w:val="nil"/>
              <w:left w:val="nil"/>
              <w:bottom w:val="single" w:sz="12" w:space="0" w:color="808080" w:themeColor="background1" w:themeShade="80"/>
              <w:right w:val="nil"/>
            </w:tcBorders>
            <w:shd w:val="clear" w:color="auto" w:fill="F2F2F2" w:themeFill="background1" w:themeFillShade="F2"/>
            <w:vAlign w:val="bottom"/>
          </w:tcPr>
          <w:p w14:paraId="3B1FEFB4" w14:textId="00CDDBF2" w:rsidR="00B8182B" w:rsidRPr="000F0321" w:rsidRDefault="00393F62" w:rsidP="00B8182B">
            <w:pPr>
              <w:spacing w:after="0" w:line="240" w:lineRule="exact"/>
              <w:jc w:val="center"/>
              <w:rPr>
                <w:rFonts w:ascii="Montserrat" w:hAnsi="Montserrat"/>
                <w:sz w:val="15"/>
                <w:szCs w:val="15"/>
              </w:rPr>
            </w:pPr>
            <w:r w:rsidRPr="000F0321">
              <w:rPr>
                <w:rFonts w:ascii="Montserrat" w:hAnsi="Montserrat"/>
                <w:sz w:val="15"/>
                <w:szCs w:val="15"/>
              </w:rPr>
              <w:t>37.5</w:t>
            </w:r>
          </w:p>
        </w:tc>
      </w:tr>
    </w:tbl>
    <w:p w14:paraId="1364848D" w14:textId="77777777" w:rsidR="00A15EEC" w:rsidRDefault="00A15EEC">
      <w:pPr>
        <w:spacing w:after="0" w:line="240" w:lineRule="auto"/>
        <w:jc w:val="both"/>
        <w:rPr>
          <w:rFonts w:ascii="Montserrat" w:hAnsi="Montserrat" w:cs="Arial"/>
          <w:spacing w:val="-1"/>
          <w:sz w:val="18"/>
          <w:szCs w:val="18"/>
        </w:rPr>
      </w:pPr>
    </w:p>
    <w:p w14:paraId="123DCB53" w14:textId="77777777" w:rsidR="00A15EEC" w:rsidRDefault="00A15EEC">
      <w:pPr>
        <w:spacing w:after="0" w:line="240" w:lineRule="auto"/>
        <w:jc w:val="both"/>
        <w:rPr>
          <w:rFonts w:ascii="Montserrat" w:hAnsi="Montserrat" w:cs="Arial"/>
          <w:spacing w:val="-1"/>
          <w:sz w:val="18"/>
          <w:szCs w:val="18"/>
        </w:rPr>
      </w:pPr>
    </w:p>
    <w:p w14:paraId="3925F632" w14:textId="3E2CF5B5" w:rsidR="00A15EEC" w:rsidRPr="00CA3625" w:rsidRDefault="00A15EEC" w:rsidP="000F0321">
      <w:pPr>
        <w:pStyle w:val="Prrafodelista"/>
        <w:numPr>
          <w:ilvl w:val="0"/>
          <w:numId w:val="17"/>
        </w:numPr>
        <w:spacing w:after="120" w:line="250" w:lineRule="exact"/>
        <w:ind w:left="714" w:hanging="357"/>
        <w:jc w:val="both"/>
        <w:rPr>
          <w:rFonts w:ascii="Montserrat" w:hAnsi="Montserrat" w:cs="Arial"/>
          <w:spacing w:val="-1"/>
          <w:sz w:val="18"/>
          <w:szCs w:val="18"/>
        </w:rPr>
      </w:pPr>
      <w:r w:rsidRPr="00CA3625">
        <w:rPr>
          <w:rFonts w:ascii="Montserrat" w:hAnsi="Montserrat" w:cs="Arial"/>
          <w:spacing w:val="-1"/>
          <w:sz w:val="18"/>
          <w:szCs w:val="18"/>
        </w:rPr>
        <w:lastRenderedPageBreak/>
        <w:t>Deuda Pública Interna y Externa</w:t>
      </w:r>
    </w:p>
    <w:p w14:paraId="56365AD8" w14:textId="41F0BB3A" w:rsidR="009C3C24" w:rsidRPr="00E775AB" w:rsidRDefault="009C3C24" w:rsidP="000F0321">
      <w:pPr>
        <w:rPr>
          <w:b/>
        </w:rPr>
      </w:pPr>
    </w:p>
    <w:tbl>
      <w:tblPr>
        <w:tblW w:w="6197" w:type="dxa"/>
        <w:jc w:val="center"/>
        <w:tblLayout w:type="fixed"/>
        <w:tblCellMar>
          <w:left w:w="0" w:type="dxa"/>
          <w:right w:w="0" w:type="dxa"/>
        </w:tblCellMar>
        <w:tblLook w:val="04A0" w:firstRow="1" w:lastRow="0" w:firstColumn="1" w:lastColumn="0" w:noHBand="0" w:noVBand="1"/>
      </w:tblPr>
      <w:tblGrid>
        <w:gridCol w:w="2268"/>
        <w:gridCol w:w="2112"/>
        <w:gridCol w:w="1817"/>
      </w:tblGrid>
      <w:tr w:rsidR="009C3C24" w:rsidRPr="006F0DF1" w14:paraId="292DFC47" w14:textId="77777777" w:rsidTr="000F0321">
        <w:trPr>
          <w:trHeight w:val="215"/>
          <w:jc w:val="center"/>
        </w:trPr>
        <w:tc>
          <w:tcPr>
            <w:tcW w:w="6197" w:type="dxa"/>
            <w:gridSpan w:val="3"/>
            <w:tcBorders>
              <w:bottom w:val="single" w:sz="12" w:space="0" w:color="808080" w:themeColor="background1" w:themeShade="80"/>
            </w:tcBorders>
            <w:shd w:val="clear" w:color="auto" w:fill="auto"/>
            <w:tcMar>
              <w:top w:w="0" w:type="dxa"/>
              <w:left w:w="108" w:type="dxa"/>
              <w:bottom w:w="0" w:type="dxa"/>
              <w:right w:w="108" w:type="dxa"/>
            </w:tcMar>
          </w:tcPr>
          <w:p w14:paraId="7E47F279" w14:textId="77777777" w:rsidR="009C3C24" w:rsidRPr="00685332" w:rsidRDefault="009C3C24" w:rsidP="009173AE">
            <w:pPr>
              <w:spacing w:after="60" w:line="240" w:lineRule="auto"/>
              <w:jc w:val="center"/>
              <w:rPr>
                <w:rFonts w:ascii="Montserrat" w:hAnsi="Montserrat"/>
                <w:color w:val="FFFFFF"/>
                <w:spacing w:val="-1"/>
                <w:sz w:val="16"/>
                <w:szCs w:val="16"/>
              </w:rPr>
            </w:pPr>
            <w:r w:rsidRPr="00685332">
              <w:rPr>
                <w:rFonts w:ascii="Montserrat" w:hAnsi="Montserrat"/>
                <w:spacing w:val="-1"/>
                <w:sz w:val="16"/>
                <w:szCs w:val="16"/>
              </w:rPr>
              <w:t>(Pesos)</w:t>
            </w:r>
          </w:p>
        </w:tc>
      </w:tr>
      <w:tr w:rsidR="00A71F0F" w:rsidRPr="00A71F0F" w14:paraId="37408D1E" w14:textId="77777777" w:rsidTr="000F0321">
        <w:trPr>
          <w:trHeight w:val="57"/>
          <w:jc w:val="center"/>
        </w:trPr>
        <w:tc>
          <w:tcPr>
            <w:tcW w:w="6197" w:type="dxa"/>
            <w:gridSpan w:val="3"/>
            <w:tcBorders>
              <w:top w:val="single" w:sz="12" w:space="0" w:color="808080" w:themeColor="background1" w:themeShade="80"/>
            </w:tcBorders>
            <w:shd w:val="clear" w:color="auto" w:fill="auto"/>
            <w:tcMar>
              <w:top w:w="0" w:type="dxa"/>
              <w:left w:w="108" w:type="dxa"/>
              <w:bottom w:w="0" w:type="dxa"/>
              <w:right w:w="108" w:type="dxa"/>
            </w:tcMar>
          </w:tcPr>
          <w:p w14:paraId="6433EE0E" w14:textId="77777777" w:rsidR="00A71F0F" w:rsidRPr="00A71F0F" w:rsidRDefault="00A71F0F" w:rsidP="00A71F0F">
            <w:pPr>
              <w:spacing w:after="0" w:line="240" w:lineRule="auto"/>
              <w:rPr>
                <w:sz w:val="4"/>
                <w:szCs w:val="4"/>
              </w:rPr>
            </w:pPr>
          </w:p>
        </w:tc>
      </w:tr>
      <w:tr w:rsidR="009C3C24" w:rsidRPr="006F0DF1" w14:paraId="73B7AA68" w14:textId="77777777" w:rsidTr="000F0321">
        <w:trPr>
          <w:trHeight w:val="317"/>
          <w:jc w:val="center"/>
        </w:trPr>
        <w:tc>
          <w:tcPr>
            <w:tcW w:w="2268" w:type="dxa"/>
            <w:tcBorders>
              <w:bottom w:val="double" w:sz="12" w:space="0" w:color="808080" w:themeColor="background1" w:themeShade="80"/>
              <w:right w:val="single" w:sz="8" w:space="0" w:color="FFFFFF" w:themeColor="background1"/>
            </w:tcBorders>
            <w:shd w:val="clear" w:color="auto" w:fill="D4C19C"/>
            <w:tcMar>
              <w:top w:w="0" w:type="dxa"/>
              <w:left w:w="108" w:type="dxa"/>
              <w:bottom w:w="0" w:type="dxa"/>
              <w:right w:w="108" w:type="dxa"/>
            </w:tcMar>
            <w:hideMark/>
          </w:tcPr>
          <w:p w14:paraId="42727F4E" w14:textId="77777777" w:rsidR="009C3C24" w:rsidRPr="006F0DF1" w:rsidRDefault="009C3C24" w:rsidP="002F797B">
            <w:pPr>
              <w:spacing w:after="0" w:line="240" w:lineRule="exact"/>
              <w:jc w:val="center"/>
              <w:rPr>
                <w:rFonts w:ascii="Montserrat" w:hAnsi="Montserrat"/>
                <w:b/>
                <w:bCs/>
                <w:color w:val="FFFFFF"/>
                <w:spacing w:val="-1"/>
                <w:sz w:val="16"/>
                <w:szCs w:val="16"/>
              </w:rPr>
            </w:pPr>
            <w:r w:rsidRPr="006F0DF1">
              <w:rPr>
                <w:rFonts w:ascii="Montserrat" w:hAnsi="Montserrat"/>
                <w:b/>
                <w:bCs/>
                <w:color w:val="FFFFFF"/>
                <w:spacing w:val="-1"/>
                <w:sz w:val="16"/>
                <w:szCs w:val="16"/>
              </w:rPr>
              <w:t>Concepto</w:t>
            </w:r>
          </w:p>
        </w:tc>
        <w:tc>
          <w:tcPr>
            <w:tcW w:w="2112" w:type="dxa"/>
            <w:tcBorders>
              <w:left w:val="single" w:sz="8" w:space="0" w:color="FFFFFF" w:themeColor="background1"/>
              <w:bottom w:val="double" w:sz="12" w:space="0" w:color="808080" w:themeColor="background1" w:themeShade="80"/>
              <w:right w:val="single" w:sz="8" w:space="0" w:color="FFFFFF" w:themeColor="background1"/>
            </w:tcBorders>
            <w:shd w:val="clear" w:color="auto" w:fill="D4C19C"/>
          </w:tcPr>
          <w:p w14:paraId="3D8AB126" w14:textId="77777777" w:rsidR="009C3C24" w:rsidRPr="006F0DF1" w:rsidRDefault="009C3C24" w:rsidP="002F797B">
            <w:pPr>
              <w:spacing w:after="0" w:line="240" w:lineRule="exact"/>
              <w:jc w:val="center"/>
              <w:rPr>
                <w:rFonts w:ascii="Montserrat" w:hAnsi="Montserrat"/>
                <w:b/>
                <w:bCs/>
                <w:color w:val="FFFFFF"/>
                <w:spacing w:val="-1"/>
                <w:sz w:val="16"/>
                <w:szCs w:val="16"/>
              </w:rPr>
            </w:pPr>
            <w:r>
              <w:rPr>
                <w:rFonts w:ascii="Montserrat" w:hAnsi="Montserrat"/>
                <w:b/>
                <w:bCs/>
                <w:color w:val="FFFFFF"/>
                <w:spacing w:val="-1"/>
                <w:sz w:val="16"/>
                <w:szCs w:val="16"/>
              </w:rPr>
              <w:t>201</w:t>
            </w:r>
            <w:r w:rsidR="007E26E9">
              <w:rPr>
                <w:rFonts w:ascii="Montserrat" w:hAnsi="Montserrat"/>
                <w:b/>
                <w:bCs/>
                <w:color w:val="FFFFFF"/>
                <w:spacing w:val="-1"/>
                <w:sz w:val="16"/>
                <w:szCs w:val="16"/>
              </w:rPr>
              <w:t>9</w:t>
            </w:r>
          </w:p>
        </w:tc>
        <w:tc>
          <w:tcPr>
            <w:tcW w:w="1817" w:type="dxa"/>
            <w:tcBorders>
              <w:left w:val="single" w:sz="8" w:space="0" w:color="FFFFFF" w:themeColor="background1"/>
              <w:bottom w:val="double" w:sz="12" w:space="0" w:color="808080" w:themeColor="background1" w:themeShade="80"/>
              <w:right w:val="single" w:sz="8" w:space="0" w:color="BFBFBF"/>
            </w:tcBorders>
            <w:shd w:val="clear" w:color="auto" w:fill="D4C19C"/>
            <w:tcMar>
              <w:top w:w="0" w:type="dxa"/>
              <w:left w:w="108" w:type="dxa"/>
              <w:bottom w:w="0" w:type="dxa"/>
              <w:right w:w="108" w:type="dxa"/>
            </w:tcMar>
          </w:tcPr>
          <w:p w14:paraId="0CBAC22B" w14:textId="77777777" w:rsidR="009C3C24" w:rsidRPr="006F0DF1" w:rsidRDefault="009C3C24" w:rsidP="002F797B">
            <w:pPr>
              <w:spacing w:after="0" w:line="240" w:lineRule="exact"/>
              <w:jc w:val="center"/>
              <w:rPr>
                <w:rFonts w:ascii="Montserrat" w:hAnsi="Montserrat"/>
                <w:b/>
                <w:bCs/>
                <w:color w:val="FFFFFF"/>
                <w:spacing w:val="-1"/>
                <w:sz w:val="16"/>
                <w:szCs w:val="16"/>
              </w:rPr>
            </w:pPr>
            <w:r>
              <w:rPr>
                <w:rFonts w:ascii="Montserrat" w:hAnsi="Montserrat"/>
                <w:b/>
                <w:bCs/>
                <w:color w:val="FFFFFF"/>
                <w:spacing w:val="-1"/>
                <w:sz w:val="16"/>
                <w:szCs w:val="16"/>
              </w:rPr>
              <w:t>201</w:t>
            </w:r>
            <w:r w:rsidR="007E26E9">
              <w:rPr>
                <w:rFonts w:ascii="Montserrat" w:hAnsi="Montserrat"/>
                <w:b/>
                <w:bCs/>
                <w:color w:val="FFFFFF"/>
                <w:spacing w:val="-1"/>
                <w:sz w:val="16"/>
                <w:szCs w:val="16"/>
              </w:rPr>
              <w:t>8</w:t>
            </w:r>
          </w:p>
        </w:tc>
      </w:tr>
      <w:tr w:rsidR="007E26E9" w:rsidRPr="006F0DF1" w14:paraId="1905B3B8" w14:textId="77777777" w:rsidTr="000F0321">
        <w:trPr>
          <w:trHeight w:val="215"/>
          <w:jc w:val="center"/>
        </w:trPr>
        <w:tc>
          <w:tcPr>
            <w:tcW w:w="2268" w:type="dxa"/>
            <w:tcBorders>
              <w:top w:val="double" w:sz="12" w:space="0" w:color="808080" w:themeColor="background1" w:themeShade="80"/>
            </w:tcBorders>
            <w:shd w:val="clear" w:color="auto" w:fill="F2F2F2" w:themeFill="background1" w:themeFillShade="F2"/>
            <w:tcMar>
              <w:top w:w="0" w:type="dxa"/>
              <w:left w:w="108" w:type="dxa"/>
              <w:bottom w:w="0" w:type="dxa"/>
              <w:right w:w="108" w:type="dxa"/>
            </w:tcMar>
            <w:hideMark/>
          </w:tcPr>
          <w:p w14:paraId="68116039" w14:textId="77777777" w:rsidR="007E26E9" w:rsidRPr="000F0321" w:rsidRDefault="007E26E9" w:rsidP="007E26E9">
            <w:pPr>
              <w:spacing w:after="0" w:line="240" w:lineRule="exact"/>
              <w:rPr>
                <w:rFonts w:ascii="Montserrat" w:hAnsi="Montserrat"/>
                <w:b/>
                <w:spacing w:val="-1"/>
                <w:sz w:val="15"/>
                <w:szCs w:val="15"/>
              </w:rPr>
            </w:pPr>
            <w:r w:rsidRPr="000F0321">
              <w:rPr>
                <w:rFonts w:ascii="Montserrat" w:hAnsi="Montserrat"/>
                <w:b/>
                <w:sz w:val="15"/>
                <w:szCs w:val="15"/>
              </w:rPr>
              <w:t>Total Deuda Pública</w:t>
            </w:r>
          </w:p>
        </w:tc>
        <w:tc>
          <w:tcPr>
            <w:tcW w:w="2112" w:type="dxa"/>
            <w:tcBorders>
              <w:top w:val="double" w:sz="12" w:space="0" w:color="808080" w:themeColor="background1" w:themeShade="80"/>
            </w:tcBorders>
            <w:shd w:val="clear" w:color="auto" w:fill="F2F2F2" w:themeFill="background1" w:themeFillShade="F2"/>
            <w:vAlign w:val="center"/>
          </w:tcPr>
          <w:p w14:paraId="7DA56210" w14:textId="4B4B6C46" w:rsidR="007E26E9" w:rsidRPr="000F0321" w:rsidRDefault="00B8182B" w:rsidP="007E26E9">
            <w:pPr>
              <w:spacing w:after="0" w:line="240" w:lineRule="exact"/>
              <w:ind w:right="57"/>
              <w:jc w:val="right"/>
              <w:rPr>
                <w:rFonts w:ascii="Montserrat" w:hAnsi="Montserrat"/>
                <w:b/>
                <w:spacing w:val="-1"/>
                <w:sz w:val="15"/>
                <w:szCs w:val="15"/>
              </w:rPr>
            </w:pPr>
            <w:r w:rsidRPr="000F0321">
              <w:rPr>
                <w:rFonts w:ascii="Montserrat" w:hAnsi="Montserrat"/>
                <w:b/>
                <w:spacing w:val="-1"/>
                <w:sz w:val="15"/>
                <w:szCs w:val="15"/>
              </w:rPr>
              <w:t>8,831,870,930,135</w:t>
            </w:r>
          </w:p>
        </w:tc>
        <w:tc>
          <w:tcPr>
            <w:tcW w:w="1817" w:type="dxa"/>
            <w:tcBorders>
              <w:top w:val="double" w:sz="12" w:space="0" w:color="808080" w:themeColor="background1" w:themeShade="80"/>
            </w:tcBorders>
            <w:shd w:val="clear" w:color="auto" w:fill="F2F2F2" w:themeFill="background1" w:themeFillShade="F2"/>
            <w:tcMar>
              <w:top w:w="0" w:type="dxa"/>
              <w:left w:w="108" w:type="dxa"/>
              <w:bottom w:w="0" w:type="dxa"/>
              <w:right w:w="108" w:type="dxa"/>
            </w:tcMar>
            <w:vAlign w:val="center"/>
          </w:tcPr>
          <w:p w14:paraId="4CB00D94" w14:textId="77777777" w:rsidR="007E26E9" w:rsidRPr="000F0321" w:rsidRDefault="007E26E9" w:rsidP="007E26E9">
            <w:pPr>
              <w:spacing w:after="0" w:line="240" w:lineRule="exact"/>
              <w:ind w:right="57"/>
              <w:jc w:val="right"/>
              <w:rPr>
                <w:rFonts w:ascii="Montserrat" w:hAnsi="Montserrat"/>
                <w:b/>
                <w:spacing w:val="-1"/>
                <w:sz w:val="15"/>
                <w:szCs w:val="15"/>
              </w:rPr>
            </w:pPr>
            <w:r w:rsidRPr="000F0321">
              <w:rPr>
                <w:rFonts w:ascii="Montserrat" w:hAnsi="Montserrat"/>
                <w:b/>
                <w:spacing w:val="-1"/>
                <w:sz w:val="15"/>
                <w:szCs w:val="15"/>
              </w:rPr>
              <w:t>8,315,864,562,499</w:t>
            </w:r>
          </w:p>
        </w:tc>
      </w:tr>
      <w:tr w:rsidR="007E26E9" w:rsidRPr="006F0DF1" w14:paraId="535436C6" w14:textId="77777777" w:rsidTr="000F0321">
        <w:trPr>
          <w:trHeight w:val="215"/>
          <w:jc w:val="center"/>
        </w:trPr>
        <w:tc>
          <w:tcPr>
            <w:tcW w:w="2268" w:type="dxa"/>
            <w:shd w:val="clear" w:color="auto" w:fill="F2F2F2" w:themeFill="background1" w:themeFillShade="F2"/>
            <w:tcMar>
              <w:top w:w="0" w:type="dxa"/>
              <w:left w:w="108" w:type="dxa"/>
              <w:bottom w:w="0" w:type="dxa"/>
              <w:right w:w="108" w:type="dxa"/>
            </w:tcMar>
            <w:hideMark/>
          </w:tcPr>
          <w:p w14:paraId="0ACC623A" w14:textId="77777777" w:rsidR="007E26E9" w:rsidRPr="000F0321" w:rsidRDefault="007E26E9" w:rsidP="007E26E9">
            <w:pPr>
              <w:spacing w:after="0" w:line="240" w:lineRule="exact"/>
              <w:jc w:val="both"/>
              <w:rPr>
                <w:rFonts w:ascii="Montserrat" w:hAnsi="Montserrat"/>
                <w:spacing w:val="-1"/>
                <w:sz w:val="15"/>
                <w:szCs w:val="15"/>
              </w:rPr>
            </w:pPr>
            <w:r w:rsidRPr="000F0321">
              <w:rPr>
                <w:rFonts w:ascii="Montserrat" w:hAnsi="Montserrat"/>
                <w:spacing w:val="-1"/>
                <w:sz w:val="15"/>
                <w:szCs w:val="15"/>
              </w:rPr>
              <w:t>Total Deuda Interna</w:t>
            </w:r>
          </w:p>
        </w:tc>
        <w:tc>
          <w:tcPr>
            <w:tcW w:w="2112" w:type="dxa"/>
            <w:shd w:val="clear" w:color="auto" w:fill="F2F2F2" w:themeFill="background1" w:themeFillShade="F2"/>
            <w:vAlign w:val="center"/>
          </w:tcPr>
          <w:p w14:paraId="5DE11061" w14:textId="278588DB" w:rsidR="007E26E9" w:rsidRPr="000F0321" w:rsidRDefault="00B8182B" w:rsidP="007E26E9">
            <w:pPr>
              <w:spacing w:after="0" w:line="240" w:lineRule="exact"/>
              <w:ind w:right="57"/>
              <w:jc w:val="right"/>
              <w:rPr>
                <w:rFonts w:ascii="Montserrat" w:hAnsi="Montserrat"/>
                <w:spacing w:val="-1"/>
                <w:sz w:val="15"/>
                <w:szCs w:val="15"/>
              </w:rPr>
            </w:pPr>
            <w:r w:rsidRPr="000F0321">
              <w:rPr>
                <w:rFonts w:ascii="Montserrat" w:hAnsi="Montserrat"/>
                <w:spacing w:val="-1"/>
                <w:sz w:val="15"/>
                <w:szCs w:val="15"/>
              </w:rPr>
              <w:t>6,955,385,123,880</w:t>
            </w:r>
          </w:p>
        </w:tc>
        <w:tc>
          <w:tcPr>
            <w:tcW w:w="1817" w:type="dxa"/>
            <w:shd w:val="clear" w:color="auto" w:fill="F2F2F2" w:themeFill="background1" w:themeFillShade="F2"/>
            <w:tcMar>
              <w:top w:w="0" w:type="dxa"/>
              <w:left w:w="108" w:type="dxa"/>
              <w:bottom w:w="0" w:type="dxa"/>
              <w:right w:w="108" w:type="dxa"/>
            </w:tcMar>
            <w:vAlign w:val="center"/>
          </w:tcPr>
          <w:p w14:paraId="1E3E33C1" w14:textId="77777777" w:rsidR="007E26E9" w:rsidRPr="000F0321" w:rsidRDefault="007E26E9" w:rsidP="007E26E9">
            <w:pPr>
              <w:spacing w:after="0" w:line="240" w:lineRule="exact"/>
              <w:ind w:right="57"/>
              <w:jc w:val="right"/>
              <w:rPr>
                <w:rFonts w:ascii="Montserrat" w:hAnsi="Montserrat"/>
                <w:spacing w:val="-1"/>
                <w:sz w:val="15"/>
                <w:szCs w:val="15"/>
              </w:rPr>
            </w:pPr>
            <w:r w:rsidRPr="000F0321">
              <w:rPr>
                <w:rFonts w:ascii="Montserrat" w:hAnsi="Montserrat"/>
                <w:spacing w:val="-1"/>
                <w:sz w:val="15"/>
                <w:szCs w:val="15"/>
              </w:rPr>
              <w:t>6,429,344,407,993</w:t>
            </w:r>
          </w:p>
        </w:tc>
      </w:tr>
      <w:tr w:rsidR="007E26E9" w:rsidRPr="006F0DF1" w14:paraId="61A448AD" w14:textId="77777777" w:rsidTr="000F0321">
        <w:trPr>
          <w:trHeight w:val="215"/>
          <w:jc w:val="center"/>
        </w:trPr>
        <w:tc>
          <w:tcPr>
            <w:tcW w:w="2268" w:type="dxa"/>
            <w:tcBorders>
              <w:bottom w:val="single" w:sz="12" w:space="0" w:color="808080" w:themeColor="background1" w:themeShade="80"/>
            </w:tcBorders>
            <w:shd w:val="clear" w:color="auto" w:fill="F2F2F2" w:themeFill="background1" w:themeFillShade="F2"/>
            <w:tcMar>
              <w:top w:w="0" w:type="dxa"/>
              <w:left w:w="108" w:type="dxa"/>
              <w:bottom w:w="0" w:type="dxa"/>
              <w:right w:w="108" w:type="dxa"/>
            </w:tcMar>
          </w:tcPr>
          <w:p w14:paraId="60C62497" w14:textId="77777777" w:rsidR="007E26E9" w:rsidRPr="000F0321" w:rsidRDefault="007E26E9" w:rsidP="007E26E9">
            <w:pPr>
              <w:spacing w:after="0" w:line="240" w:lineRule="exact"/>
              <w:rPr>
                <w:rFonts w:ascii="Montserrat" w:hAnsi="Montserrat"/>
                <w:bCs/>
                <w:spacing w:val="-1"/>
                <w:sz w:val="15"/>
                <w:szCs w:val="15"/>
              </w:rPr>
            </w:pPr>
            <w:r w:rsidRPr="000F0321">
              <w:rPr>
                <w:rFonts w:ascii="Montserrat" w:hAnsi="Montserrat"/>
                <w:bCs/>
                <w:spacing w:val="-1"/>
                <w:sz w:val="15"/>
                <w:szCs w:val="15"/>
              </w:rPr>
              <w:t>Total Deuda Externa</w:t>
            </w:r>
          </w:p>
        </w:tc>
        <w:tc>
          <w:tcPr>
            <w:tcW w:w="2112" w:type="dxa"/>
            <w:tcBorders>
              <w:bottom w:val="single" w:sz="12" w:space="0" w:color="808080" w:themeColor="background1" w:themeShade="80"/>
            </w:tcBorders>
            <w:shd w:val="clear" w:color="auto" w:fill="F2F2F2" w:themeFill="background1" w:themeFillShade="F2"/>
            <w:vAlign w:val="center"/>
          </w:tcPr>
          <w:p w14:paraId="2C76ACD1" w14:textId="48E001B7" w:rsidR="007E26E9" w:rsidRPr="000F0321" w:rsidRDefault="00B8182B" w:rsidP="007E26E9">
            <w:pPr>
              <w:spacing w:after="0" w:line="240" w:lineRule="exact"/>
              <w:ind w:right="57"/>
              <w:jc w:val="right"/>
              <w:rPr>
                <w:rFonts w:ascii="Montserrat" w:hAnsi="Montserrat"/>
                <w:spacing w:val="-1"/>
                <w:sz w:val="15"/>
                <w:szCs w:val="15"/>
              </w:rPr>
            </w:pPr>
            <w:r w:rsidRPr="000F0321">
              <w:rPr>
                <w:rFonts w:ascii="Montserrat" w:hAnsi="Montserrat"/>
                <w:spacing w:val="-1"/>
                <w:sz w:val="15"/>
                <w:szCs w:val="15"/>
              </w:rPr>
              <w:t>1,876,485,806,255</w:t>
            </w:r>
          </w:p>
        </w:tc>
        <w:tc>
          <w:tcPr>
            <w:tcW w:w="1817" w:type="dxa"/>
            <w:tcBorders>
              <w:bottom w:val="single" w:sz="12" w:space="0" w:color="808080" w:themeColor="background1" w:themeShade="80"/>
            </w:tcBorders>
            <w:shd w:val="clear" w:color="auto" w:fill="F2F2F2" w:themeFill="background1" w:themeFillShade="F2"/>
            <w:tcMar>
              <w:top w:w="0" w:type="dxa"/>
              <w:left w:w="108" w:type="dxa"/>
              <w:bottom w:w="0" w:type="dxa"/>
              <w:right w:w="108" w:type="dxa"/>
            </w:tcMar>
            <w:vAlign w:val="center"/>
          </w:tcPr>
          <w:p w14:paraId="5FD0A058" w14:textId="77777777" w:rsidR="007E26E9" w:rsidRPr="000F0321" w:rsidRDefault="007E26E9" w:rsidP="007E26E9">
            <w:pPr>
              <w:spacing w:after="0" w:line="240" w:lineRule="exact"/>
              <w:ind w:right="57"/>
              <w:jc w:val="right"/>
              <w:rPr>
                <w:rFonts w:ascii="Montserrat" w:hAnsi="Montserrat"/>
                <w:spacing w:val="-1"/>
                <w:sz w:val="15"/>
                <w:szCs w:val="15"/>
              </w:rPr>
            </w:pPr>
            <w:r w:rsidRPr="000F0321">
              <w:rPr>
                <w:rFonts w:ascii="Montserrat" w:hAnsi="Montserrat"/>
                <w:spacing w:val="-1"/>
                <w:sz w:val="15"/>
                <w:szCs w:val="15"/>
              </w:rPr>
              <w:t>1,886,520,154,506</w:t>
            </w:r>
          </w:p>
        </w:tc>
      </w:tr>
    </w:tbl>
    <w:p w14:paraId="76850696" w14:textId="77777777" w:rsidR="00186984" w:rsidRDefault="00186984" w:rsidP="00F01A61">
      <w:pPr>
        <w:spacing w:after="0" w:line="240" w:lineRule="auto"/>
        <w:jc w:val="both"/>
        <w:rPr>
          <w:rFonts w:ascii="Montserrat" w:hAnsi="Montserrat" w:cs="Arial"/>
          <w:spacing w:val="-1"/>
          <w:sz w:val="18"/>
          <w:szCs w:val="18"/>
        </w:rPr>
      </w:pPr>
    </w:p>
    <w:p w14:paraId="685A9E5A" w14:textId="77777777" w:rsidR="00F01A61" w:rsidRDefault="00F01A61" w:rsidP="00F01A61">
      <w:pPr>
        <w:spacing w:after="0" w:line="240" w:lineRule="auto"/>
        <w:jc w:val="both"/>
        <w:rPr>
          <w:rFonts w:ascii="Montserrat" w:hAnsi="Montserrat" w:cs="Arial"/>
          <w:spacing w:val="-1"/>
          <w:sz w:val="18"/>
          <w:szCs w:val="18"/>
        </w:rPr>
      </w:pPr>
    </w:p>
    <w:p w14:paraId="5C0FDD4C" w14:textId="77777777" w:rsidR="009C3C24" w:rsidRPr="00CA3625" w:rsidRDefault="009C3C24" w:rsidP="005A5AC5">
      <w:pPr>
        <w:pStyle w:val="Prrafodelista"/>
        <w:numPr>
          <w:ilvl w:val="0"/>
          <w:numId w:val="18"/>
        </w:numPr>
        <w:spacing w:after="120" w:line="250" w:lineRule="exact"/>
        <w:ind w:left="714" w:hanging="357"/>
        <w:jc w:val="both"/>
        <w:rPr>
          <w:rFonts w:ascii="Montserrat" w:hAnsi="Montserrat" w:cs="Arial"/>
          <w:spacing w:val="-1"/>
          <w:sz w:val="18"/>
          <w:szCs w:val="18"/>
        </w:rPr>
      </w:pPr>
      <w:r w:rsidRPr="00CA3625">
        <w:rPr>
          <w:rFonts w:ascii="Montserrat" w:hAnsi="Montserrat" w:cs="Arial"/>
          <w:spacing w:val="-1"/>
          <w:sz w:val="18"/>
          <w:szCs w:val="18"/>
        </w:rPr>
        <w:t>Deuda Pública Interna por Fuente de Financiamiento, País Acreedor y Divisa</w:t>
      </w:r>
    </w:p>
    <w:p w14:paraId="67A9A012" w14:textId="77777777" w:rsidR="00F01A61" w:rsidRPr="00F01A61" w:rsidRDefault="00F01A61" w:rsidP="00F01A61">
      <w:pPr>
        <w:spacing w:after="0" w:line="240" w:lineRule="auto"/>
        <w:jc w:val="both"/>
        <w:rPr>
          <w:rFonts w:ascii="Montserrat" w:hAnsi="Montserrat" w:cs="Arial"/>
          <w:spacing w:val="-1"/>
          <w:sz w:val="18"/>
          <w:szCs w:val="18"/>
        </w:rPr>
      </w:pPr>
    </w:p>
    <w:tbl>
      <w:tblPr>
        <w:tblW w:w="11318" w:type="dxa"/>
        <w:jc w:val="center"/>
        <w:tblLayout w:type="fixed"/>
        <w:tblCellMar>
          <w:left w:w="0" w:type="dxa"/>
          <w:right w:w="0" w:type="dxa"/>
        </w:tblCellMar>
        <w:tblLook w:val="04A0" w:firstRow="1" w:lastRow="0" w:firstColumn="1" w:lastColumn="0" w:noHBand="0" w:noVBand="1"/>
      </w:tblPr>
      <w:tblGrid>
        <w:gridCol w:w="1103"/>
        <w:gridCol w:w="1134"/>
        <w:gridCol w:w="5102"/>
        <w:gridCol w:w="1984"/>
        <w:gridCol w:w="1984"/>
        <w:gridCol w:w="11"/>
      </w:tblGrid>
      <w:tr w:rsidR="009C3C24" w:rsidRPr="006F0DF1" w14:paraId="43107AC6" w14:textId="77777777" w:rsidTr="002F797B">
        <w:trPr>
          <w:trHeight w:val="215"/>
          <w:jc w:val="center"/>
        </w:trPr>
        <w:tc>
          <w:tcPr>
            <w:tcW w:w="11318" w:type="dxa"/>
            <w:gridSpan w:val="6"/>
            <w:shd w:val="clear" w:color="auto" w:fill="auto"/>
          </w:tcPr>
          <w:p w14:paraId="716ECF38" w14:textId="77777777" w:rsidR="009C3C24" w:rsidRPr="00685332" w:rsidRDefault="009C3C24" w:rsidP="00F01A61">
            <w:pPr>
              <w:spacing w:after="60" w:line="240" w:lineRule="auto"/>
              <w:jc w:val="center"/>
              <w:rPr>
                <w:rFonts w:ascii="Montserrat" w:hAnsi="Montserrat"/>
                <w:color w:val="FFFFFF"/>
                <w:spacing w:val="-1"/>
                <w:sz w:val="16"/>
                <w:szCs w:val="16"/>
                <w:lang w:val="es-ES_tradnl"/>
              </w:rPr>
            </w:pPr>
            <w:r w:rsidRPr="00685332">
              <w:rPr>
                <w:rFonts w:ascii="Montserrat" w:hAnsi="Montserrat"/>
                <w:spacing w:val="-1"/>
                <w:sz w:val="16"/>
                <w:szCs w:val="16"/>
                <w:lang w:val="es-ES_tradnl"/>
              </w:rPr>
              <w:t>(Pesos)</w:t>
            </w:r>
          </w:p>
        </w:tc>
      </w:tr>
      <w:tr w:rsidR="00A71F0F" w:rsidRPr="00A71F0F" w14:paraId="2195EFA7" w14:textId="77777777" w:rsidTr="00F01A61">
        <w:trPr>
          <w:gridAfter w:val="1"/>
          <w:wAfter w:w="11" w:type="dxa"/>
          <w:trHeight w:val="57"/>
          <w:jc w:val="center"/>
        </w:trPr>
        <w:tc>
          <w:tcPr>
            <w:tcW w:w="11307" w:type="dxa"/>
            <w:gridSpan w:val="5"/>
            <w:tcBorders>
              <w:top w:val="single" w:sz="12" w:space="0" w:color="808080" w:themeColor="background1" w:themeShade="80"/>
            </w:tcBorders>
            <w:shd w:val="clear" w:color="auto" w:fill="auto"/>
          </w:tcPr>
          <w:p w14:paraId="6A42D944" w14:textId="77777777" w:rsidR="00A71F0F" w:rsidRPr="00A71F0F" w:rsidRDefault="00A71F0F" w:rsidP="00A71F0F">
            <w:pPr>
              <w:spacing w:after="0" w:line="240" w:lineRule="auto"/>
              <w:rPr>
                <w:sz w:val="4"/>
                <w:szCs w:val="4"/>
              </w:rPr>
            </w:pPr>
          </w:p>
        </w:tc>
      </w:tr>
      <w:tr w:rsidR="009C3C24" w:rsidRPr="006F0DF1" w14:paraId="6D0197EB" w14:textId="77777777" w:rsidTr="00F01A61">
        <w:trPr>
          <w:gridAfter w:val="1"/>
          <w:wAfter w:w="11" w:type="dxa"/>
          <w:trHeight w:val="317"/>
          <w:jc w:val="center"/>
        </w:trPr>
        <w:tc>
          <w:tcPr>
            <w:tcW w:w="1103" w:type="dxa"/>
            <w:tcBorders>
              <w:bottom w:val="double" w:sz="12" w:space="0" w:color="808080" w:themeColor="background1" w:themeShade="80"/>
              <w:right w:val="single" w:sz="8" w:space="0" w:color="FFFFFF" w:themeColor="background1"/>
            </w:tcBorders>
            <w:shd w:val="clear" w:color="auto" w:fill="D4C19C"/>
          </w:tcPr>
          <w:p w14:paraId="1017AD5E" w14:textId="77777777" w:rsidR="009C3C24" w:rsidRPr="006F0DF1" w:rsidRDefault="009C3C24" w:rsidP="002F797B">
            <w:pPr>
              <w:spacing w:after="0" w:line="240" w:lineRule="exact"/>
              <w:jc w:val="center"/>
              <w:rPr>
                <w:rFonts w:ascii="Montserrat" w:hAnsi="Montserrat"/>
                <w:b/>
                <w:bCs/>
                <w:color w:val="FFFFFF"/>
                <w:spacing w:val="-1"/>
                <w:sz w:val="16"/>
                <w:szCs w:val="16"/>
                <w:lang w:val="es-ES_tradnl"/>
              </w:rPr>
            </w:pPr>
            <w:r w:rsidRPr="006F0DF1">
              <w:rPr>
                <w:rFonts w:ascii="Montserrat" w:hAnsi="Montserrat"/>
                <w:b/>
                <w:bCs/>
                <w:color w:val="FFFFFF"/>
                <w:spacing w:val="-1"/>
                <w:sz w:val="16"/>
                <w:szCs w:val="16"/>
                <w:lang w:val="es-ES_tradnl"/>
              </w:rPr>
              <w:t>País</w:t>
            </w:r>
          </w:p>
        </w:tc>
        <w:tc>
          <w:tcPr>
            <w:tcW w:w="1134" w:type="dxa"/>
            <w:tcBorders>
              <w:left w:val="single" w:sz="8" w:space="0" w:color="FFFFFF" w:themeColor="background1"/>
              <w:bottom w:val="double" w:sz="12" w:space="0" w:color="808080" w:themeColor="background1" w:themeShade="80"/>
              <w:right w:val="single" w:sz="8" w:space="0" w:color="FFFFFF" w:themeColor="background1"/>
            </w:tcBorders>
            <w:shd w:val="clear" w:color="auto" w:fill="D4C19C"/>
          </w:tcPr>
          <w:p w14:paraId="77629E80" w14:textId="77777777" w:rsidR="009C3C24" w:rsidRPr="006F0DF1" w:rsidRDefault="009C3C24" w:rsidP="002F797B">
            <w:pPr>
              <w:spacing w:after="0" w:line="240" w:lineRule="exact"/>
              <w:jc w:val="center"/>
              <w:rPr>
                <w:rFonts w:ascii="Montserrat" w:hAnsi="Montserrat"/>
                <w:b/>
                <w:bCs/>
                <w:color w:val="FFFFFF"/>
                <w:spacing w:val="-1"/>
                <w:sz w:val="16"/>
                <w:szCs w:val="16"/>
                <w:lang w:val="es-ES_tradnl"/>
              </w:rPr>
            </w:pPr>
            <w:r w:rsidRPr="006F0DF1">
              <w:rPr>
                <w:rFonts w:ascii="Montserrat" w:hAnsi="Montserrat"/>
                <w:b/>
                <w:bCs/>
                <w:color w:val="FFFFFF"/>
                <w:spacing w:val="-1"/>
                <w:sz w:val="16"/>
                <w:szCs w:val="16"/>
                <w:lang w:val="es-ES_tradnl"/>
              </w:rPr>
              <w:t>Div.</w:t>
            </w:r>
          </w:p>
        </w:tc>
        <w:tc>
          <w:tcPr>
            <w:tcW w:w="5102" w:type="dxa"/>
            <w:tcBorders>
              <w:left w:val="single" w:sz="8" w:space="0" w:color="FFFFFF" w:themeColor="background1"/>
              <w:bottom w:val="double" w:sz="12" w:space="0" w:color="808080" w:themeColor="background1" w:themeShade="80"/>
              <w:right w:val="single" w:sz="8" w:space="0" w:color="FFFFFF" w:themeColor="background1"/>
            </w:tcBorders>
            <w:shd w:val="clear" w:color="auto" w:fill="D4C19C"/>
            <w:tcMar>
              <w:top w:w="0" w:type="dxa"/>
              <w:left w:w="108" w:type="dxa"/>
              <w:bottom w:w="0" w:type="dxa"/>
              <w:right w:w="108" w:type="dxa"/>
            </w:tcMar>
            <w:hideMark/>
          </w:tcPr>
          <w:p w14:paraId="1D678CEA" w14:textId="77777777" w:rsidR="009C3C24" w:rsidRPr="006F0DF1" w:rsidRDefault="009C3C24" w:rsidP="002F797B">
            <w:pPr>
              <w:spacing w:after="0" w:line="240" w:lineRule="exact"/>
              <w:jc w:val="center"/>
              <w:rPr>
                <w:rFonts w:ascii="Montserrat" w:hAnsi="Montserrat"/>
                <w:b/>
                <w:bCs/>
                <w:color w:val="FFFFFF"/>
                <w:spacing w:val="-1"/>
                <w:sz w:val="16"/>
                <w:szCs w:val="16"/>
                <w:lang w:val="es-ES_tradnl"/>
              </w:rPr>
            </w:pPr>
            <w:r w:rsidRPr="006F0DF1">
              <w:rPr>
                <w:rFonts w:ascii="Montserrat" w:hAnsi="Montserrat"/>
                <w:b/>
                <w:bCs/>
                <w:color w:val="FFFFFF"/>
                <w:spacing w:val="-1"/>
                <w:sz w:val="16"/>
                <w:szCs w:val="16"/>
                <w:lang w:val="es-ES_tradnl"/>
              </w:rPr>
              <w:t>Concepto</w:t>
            </w:r>
          </w:p>
        </w:tc>
        <w:tc>
          <w:tcPr>
            <w:tcW w:w="1984" w:type="dxa"/>
            <w:tcBorders>
              <w:left w:val="single" w:sz="8" w:space="0" w:color="FFFFFF" w:themeColor="background1"/>
              <w:bottom w:val="double" w:sz="12" w:space="0" w:color="808080" w:themeColor="background1" w:themeShade="80"/>
              <w:right w:val="single" w:sz="8" w:space="0" w:color="FFFFFF" w:themeColor="background1"/>
            </w:tcBorders>
            <w:shd w:val="clear" w:color="auto" w:fill="D4C19C"/>
          </w:tcPr>
          <w:p w14:paraId="28959C97" w14:textId="77777777" w:rsidR="009C3C24" w:rsidRPr="006F0DF1" w:rsidRDefault="009C3C24" w:rsidP="002F797B">
            <w:pPr>
              <w:spacing w:after="0" w:line="240" w:lineRule="exact"/>
              <w:jc w:val="center"/>
              <w:rPr>
                <w:rFonts w:ascii="Montserrat" w:hAnsi="Montserrat"/>
                <w:b/>
                <w:bCs/>
                <w:color w:val="FFFFFF"/>
                <w:spacing w:val="-1"/>
                <w:sz w:val="16"/>
                <w:szCs w:val="16"/>
                <w:lang w:val="es-ES_tradnl"/>
              </w:rPr>
            </w:pPr>
            <w:r>
              <w:rPr>
                <w:rFonts w:ascii="Montserrat" w:hAnsi="Montserrat"/>
                <w:b/>
                <w:bCs/>
                <w:color w:val="FFFFFF"/>
                <w:spacing w:val="-1"/>
                <w:sz w:val="16"/>
                <w:szCs w:val="16"/>
                <w:lang w:val="es-ES_tradnl"/>
              </w:rPr>
              <w:t>201</w:t>
            </w:r>
            <w:r w:rsidR="007E26E9">
              <w:rPr>
                <w:rFonts w:ascii="Montserrat" w:hAnsi="Montserrat"/>
                <w:b/>
                <w:bCs/>
                <w:color w:val="FFFFFF"/>
                <w:spacing w:val="-1"/>
                <w:sz w:val="16"/>
                <w:szCs w:val="16"/>
                <w:lang w:val="es-ES_tradnl"/>
              </w:rPr>
              <w:t>9</w:t>
            </w:r>
          </w:p>
        </w:tc>
        <w:tc>
          <w:tcPr>
            <w:tcW w:w="1984" w:type="dxa"/>
            <w:tcBorders>
              <w:left w:val="single" w:sz="8" w:space="0" w:color="FFFFFF" w:themeColor="background1"/>
              <w:bottom w:val="double" w:sz="12" w:space="0" w:color="808080" w:themeColor="background1" w:themeShade="80"/>
              <w:right w:val="single" w:sz="8" w:space="0" w:color="BFBFBF"/>
            </w:tcBorders>
            <w:shd w:val="clear" w:color="auto" w:fill="D4C19C"/>
            <w:tcMar>
              <w:top w:w="0" w:type="dxa"/>
              <w:left w:w="108" w:type="dxa"/>
              <w:bottom w:w="0" w:type="dxa"/>
              <w:right w:w="108" w:type="dxa"/>
            </w:tcMar>
          </w:tcPr>
          <w:p w14:paraId="0EA50D72" w14:textId="77777777" w:rsidR="009C3C24" w:rsidRPr="006F0DF1" w:rsidRDefault="009C3C24" w:rsidP="002F797B">
            <w:pPr>
              <w:spacing w:after="0" w:line="240" w:lineRule="exact"/>
              <w:jc w:val="center"/>
              <w:rPr>
                <w:rFonts w:ascii="Montserrat" w:hAnsi="Montserrat"/>
                <w:b/>
                <w:bCs/>
                <w:color w:val="FFFFFF"/>
                <w:spacing w:val="-1"/>
                <w:sz w:val="16"/>
                <w:szCs w:val="16"/>
                <w:lang w:val="es-ES_tradnl"/>
              </w:rPr>
            </w:pPr>
            <w:r>
              <w:rPr>
                <w:rFonts w:ascii="Montserrat" w:hAnsi="Montserrat"/>
                <w:b/>
                <w:bCs/>
                <w:color w:val="FFFFFF"/>
                <w:spacing w:val="-1"/>
                <w:sz w:val="16"/>
                <w:szCs w:val="16"/>
                <w:lang w:val="es-ES_tradnl"/>
              </w:rPr>
              <w:t>201</w:t>
            </w:r>
            <w:r w:rsidR="007E26E9">
              <w:rPr>
                <w:rFonts w:ascii="Montserrat" w:hAnsi="Montserrat"/>
                <w:b/>
                <w:bCs/>
                <w:color w:val="FFFFFF"/>
                <w:spacing w:val="-1"/>
                <w:sz w:val="16"/>
                <w:szCs w:val="16"/>
                <w:lang w:val="es-ES_tradnl"/>
              </w:rPr>
              <w:t>8</w:t>
            </w:r>
          </w:p>
        </w:tc>
      </w:tr>
      <w:tr w:rsidR="007E26E9" w:rsidRPr="00F01A61" w14:paraId="1316F521" w14:textId="77777777" w:rsidTr="00F01A61">
        <w:trPr>
          <w:gridAfter w:val="1"/>
          <w:wAfter w:w="11" w:type="dxa"/>
          <w:trHeight w:val="215"/>
          <w:jc w:val="center"/>
        </w:trPr>
        <w:tc>
          <w:tcPr>
            <w:tcW w:w="1103" w:type="dxa"/>
            <w:tcBorders>
              <w:top w:val="double" w:sz="12" w:space="0" w:color="808080" w:themeColor="background1" w:themeShade="80"/>
            </w:tcBorders>
            <w:shd w:val="clear" w:color="auto" w:fill="F2F2F2" w:themeFill="background1" w:themeFillShade="F2"/>
          </w:tcPr>
          <w:p w14:paraId="712DF37A" w14:textId="77777777" w:rsidR="007E26E9" w:rsidRPr="00255081" w:rsidRDefault="007E26E9" w:rsidP="007E26E9">
            <w:pPr>
              <w:spacing w:after="0" w:line="240" w:lineRule="exact"/>
              <w:jc w:val="both"/>
              <w:rPr>
                <w:rFonts w:ascii="Montserrat" w:hAnsi="Montserrat"/>
                <w:b/>
                <w:spacing w:val="-1"/>
                <w:sz w:val="15"/>
                <w:szCs w:val="15"/>
                <w:lang w:val="es-ES_tradnl"/>
              </w:rPr>
            </w:pPr>
          </w:p>
        </w:tc>
        <w:tc>
          <w:tcPr>
            <w:tcW w:w="1134" w:type="dxa"/>
            <w:tcBorders>
              <w:top w:val="double" w:sz="12" w:space="0" w:color="808080" w:themeColor="background1" w:themeShade="80"/>
            </w:tcBorders>
            <w:shd w:val="clear" w:color="auto" w:fill="F2F2F2" w:themeFill="background1" w:themeFillShade="F2"/>
          </w:tcPr>
          <w:p w14:paraId="0AE278BF" w14:textId="77777777" w:rsidR="007E26E9" w:rsidRPr="00255081" w:rsidRDefault="007E26E9" w:rsidP="007E26E9">
            <w:pPr>
              <w:spacing w:after="0" w:line="240" w:lineRule="exact"/>
              <w:jc w:val="both"/>
              <w:rPr>
                <w:rFonts w:ascii="Montserrat" w:hAnsi="Montserrat"/>
                <w:b/>
                <w:spacing w:val="-1"/>
                <w:sz w:val="15"/>
                <w:szCs w:val="15"/>
                <w:lang w:val="es-ES_tradnl"/>
              </w:rPr>
            </w:pPr>
          </w:p>
        </w:tc>
        <w:tc>
          <w:tcPr>
            <w:tcW w:w="5102" w:type="dxa"/>
            <w:tcBorders>
              <w:top w:val="double" w:sz="12" w:space="0" w:color="808080" w:themeColor="background1" w:themeShade="80"/>
            </w:tcBorders>
            <w:shd w:val="clear" w:color="auto" w:fill="F2F2F2" w:themeFill="background1" w:themeFillShade="F2"/>
            <w:tcMar>
              <w:top w:w="0" w:type="dxa"/>
              <w:left w:w="108" w:type="dxa"/>
              <w:bottom w:w="0" w:type="dxa"/>
              <w:right w:w="108" w:type="dxa"/>
            </w:tcMar>
            <w:hideMark/>
          </w:tcPr>
          <w:p w14:paraId="2D3F00BE" w14:textId="77777777" w:rsidR="007E26E9" w:rsidRPr="00255081" w:rsidRDefault="007E26E9" w:rsidP="007E26E9">
            <w:pPr>
              <w:spacing w:after="0" w:line="240" w:lineRule="exact"/>
              <w:jc w:val="right"/>
              <w:rPr>
                <w:rFonts w:ascii="Montserrat" w:hAnsi="Montserrat"/>
                <w:b/>
                <w:spacing w:val="-1"/>
                <w:sz w:val="15"/>
                <w:szCs w:val="15"/>
                <w:lang w:val="es-ES_tradnl"/>
              </w:rPr>
            </w:pPr>
            <w:r w:rsidRPr="00255081">
              <w:rPr>
                <w:rFonts w:ascii="Montserrat" w:hAnsi="Montserrat"/>
                <w:b/>
                <w:spacing w:val="-1"/>
                <w:sz w:val="15"/>
                <w:szCs w:val="15"/>
                <w:lang w:val="es-ES_tradnl"/>
              </w:rPr>
              <w:t>Total Deuda Interna</w:t>
            </w:r>
          </w:p>
        </w:tc>
        <w:tc>
          <w:tcPr>
            <w:tcW w:w="1984" w:type="dxa"/>
            <w:tcBorders>
              <w:top w:val="double" w:sz="12" w:space="0" w:color="808080" w:themeColor="background1" w:themeShade="80"/>
            </w:tcBorders>
            <w:shd w:val="clear" w:color="auto" w:fill="F2F2F2" w:themeFill="background1" w:themeFillShade="F2"/>
            <w:vAlign w:val="center"/>
          </w:tcPr>
          <w:p w14:paraId="650C4C31" w14:textId="4A2B76A1" w:rsidR="007E26E9" w:rsidRPr="00255081" w:rsidRDefault="003348BD" w:rsidP="007E26E9">
            <w:pPr>
              <w:spacing w:after="0" w:line="240" w:lineRule="exact"/>
              <w:ind w:right="113"/>
              <w:jc w:val="right"/>
              <w:rPr>
                <w:rFonts w:ascii="Montserrat" w:hAnsi="Montserrat"/>
                <w:b/>
                <w:spacing w:val="-1"/>
                <w:sz w:val="15"/>
                <w:szCs w:val="15"/>
                <w:lang w:val="es-ES_tradnl"/>
              </w:rPr>
            </w:pPr>
            <w:r w:rsidRPr="00255081">
              <w:rPr>
                <w:rFonts w:ascii="Montserrat" w:hAnsi="Montserrat"/>
                <w:b/>
                <w:spacing w:val="-1"/>
                <w:sz w:val="15"/>
                <w:szCs w:val="15"/>
                <w:lang w:val="es-ES_tradnl"/>
              </w:rPr>
              <w:t>6</w:t>
            </w:r>
            <w:r w:rsidR="00C5200E" w:rsidRPr="00255081">
              <w:rPr>
                <w:rFonts w:ascii="Montserrat" w:hAnsi="Montserrat"/>
                <w:b/>
                <w:spacing w:val="-1"/>
                <w:sz w:val="15"/>
                <w:szCs w:val="15"/>
                <w:lang w:val="es-ES_tradnl"/>
              </w:rPr>
              <w:t>,</w:t>
            </w:r>
            <w:r w:rsidRPr="00255081">
              <w:rPr>
                <w:rFonts w:ascii="Montserrat" w:hAnsi="Montserrat"/>
                <w:b/>
                <w:spacing w:val="-1"/>
                <w:sz w:val="15"/>
                <w:szCs w:val="15"/>
                <w:lang w:val="es-ES_tradnl"/>
              </w:rPr>
              <w:t>955</w:t>
            </w:r>
            <w:r w:rsidR="00C5200E" w:rsidRPr="00255081">
              <w:rPr>
                <w:rFonts w:ascii="Montserrat" w:hAnsi="Montserrat"/>
                <w:b/>
                <w:spacing w:val="-1"/>
                <w:sz w:val="15"/>
                <w:szCs w:val="15"/>
                <w:lang w:val="es-ES_tradnl"/>
              </w:rPr>
              <w:t>,</w:t>
            </w:r>
            <w:r w:rsidRPr="00255081">
              <w:rPr>
                <w:rFonts w:ascii="Montserrat" w:hAnsi="Montserrat"/>
                <w:b/>
                <w:spacing w:val="-1"/>
                <w:sz w:val="15"/>
                <w:szCs w:val="15"/>
                <w:lang w:val="es-ES_tradnl"/>
              </w:rPr>
              <w:t>385</w:t>
            </w:r>
            <w:r w:rsidR="00C5200E" w:rsidRPr="00255081">
              <w:rPr>
                <w:rFonts w:ascii="Montserrat" w:hAnsi="Montserrat"/>
                <w:b/>
                <w:spacing w:val="-1"/>
                <w:sz w:val="15"/>
                <w:szCs w:val="15"/>
                <w:lang w:val="es-ES_tradnl"/>
              </w:rPr>
              <w:t>,</w:t>
            </w:r>
            <w:r w:rsidRPr="00255081">
              <w:rPr>
                <w:rFonts w:ascii="Montserrat" w:hAnsi="Montserrat"/>
                <w:b/>
                <w:spacing w:val="-1"/>
                <w:sz w:val="15"/>
                <w:szCs w:val="15"/>
                <w:lang w:val="es-ES_tradnl"/>
              </w:rPr>
              <w:t>123</w:t>
            </w:r>
            <w:r w:rsidR="00C5200E" w:rsidRPr="00255081">
              <w:rPr>
                <w:rFonts w:ascii="Montserrat" w:hAnsi="Montserrat"/>
                <w:b/>
                <w:spacing w:val="-1"/>
                <w:sz w:val="15"/>
                <w:szCs w:val="15"/>
                <w:lang w:val="es-ES_tradnl"/>
              </w:rPr>
              <w:t>,</w:t>
            </w:r>
            <w:r w:rsidRPr="00255081">
              <w:rPr>
                <w:rFonts w:ascii="Montserrat" w:hAnsi="Montserrat"/>
                <w:b/>
                <w:spacing w:val="-1"/>
                <w:sz w:val="15"/>
                <w:szCs w:val="15"/>
                <w:lang w:val="es-ES_tradnl"/>
              </w:rPr>
              <w:t>880</w:t>
            </w:r>
          </w:p>
        </w:tc>
        <w:tc>
          <w:tcPr>
            <w:tcW w:w="1984" w:type="dxa"/>
            <w:tcBorders>
              <w:top w:val="double" w:sz="12" w:space="0" w:color="808080" w:themeColor="background1" w:themeShade="80"/>
            </w:tcBorders>
            <w:shd w:val="clear" w:color="auto" w:fill="F2F2F2" w:themeFill="background1" w:themeFillShade="F2"/>
            <w:tcMar>
              <w:top w:w="0" w:type="dxa"/>
              <w:left w:w="108" w:type="dxa"/>
              <w:bottom w:w="0" w:type="dxa"/>
              <w:right w:w="108" w:type="dxa"/>
            </w:tcMar>
            <w:vAlign w:val="center"/>
          </w:tcPr>
          <w:p w14:paraId="23D3E578" w14:textId="77777777" w:rsidR="007E26E9" w:rsidRPr="00255081" w:rsidRDefault="007E26E9" w:rsidP="007E26E9">
            <w:pPr>
              <w:spacing w:after="0" w:line="240" w:lineRule="exact"/>
              <w:ind w:right="113"/>
              <w:jc w:val="right"/>
              <w:rPr>
                <w:rFonts w:ascii="Montserrat" w:hAnsi="Montserrat"/>
                <w:b/>
                <w:spacing w:val="-1"/>
                <w:sz w:val="15"/>
                <w:szCs w:val="15"/>
                <w:lang w:val="es-ES_tradnl"/>
              </w:rPr>
            </w:pPr>
            <w:r w:rsidRPr="00255081">
              <w:rPr>
                <w:rFonts w:ascii="Montserrat" w:hAnsi="Montserrat"/>
                <w:b/>
                <w:spacing w:val="-1"/>
                <w:sz w:val="15"/>
                <w:szCs w:val="15"/>
                <w:lang w:val="es-ES_tradnl"/>
              </w:rPr>
              <w:t>6,429,344,407,993</w:t>
            </w:r>
          </w:p>
        </w:tc>
      </w:tr>
      <w:tr w:rsidR="007E26E9" w:rsidRPr="00F01A61" w14:paraId="00D715E4" w14:textId="77777777" w:rsidTr="00F01A61">
        <w:trPr>
          <w:gridAfter w:val="1"/>
          <w:wAfter w:w="11" w:type="dxa"/>
          <w:trHeight w:val="215"/>
          <w:jc w:val="center"/>
        </w:trPr>
        <w:tc>
          <w:tcPr>
            <w:tcW w:w="1103" w:type="dxa"/>
            <w:shd w:val="clear" w:color="auto" w:fill="F2F2F2" w:themeFill="background1" w:themeFillShade="F2"/>
          </w:tcPr>
          <w:p w14:paraId="72C69FDE" w14:textId="77777777" w:rsidR="007E26E9" w:rsidRPr="00255081" w:rsidRDefault="007E26E9" w:rsidP="007E26E9">
            <w:pPr>
              <w:spacing w:after="0" w:line="240" w:lineRule="exact"/>
              <w:ind w:firstLine="675"/>
              <w:jc w:val="both"/>
              <w:rPr>
                <w:rFonts w:ascii="Montserrat" w:hAnsi="Montserrat"/>
                <w:b/>
                <w:spacing w:val="-1"/>
                <w:sz w:val="15"/>
                <w:szCs w:val="15"/>
                <w:lang w:val="es-ES_tradnl"/>
              </w:rPr>
            </w:pPr>
          </w:p>
        </w:tc>
        <w:tc>
          <w:tcPr>
            <w:tcW w:w="1134" w:type="dxa"/>
            <w:shd w:val="clear" w:color="auto" w:fill="F2F2F2" w:themeFill="background1" w:themeFillShade="F2"/>
          </w:tcPr>
          <w:p w14:paraId="48F00048" w14:textId="77777777" w:rsidR="007E26E9" w:rsidRPr="00255081" w:rsidRDefault="007E26E9" w:rsidP="007E26E9">
            <w:pPr>
              <w:spacing w:after="0" w:line="240" w:lineRule="exact"/>
              <w:ind w:firstLine="675"/>
              <w:jc w:val="both"/>
              <w:rPr>
                <w:rFonts w:ascii="Montserrat" w:hAnsi="Montserrat"/>
                <w:b/>
                <w:spacing w:val="-1"/>
                <w:sz w:val="15"/>
                <w:szCs w:val="15"/>
                <w:lang w:val="es-ES_tradnl"/>
              </w:rPr>
            </w:pPr>
          </w:p>
        </w:tc>
        <w:tc>
          <w:tcPr>
            <w:tcW w:w="5102" w:type="dxa"/>
            <w:shd w:val="clear" w:color="auto" w:fill="F2F2F2" w:themeFill="background1" w:themeFillShade="F2"/>
            <w:tcMar>
              <w:top w:w="0" w:type="dxa"/>
              <w:left w:w="108" w:type="dxa"/>
              <w:bottom w:w="0" w:type="dxa"/>
              <w:right w:w="108" w:type="dxa"/>
            </w:tcMar>
            <w:hideMark/>
          </w:tcPr>
          <w:p w14:paraId="3A47B514" w14:textId="77777777" w:rsidR="007E26E9" w:rsidRPr="00255081" w:rsidRDefault="007E26E9" w:rsidP="007E26E9">
            <w:pPr>
              <w:spacing w:after="0" w:line="240" w:lineRule="exact"/>
              <w:ind w:firstLine="675"/>
              <w:jc w:val="right"/>
              <w:rPr>
                <w:rFonts w:ascii="Montserrat" w:hAnsi="Montserrat"/>
                <w:b/>
                <w:spacing w:val="-1"/>
                <w:sz w:val="15"/>
                <w:szCs w:val="15"/>
                <w:lang w:val="es-ES_tradnl"/>
              </w:rPr>
            </w:pPr>
            <w:r w:rsidRPr="00255081">
              <w:rPr>
                <w:rFonts w:ascii="Montserrat" w:hAnsi="Montserrat"/>
                <w:b/>
                <w:spacing w:val="-1"/>
                <w:sz w:val="15"/>
                <w:szCs w:val="15"/>
                <w:lang w:val="es-ES_tradnl"/>
              </w:rPr>
              <w:t>Valores Gubernamentales</w:t>
            </w:r>
          </w:p>
        </w:tc>
        <w:tc>
          <w:tcPr>
            <w:tcW w:w="1984" w:type="dxa"/>
            <w:shd w:val="clear" w:color="auto" w:fill="F2F2F2" w:themeFill="background1" w:themeFillShade="F2"/>
            <w:vAlign w:val="center"/>
          </w:tcPr>
          <w:p w14:paraId="6BFAA1D2" w14:textId="4FBE57DB" w:rsidR="007E26E9" w:rsidRPr="00255081" w:rsidRDefault="003348BD" w:rsidP="007E26E9">
            <w:pPr>
              <w:spacing w:after="0" w:line="240" w:lineRule="exact"/>
              <w:ind w:right="113"/>
              <w:jc w:val="right"/>
              <w:rPr>
                <w:rFonts w:ascii="Montserrat" w:hAnsi="Montserrat"/>
                <w:b/>
                <w:spacing w:val="-1"/>
                <w:sz w:val="15"/>
                <w:szCs w:val="15"/>
                <w:lang w:val="es-ES_tradnl"/>
              </w:rPr>
            </w:pPr>
            <w:r w:rsidRPr="00255081">
              <w:rPr>
                <w:rFonts w:ascii="Montserrat" w:hAnsi="Montserrat"/>
                <w:b/>
                <w:spacing w:val="-1"/>
                <w:sz w:val="15"/>
                <w:szCs w:val="15"/>
                <w:lang w:val="es-ES_tradnl"/>
              </w:rPr>
              <w:t>6</w:t>
            </w:r>
            <w:r w:rsidR="00C5200E" w:rsidRPr="00255081">
              <w:rPr>
                <w:rFonts w:ascii="Montserrat" w:hAnsi="Montserrat"/>
                <w:b/>
                <w:spacing w:val="-1"/>
                <w:sz w:val="15"/>
                <w:szCs w:val="15"/>
                <w:lang w:val="es-ES_tradnl"/>
              </w:rPr>
              <w:t>,</w:t>
            </w:r>
            <w:r w:rsidRPr="00255081">
              <w:rPr>
                <w:rFonts w:ascii="Montserrat" w:hAnsi="Montserrat"/>
                <w:b/>
                <w:spacing w:val="-1"/>
                <w:sz w:val="15"/>
                <w:szCs w:val="15"/>
                <w:lang w:val="es-ES_tradnl"/>
              </w:rPr>
              <w:t>399</w:t>
            </w:r>
            <w:r w:rsidR="00C5200E" w:rsidRPr="00255081">
              <w:rPr>
                <w:rFonts w:ascii="Montserrat" w:hAnsi="Montserrat"/>
                <w:b/>
                <w:spacing w:val="-1"/>
                <w:sz w:val="15"/>
                <w:szCs w:val="15"/>
                <w:lang w:val="es-ES_tradnl"/>
              </w:rPr>
              <w:t>,</w:t>
            </w:r>
            <w:r w:rsidRPr="00255081">
              <w:rPr>
                <w:rFonts w:ascii="Montserrat" w:hAnsi="Montserrat"/>
                <w:b/>
                <w:spacing w:val="-1"/>
                <w:sz w:val="15"/>
                <w:szCs w:val="15"/>
                <w:lang w:val="es-ES_tradnl"/>
              </w:rPr>
              <w:t>573</w:t>
            </w:r>
            <w:r w:rsidR="00C5200E" w:rsidRPr="00255081">
              <w:rPr>
                <w:rFonts w:ascii="Montserrat" w:hAnsi="Montserrat"/>
                <w:b/>
                <w:spacing w:val="-1"/>
                <w:sz w:val="15"/>
                <w:szCs w:val="15"/>
                <w:lang w:val="es-ES_tradnl"/>
              </w:rPr>
              <w:t>,</w:t>
            </w:r>
            <w:r w:rsidRPr="00255081">
              <w:rPr>
                <w:rFonts w:ascii="Montserrat" w:hAnsi="Montserrat"/>
                <w:b/>
                <w:spacing w:val="-1"/>
                <w:sz w:val="15"/>
                <w:szCs w:val="15"/>
                <w:lang w:val="es-ES_tradnl"/>
              </w:rPr>
              <w:t>194</w:t>
            </w:r>
            <w:r w:rsidR="00C5200E" w:rsidRPr="00255081">
              <w:rPr>
                <w:rFonts w:ascii="Montserrat" w:hAnsi="Montserrat"/>
                <w:b/>
                <w:spacing w:val="-1"/>
                <w:sz w:val="15"/>
                <w:szCs w:val="15"/>
                <w:lang w:val="es-ES_tradnl"/>
              </w:rPr>
              <w:t>,</w:t>
            </w:r>
            <w:r w:rsidRPr="00255081">
              <w:rPr>
                <w:rFonts w:ascii="Montserrat" w:hAnsi="Montserrat"/>
                <w:b/>
                <w:spacing w:val="-1"/>
                <w:sz w:val="15"/>
                <w:szCs w:val="15"/>
                <w:lang w:val="es-ES_tradnl"/>
              </w:rPr>
              <w:t>327</w:t>
            </w:r>
          </w:p>
        </w:tc>
        <w:tc>
          <w:tcPr>
            <w:tcW w:w="1984" w:type="dxa"/>
            <w:shd w:val="clear" w:color="auto" w:fill="F2F2F2" w:themeFill="background1" w:themeFillShade="F2"/>
            <w:tcMar>
              <w:top w:w="0" w:type="dxa"/>
              <w:left w:w="108" w:type="dxa"/>
              <w:bottom w:w="0" w:type="dxa"/>
              <w:right w:w="108" w:type="dxa"/>
            </w:tcMar>
            <w:vAlign w:val="center"/>
          </w:tcPr>
          <w:p w14:paraId="091EE22A" w14:textId="77777777" w:rsidR="007E26E9" w:rsidRPr="00255081" w:rsidRDefault="007E26E9" w:rsidP="007E26E9">
            <w:pPr>
              <w:spacing w:after="0" w:line="240" w:lineRule="exact"/>
              <w:ind w:right="113"/>
              <w:jc w:val="right"/>
              <w:rPr>
                <w:rFonts w:ascii="Montserrat" w:hAnsi="Montserrat"/>
                <w:b/>
                <w:spacing w:val="-1"/>
                <w:sz w:val="15"/>
                <w:szCs w:val="15"/>
                <w:lang w:val="es-ES_tradnl"/>
              </w:rPr>
            </w:pPr>
            <w:r w:rsidRPr="00255081">
              <w:rPr>
                <w:rFonts w:ascii="Montserrat" w:hAnsi="Montserrat"/>
                <w:b/>
                <w:spacing w:val="-1"/>
                <w:sz w:val="15"/>
                <w:szCs w:val="15"/>
                <w:lang w:val="es-ES_tradnl"/>
              </w:rPr>
              <w:t>5,836,953,925,826</w:t>
            </w:r>
          </w:p>
        </w:tc>
      </w:tr>
      <w:tr w:rsidR="007E26E9" w:rsidRPr="00F01A61" w14:paraId="62209BD5" w14:textId="77777777" w:rsidTr="00F01A61">
        <w:trPr>
          <w:gridAfter w:val="1"/>
          <w:wAfter w:w="11" w:type="dxa"/>
          <w:trHeight w:val="215"/>
          <w:jc w:val="center"/>
        </w:trPr>
        <w:tc>
          <w:tcPr>
            <w:tcW w:w="1103" w:type="dxa"/>
            <w:shd w:val="clear" w:color="auto" w:fill="F2F2F2" w:themeFill="background1" w:themeFillShade="F2"/>
          </w:tcPr>
          <w:p w14:paraId="566F7AE2" w14:textId="77777777" w:rsidR="007E26E9" w:rsidRPr="00255081" w:rsidRDefault="007E26E9" w:rsidP="007E26E9">
            <w:pPr>
              <w:spacing w:after="0" w:line="240" w:lineRule="exact"/>
              <w:jc w:val="center"/>
              <w:rPr>
                <w:rFonts w:ascii="Montserrat" w:hAnsi="Montserrat"/>
                <w:sz w:val="15"/>
                <w:szCs w:val="15"/>
                <w:lang w:val="es-ES_tradnl"/>
              </w:rPr>
            </w:pPr>
            <w:r w:rsidRPr="00255081">
              <w:rPr>
                <w:rFonts w:ascii="Montserrat" w:hAnsi="Montserrat"/>
                <w:sz w:val="15"/>
                <w:szCs w:val="15"/>
                <w:lang w:val="es-ES_tradnl"/>
              </w:rPr>
              <w:t>Mex</w:t>
            </w:r>
          </w:p>
        </w:tc>
        <w:tc>
          <w:tcPr>
            <w:tcW w:w="1134" w:type="dxa"/>
            <w:shd w:val="clear" w:color="auto" w:fill="F2F2F2" w:themeFill="background1" w:themeFillShade="F2"/>
          </w:tcPr>
          <w:p w14:paraId="0DCA0CA4" w14:textId="77777777" w:rsidR="007E26E9" w:rsidRPr="00255081" w:rsidRDefault="007E26E9" w:rsidP="007E26E9">
            <w:pPr>
              <w:spacing w:after="0" w:line="240" w:lineRule="exact"/>
              <w:jc w:val="center"/>
              <w:rPr>
                <w:rFonts w:ascii="Montserrat" w:hAnsi="Montserrat"/>
                <w:sz w:val="15"/>
                <w:szCs w:val="15"/>
                <w:lang w:val="es-ES_tradnl"/>
              </w:rPr>
            </w:pPr>
            <w:r w:rsidRPr="00255081">
              <w:rPr>
                <w:rFonts w:ascii="Montserrat" w:hAnsi="Montserrat"/>
                <w:sz w:val="15"/>
                <w:szCs w:val="15"/>
                <w:lang w:val="es-ES_tradnl"/>
              </w:rPr>
              <w:t>Pso</w:t>
            </w:r>
          </w:p>
        </w:tc>
        <w:tc>
          <w:tcPr>
            <w:tcW w:w="5102" w:type="dxa"/>
            <w:shd w:val="clear" w:color="auto" w:fill="F2F2F2" w:themeFill="background1" w:themeFillShade="F2"/>
            <w:tcMar>
              <w:top w:w="0" w:type="dxa"/>
              <w:left w:w="108" w:type="dxa"/>
              <w:bottom w:w="0" w:type="dxa"/>
              <w:right w:w="108" w:type="dxa"/>
            </w:tcMar>
          </w:tcPr>
          <w:p w14:paraId="1B53BB09" w14:textId="77777777" w:rsidR="007E26E9" w:rsidRPr="00255081" w:rsidRDefault="007E26E9" w:rsidP="007E26E9">
            <w:pPr>
              <w:spacing w:after="0" w:line="240" w:lineRule="exact"/>
              <w:jc w:val="both"/>
              <w:rPr>
                <w:rFonts w:ascii="Montserrat" w:hAnsi="Montserrat"/>
                <w:sz w:val="15"/>
                <w:szCs w:val="15"/>
                <w:lang w:val="es-ES_tradnl"/>
              </w:rPr>
            </w:pPr>
            <w:r w:rsidRPr="00255081">
              <w:rPr>
                <w:rFonts w:ascii="Montserrat" w:hAnsi="Montserrat"/>
                <w:sz w:val="15"/>
                <w:szCs w:val="15"/>
                <w:lang w:val="es-ES_tradnl"/>
              </w:rPr>
              <w:t>Cetes</w:t>
            </w:r>
          </w:p>
        </w:tc>
        <w:tc>
          <w:tcPr>
            <w:tcW w:w="1984" w:type="dxa"/>
            <w:shd w:val="clear" w:color="auto" w:fill="F2F2F2" w:themeFill="background1" w:themeFillShade="F2"/>
            <w:vAlign w:val="center"/>
          </w:tcPr>
          <w:p w14:paraId="763AF85F" w14:textId="191A817D" w:rsidR="007E26E9" w:rsidRPr="00255081" w:rsidRDefault="003348BD" w:rsidP="007E26E9">
            <w:pPr>
              <w:spacing w:after="0" w:line="240" w:lineRule="exact"/>
              <w:ind w:right="113"/>
              <w:jc w:val="right"/>
              <w:rPr>
                <w:rFonts w:ascii="Montserrat" w:hAnsi="Montserrat"/>
                <w:spacing w:val="-1"/>
                <w:sz w:val="15"/>
                <w:szCs w:val="15"/>
                <w:lang w:val="es-ES_tradnl"/>
              </w:rPr>
            </w:pPr>
            <w:r w:rsidRPr="00255081">
              <w:rPr>
                <w:rFonts w:ascii="Montserrat" w:hAnsi="Montserrat"/>
                <w:spacing w:val="-1"/>
                <w:sz w:val="15"/>
                <w:szCs w:val="15"/>
                <w:lang w:val="es-ES_tradnl"/>
              </w:rPr>
              <w:t>802</w:t>
            </w:r>
            <w:r w:rsidR="00C5200E" w:rsidRPr="00255081">
              <w:rPr>
                <w:rFonts w:ascii="Montserrat" w:hAnsi="Montserrat"/>
                <w:spacing w:val="-1"/>
                <w:sz w:val="15"/>
                <w:szCs w:val="15"/>
                <w:lang w:val="es-ES_tradnl"/>
              </w:rPr>
              <w:t>,</w:t>
            </w:r>
            <w:r w:rsidRPr="00255081">
              <w:rPr>
                <w:rFonts w:ascii="Montserrat" w:hAnsi="Montserrat"/>
                <w:spacing w:val="-1"/>
                <w:sz w:val="15"/>
                <w:szCs w:val="15"/>
                <w:lang w:val="es-ES_tradnl"/>
              </w:rPr>
              <w:t>558</w:t>
            </w:r>
            <w:r w:rsidR="00C5200E" w:rsidRPr="00255081">
              <w:rPr>
                <w:rFonts w:ascii="Montserrat" w:hAnsi="Montserrat"/>
                <w:spacing w:val="-1"/>
                <w:sz w:val="15"/>
                <w:szCs w:val="15"/>
                <w:lang w:val="es-ES_tradnl"/>
              </w:rPr>
              <w:t>,</w:t>
            </w:r>
            <w:r w:rsidRPr="00255081">
              <w:rPr>
                <w:rFonts w:ascii="Montserrat" w:hAnsi="Montserrat"/>
                <w:spacing w:val="-1"/>
                <w:sz w:val="15"/>
                <w:szCs w:val="15"/>
                <w:lang w:val="es-ES_tradnl"/>
              </w:rPr>
              <w:t>303</w:t>
            </w:r>
            <w:r w:rsidR="00C5200E" w:rsidRPr="00255081">
              <w:rPr>
                <w:rFonts w:ascii="Montserrat" w:hAnsi="Montserrat"/>
                <w:spacing w:val="-1"/>
                <w:sz w:val="15"/>
                <w:szCs w:val="15"/>
                <w:lang w:val="es-ES_tradnl"/>
              </w:rPr>
              <w:t>,</w:t>
            </w:r>
            <w:r w:rsidRPr="00255081">
              <w:rPr>
                <w:rFonts w:ascii="Montserrat" w:hAnsi="Montserrat"/>
                <w:spacing w:val="-1"/>
                <w:sz w:val="15"/>
                <w:szCs w:val="15"/>
                <w:lang w:val="es-ES_tradnl"/>
              </w:rPr>
              <w:t>005</w:t>
            </w:r>
          </w:p>
        </w:tc>
        <w:tc>
          <w:tcPr>
            <w:tcW w:w="1984" w:type="dxa"/>
            <w:shd w:val="clear" w:color="auto" w:fill="F2F2F2" w:themeFill="background1" w:themeFillShade="F2"/>
            <w:tcMar>
              <w:top w:w="0" w:type="dxa"/>
              <w:left w:w="108" w:type="dxa"/>
              <w:bottom w:w="0" w:type="dxa"/>
              <w:right w:w="108" w:type="dxa"/>
            </w:tcMar>
            <w:vAlign w:val="center"/>
          </w:tcPr>
          <w:p w14:paraId="4F5745E1" w14:textId="70369B04" w:rsidR="007E26E9" w:rsidRPr="00255081" w:rsidRDefault="007E26E9" w:rsidP="007E26E9">
            <w:pPr>
              <w:spacing w:after="0" w:line="240" w:lineRule="exact"/>
              <w:ind w:right="113"/>
              <w:jc w:val="right"/>
              <w:rPr>
                <w:rFonts w:ascii="Montserrat" w:hAnsi="Montserrat"/>
                <w:spacing w:val="-1"/>
                <w:sz w:val="15"/>
                <w:szCs w:val="15"/>
                <w:lang w:val="es-ES_tradnl"/>
              </w:rPr>
            </w:pPr>
            <w:r w:rsidRPr="00255081">
              <w:rPr>
                <w:rFonts w:ascii="Montserrat" w:hAnsi="Montserrat"/>
                <w:spacing w:val="-1"/>
                <w:sz w:val="15"/>
                <w:szCs w:val="15"/>
                <w:lang w:val="es-ES_tradnl"/>
              </w:rPr>
              <w:t>734,487,2</w:t>
            </w:r>
            <w:r w:rsidR="009D38DE" w:rsidRPr="00255081">
              <w:rPr>
                <w:rFonts w:ascii="Montserrat" w:hAnsi="Montserrat"/>
                <w:spacing w:val="-1"/>
                <w:sz w:val="15"/>
                <w:szCs w:val="15"/>
                <w:lang w:val="es-ES_tradnl"/>
              </w:rPr>
              <w:t>2</w:t>
            </w:r>
            <w:r w:rsidRPr="00255081">
              <w:rPr>
                <w:rFonts w:ascii="Montserrat" w:hAnsi="Montserrat"/>
                <w:spacing w:val="-1"/>
                <w:sz w:val="15"/>
                <w:szCs w:val="15"/>
                <w:lang w:val="es-ES_tradnl"/>
              </w:rPr>
              <w:t>2,835</w:t>
            </w:r>
          </w:p>
        </w:tc>
      </w:tr>
      <w:tr w:rsidR="007E26E9" w:rsidRPr="00F01A61" w14:paraId="66B39ACC" w14:textId="77777777" w:rsidTr="00F01A61">
        <w:trPr>
          <w:gridAfter w:val="1"/>
          <w:wAfter w:w="11" w:type="dxa"/>
          <w:trHeight w:val="215"/>
          <w:jc w:val="center"/>
        </w:trPr>
        <w:tc>
          <w:tcPr>
            <w:tcW w:w="1103" w:type="dxa"/>
            <w:shd w:val="clear" w:color="auto" w:fill="F2F2F2" w:themeFill="background1" w:themeFillShade="F2"/>
          </w:tcPr>
          <w:p w14:paraId="18072514" w14:textId="77777777" w:rsidR="007E26E9" w:rsidRPr="00255081" w:rsidRDefault="007E26E9" w:rsidP="007E26E9">
            <w:pPr>
              <w:spacing w:after="0" w:line="240" w:lineRule="exact"/>
              <w:jc w:val="center"/>
              <w:rPr>
                <w:rFonts w:ascii="Montserrat" w:hAnsi="Montserrat"/>
                <w:sz w:val="15"/>
                <w:szCs w:val="15"/>
                <w:lang w:val="es-ES_tradnl"/>
              </w:rPr>
            </w:pPr>
            <w:r w:rsidRPr="00255081">
              <w:rPr>
                <w:rFonts w:ascii="Montserrat" w:hAnsi="Montserrat"/>
                <w:sz w:val="15"/>
                <w:szCs w:val="15"/>
                <w:lang w:val="es-ES_tradnl"/>
              </w:rPr>
              <w:t>Mex</w:t>
            </w:r>
          </w:p>
        </w:tc>
        <w:tc>
          <w:tcPr>
            <w:tcW w:w="1134" w:type="dxa"/>
            <w:shd w:val="clear" w:color="auto" w:fill="F2F2F2" w:themeFill="background1" w:themeFillShade="F2"/>
          </w:tcPr>
          <w:p w14:paraId="65263CEA" w14:textId="77777777" w:rsidR="007E26E9" w:rsidRPr="00255081" w:rsidRDefault="007E26E9" w:rsidP="007E26E9">
            <w:pPr>
              <w:spacing w:after="0" w:line="240" w:lineRule="exact"/>
              <w:jc w:val="center"/>
              <w:rPr>
                <w:rFonts w:ascii="Montserrat" w:hAnsi="Montserrat"/>
                <w:sz w:val="15"/>
                <w:szCs w:val="15"/>
                <w:lang w:val="es-ES_tradnl"/>
              </w:rPr>
            </w:pPr>
            <w:r w:rsidRPr="00255081">
              <w:rPr>
                <w:rFonts w:ascii="Montserrat" w:hAnsi="Montserrat"/>
                <w:sz w:val="15"/>
                <w:szCs w:val="15"/>
                <w:lang w:val="es-ES_tradnl"/>
              </w:rPr>
              <w:t>Pso</w:t>
            </w:r>
          </w:p>
        </w:tc>
        <w:tc>
          <w:tcPr>
            <w:tcW w:w="5102" w:type="dxa"/>
            <w:shd w:val="clear" w:color="auto" w:fill="F2F2F2" w:themeFill="background1" w:themeFillShade="F2"/>
            <w:tcMar>
              <w:top w:w="0" w:type="dxa"/>
              <w:left w:w="108" w:type="dxa"/>
              <w:bottom w:w="0" w:type="dxa"/>
              <w:right w:w="108" w:type="dxa"/>
            </w:tcMar>
          </w:tcPr>
          <w:p w14:paraId="06FBD63F" w14:textId="77777777" w:rsidR="007E26E9" w:rsidRPr="00255081" w:rsidRDefault="007E26E9" w:rsidP="007E26E9">
            <w:pPr>
              <w:spacing w:after="0" w:line="240" w:lineRule="exact"/>
              <w:jc w:val="both"/>
              <w:rPr>
                <w:rFonts w:ascii="Montserrat" w:hAnsi="Montserrat"/>
                <w:sz w:val="15"/>
                <w:szCs w:val="15"/>
                <w:lang w:val="es-ES_tradnl"/>
              </w:rPr>
            </w:pPr>
            <w:r w:rsidRPr="00255081">
              <w:rPr>
                <w:rFonts w:ascii="Montserrat" w:hAnsi="Montserrat"/>
                <w:sz w:val="15"/>
                <w:szCs w:val="15"/>
                <w:lang w:val="es-ES_tradnl"/>
              </w:rPr>
              <w:t>Bondes</w:t>
            </w:r>
          </w:p>
        </w:tc>
        <w:tc>
          <w:tcPr>
            <w:tcW w:w="1984" w:type="dxa"/>
            <w:shd w:val="clear" w:color="auto" w:fill="F2F2F2" w:themeFill="background1" w:themeFillShade="F2"/>
            <w:vAlign w:val="center"/>
          </w:tcPr>
          <w:p w14:paraId="0656DE52" w14:textId="7E2FEEA2" w:rsidR="007E26E9" w:rsidRPr="00255081" w:rsidRDefault="003348BD" w:rsidP="007E26E9">
            <w:pPr>
              <w:spacing w:after="0" w:line="240" w:lineRule="exact"/>
              <w:ind w:right="113"/>
              <w:jc w:val="right"/>
              <w:rPr>
                <w:rFonts w:ascii="Montserrat" w:hAnsi="Montserrat"/>
                <w:spacing w:val="-1"/>
                <w:sz w:val="15"/>
                <w:szCs w:val="15"/>
                <w:lang w:val="es-ES_tradnl"/>
              </w:rPr>
            </w:pPr>
            <w:r w:rsidRPr="00255081">
              <w:rPr>
                <w:rFonts w:ascii="Montserrat" w:hAnsi="Montserrat"/>
                <w:spacing w:val="-1"/>
                <w:sz w:val="15"/>
                <w:szCs w:val="15"/>
                <w:lang w:val="es-ES_tradnl"/>
              </w:rPr>
              <w:t>642</w:t>
            </w:r>
            <w:r w:rsidR="00C5200E" w:rsidRPr="00255081">
              <w:rPr>
                <w:rFonts w:ascii="Montserrat" w:hAnsi="Montserrat"/>
                <w:spacing w:val="-1"/>
                <w:sz w:val="15"/>
                <w:szCs w:val="15"/>
                <w:lang w:val="es-ES_tradnl"/>
              </w:rPr>
              <w:t>,</w:t>
            </w:r>
            <w:r w:rsidRPr="00255081">
              <w:rPr>
                <w:rFonts w:ascii="Montserrat" w:hAnsi="Montserrat"/>
                <w:spacing w:val="-1"/>
                <w:sz w:val="15"/>
                <w:szCs w:val="15"/>
                <w:lang w:val="es-ES_tradnl"/>
              </w:rPr>
              <w:t>088</w:t>
            </w:r>
            <w:r w:rsidR="00C5200E" w:rsidRPr="00255081">
              <w:rPr>
                <w:rFonts w:ascii="Montserrat" w:hAnsi="Montserrat"/>
                <w:spacing w:val="-1"/>
                <w:sz w:val="15"/>
                <w:szCs w:val="15"/>
                <w:lang w:val="es-ES_tradnl"/>
              </w:rPr>
              <w:t>,</w:t>
            </w:r>
            <w:r w:rsidRPr="00255081">
              <w:rPr>
                <w:rFonts w:ascii="Montserrat" w:hAnsi="Montserrat"/>
                <w:spacing w:val="-1"/>
                <w:sz w:val="15"/>
                <w:szCs w:val="15"/>
                <w:lang w:val="es-ES_tradnl"/>
              </w:rPr>
              <w:t>857</w:t>
            </w:r>
            <w:r w:rsidR="00C5200E" w:rsidRPr="00255081">
              <w:rPr>
                <w:rFonts w:ascii="Montserrat" w:hAnsi="Montserrat"/>
                <w:spacing w:val="-1"/>
                <w:sz w:val="15"/>
                <w:szCs w:val="15"/>
                <w:lang w:val="es-ES_tradnl"/>
              </w:rPr>
              <w:t>,</w:t>
            </w:r>
            <w:r w:rsidRPr="00255081">
              <w:rPr>
                <w:rFonts w:ascii="Montserrat" w:hAnsi="Montserrat"/>
                <w:spacing w:val="-1"/>
                <w:sz w:val="15"/>
                <w:szCs w:val="15"/>
                <w:lang w:val="es-ES_tradnl"/>
              </w:rPr>
              <w:t>001</w:t>
            </w:r>
          </w:p>
        </w:tc>
        <w:tc>
          <w:tcPr>
            <w:tcW w:w="1984" w:type="dxa"/>
            <w:shd w:val="clear" w:color="auto" w:fill="F2F2F2" w:themeFill="background1" w:themeFillShade="F2"/>
            <w:tcMar>
              <w:top w:w="0" w:type="dxa"/>
              <w:left w:w="108" w:type="dxa"/>
              <w:bottom w:w="0" w:type="dxa"/>
              <w:right w:w="108" w:type="dxa"/>
            </w:tcMar>
            <w:vAlign w:val="center"/>
          </w:tcPr>
          <w:p w14:paraId="4D9BA271" w14:textId="77777777" w:rsidR="007E26E9" w:rsidRPr="00255081" w:rsidRDefault="007E26E9" w:rsidP="007E26E9">
            <w:pPr>
              <w:spacing w:after="0" w:line="240" w:lineRule="exact"/>
              <w:ind w:right="113"/>
              <w:jc w:val="right"/>
              <w:rPr>
                <w:rFonts w:ascii="Montserrat" w:hAnsi="Montserrat"/>
                <w:spacing w:val="-1"/>
                <w:sz w:val="15"/>
                <w:szCs w:val="15"/>
                <w:lang w:val="es-ES_tradnl"/>
              </w:rPr>
            </w:pPr>
            <w:r w:rsidRPr="00255081">
              <w:rPr>
                <w:rFonts w:ascii="Montserrat" w:hAnsi="Montserrat"/>
                <w:spacing w:val="-1"/>
                <w:sz w:val="15"/>
                <w:szCs w:val="15"/>
                <w:lang w:val="es-ES_tradnl"/>
              </w:rPr>
              <w:t>548,240,419,301</w:t>
            </w:r>
          </w:p>
        </w:tc>
      </w:tr>
      <w:tr w:rsidR="007E26E9" w:rsidRPr="00F01A61" w14:paraId="0B6A1FD5" w14:textId="77777777" w:rsidTr="00F01A61">
        <w:trPr>
          <w:gridAfter w:val="1"/>
          <w:wAfter w:w="11" w:type="dxa"/>
          <w:trHeight w:val="215"/>
          <w:jc w:val="center"/>
        </w:trPr>
        <w:tc>
          <w:tcPr>
            <w:tcW w:w="1103" w:type="dxa"/>
            <w:shd w:val="clear" w:color="auto" w:fill="F2F2F2" w:themeFill="background1" w:themeFillShade="F2"/>
          </w:tcPr>
          <w:p w14:paraId="13466478" w14:textId="77777777" w:rsidR="007E26E9" w:rsidRPr="00255081" w:rsidRDefault="007E26E9" w:rsidP="007E26E9">
            <w:pPr>
              <w:spacing w:after="0" w:line="240" w:lineRule="exact"/>
              <w:jc w:val="center"/>
              <w:rPr>
                <w:rFonts w:ascii="Montserrat" w:hAnsi="Montserrat"/>
                <w:sz w:val="15"/>
                <w:szCs w:val="15"/>
                <w:lang w:val="es-ES_tradnl"/>
              </w:rPr>
            </w:pPr>
            <w:r w:rsidRPr="00255081">
              <w:rPr>
                <w:rFonts w:ascii="Montserrat" w:hAnsi="Montserrat"/>
                <w:sz w:val="15"/>
                <w:szCs w:val="15"/>
                <w:lang w:val="es-ES_tradnl"/>
              </w:rPr>
              <w:t>Mex</w:t>
            </w:r>
          </w:p>
        </w:tc>
        <w:tc>
          <w:tcPr>
            <w:tcW w:w="1134" w:type="dxa"/>
            <w:shd w:val="clear" w:color="auto" w:fill="F2F2F2" w:themeFill="background1" w:themeFillShade="F2"/>
          </w:tcPr>
          <w:p w14:paraId="0E8919B4" w14:textId="77777777" w:rsidR="007E26E9" w:rsidRPr="00255081" w:rsidRDefault="007E26E9" w:rsidP="007E26E9">
            <w:pPr>
              <w:spacing w:after="0" w:line="240" w:lineRule="exact"/>
              <w:jc w:val="center"/>
              <w:rPr>
                <w:rFonts w:ascii="Montserrat" w:hAnsi="Montserrat"/>
                <w:sz w:val="15"/>
                <w:szCs w:val="15"/>
                <w:lang w:val="es-ES_tradnl"/>
              </w:rPr>
            </w:pPr>
            <w:r w:rsidRPr="00255081">
              <w:rPr>
                <w:rFonts w:ascii="Montserrat" w:hAnsi="Montserrat"/>
                <w:sz w:val="15"/>
                <w:szCs w:val="15"/>
                <w:lang w:val="es-ES_tradnl"/>
              </w:rPr>
              <w:t>Pso</w:t>
            </w:r>
          </w:p>
        </w:tc>
        <w:tc>
          <w:tcPr>
            <w:tcW w:w="5102" w:type="dxa"/>
            <w:shd w:val="clear" w:color="auto" w:fill="F2F2F2" w:themeFill="background1" w:themeFillShade="F2"/>
            <w:tcMar>
              <w:top w:w="0" w:type="dxa"/>
              <w:left w:w="108" w:type="dxa"/>
              <w:bottom w:w="0" w:type="dxa"/>
              <w:right w:w="108" w:type="dxa"/>
            </w:tcMar>
          </w:tcPr>
          <w:p w14:paraId="3CABB428" w14:textId="77777777" w:rsidR="007E26E9" w:rsidRPr="00255081" w:rsidRDefault="007E26E9" w:rsidP="007E26E9">
            <w:pPr>
              <w:spacing w:after="0" w:line="240" w:lineRule="exact"/>
              <w:jc w:val="both"/>
              <w:rPr>
                <w:rFonts w:ascii="Montserrat" w:hAnsi="Montserrat"/>
                <w:sz w:val="15"/>
                <w:szCs w:val="15"/>
                <w:lang w:val="es-ES_tradnl"/>
              </w:rPr>
            </w:pPr>
            <w:r w:rsidRPr="00255081">
              <w:rPr>
                <w:rFonts w:ascii="Montserrat" w:hAnsi="Montserrat"/>
                <w:sz w:val="15"/>
                <w:szCs w:val="15"/>
                <w:lang w:val="es-ES_tradnl"/>
              </w:rPr>
              <w:t>Bono Tasa Fija</w:t>
            </w:r>
          </w:p>
        </w:tc>
        <w:tc>
          <w:tcPr>
            <w:tcW w:w="1984" w:type="dxa"/>
            <w:shd w:val="clear" w:color="auto" w:fill="F2F2F2" w:themeFill="background1" w:themeFillShade="F2"/>
            <w:vAlign w:val="center"/>
          </w:tcPr>
          <w:p w14:paraId="222B2AFD" w14:textId="3A523308" w:rsidR="007E26E9" w:rsidRPr="00255081" w:rsidRDefault="003348BD" w:rsidP="007E26E9">
            <w:pPr>
              <w:spacing w:after="0" w:line="240" w:lineRule="exact"/>
              <w:ind w:right="113"/>
              <w:jc w:val="right"/>
              <w:rPr>
                <w:rFonts w:ascii="Montserrat" w:hAnsi="Montserrat"/>
                <w:spacing w:val="-1"/>
                <w:sz w:val="15"/>
                <w:szCs w:val="15"/>
                <w:lang w:val="es-ES_tradnl"/>
              </w:rPr>
            </w:pPr>
            <w:r w:rsidRPr="00255081">
              <w:rPr>
                <w:rFonts w:ascii="Montserrat" w:hAnsi="Montserrat"/>
                <w:spacing w:val="-1"/>
                <w:sz w:val="15"/>
                <w:szCs w:val="15"/>
                <w:lang w:val="es-ES_tradnl"/>
              </w:rPr>
              <w:t>3</w:t>
            </w:r>
            <w:r w:rsidR="00C5200E" w:rsidRPr="00255081">
              <w:rPr>
                <w:rFonts w:ascii="Montserrat" w:hAnsi="Montserrat"/>
                <w:spacing w:val="-1"/>
                <w:sz w:val="15"/>
                <w:szCs w:val="15"/>
                <w:lang w:val="es-ES_tradnl"/>
              </w:rPr>
              <w:t>,</w:t>
            </w:r>
            <w:r w:rsidRPr="00255081">
              <w:rPr>
                <w:rFonts w:ascii="Montserrat" w:hAnsi="Montserrat"/>
                <w:spacing w:val="-1"/>
                <w:sz w:val="15"/>
                <w:szCs w:val="15"/>
                <w:lang w:val="es-ES_tradnl"/>
              </w:rPr>
              <w:t>209</w:t>
            </w:r>
            <w:r w:rsidR="00C5200E" w:rsidRPr="00255081">
              <w:rPr>
                <w:rFonts w:ascii="Montserrat" w:hAnsi="Montserrat"/>
                <w:spacing w:val="-1"/>
                <w:sz w:val="15"/>
                <w:szCs w:val="15"/>
                <w:lang w:val="es-ES_tradnl"/>
              </w:rPr>
              <w:t>,</w:t>
            </w:r>
            <w:r w:rsidRPr="00255081">
              <w:rPr>
                <w:rFonts w:ascii="Montserrat" w:hAnsi="Montserrat"/>
                <w:spacing w:val="-1"/>
                <w:sz w:val="15"/>
                <w:szCs w:val="15"/>
                <w:lang w:val="es-ES_tradnl"/>
              </w:rPr>
              <w:t>129</w:t>
            </w:r>
            <w:r w:rsidR="00C5200E" w:rsidRPr="00255081">
              <w:rPr>
                <w:rFonts w:ascii="Montserrat" w:hAnsi="Montserrat"/>
                <w:spacing w:val="-1"/>
                <w:sz w:val="15"/>
                <w:szCs w:val="15"/>
                <w:lang w:val="es-ES_tradnl"/>
              </w:rPr>
              <w:t>,</w:t>
            </w:r>
            <w:r w:rsidRPr="00255081">
              <w:rPr>
                <w:rFonts w:ascii="Montserrat" w:hAnsi="Montserrat"/>
                <w:spacing w:val="-1"/>
                <w:sz w:val="15"/>
                <w:szCs w:val="15"/>
                <w:lang w:val="es-ES_tradnl"/>
              </w:rPr>
              <w:t>140</w:t>
            </w:r>
            <w:r w:rsidR="00C5200E" w:rsidRPr="00255081">
              <w:rPr>
                <w:rFonts w:ascii="Montserrat" w:hAnsi="Montserrat"/>
                <w:spacing w:val="-1"/>
                <w:sz w:val="15"/>
                <w:szCs w:val="15"/>
                <w:lang w:val="es-ES_tradnl"/>
              </w:rPr>
              <w:t>,</w:t>
            </w:r>
            <w:r w:rsidRPr="00255081">
              <w:rPr>
                <w:rFonts w:ascii="Montserrat" w:hAnsi="Montserrat"/>
                <w:spacing w:val="-1"/>
                <w:sz w:val="15"/>
                <w:szCs w:val="15"/>
                <w:lang w:val="es-ES_tradnl"/>
              </w:rPr>
              <w:t>500</w:t>
            </w:r>
          </w:p>
        </w:tc>
        <w:tc>
          <w:tcPr>
            <w:tcW w:w="1984" w:type="dxa"/>
            <w:shd w:val="clear" w:color="auto" w:fill="F2F2F2" w:themeFill="background1" w:themeFillShade="F2"/>
            <w:tcMar>
              <w:top w:w="0" w:type="dxa"/>
              <w:left w:w="108" w:type="dxa"/>
              <w:bottom w:w="0" w:type="dxa"/>
              <w:right w:w="108" w:type="dxa"/>
            </w:tcMar>
            <w:vAlign w:val="center"/>
          </w:tcPr>
          <w:p w14:paraId="6D1CF82F" w14:textId="77777777" w:rsidR="007E26E9" w:rsidRPr="00255081" w:rsidRDefault="007E26E9" w:rsidP="007E26E9">
            <w:pPr>
              <w:spacing w:after="0" w:line="240" w:lineRule="exact"/>
              <w:ind w:right="113"/>
              <w:jc w:val="right"/>
              <w:rPr>
                <w:rFonts w:ascii="Montserrat" w:hAnsi="Montserrat"/>
                <w:spacing w:val="-1"/>
                <w:sz w:val="15"/>
                <w:szCs w:val="15"/>
                <w:lang w:val="es-ES_tradnl"/>
              </w:rPr>
            </w:pPr>
            <w:r w:rsidRPr="00255081">
              <w:rPr>
                <w:rFonts w:ascii="Montserrat" w:hAnsi="Montserrat"/>
                <w:spacing w:val="-1"/>
                <w:sz w:val="15"/>
                <w:szCs w:val="15"/>
                <w:lang w:val="es-ES_tradnl"/>
              </w:rPr>
              <w:t>2,890,327,441,000</w:t>
            </w:r>
          </w:p>
        </w:tc>
      </w:tr>
      <w:tr w:rsidR="007E26E9" w:rsidRPr="00F01A61" w14:paraId="379FF443" w14:textId="77777777" w:rsidTr="00F01A61">
        <w:trPr>
          <w:gridAfter w:val="1"/>
          <w:wAfter w:w="11" w:type="dxa"/>
          <w:trHeight w:val="215"/>
          <w:jc w:val="center"/>
        </w:trPr>
        <w:tc>
          <w:tcPr>
            <w:tcW w:w="1103" w:type="dxa"/>
            <w:shd w:val="clear" w:color="auto" w:fill="F2F2F2" w:themeFill="background1" w:themeFillShade="F2"/>
          </w:tcPr>
          <w:p w14:paraId="0153F27E" w14:textId="77777777" w:rsidR="007E26E9" w:rsidRPr="00255081" w:rsidRDefault="007E26E9" w:rsidP="007E26E9">
            <w:pPr>
              <w:spacing w:after="0" w:line="240" w:lineRule="exact"/>
              <w:jc w:val="center"/>
              <w:rPr>
                <w:rFonts w:ascii="Montserrat" w:hAnsi="Montserrat"/>
                <w:sz w:val="15"/>
                <w:szCs w:val="15"/>
                <w:lang w:val="es-ES_tradnl"/>
              </w:rPr>
            </w:pPr>
            <w:r w:rsidRPr="00255081">
              <w:rPr>
                <w:rFonts w:ascii="Montserrat" w:hAnsi="Montserrat"/>
                <w:sz w:val="15"/>
                <w:szCs w:val="15"/>
                <w:lang w:val="es-ES_tradnl"/>
              </w:rPr>
              <w:t>Mex</w:t>
            </w:r>
          </w:p>
        </w:tc>
        <w:tc>
          <w:tcPr>
            <w:tcW w:w="1134" w:type="dxa"/>
            <w:shd w:val="clear" w:color="auto" w:fill="F2F2F2" w:themeFill="background1" w:themeFillShade="F2"/>
          </w:tcPr>
          <w:p w14:paraId="0C8A8386" w14:textId="77777777" w:rsidR="007E26E9" w:rsidRPr="00255081" w:rsidRDefault="007E26E9" w:rsidP="007E26E9">
            <w:pPr>
              <w:spacing w:after="0" w:line="240" w:lineRule="exact"/>
              <w:jc w:val="center"/>
              <w:rPr>
                <w:rFonts w:ascii="Montserrat" w:hAnsi="Montserrat"/>
                <w:sz w:val="15"/>
                <w:szCs w:val="15"/>
                <w:lang w:val="es-ES_tradnl"/>
              </w:rPr>
            </w:pPr>
            <w:r w:rsidRPr="00255081">
              <w:rPr>
                <w:rFonts w:ascii="Montserrat" w:hAnsi="Montserrat"/>
                <w:sz w:val="15"/>
                <w:szCs w:val="15"/>
                <w:lang w:val="es-ES_tradnl"/>
              </w:rPr>
              <w:t>Udi</w:t>
            </w:r>
          </w:p>
        </w:tc>
        <w:tc>
          <w:tcPr>
            <w:tcW w:w="5102" w:type="dxa"/>
            <w:shd w:val="clear" w:color="auto" w:fill="F2F2F2" w:themeFill="background1" w:themeFillShade="F2"/>
            <w:tcMar>
              <w:top w:w="0" w:type="dxa"/>
              <w:left w:w="108" w:type="dxa"/>
              <w:bottom w:w="0" w:type="dxa"/>
              <w:right w:w="108" w:type="dxa"/>
            </w:tcMar>
          </w:tcPr>
          <w:p w14:paraId="38E4648D" w14:textId="77777777" w:rsidR="007E26E9" w:rsidRPr="00255081" w:rsidRDefault="007E26E9" w:rsidP="007E26E9">
            <w:pPr>
              <w:spacing w:after="0" w:line="240" w:lineRule="exact"/>
              <w:jc w:val="both"/>
              <w:rPr>
                <w:rFonts w:ascii="Montserrat" w:hAnsi="Montserrat"/>
                <w:sz w:val="15"/>
                <w:szCs w:val="15"/>
                <w:lang w:val="es-ES_tradnl"/>
              </w:rPr>
            </w:pPr>
            <w:r w:rsidRPr="00255081">
              <w:rPr>
                <w:rFonts w:ascii="Montserrat" w:hAnsi="Montserrat"/>
                <w:sz w:val="15"/>
                <w:szCs w:val="15"/>
                <w:lang w:val="es-ES_tradnl"/>
              </w:rPr>
              <w:t>Udibonos</w:t>
            </w:r>
          </w:p>
        </w:tc>
        <w:tc>
          <w:tcPr>
            <w:tcW w:w="1984" w:type="dxa"/>
            <w:shd w:val="clear" w:color="auto" w:fill="F2F2F2" w:themeFill="background1" w:themeFillShade="F2"/>
            <w:vAlign w:val="center"/>
          </w:tcPr>
          <w:p w14:paraId="2CF25565" w14:textId="62466609" w:rsidR="007E26E9" w:rsidRPr="00255081" w:rsidRDefault="003348BD" w:rsidP="007E26E9">
            <w:pPr>
              <w:spacing w:after="0" w:line="240" w:lineRule="exact"/>
              <w:ind w:right="113"/>
              <w:jc w:val="right"/>
              <w:rPr>
                <w:rFonts w:ascii="Montserrat" w:hAnsi="Montserrat"/>
                <w:spacing w:val="-1"/>
                <w:sz w:val="15"/>
                <w:szCs w:val="15"/>
                <w:lang w:val="es-ES_tradnl"/>
              </w:rPr>
            </w:pPr>
            <w:r w:rsidRPr="00255081">
              <w:rPr>
                <w:rFonts w:ascii="Montserrat" w:hAnsi="Montserrat"/>
                <w:spacing w:val="-1"/>
                <w:sz w:val="15"/>
                <w:szCs w:val="15"/>
                <w:lang w:val="es-ES_tradnl"/>
              </w:rPr>
              <w:t>1</w:t>
            </w:r>
            <w:r w:rsidR="00C5200E" w:rsidRPr="00255081">
              <w:rPr>
                <w:rFonts w:ascii="Montserrat" w:hAnsi="Montserrat"/>
                <w:spacing w:val="-1"/>
                <w:sz w:val="15"/>
                <w:szCs w:val="15"/>
                <w:lang w:val="es-ES_tradnl"/>
              </w:rPr>
              <w:t>,</w:t>
            </w:r>
            <w:r w:rsidRPr="00255081">
              <w:rPr>
                <w:rFonts w:ascii="Montserrat" w:hAnsi="Montserrat"/>
                <w:spacing w:val="-1"/>
                <w:sz w:val="15"/>
                <w:szCs w:val="15"/>
                <w:lang w:val="es-ES_tradnl"/>
              </w:rPr>
              <w:t>737</w:t>
            </w:r>
            <w:r w:rsidR="00C5200E" w:rsidRPr="00255081">
              <w:rPr>
                <w:rFonts w:ascii="Montserrat" w:hAnsi="Montserrat"/>
                <w:spacing w:val="-1"/>
                <w:sz w:val="15"/>
                <w:szCs w:val="15"/>
                <w:lang w:val="es-ES_tradnl"/>
              </w:rPr>
              <w:t>,</w:t>
            </w:r>
            <w:r w:rsidRPr="00255081">
              <w:rPr>
                <w:rFonts w:ascii="Montserrat" w:hAnsi="Montserrat"/>
                <w:spacing w:val="-1"/>
                <w:sz w:val="15"/>
                <w:szCs w:val="15"/>
                <w:lang w:val="es-ES_tradnl"/>
              </w:rPr>
              <w:t>764</w:t>
            </w:r>
            <w:r w:rsidR="00C5200E" w:rsidRPr="00255081">
              <w:rPr>
                <w:rFonts w:ascii="Montserrat" w:hAnsi="Montserrat"/>
                <w:spacing w:val="-1"/>
                <w:sz w:val="15"/>
                <w:szCs w:val="15"/>
                <w:lang w:val="es-ES_tradnl"/>
              </w:rPr>
              <w:t>,</w:t>
            </w:r>
            <w:r w:rsidRPr="00255081">
              <w:rPr>
                <w:rFonts w:ascii="Montserrat" w:hAnsi="Montserrat"/>
                <w:spacing w:val="-1"/>
                <w:sz w:val="15"/>
                <w:szCs w:val="15"/>
                <w:lang w:val="es-ES_tradnl"/>
              </w:rPr>
              <w:t>006</w:t>
            </w:r>
            <w:r w:rsidR="00C5200E" w:rsidRPr="00255081">
              <w:rPr>
                <w:rFonts w:ascii="Montserrat" w:hAnsi="Montserrat"/>
                <w:spacing w:val="-1"/>
                <w:sz w:val="15"/>
                <w:szCs w:val="15"/>
                <w:lang w:val="es-ES_tradnl"/>
              </w:rPr>
              <w:t>,</w:t>
            </w:r>
            <w:r w:rsidRPr="00255081">
              <w:rPr>
                <w:rFonts w:ascii="Montserrat" w:hAnsi="Montserrat"/>
                <w:spacing w:val="-1"/>
                <w:sz w:val="15"/>
                <w:szCs w:val="15"/>
                <w:lang w:val="es-ES_tradnl"/>
              </w:rPr>
              <w:t>996</w:t>
            </w:r>
          </w:p>
        </w:tc>
        <w:tc>
          <w:tcPr>
            <w:tcW w:w="1984" w:type="dxa"/>
            <w:shd w:val="clear" w:color="auto" w:fill="F2F2F2" w:themeFill="background1" w:themeFillShade="F2"/>
            <w:tcMar>
              <w:top w:w="0" w:type="dxa"/>
              <w:left w:w="108" w:type="dxa"/>
              <w:bottom w:w="0" w:type="dxa"/>
              <w:right w:w="108" w:type="dxa"/>
            </w:tcMar>
            <w:vAlign w:val="center"/>
          </w:tcPr>
          <w:p w14:paraId="67C2CF84" w14:textId="77777777" w:rsidR="007E26E9" w:rsidRPr="00255081" w:rsidRDefault="007E26E9" w:rsidP="007E26E9">
            <w:pPr>
              <w:spacing w:after="0" w:line="240" w:lineRule="exact"/>
              <w:ind w:right="113"/>
              <w:jc w:val="right"/>
              <w:rPr>
                <w:rFonts w:ascii="Montserrat" w:hAnsi="Montserrat"/>
                <w:spacing w:val="-1"/>
                <w:sz w:val="15"/>
                <w:szCs w:val="15"/>
                <w:lang w:val="es-ES_tradnl"/>
              </w:rPr>
            </w:pPr>
            <w:r w:rsidRPr="00255081">
              <w:rPr>
                <w:rFonts w:ascii="Montserrat" w:hAnsi="Montserrat"/>
                <w:spacing w:val="-1"/>
                <w:sz w:val="15"/>
                <w:szCs w:val="15"/>
                <w:lang w:val="es-ES_tradnl"/>
              </w:rPr>
              <w:t>1,656,001,692,443</w:t>
            </w:r>
          </w:p>
        </w:tc>
      </w:tr>
      <w:tr w:rsidR="007E26E9" w:rsidRPr="00F01A61" w14:paraId="36D600F1" w14:textId="77777777" w:rsidTr="00F01A61">
        <w:trPr>
          <w:gridAfter w:val="1"/>
          <w:wAfter w:w="11" w:type="dxa"/>
          <w:trHeight w:val="215"/>
          <w:jc w:val="center"/>
        </w:trPr>
        <w:tc>
          <w:tcPr>
            <w:tcW w:w="1103" w:type="dxa"/>
            <w:shd w:val="clear" w:color="auto" w:fill="F2F2F2" w:themeFill="background1" w:themeFillShade="F2"/>
          </w:tcPr>
          <w:p w14:paraId="0E6A8B1B" w14:textId="77777777" w:rsidR="007E26E9" w:rsidRPr="00255081" w:rsidRDefault="007E26E9" w:rsidP="007E26E9">
            <w:pPr>
              <w:spacing w:after="0" w:line="240" w:lineRule="exact"/>
              <w:jc w:val="center"/>
              <w:rPr>
                <w:rFonts w:ascii="Montserrat" w:hAnsi="Montserrat"/>
                <w:sz w:val="15"/>
                <w:szCs w:val="15"/>
                <w:lang w:val="es-ES_tradnl"/>
              </w:rPr>
            </w:pPr>
            <w:r w:rsidRPr="00255081">
              <w:rPr>
                <w:rFonts w:ascii="Montserrat" w:hAnsi="Montserrat"/>
                <w:sz w:val="15"/>
                <w:szCs w:val="15"/>
                <w:lang w:val="es-ES_tradnl"/>
              </w:rPr>
              <w:t>Mex</w:t>
            </w:r>
          </w:p>
        </w:tc>
        <w:tc>
          <w:tcPr>
            <w:tcW w:w="1134" w:type="dxa"/>
            <w:shd w:val="clear" w:color="auto" w:fill="F2F2F2" w:themeFill="background1" w:themeFillShade="F2"/>
          </w:tcPr>
          <w:p w14:paraId="28673957" w14:textId="77777777" w:rsidR="007E26E9" w:rsidRPr="00255081" w:rsidRDefault="007E26E9" w:rsidP="007E26E9">
            <w:pPr>
              <w:spacing w:after="0" w:line="240" w:lineRule="exact"/>
              <w:jc w:val="center"/>
              <w:rPr>
                <w:rFonts w:ascii="Montserrat" w:hAnsi="Montserrat"/>
                <w:sz w:val="15"/>
                <w:szCs w:val="15"/>
                <w:lang w:val="es-ES_tradnl"/>
              </w:rPr>
            </w:pPr>
            <w:r w:rsidRPr="00255081">
              <w:rPr>
                <w:rFonts w:ascii="Montserrat" w:hAnsi="Montserrat"/>
                <w:sz w:val="15"/>
                <w:szCs w:val="15"/>
                <w:lang w:val="es-ES_tradnl"/>
              </w:rPr>
              <w:t>Udi</w:t>
            </w:r>
          </w:p>
        </w:tc>
        <w:tc>
          <w:tcPr>
            <w:tcW w:w="5102" w:type="dxa"/>
            <w:shd w:val="clear" w:color="auto" w:fill="F2F2F2" w:themeFill="background1" w:themeFillShade="F2"/>
            <w:tcMar>
              <w:top w:w="0" w:type="dxa"/>
              <w:left w:w="108" w:type="dxa"/>
              <w:bottom w:w="0" w:type="dxa"/>
              <w:right w:w="108" w:type="dxa"/>
            </w:tcMar>
          </w:tcPr>
          <w:p w14:paraId="1B0F90BB" w14:textId="77777777" w:rsidR="007E26E9" w:rsidRPr="00255081" w:rsidRDefault="007E26E9" w:rsidP="007E26E9">
            <w:pPr>
              <w:spacing w:after="0" w:line="240" w:lineRule="exact"/>
              <w:jc w:val="both"/>
              <w:rPr>
                <w:rFonts w:ascii="Montserrat" w:hAnsi="Montserrat"/>
                <w:sz w:val="15"/>
                <w:szCs w:val="15"/>
                <w:lang w:val="es-ES_tradnl"/>
              </w:rPr>
            </w:pPr>
            <w:r w:rsidRPr="00255081">
              <w:rPr>
                <w:rFonts w:ascii="Montserrat" w:hAnsi="Montserrat"/>
                <w:sz w:val="15"/>
                <w:szCs w:val="15"/>
                <w:lang w:val="es-ES_tradnl"/>
              </w:rPr>
              <w:t>Udibonos Segregados</w:t>
            </w:r>
          </w:p>
        </w:tc>
        <w:tc>
          <w:tcPr>
            <w:tcW w:w="1984" w:type="dxa"/>
            <w:shd w:val="clear" w:color="auto" w:fill="F2F2F2" w:themeFill="background1" w:themeFillShade="F2"/>
            <w:vAlign w:val="center"/>
          </w:tcPr>
          <w:p w14:paraId="3F300C68" w14:textId="369E5584" w:rsidR="007E26E9" w:rsidRPr="00255081" w:rsidRDefault="003348BD" w:rsidP="007E26E9">
            <w:pPr>
              <w:spacing w:after="0" w:line="240" w:lineRule="exact"/>
              <w:ind w:right="113"/>
              <w:jc w:val="right"/>
              <w:rPr>
                <w:rFonts w:ascii="Montserrat" w:hAnsi="Montserrat"/>
                <w:spacing w:val="-1"/>
                <w:sz w:val="15"/>
                <w:szCs w:val="15"/>
                <w:lang w:val="es-ES_tradnl"/>
              </w:rPr>
            </w:pPr>
            <w:r w:rsidRPr="00255081">
              <w:rPr>
                <w:rFonts w:ascii="Montserrat" w:hAnsi="Montserrat"/>
                <w:spacing w:val="-1"/>
                <w:sz w:val="15"/>
                <w:szCs w:val="15"/>
                <w:lang w:val="es-ES_tradnl"/>
              </w:rPr>
              <w:t>8</w:t>
            </w:r>
            <w:r w:rsidR="00C5200E" w:rsidRPr="00255081">
              <w:rPr>
                <w:rFonts w:ascii="Montserrat" w:hAnsi="Montserrat"/>
                <w:spacing w:val="-1"/>
                <w:sz w:val="15"/>
                <w:szCs w:val="15"/>
                <w:lang w:val="es-ES_tradnl"/>
              </w:rPr>
              <w:t>,</w:t>
            </w:r>
            <w:r w:rsidRPr="00255081">
              <w:rPr>
                <w:rFonts w:ascii="Montserrat" w:hAnsi="Montserrat"/>
                <w:spacing w:val="-1"/>
                <w:sz w:val="15"/>
                <w:szCs w:val="15"/>
                <w:lang w:val="es-ES_tradnl"/>
              </w:rPr>
              <w:t>032</w:t>
            </w:r>
            <w:r w:rsidR="00C5200E" w:rsidRPr="00255081">
              <w:rPr>
                <w:rFonts w:ascii="Montserrat" w:hAnsi="Montserrat"/>
                <w:spacing w:val="-1"/>
                <w:sz w:val="15"/>
                <w:szCs w:val="15"/>
                <w:lang w:val="es-ES_tradnl"/>
              </w:rPr>
              <w:t>,</w:t>
            </w:r>
            <w:r w:rsidRPr="00255081">
              <w:rPr>
                <w:rFonts w:ascii="Montserrat" w:hAnsi="Montserrat"/>
                <w:spacing w:val="-1"/>
                <w:sz w:val="15"/>
                <w:szCs w:val="15"/>
                <w:lang w:val="es-ES_tradnl"/>
              </w:rPr>
              <w:t>886</w:t>
            </w:r>
            <w:r w:rsidR="00C5200E" w:rsidRPr="00255081">
              <w:rPr>
                <w:rFonts w:ascii="Montserrat" w:hAnsi="Montserrat"/>
                <w:spacing w:val="-1"/>
                <w:sz w:val="15"/>
                <w:szCs w:val="15"/>
                <w:lang w:val="es-ES_tradnl"/>
              </w:rPr>
              <w:t>,</w:t>
            </w:r>
            <w:r w:rsidRPr="00255081">
              <w:rPr>
                <w:rFonts w:ascii="Montserrat" w:hAnsi="Montserrat"/>
                <w:spacing w:val="-1"/>
                <w:sz w:val="15"/>
                <w:szCs w:val="15"/>
                <w:lang w:val="es-ES_tradnl"/>
              </w:rPr>
              <w:t>825</w:t>
            </w:r>
          </w:p>
        </w:tc>
        <w:tc>
          <w:tcPr>
            <w:tcW w:w="1984" w:type="dxa"/>
            <w:shd w:val="clear" w:color="auto" w:fill="F2F2F2" w:themeFill="background1" w:themeFillShade="F2"/>
            <w:tcMar>
              <w:top w:w="0" w:type="dxa"/>
              <w:left w:w="108" w:type="dxa"/>
              <w:bottom w:w="0" w:type="dxa"/>
              <w:right w:w="108" w:type="dxa"/>
            </w:tcMar>
            <w:vAlign w:val="center"/>
          </w:tcPr>
          <w:p w14:paraId="3158CDA5" w14:textId="77777777" w:rsidR="007E26E9" w:rsidRPr="00255081" w:rsidRDefault="007E26E9" w:rsidP="007E26E9">
            <w:pPr>
              <w:spacing w:after="0" w:line="240" w:lineRule="exact"/>
              <w:ind w:right="113"/>
              <w:jc w:val="right"/>
              <w:rPr>
                <w:rFonts w:ascii="Montserrat" w:hAnsi="Montserrat"/>
                <w:spacing w:val="-1"/>
                <w:sz w:val="15"/>
                <w:szCs w:val="15"/>
                <w:lang w:val="es-ES_tradnl"/>
              </w:rPr>
            </w:pPr>
            <w:r w:rsidRPr="00255081">
              <w:rPr>
                <w:rFonts w:ascii="Montserrat" w:hAnsi="Montserrat"/>
                <w:spacing w:val="-1"/>
                <w:sz w:val="15"/>
                <w:szCs w:val="15"/>
                <w:lang w:val="es-ES_tradnl"/>
              </w:rPr>
              <w:t>7,897,150,247</w:t>
            </w:r>
          </w:p>
        </w:tc>
      </w:tr>
      <w:tr w:rsidR="007E26E9" w:rsidRPr="00F01A61" w14:paraId="7E36465F" w14:textId="77777777" w:rsidTr="00F01A61">
        <w:trPr>
          <w:gridAfter w:val="1"/>
          <w:wAfter w:w="11" w:type="dxa"/>
          <w:trHeight w:val="215"/>
          <w:jc w:val="center"/>
        </w:trPr>
        <w:tc>
          <w:tcPr>
            <w:tcW w:w="1103" w:type="dxa"/>
            <w:shd w:val="clear" w:color="auto" w:fill="F2F2F2" w:themeFill="background1" w:themeFillShade="F2"/>
          </w:tcPr>
          <w:p w14:paraId="4AEEFAC3" w14:textId="77777777" w:rsidR="007E26E9" w:rsidRPr="00255081" w:rsidRDefault="007E26E9" w:rsidP="007E26E9">
            <w:pPr>
              <w:spacing w:after="0" w:line="240" w:lineRule="exact"/>
              <w:jc w:val="both"/>
              <w:rPr>
                <w:rFonts w:ascii="Montserrat" w:hAnsi="Montserrat"/>
                <w:b/>
                <w:sz w:val="15"/>
                <w:szCs w:val="15"/>
                <w:lang w:val="es-ES_tradnl"/>
              </w:rPr>
            </w:pPr>
          </w:p>
        </w:tc>
        <w:tc>
          <w:tcPr>
            <w:tcW w:w="1134" w:type="dxa"/>
            <w:shd w:val="clear" w:color="auto" w:fill="F2F2F2" w:themeFill="background1" w:themeFillShade="F2"/>
          </w:tcPr>
          <w:p w14:paraId="4D16E32E" w14:textId="77777777" w:rsidR="007E26E9" w:rsidRPr="00255081" w:rsidRDefault="007E26E9" w:rsidP="007E26E9">
            <w:pPr>
              <w:spacing w:after="0" w:line="240" w:lineRule="exact"/>
              <w:jc w:val="both"/>
              <w:rPr>
                <w:rFonts w:ascii="Montserrat" w:hAnsi="Montserrat"/>
                <w:b/>
                <w:sz w:val="15"/>
                <w:szCs w:val="15"/>
                <w:lang w:val="es-ES_tradnl"/>
              </w:rPr>
            </w:pPr>
          </w:p>
        </w:tc>
        <w:tc>
          <w:tcPr>
            <w:tcW w:w="5102" w:type="dxa"/>
            <w:shd w:val="clear" w:color="auto" w:fill="F2F2F2" w:themeFill="background1" w:themeFillShade="F2"/>
            <w:tcMar>
              <w:top w:w="0" w:type="dxa"/>
              <w:left w:w="108" w:type="dxa"/>
              <w:bottom w:w="0" w:type="dxa"/>
              <w:right w:w="108" w:type="dxa"/>
            </w:tcMar>
          </w:tcPr>
          <w:p w14:paraId="02163B79" w14:textId="77777777" w:rsidR="007E26E9" w:rsidRPr="00255081" w:rsidRDefault="007E26E9" w:rsidP="007E26E9">
            <w:pPr>
              <w:spacing w:after="0" w:line="240" w:lineRule="exact"/>
              <w:jc w:val="right"/>
              <w:rPr>
                <w:rFonts w:ascii="Montserrat" w:hAnsi="Montserrat"/>
                <w:b/>
                <w:spacing w:val="-1"/>
                <w:sz w:val="15"/>
                <w:szCs w:val="15"/>
                <w:lang w:val="es-ES_tradnl"/>
              </w:rPr>
            </w:pPr>
            <w:r w:rsidRPr="00255081">
              <w:rPr>
                <w:rFonts w:ascii="Montserrat" w:hAnsi="Montserrat"/>
                <w:b/>
                <w:spacing w:val="-1"/>
                <w:sz w:val="15"/>
                <w:szCs w:val="15"/>
                <w:lang w:val="es-ES_tradnl"/>
              </w:rPr>
              <w:t>Banca de Fomento y Desarrollo</w:t>
            </w:r>
          </w:p>
        </w:tc>
        <w:tc>
          <w:tcPr>
            <w:tcW w:w="1984" w:type="dxa"/>
            <w:shd w:val="clear" w:color="auto" w:fill="F2F2F2" w:themeFill="background1" w:themeFillShade="F2"/>
            <w:vAlign w:val="center"/>
          </w:tcPr>
          <w:p w14:paraId="29F449AE" w14:textId="60FCF493" w:rsidR="007E26E9" w:rsidRPr="00255081" w:rsidRDefault="003348BD" w:rsidP="007E26E9">
            <w:pPr>
              <w:spacing w:after="0" w:line="240" w:lineRule="exact"/>
              <w:ind w:right="113"/>
              <w:jc w:val="right"/>
              <w:rPr>
                <w:rFonts w:ascii="Montserrat" w:hAnsi="Montserrat"/>
                <w:b/>
                <w:spacing w:val="-1"/>
                <w:sz w:val="15"/>
                <w:szCs w:val="15"/>
                <w:lang w:val="es-ES_tradnl"/>
              </w:rPr>
            </w:pPr>
            <w:r w:rsidRPr="00255081">
              <w:rPr>
                <w:rFonts w:ascii="Montserrat" w:hAnsi="Montserrat"/>
                <w:b/>
                <w:spacing w:val="-1"/>
                <w:sz w:val="15"/>
                <w:szCs w:val="15"/>
                <w:lang w:val="es-ES_tradnl"/>
              </w:rPr>
              <w:t>18</w:t>
            </w:r>
            <w:r w:rsidR="00C5200E" w:rsidRPr="00255081">
              <w:rPr>
                <w:rFonts w:ascii="Montserrat" w:hAnsi="Montserrat"/>
                <w:b/>
                <w:spacing w:val="-1"/>
                <w:sz w:val="15"/>
                <w:szCs w:val="15"/>
                <w:lang w:val="es-ES_tradnl"/>
              </w:rPr>
              <w:t>,</w:t>
            </w:r>
            <w:r w:rsidRPr="00255081">
              <w:rPr>
                <w:rFonts w:ascii="Montserrat" w:hAnsi="Montserrat"/>
                <w:b/>
                <w:spacing w:val="-1"/>
                <w:sz w:val="15"/>
                <w:szCs w:val="15"/>
                <w:lang w:val="es-ES_tradnl"/>
              </w:rPr>
              <w:t>782</w:t>
            </w:r>
            <w:r w:rsidR="00C5200E" w:rsidRPr="00255081">
              <w:rPr>
                <w:rFonts w:ascii="Montserrat" w:hAnsi="Montserrat"/>
                <w:b/>
                <w:spacing w:val="-1"/>
                <w:sz w:val="15"/>
                <w:szCs w:val="15"/>
                <w:lang w:val="es-ES_tradnl"/>
              </w:rPr>
              <w:t>,</w:t>
            </w:r>
            <w:r w:rsidRPr="00255081">
              <w:rPr>
                <w:rFonts w:ascii="Montserrat" w:hAnsi="Montserrat"/>
                <w:b/>
                <w:spacing w:val="-1"/>
                <w:sz w:val="15"/>
                <w:szCs w:val="15"/>
                <w:lang w:val="es-ES_tradnl"/>
              </w:rPr>
              <w:t>995</w:t>
            </w:r>
            <w:r w:rsidR="00C5200E" w:rsidRPr="00255081">
              <w:rPr>
                <w:rFonts w:ascii="Montserrat" w:hAnsi="Montserrat"/>
                <w:b/>
                <w:spacing w:val="-1"/>
                <w:sz w:val="15"/>
                <w:szCs w:val="15"/>
                <w:lang w:val="es-ES_tradnl"/>
              </w:rPr>
              <w:t>,</w:t>
            </w:r>
            <w:r w:rsidRPr="00255081">
              <w:rPr>
                <w:rFonts w:ascii="Montserrat" w:hAnsi="Montserrat"/>
                <w:b/>
                <w:spacing w:val="-1"/>
                <w:sz w:val="15"/>
                <w:szCs w:val="15"/>
                <w:lang w:val="es-ES_tradnl"/>
              </w:rPr>
              <w:t>974</w:t>
            </w:r>
          </w:p>
        </w:tc>
        <w:tc>
          <w:tcPr>
            <w:tcW w:w="1984" w:type="dxa"/>
            <w:shd w:val="clear" w:color="auto" w:fill="F2F2F2" w:themeFill="background1" w:themeFillShade="F2"/>
            <w:tcMar>
              <w:top w:w="0" w:type="dxa"/>
              <w:left w:w="108" w:type="dxa"/>
              <w:bottom w:w="0" w:type="dxa"/>
              <w:right w:w="108" w:type="dxa"/>
            </w:tcMar>
            <w:vAlign w:val="center"/>
          </w:tcPr>
          <w:p w14:paraId="1BBB5EF3" w14:textId="77777777" w:rsidR="007E26E9" w:rsidRPr="00255081" w:rsidRDefault="007E26E9" w:rsidP="007E26E9">
            <w:pPr>
              <w:spacing w:after="0" w:line="240" w:lineRule="exact"/>
              <w:ind w:right="113"/>
              <w:jc w:val="right"/>
              <w:rPr>
                <w:rFonts w:ascii="Montserrat" w:hAnsi="Montserrat"/>
                <w:b/>
                <w:spacing w:val="-1"/>
                <w:sz w:val="15"/>
                <w:szCs w:val="15"/>
                <w:lang w:val="es-ES_tradnl"/>
              </w:rPr>
            </w:pPr>
            <w:r w:rsidRPr="00255081">
              <w:rPr>
                <w:rFonts w:ascii="Montserrat" w:hAnsi="Montserrat"/>
                <w:b/>
                <w:spacing w:val="-1"/>
                <w:sz w:val="15"/>
                <w:szCs w:val="15"/>
                <w:lang w:val="es-ES_tradnl"/>
              </w:rPr>
              <w:t>20,634,131,938</w:t>
            </w:r>
          </w:p>
        </w:tc>
      </w:tr>
      <w:tr w:rsidR="007E26E9" w:rsidRPr="00F01A61" w14:paraId="2E598F4E" w14:textId="77777777" w:rsidTr="00F01A61">
        <w:trPr>
          <w:gridAfter w:val="1"/>
          <w:wAfter w:w="11" w:type="dxa"/>
          <w:trHeight w:val="215"/>
          <w:jc w:val="center"/>
        </w:trPr>
        <w:tc>
          <w:tcPr>
            <w:tcW w:w="1103" w:type="dxa"/>
            <w:shd w:val="clear" w:color="auto" w:fill="F2F2F2" w:themeFill="background1" w:themeFillShade="F2"/>
          </w:tcPr>
          <w:p w14:paraId="0336B043" w14:textId="77777777" w:rsidR="007E26E9" w:rsidRPr="00255081" w:rsidRDefault="007E26E9" w:rsidP="007E26E9">
            <w:pPr>
              <w:spacing w:after="0" w:line="240" w:lineRule="exact"/>
              <w:jc w:val="center"/>
              <w:rPr>
                <w:rFonts w:ascii="Montserrat" w:hAnsi="Montserrat"/>
                <w:sz w:val="15"/>
                <w:szCs w:val="15"/>
                <w:lang w:val="es-ES_tradnl"/>
              </w:rPr>
            </w:pPr>
            <w:r w:rsidRPr="00255081">
              <w:rPr>
                <w:rFonts w:ascii="Montserrat" w:hAnsi="Montserrat"/>
                <w:sz w:val="15"/>
                <w:szCs w:val="15"/>
                <w:lang w:val="es-ES_tradnl"/>
              </w:rPr>
              <w:t>Mex</w:t>
            </w:r>
          </w:p>
        </w:tc>
        <w:tc>
          <w:tcPr>
            <w:tcW w:w="1134" w:type="dxa"/>
            <w:shd w:val="clear" w:color="auto" w:fill="F2F2F2" w:themeFill="background1" w:themeFillShade="F2"/>
          </w:tcPr>
          <w:p w14:paraId="6414B6A8" w14:textId="77777777" w:rsidR="007E26E9" w:rsidRPr="00255081" w:rsidRDefault="007E26E9" w:rsidP="007E26E9">
            <w:pPr>
              <w:spacing w:after="0" w:line="240" w:lineRule="exact"/>
              <w:jc w:val="center"/>
              <w:rPr>
                <w:rFonts w:ascii="Montserrat" w:hAnsi="Montserrat"/>
                <w:sz w:val="15"/>
                <w:szCs w:val="15"/>
                <w:lang w:val="es-ES_tradnl"/>
              </w:rPr>
            </w:pPr>
            <w:r w:rsidRPr="00255081">
              <w:rPr>
                <w:rFonts w:ascii="Montserrat" w:hAnsi="Montserrat"/>
                <w:sz w:val="15"/>
                <w:szCs w:val="15"/>
                <w:lang w:val="es-ES_tradnl"/>
              </w:rPr>
              <w:t>Udi</w:t>
            </w:r>
          </w:p>
        </w:tc>
        <w:tc>
          <w:tcPr>
            <w:tcW w:w="5102" w:type="dxa"/>
            <w:shd w:val="clear" w:color="auto" w:fill="F2F2F2" w:themeFill="background1" w:themeFillShade="F2"/>
            <w:tcMar>
              <w:top w:w="0" w:type="dxa"/>
              <w:left w:w="108" w:type="dxa"/>
              <w:bottom w:w="0" w:type="dxa"/>
              <w:right w:w="108" w:type="dxa"/>
            </w:tcMar>
          </w:tcPr>
          <w:p w14:paraId="09B02D58" w14:textId="77777777" w:rsidR="007E26E9" w:rsidRPr="00255081" w:rsidRDefault="007E26E9" w:rsidP="007E26E9">
            <w:pPr>
              <w:spacing w:after="0" w:line="240" w:lineRule="exact"/>
              <w:jc w:val="both"/>
              <w:rPr>
                <w:rFonts w:ascii="Montserrat" w:hAnsi="Montserrat"/>
                <w:sz w:val="15"/>
                <w:szCs w:val="15"/>
                <w:lang w:val="es-ES_tradnl"/>
              </w:rPr>
            </w:pPr>
            <w:r w:rsidRPr="00255081">
              <w:rPr>
                <w:rFonts w:ascii="Montserrat" w:hAnsi="Montserrat"/>
                <w:sz w:val="15"/>
                <w:szCs w:val="15"/>
                <w:lang w:val="es-ES_tradnl"/>
              </w:rPr>
              <w:t>Nafin</w:t>
            </w:r>
          </w:p>
        </w:tc>
        <w:tc>
          <w:tcPr>
            <w:tcW w:w="1984" w:type="dxa"/>
            <w:shd w:val="clear" w:color="auto" w:fill="F2F2F2" w:themeFill="background1" w:themeFillShade="F2"/>
            <w:vAlign w:val="center"/>
          </w:tcPr>
          <w:p w14:paraId="46C83913" w14:textId="4AD483B9" w:rsidR="007E26E9" w:rsidRPr="00255081" w:rsidRDefault="003348BD" w:rsidP="007E26E9">
            <w:pPr>
              <w:spacing w:after="0" w:line="240" w:lineRule="exact"/>
              <w:ind w:right="113"/>
              <w:jc w:val="right"/>
              <w:rPr>
                <w:rFonts w:ascii="Montserrat" w:hAnsi="Montserrat"/>
                <w:spacing w:val="-1"/>
                <w:sz w:val="15"/>
                <w:szCs w:val="15"/>
                <w:lang w:val="es-ES_tradnl"/>
              </w:rPr>
            </w:pPr>
            <w:r w:rsidRPr="00255081">
              <w:rPr>
                <w:rFonts w:ascii="Montserrat" w:hAnsi="Montserrat"/>
                <w:spacing w:val="-1"/>
                <w:sz w:val="15"/>
                <w:szCs w:val="15"/>
                <w:lang w:val="es-ES_tradnl"/>
              </w:rPr>
              <w:t>7</w:t>
            </w:r>
            <w:r w:rsidR="00C5200E" w:rsidRPr="00255081">
              <w:rPr>
                <w:rFonts w:ascii="Montserrat" w:hAnsi="Montserrat"/>
                <w:spacing w:val="-1"/>
                <w:sz w:val="15"/>
                <w:szCs w:val="15"/>
                <w:lang w:val="es-ES_tradnl"/>
              </w:rPr>
              <w:t>,</w:t>
            </w:r>
            <w:r w:rsidRPr="00255081">
              <w:rPr>
                <w:rFonts w:ascii="Montserrat" w:hAnsi="Montserrat"/>
                <w:spacing w:val="-1"/>
                <w:sz w:val="15"/>
                <w:szCs w:val="15"/>
                <w:lang w:val="es-ES_tradnl"/>
              </w:rPr>
              <w:t>817</w:t>
            </w:r>
            <w:r w:rsidR="00C5200E" w:rsidRPr="00255081">
              <w:rPr>
                <w:rFonts w:ascii="Montserrat" w:hAnsi="Montserrat"/>
                <w:spacing w:val="-1"/>
                <w:sz w:val="15"/>
                <w:szCs w:val="15"/>
                <w:lang w:val="es-ES_tradnl"/>
              </w:rPr>
              <w:t>,</w:t>
            </w:r>
            <w:r w:rsidRPr="00255081">
              <w:rPr>
                <w:rFonts w:ascii="Montserrat" w:hAnsi="Montserrat"/>
                <w:spacing w:val="-1"/>
                <w:sz w:val="15"/>
                <w:szCs w:val="15"/>
                <w:lang w:val="es-ES_tradnl"/>
              </w:rPr>
              <w:t>884</w:t>
            </w:r>
            <w:r w:rsidR="00C5200E" w:rsidRPr="00255081">
              <w:rPr>
                <w:rFonts w:ascii="Montserrat" w:hAnsi="Montserrat"/>
                <w:spacing w:val="-1"/>
                <w:sz w:val="15"/>
                <w:szCs w:val="15"/>
                <w:lang w:val="es-ES_tradnl"/>
              </w:rPr>
              <w:t>,</w:t>
            </w:r>
            <w:r w:rsidRPr="00255081">
              <w:rPr>
                <w:rFonts w:ascii="Montserrat" w:hAnsi="Montserrat"/>
                <w:spacing w:val="-1"/>
                <w:sz w:val="15"/>
                <w:szCs w:val="15"/>
                <w:lang w:val="es-ES_tradnl"/>
              </w:rPr>
              <w:t>350</w:t>
            </w:r>
          </w:p>
        </w:tc>
        <w:tc>
          <w:tcPr>
            <w:tcW w:w="1984" w:type="dxa"/>
            <w:shd w:val="clear" w:color="auto" w:fill="F2F2F2" w:themeFill="background1" w:themeFillShade="F2"/>
            <w:tcMar>
              <w:top w:w="0" w:type="dxa"/>
              <w:left w:w="108" w:type="dxa"/>
              <w:bottom w:w="0" w:type="dxa"/>
              <w:right w:w="108" w:type="dxa"/>
            </w:tcMar>
            <w:vAlign w:val="center"/>
          </w:tcPr>
          <w:p w14:paraId="0A4258E9" w14:textId="77777777" w:rsidR="007E26E9" w:rsidRPr="00255081" w:rsidRDefault="007E26E9" w:rsidP="007E26E9">
            <w:pPr>
              <w:spacing w:after="0" w:line="240" w:lineRule="exact"/>
              <w:ind w:right="113"/>
              <w:jc w:val="right"/>
              <w:rPr>
                <w:rFonts w:ascii="Montserrat" w:hAnsi="Montserrat"/>
                <w:spacing w:val="-1"/>
                <w:sz w:val="15"/>
                <w:szCs w:val="15"/>
                <w:lang w:val="es-ES_tradnl"/>
              </w:rPr>
            </w:pPr>
            <w:r w:rsidRPr="00255081">
              <w:rPr>
                <w:rFonts w:ascii="Montserrat" w:hAnsi="Montserrat"/>
                <w:spacing w:val="-1"/>
                <w:sz w:val="15"/>
                <w:szCs w:val="15"/>
                <w:lang w:val="es-ES_tradnl"/>
              </w:rPr>
              <w:t>9,936,675,553</w:t>
            </w:r>
          </w:p>
        </w:tc>
      </w:tr>
      <w:tr w:rsidR="007E26E9" w:rsidRPr="00F01A61" w14:paraId="6E469337" w14:textId="77777777" w:rsidTr="00F01A61">
        <w:trPr>
          <w:gridAfter w:val="1"/>
          <w:wAfter w:w="11" w:type="dxa"/>
          <w:trHeight w:val="215"/>
          <w:jc w:val="center"/>
        </w:trPr>
        <w:tc>
          <w:tcPr>
            <w:tcW w:w="1103" w:type="dxa"/>
            <w:shd w:val="clear" w:color="auto" w:fill="F2F2F2" w:themeFill="background1" w:themeFillShade="F2"/>
          </w:tcPr>
          <w:p w14:paraId="3CDB60B4" w14:textId="77777777" w:rsidR="007E26E9" w:rsidRPr="00255081" w:rsidRDefault="007E26E9" w:rsidP="007E26E9">
            <w:pPr>
              <w:spacing w:after="0" w:line="240" w:lineRule="exact"/>
              <w:jc w:val="center"/>
              <w:rPr>
                <w:rFonts w:ascii="Montserrat" w:hAnsi="Montserrat"/>
                <w:sz w:val="15"/>
                <w:szCs w:val="15"/>
                <w:lang w:val="es-ES_tradnl"/>
              </w:rPr>
            </w:pPr>
            <w:r w:rsidRPr="00255081">
              <w:rPr>
                <w:rFonts w:ascii="Montserrat" w:hAnsi="Montserrat"/>
                <w:sz w:val="15"/>
                <w:szCs w:val="15"/>
                <w:lang w:val="es-ES_tradnl"/>
              </w:rPr>
              <w:t>Mex</w:t>
            </w:r>
          </w:p>
        </w:tc>
        <w:tc>
          <w:tcPr>
            <w:tcW w:w="1134" w:type="dxa"/>
            <w:shd w:val="clear" w:color="auto" w:fill="F2F2F2" w:themeFill="background1" w:themeFillShade="F2"/>
          </w:tcPr>
          <w:p w14:paraId="4719AA2A" w14:textId="77777777" w:rsidR="007E26E9" w:rsidRPr="00255081" w:rsidRDefault="007E26E9" w:rsidP="007E26E9">
            <w:pPr>
              <w:spacing w:after="0" w:line="240" w:lineRule="exact"/>
              <w:jc w:val="center"/>
              <w:rPr>
                <w:rFonts w:ascii="Montserrat" w:hAnsi="Montserrat"/>
                <w:sz w:val="15"/>
                <w:szCs w:val="15"/>
                <w:lang w:val="es-ES_tradnl"/>
              </w:rPr>
            </w:pPr>
            <w:r w:rsidRPr="00255081">
              <w:rPr>
                <w:rFonts w:ascii="Montserrat" w:hAnsi="Montserrat"/>
                <w:sz w:val="15"/>
                <w:szCs w:val="15"/>
                <w:lang w:val="es-ES_tradnl"/>
              </w:rPr>
              <w:t>Pso</w:t>
            </w:r>
          </w:p>
        </w:tc>
        <w:tc>
          <w:tcPr>
            <w:tcW w:w="5102" w:type="dxa"/>
            <w:shd w:val="clear" w:color="auto" w:fill="F2F2F2" w:themeFill="background1" w:themeFillShade="F2"/>
            <w:tcMar>
              <w:top w:w="0" w:type="dxa"/>
              <w:left w:w="108" w:type="dxa"/>
              <w:bottom w:w="0" w:type="dxa"/>
              <w:right w:w="108" w:type="dxa"/>
            </w:tcMar>
          </w:tcPr>
          <w:p w14:paraId="3EA1DFC1" w14:textId="77777777" w:rsidR="007E26E9" w:rsidRPr="00255081" w:rsidRDefault="007E26E9" w:rsidP="007E26E9">
            <w:pPr>
              <w:spacing w:after="0" w:line="240" w:lineRule="exact"/>
              <w:jc w:val="both"/>
              <w:rPr>
                <w:rFonts w:ascii="Montserrat" w:hAnsi="Montserrat"/>
                <w:sz w:val="15"/>
                <w:szCs w:val="15"/>
                <w:lang w:val="es-ES_tradnl"/>
              </w:rPr>
            </w:pPr>
            <w:r w:rsidRPr="00255081">
              <w:rPr>
                <w:rFonts w:ascii="Montserrat" w:hAnsi="Montserrat"/>
                <w:sz w:val="15"/>
                <w:szCs w:val="15"/>
                <w:lang w:val="es-ES_tradnl"/>
              </w:rPr>
              <w:t>Banobras</w:t>
            </w:r>
          </w:p>
        </w:tc>
        <w:tc>
          <w:tcPr>
            <w:tcW w:w="1984" w:type="dxa"/>
            <w:shd w:val="clear" w:color="auto" w:fill="F2F2F2" w:themeFill="background1" w:themeFillShade="F2"/>
            <w:vAlign w:val="center"/>
          </w:tcPr>
          <w:p w14:paraId="6311C86D" w14:textId="39A0F469" w:rsidR="007E26E9" w:rsidRPr="00255081" w:rsidRDefault="003348BD" w:rsidP="007E26E9">
            <w:pPr>
              <w:spacing w:after="0" w:line="240" w:lineRule="exact"/>
              <w:ind w:right="113"/>
              <w:jc w:val="right"/>
              <w:rPr>
                <w:rFonts w:ascii="Montserrat" w:hAnsi="Montserrat"/>
                <w:spacing w:val="-1"/>
                <w:sz w:val="15"/>
                <w:szCs w:val="15"/>
                <w:lang w:val="es-ES_tradnl"/>
              </w:rPr>
            </w:pPr>
            <w:r w:rsidRPr="00255081">
              <w:rPr>
                <w:rFonts w:ascii="Montserrat" w:hAnsi="Montserrat"/>
                <w:spacing w:val="-1"/>
                <w:sz w:val="15"/>
                <w:szCs w:val="15"/>
                <w:lang w:val="es-ES_tradnl"/>
              </w:rPr>
              <w:t>10</w:t>
            </w:r>
            <w:r w:rsidR="00C5200E" w:rsidRPr="00255081">
              <w:rPr>
                <w:rFonts w:ascii="Montserrat" w:hAnsi="Montserrat"/>
                <w:spacing w:val="-1"/>
                <w:sz w:val="15"/>
                <w:szCs w:val="15"/>
                <w:lang w:val="es-ES_tradnl"/>
              </w:rPr>
              <w:t>,</w:t>
            </w:r>
            <w:r w:rsidRPr="00255081">
              <w:rPr>
                <w:rFonts w:ascii="Montserrat" w:hAnsi="Montserrat"/>
                <w:spacing w:val="-1"/>
                <w:sz w:val="15"/>
                <w:szCs w:val="15"/>
                <w:lang w:val="es-ES_tradnl"/>
              </w:rPr>
              <w:t>074</w:t>
            </w:r>
            <w:r w:rsidR="00C5200E" w:rsidRPr="00255081">
              <w:rPr>
                <w:rFonts w:ascii="Montserrat" w:hAnsi="Montserrat"/>
                <w:spacing w:val="-1"/>
                <w:sz w:val="15"/>
                <w:szCs w:val="15"/>
                <w:lang w:val="es-ES_tradnl"/>
              </w:rPr>
              <w:t>,</w:t>
            </w:r>
            <w:r w:rsidRPr="00255081">
              <w:rPr>
                <w:rFonts w:ascii="Montserrat" w:hAnsi="Montserrat"/>
                <w:spacing w:val="-1"/>
                <w:sz w:val="15"/>
                <w:szCs w:val="15"/>
                <w:lang w:val="es-ES_tradnl"/>
              </w:rPr>
              <w:t>654</w:t>
            </w:r>
            <w:r w:rsidR="00C5200E" w:rsidRPr="00255081">
              <w:rPr>
                <w:rFonts w:ascii="Montserrat" w:hAnsi="Montserrat"/>
                <w:spacing w:val="-1"/>
                <w:sz w:val="15"/>
                <w:szCs w:val="15"/>
                <w:lang w:val="es-ES_tradnl"/>
              </w:rPr>
              <w:t>,</w:t>
            </w:r>
            <w:r w:rsidRPr="00255081">
              <w:rPr>
                <w:rFonts w:ascii="Montserrat" w:hAnsi="Montserrat"/>
                <w:spacing w:val="-1"/>
                <w:sz w:val="15"/>
                <w:szCs w:val="15"/>
                <w:lang w:val="es-ES_tradnl"/>
              </w:rPr>
              <w:t>184</w:t>
            </w:r>
          </w:p>
        </w:tc>
        <w:tc>
          <w:tcPr>
            <w:tcW w:w="1984" w:type="dxa"/>
            <w:shd w:val="clear" w:color="auto" w:fill="F2F2F2" w:themeFill="background1" w:themeFillShade="F2"/>
            <w:tcMar>
              <w:top w:w="0" w:type="dxa"/>
              <w:left w:w="108" w:type="dxa"/>
              <w:bottom w:w="0" w:type="dxa"/>
              <w:right w:w="108" w:type="dxa"/>
            </w:tcMar>
            <w:vAlign w:val="center"/>
          </w:tcPr>
          <w:p w14:paraId="3C42EB38" w14:textId="77777777" w:rsidR="007E26E9" w:rsidRPr="00255081" w:rsidRDefault="007E26E9" w:rsidP="007E26E9">
            <w:pPr>
              <w:spacing w:after="0" w:line="240" w:lineRule="exact"/>
              <w:ind w:right="113"/>
              <w:jc w:val="right"/>
              <w:rPr>
                <w:rFonts w:ascii="Montserrat" w:hAnsi="Montserrat"/>
                <w:spacing w:val="-1"/>
                <w:sz w:val="15"/>
                <w:szCs w:val="15"/>
                <w:lang w:val="es-ES_tradnl"/>
              </w:rPr>
            </w:pPr>
            <w:r w:rsidRPr="00255081">
              <w:rPr>
                <w:rFonts w:ascii="Montserrat" w:hAnsi="Montserrat"/>
                <w:spacing w:val="-1"/>
                <w:sz w:val="15"/>
                <w:szCs w:val="15"/>
                <w:lang w:val="es-ES_tradnl"/>
              </w:rPr>
              <w:t>9,803,247,007</w:t>
            </w:r>
          </w:p>
        </w:tc>
      </w:tr>
      <w:tr w:rsidR="007E26E9" w:rsidRPr="00F01A61" w14:paraId="02B294AA" w14:textId="77777777" w:rsidTr="00F01A61">
        <w:trPr>
          <w:gridAfter w:val="1"/>
          <w:wAfter w:w="11" w:type="dxa"/>
          <w:trHeight w:val="215"/>
          <w:jc w:val="center"/>
        </w:trPr>
        <w:tc>
          <w:tcPr>
            <w:tcW w:w="1103" w:type="dxa"/>
            <w:shd w:val="clear" w:color="auto" w:fill="F2F2F2" w:themeFill="background1" w:themeFillShade="F2"/>
          </w:tcPr>
          <w:p w14:paraId="248A96F3" w14:textId="77777777" w:rsidR="007E26E9" w:rsidRPr="00255081" w:rsidRDefault="007E26E9" w:rsidP="007E26E9">
            <w:pPr>
              <w:spacing w:after="0" w:line="240" w:lineRule="exact"/>
              <w:jc w:val="center"/>
              <w:rPr>
                <w:rFonts w:ascii="Montserrat" w:hAnsi="Montserrat"/>
                <w:sz w:val="15"/>
                <w:szCs w:val="15"/>
                <w:lang w:val="es-ES_tradnl"/>
              </w:rPr>
            </w:pPr>
            <w:r w:rsidRPr="00255081">
              <w:rPr>
                <w:rFonts w:ascii="Montserrat" w:hAnsi="Montserrat"/>
                <w:sz w:val="15"/>
                <w:szCs w:val="15"/>
                <w:lang w:val="es-ES_tradnl"/>
              </w:rPr>
              <w:t>Mex</w:t>
            </w:r>
          </w:p>
        </w:tc>
        <w:tc>
          <w:tcPr>
            <w:tcW w:w="1134" w:type="dxa"/>
            <w:shd w:val="clear" w:color="auto" w:fill="F2F2F2" w:themeFill="background1" w:themeFillShade="F2"/>
          </w:tcPr>
          <w:p w14:paraId="73CDA664" w14:textId="77777777" w:rsidR="007E26E9" w:rsidRPr="00255081" w:rsidRDefault="007E26E9" w:rsidP="007E26E9">
            <w:pPr>
              <w:spacing w:after="0" w:line="240" w:lineRule="exact"/>
              <w:jc w:val="center"/>
              <w:rPr>
                <w:rFonts w:ascii="Montserrat" w:hAnsi="Montserrat"/>
                <w:sz w:val="15"/>
                <w:szCs w:val="15"/>
                <w:lang w:val="es-ES_tradnl"/>
              </w:rPr>
            </w:pPr>
            <w:r w:rsidRPr="00255081">
              <w:rPr>
                <w:rFonts w:ascii="Montserrat" w:hAnsi="Montserrat"/>
                <w:sz w:val="15"/>
                <w:szCs w:val="15"/>
                <w:lang w:val="es-ES_tradnl"/>
              </w:rPr>
              <w:t>Pso</w:t>
            </w:r>
          </w:p>
        </w:tc>
        <w:tc>
          <w:tcPr>
            <w:tcW w:w="5102" w:type="dxa"/>
            <w:shd w:val="clear" w:color="auto" w:fill="F2F2F2" w:themeFill="background1" w:themeFillShade="F2"/>
            <w:tcMar>
              <w:top w:w="0" w:type="dxa"/>
              <w:left w:w="108" w:type="dxa"/>
              <w:bottom w:w="0" w:type="dxa"/>
              <w:right w:w="108" w:type="dxa"/>
            </w:tcMar>
          </w:tcPr>
          <w:p w14:paraId="33753A6C" w14:textId="7ECF9B9A" w:rsidR="007E26E9" w:rsidRPr="00255081" w:rsidRDefault="00EE5081" w:rsidP="007E26E9">
            <w:pPr>
              <w:spacing w:after="0" w:line="240" w:lineRule="exact"/>
              <w:jc w:val="both"/>
              <w:rPr>
                <w:rFonts w:ascii="Montserrat" w:hAnsi="Montserrat"/>
                <w:sz w:val="15"/>
                <w:szCs w:val="15"/>
                <w:lang w:val="es-ES_tradnl"/>
              </w:rPr>
            </w:pPr>
            <w:r>
              <w:rPr>
                <w:rFonts w:ascii="Montserrat" w:hAnsi="Montserrat"/>
                <w:sz w:val="15"/>
                <w:szCs w:val="15"/>
                <w:lang w:val="es-ES_tradnl"/>
              </w:rPr>
              <w:t>OIN</w:t>
            </w:r>
            <w:r w:rsidR="003348BD" w:rsidRPr="00255081">
              <w:rPr>
                <w:rFonts w:ascii="Montserrat" w:hAnsi="Montserrat"/>
                <w:sz w:val="15"/>
                <w:szCs w:val="15"/>
                <w:lang w:val="es-ES_tradnl"/>
              </w:rPr>
              <w:t>C</w:t>
            </w:r>
          </w:p>
        </w:tc>
        <w:tc>
          <w:tcPr>
            <w:tcW w:w="1984" w:type="dxa"/>
            <w:shd w:val="clear" w:color="auto" w:fill="F2F2F2" w:themeFill="background1" w:themeFillShade="F2"/>
            <w:vAlign w:val="center"/>
          </w:tcPr>
          <w:p w14:paraId="334F10E2" w14:textId="51DA4E5B" w:rsidR="007E26E9" w:rsidRPr="00255081" w:rsidRDefault="003348BD" w:rsidP="007E26E9">
            <w:pPr>
              <w:spacing w:after="0" w:line="240" w:lineRule="exact"/>
              <w:ind w:right="113"/>
              <w:jc w:val="right"/>
              <w:rPr>
                <w:rFonts w:ascii="Montserrat" w:hAnsi="Montserrat"/>
                <w:spacing w:val="-1"/>
                <w:sz w:val="15"/>
                <w:szCs w:val="15"/>
                <w:lang w:val="es-ES_tradnl"/>
              </w:rPr>
            </w:pPr>
            <w:r w:rsidRPr="00255081">
              <w:rPr>
                <w:rFonts w:ascii="Montserrat" w:hAnsi="Montserrat"/>
                <w:spacing w:val="-1"/>
                <w:sz w:val="15"/>
                <w:szCs w:val="15"/>
                <w:lang w:val="es-ES_tradnl"/>
              </w:rPr>
              <w:t>890</w:t>
            </w:r>
            <w:r w:rsidR="00C5200E" w:rsidRPr="00255081">
              <w:rPr>
                <w:rFonts w:ascii="Montserrat" w:hAnsi="Montserrat"/>
                <w:spacing w:val="-1"/>
                <w:sz w:val="15"/>
                <w:szCs w:val="15"/>
                <w:lang w:val="es-ES_tradnl"/>
              </w:rPr>
              <w:t>,</w:t>
            </w:r>
            <w:r w:rsidRPr="00255081">
              <w:rPr>
                <w:rFonts w:ascii="Montserrat" w:hAnsi="Montserrat"/>
                <w:spacing w:val="-1"/>
                <w:sz w:val="15"/>
                <w:szCs w:val="15"/>
                <w:lang w:val="es-ES_tradnl"/>
              </w:rPr>
              <w:t>457</w:t>
            </w:r>
            <w:r w:rsidR="00C5200E" w:rsidRPr="00255081">
              <w:rPr>
                <w:rFonts w:ascii="Montserrat" w:hAnsi="Montserrat"/>
                <w:spacing w:val="-1"/>
                <w:sz w:val="15"/>
                <w:szCs w:val="15"/>
                <w:lang w:val="es-ES_tradnl"/>
              </w:rPr>
              <w:t>,</w:t>
            </w:r>
            <w:r w:rsidRPr="00255081">
              <w:rPr>
                <w:rFonts w:ascii="Montserrat" w:hAnsi="Montserrat"/>
                <w:spacing w:val="-1"/>
                <w:sz w:val="15"/>
                <w:szCs w:val="15"/>
                <w:lang w:val="es-ES_tradnl"/>
              </w:rPr>
              <w:t>440</w:t>
            </w:r>
          </w:p>
        </w:tc>
        <w:tc>
          <w:tcPr>
            <w:tcW w:w="1984" w:type="dxa"/>
            <w:shd w:val="clear" w:color="auto" w:fill="F2F2F2" w:themeFill="background1" w:themeFillShade="F2"/>
            <w:tcMar>
              <w:top w:w="0" w:type="dxa"/>
              <w:left w:w="108" w:type="dxa"/>
              <w:bottom w:w="0" w:type="dxa"/>
              <w:right w:w="108" w:type="dxa"/>
            </w:tcMar>
            <w:vAlign w:val="center"/>
          </w:tcPr>
          <w:p w14:paraId="7B478B29" w14:textId="77777777" w:rsidR="007E26E9" w:rsidRPr="00255081" w:rsidRDefault="007E26E9" w:rsidP="007E26E9">
            <w:pPr>
              <w:spacing w:after="0" w:line="240" w:lineRule="exact"/>
              <w:ind w:right="113"/>
              <w:jc w:val="right"/>
              <w:rPr>
                <w:rFonts w:ascii="Montserrat" w:hAnsi="Montserrat"/>
                <w:spacing w:val="-1"/>
                <w:sz w:val="15"/>
                <w:szCs w:val="15"/>
                <w:lang w:val="es-ES_tradnl"/>
              </w:rPr>
            </w:pPr>
            <w:r w:rsidRPr="00255081">
              <w:rPr>
                <w:rFonts w:ascii="Montserrat" w:hAnsi="Montserrat"/>
                <w:spacing w:val="-1"/>
                <w:sz w:val="15"/>
                <w:szCs w:val="15"/>
                <w:lang w:val="es-ES_tradnl"/>
              </w:rPr>
              <w:t>894,209,378</w:t>
            </w:r>
          </w:p>
        </w:tc>
      </w:tr>
      <w:tr w:rsidR="007E26E9" w:rsidRPr="00F01A61" w14:paraId="73CE3006" w14:textId="77777777" w:rsidTr="00F01A61">
        <w:trPr>
          <w:gridAfter w:val="1"/>
          <w:wAfter w:w="11" w:type="dxa"/>
          <w:trHeight w:val="215"/>
          <w:jc w:val="center"/>
        </w:trPr>
        <w:tc>
          <w:tcPr>
            <w:tcW w:w="1103" w:type="dxa"/>
            <w:shd w:val="clear" w:color="auto" w:fill="F2F2F2" w:themeFill="background1" w:themeFillShade="F2"/>
          </w:tcPr>
          <w:p w14:paraId="17FDFF79" w14:textId="77777777" w:rsidR="007E26E9" w:rsidRPr="00255081" w:rsidRDefault="007E26E9" w:rsidP="007E26E9">
            <w:pPr>
              <w:spacing w:after="0" w:line="240" w:lineRule="exact"/>
              <w:jc w:val="both"/>
              <w:rPr>
                <w:rFonts w:ascii="Montserrat" w:hAnsi="Montserrat"/>
                <w:b/>
                <w:sz w:val="15"/>
                <w:szCs w:val="15"/>
                <w:lang w:val="es-ES_tradnl"/>
              </w:rPr>
            </w:pPr>
          </w:p>
        </w:tc>
        <w:tc>
          <w:tcPr>
            <w:tcW w:w="1134" w:type="dxa"/>
            <w:shd w:val="clear" w:color="auto" w:fill="F2F2F2" w:themeFill="background1" w:themeFillShade="F2"/>
          </w:tcPr>
          <w:p w14:paraId="063E83E7" w14:textId="77777777" w:rsidR="007E26E9" w:rsidRPr="00255081" w:rsidRDefault="007E26E9" w:rsidP="007E26E9">
            <w:pPr>
              <w:spacing w:after="0" w:line="240" w:lineRule="exact"/>
              <w:jc w:val="both"/>
              <w:rPr>
                <w:rFonts w:ascii="Montserrat" w:hAnsi="Montserrat"/>
                <w:b/>
                <w:sz w:val="15"/>
                <w:szCs w:val="15"/>
                <w:lang w:val="es-ES_tradnl"/>
              </w:rPr>
            </w:pPr>
          </w:p>
        </w:tc>
        <w:tc>
          <w:tcPr>
            <w:tcW w:w="5102" w:type="dxa"/>
            <w:shd w:val="clear" w:color="auto" w:fill="F2F2F2" w:themeFill="background1" w:themeFillShade="F2"/>
            <w:tcMar>
              <w:top w:w="0" w:type="dxa"/>
              <w:left w:w="108" w:type="dxa"/>
              <w:bottom w:w="0" w:type="dxa"/>
              <w:right w:w="108" w:type="dxa"/>
            </w:tcMar>
          </w:tcPr>
          <w:p w14:paraId="2756EF37" w14:textId="77777777" w:rsidR="007E26E9" w:rsidRPr="00255081" w:rsidRDefault="007E26E9" w:rsidP="007E26E9">
            <w:pPr>
              <w:spacing w:after="0" w:line="240" w:lineRule="exact"/>
              <w:ind w:firstLine="675"/>
              <w:jc w:val="right"/>
              <w:rPr>
                <w:rFonts w:ascii="Montserrat" w:hAnsi="Montserrat"/>
                <w:b/>
                <w:spacing w:val="-1"/>
                <w:sz w:val="15"/>
                <w:szCs w:val="15"/>
                <w:lang w:val="es-ES_tradnl"/>
              </w:rPr>
            </w:pPr>
            <w:r w:rsidRPr="00255081">
              <w:rPr>
                <w:rFonts w:ascii="Montserrat" w:hAnsi="Montserrat"/>
                <w:b/>
                <w:spacing w:val="-1"/>
                <w:sz w:val="15"/>
                <w:szCs w:val="15"/>
                <w:lang w:val="es-ES_tradnl"/>
              </w:rPr>
              <w:t>Otros</w:t>
            </w:r>
          </w:p>
        </w:tc>
        <w:tc>
          <w:tcPr>
            <w:tcW w:w="1984" w:type="dxa"/>
            <w:shd w:val="clear" w:color="auto" w:fill="F2F2F2" w:themeFill="background1" w:themeFillShade="F2"/>
            <w:vAlign w:val="center"/>
          </w:tcPr>
          <w:p w14:paraId="4D23D098" w14:textId="02C1461F" w:rsidR="007E26E9" w:rsidRPr="00255081" w:rsidRDefault="00C5200E" w:rsidP="007E26E9">
            <w:pPr>
              <w:spacing w:after="0" w:line="240" w:lineRule="exact"/>
              <w:ind w:right="113"/>
              <w:jc w:val="right"/>
              <w:rPr>
                <w:rFonts w:ascii="Montserrat" w:hAnsi="Montserrat"/>
                <w:b/>
                <w:spacing w:val="-1"/>
                <w:sz w:val="15"/>
                <w:szCs w:val="15"/>
                <w:lang w:val="es-ES_tradnl"/>
              </w:rPr>
            </w:pPr>
            <w:r w:rsidRPr="00255081">
              <w:rPr>
                <w:rFonts w:ascii="Montserrat" w:hAnsi="Montserrat"/>
                <w:b/>
                <w:spacing w:val="-1"/>
                <w:sz w:val="15"/>
                <w:szCs w:val="15"/>
                <w:lang w:val="es-ES_tradnl"/>
              </w:rPr>
              <w:t>537,028,933,579</w:t>
            </w:r>
          </w:p>
        </w:tc>
        <w:tc>
          <w:tcPr>
            <w:tcW w:w="1984" w:type="dxa"/>
            <w:shd w:val="clear" w:color="auto" w:fill="F2F2F2" w:themeFill="background1" w:themeFillShade="F2"/>
            <w:tcMar>
              <w:top w:w="0" w:type="dxa"/>
              <w:left w:w="108" w:type="dxa"/>
              <w:bottom w:w="0" w:type="dxa"/>
              <w:right w:w="108" w:type="dxa"/>
            </w:tcMar>
            <w:vAlign w:val="center"/>
          </w:tcPr>
          <w:p w14:paraId="72063939" w14:textId="77777777" w:rsidR="007E26E9" w:rsidRPr="00255081" w:rsidRDefault="007E26E9" w:rsidP="007E26E9">
            <w:pPr>
              <w:spacing w:after="0" w:line="240" w:lineRule="exact"/>
              <w:ind w:right="113"/>
              <w:jc w:val="right"/>
              <w:rPr>
                <w:rFonts w:ascii="Montserrat" w:hAnsi="Montserrat"/>
                <w:b/>
                <w:spacing w:val="-1"/>
                <w:sz w:val="15"/>
                <w:szCs w:val="15"/>
                <w:lang w:val="es-ES_tradnl"/>
              </w:rPr>
            </w:pPr>
            <w:r w:rsidRPr="00255081">
              <w:rPr>
                <w:rFonts w:ascii="Montserrat" w:hAnsi="Montserrat"/>
                <w:b/>
                <w:spacing w:val="-1"/>
                <w:sz w:val="15"/>
                <w:szCs w:val="15"/>
                <w:lang w:val="es-ES_tradnl"/>
              </w:rPr>
              <w:t>571,756,350,229</w:t>
            </w:r>
          </w:p>
        </w:tc>
      </w:tr>
      <w:tr w:rsidR="007E26E9" w:rsidRPr="00F01A61" w14:paraId="2D566350" w14:textId="77777777" w:rsidTr="00F01A61">
        <w:trPr>
          <w:gridAfter w:val="1"/>
          <w:wAfter w:w="11" w:type="dxa"/>
          <w:trHeight w:val="215"/>
          <w:jc w:val="center"/>
        </w:trPr>
        <w:tc>
          <w:tcPr>
            <w:tcW w:w="1103" w:type="dxa"/>
            <w:shd w:val="clear" w:color="auto" w:fill="F2F2F2" w:themeFill="background1" w:themeFillShade="F2"/>
          </w:tcPr>
          <w:p w14:paraId="48153ACF" w14:textId="77777777" w:rsidR="007E26E9" w:rsidRPr="00255081" w:rsidRDefault="007E26E9" w:rsidP="007E26E9">
            <w:pPr>
              <w:spacing w:after="0" w:line="240" w:lineRule="exact"/>
              <w:jc w:val="center"/>
              <w:rPr>
                <w:rFonts w:ascii="Montserrat" w:hAnsi="Montserrat"/>
                <w:sz w:val="15"/>
                <w:szCs w:val="15"/>
                <w:lang w:val="es-ES_tradnl"/>
              </w:rPr>
            </w:pPr>
            <w:r w:rsidRPr="00255081">
              <w:rPr>
                <w:rFonts w:ascii="Montserrat" w:hAnsi="Montserrat"/>
                <w:sz w:val="15"/>
                <w:szCs w:val="15"/>
                <w:lang w:val="es-ES_tradnl"/>
              </w:rPr>
              <w:t>Mex</w:t>
            </w:r>
          </w:p>
        </w:tc>
        <w:tc>
          <w:tcPr>
            <w:tcW w:w="1134" w:type="dxa"/>
            <w:shd w:val="clear" w:color="auto" w:fill="F2F2F2" w:themeFill="background1" w:themeFillShade="F2"/>
          </w:tcPr>
          <w:p w14:paraId="717DEEF0" w14:textId="77777777" w:rsidR="007E26E9" w:rsidRPr="00255081" w:rsidRDefault="007E26E9" w:rsidP="007E26E9">
            <w:pPr>
              <w:spacing w:after="0" w:line="240" w:lineRule="exact"/>
              <w:jc w:val="center"/>
              <w:rPr>
                <w:rFonts w:ascii="Montserrat" w:hAnsi="Montserrat"/>
                <w:sz w:val="15"/>
                <w:szCs w:val="15"/>
                <w:lang w:val="es-ES_tradnl"/>
              </w:rPr>
            </w:pPr>
            <w:r w:rsidRPr="00255081">
              <w:rPr>
                <w:rFonts w:ascii="Montserrat" w:hAnsi="Montserrat"/>
                <w:sz w:val="15"/>
                <w:szCs w:val="15"/>
                <w:lang w:val="es-ES_tradnl"/>
              </w:rPr>
              <w:t>Pso</w:t>
            </w:r>
          </w:p>
        </w:tc>
        <w:tc>
          <w:tcPr>
            <w:tcW w:w="5102" w:type="dxa"/>
            <w:shd w:val="clear" w:color="auto" w:fill="F2F2F2" w:themeFill="background1" w:themeFillShade="F2"/>
            <w:tcMar>
              <w:top w:w="0" w:type="dxa"/>
              <w:left w:w="108" w:type="dxa"/>
              <w:bottom w:w="0" w:type="dxa"/>
              <w:right w:w="108" w:type="dxa"/>
            </w:tcMar>
          </w:tcPr>
          <w:p w14:paraId="074461EE" w14:textId="4A4677C3" w:rsidR="007E26E9" w:rsidRPr="00255081" w:rsidRDefault="007E26E9" w:rsidP="007E26E9">
            <w:pPr>
              <w:spacing w:after="0" w:line="240" w:lineRule="exact"/>
              <w:rPr>
                <w:rFonts w:ascii="Montserrat" w:hAnsi="Montserrat"/>
                <w:bCs/>
                <w:spacing w:val="-1"/>
                <w:sz w:val="15"/>
                <w:szCs w:val="15"/>
                <w:lang w:val="es-ES_tradnl"/>
              </w:rPr>
            </w:pPr>
            <w:r w:rsidRPr="00255081">
              <w:rPr>
                <w:rFonts w:ascii="Montserrat" w:hAnsi="Montserrat"/>
                <w:bCs/>
                <w:spacing w:val="-1"/>
                <w:sz w:val="15"/>
                <w:szCs w:val="15"/>
                <w:lang w:val="es-ES_tradnl"/>
              </w:rPr>
              <w:t>S.</w:t>
            </w:r>
            <w:r w:rsidR="003348BD" w:rsidRPr="00255081">
              <w:rPr>
                <w:rFonts w:ascii="Montserrat" w:hAnsi="Montserrat"/>
                <w:bCs/>
                <w:spacing w:val="-1"/>
                <w:sz w:val="15"/>
                <w:szCs w:val="15"/>
                <w:lang w:val="es-ES_tradnl"/>
              </w:rPr>
              <w:t>A.R</w:t>
            </w:r>
          </w:p>
        </w:tc>
        <w:tc>
          <w:tcPr>
            <w:tcW w:w="1984" w:type="dxa"/>
            <w:shd w:val="clear" w:color="auto" w:fill="F2F2F2" w:themeFill="background1" w:themeFillShade="F2"/>
          </w:tcPr>
          <w:p w14:paraId="656D9AEF" w14:textId="0E26F169" w:rsidR="007E26E9" w:rsidRPr="00255081" w:rsidRDefault="003348BD" w:rsidP="007E26E9">
            <w:pPr>
              <w:spacing w:after="0" w:line="240" w:lineRule="exact"/>
              <w:ind w:right="113"/>
              <w:jc w:val="right"/>
              <w:rPr>
                <w:rFonts w:ascii="Montserrat" w:hAnsi="Montserrat"/>
                <w:spacing w:val="-1"/>
                <w:sz w:val="15"/>
                <w:szCs w:val="15"/>
                <w:lang w:val="es-ES_tradnl"/>
              </w:rPr>
            </w:pPr>
            <w:r w:rsidRPr="00255081">
              <w:rPr>
                <w:rFonts w:ascii="Montserrat" w:hAnsi="Montserrat"/>
                <w:spacing w:val="-1"/>
                <w:sz w:val="15"/>
                <w:szCs w:val="15"/>
                <w:lang w:val="es-ES_tradnl"/>
              </w:rPr>
              <w:t>142</w:t>
            </w:r>
            <w:r w:rsidR="00C5200E" w:rsidRPr="00255081">
              <w:rPr>
                <w:rFonts w:ascii="Montserrat" w:hAnsi="Montserrat"/>
                <w:spacing w:val="-1"/>
                <w:sz w:val="15"/>
                <w:szCs w:val="15"/>
                <w:lang w:val="es-ES_tradnl"/>
              </w:rPr>
              <w:t>,</w:t>
            </w:r>
            <w:r w:rsidRPr="00255081">
              <w:rPr>
                <w:rFonts w:ascii="Montserrat" w:hAnsi="Montserrat"/>
                <w:spacing w:val="-1"/>
                <w:sz w:val="15"/>
                <w:szCs w:val="15"/>
                <w:lang w:val="es-ES_tradnl"/>
              </w:rPr>
              <w:t>186</w:t>
            </w:r>
            <w:r w:rsidR="00C5200E" w:rsidRPr="00255081">
              <w:rPr>
                <w:rFonts w:ascii="Montserrat" w:hAnsi="Montserrat"/>
                <w:spacing w:val="-1"/>
                <w:sz w:val="15"/>
                <w:szCs w:val="15"/>
                <w:lang w:val="es-ES_tradnl"/>
              </w:rPr>
              <w:t>,</w:t>
            </w:r>
            <w:r w:rsidRPr="00255081">
              <w:rPr>
                <w:rFonts w:ascii="Montserrat" w:hAnsi="Montserrat"/>
                <w:spacing w:val="-1"/>
                <w:sz w:val="15"/>
                <w:szCs w:val="15"/>
                <w:lang w:val="es-ES_tradnl"/>
              </w:rPr>
              <w:t>457</w:t>
            </w:r>
            <w:r w:rsidR="00C5200E" w:rsidRPr="00255081">
              <w:rPr>
                <w:rFonts w:ascii="Montserrat" w:hAnsi="Montserrat"/>
                <w:spacing w:val="-1"/>
                <w:sz w:val="15"/>
                <w:szCs w:val="15"/>
                <w:lang w:val="es-ES_tradnl"/>
              </w:rPr>
              <w:t>,</w:t>
            </w:r>
            <w:r w:rsidRPr="00255081">
              <w:rPr>
                <w:rFonts w:ascii="Montserrat" w:hAnsi="Montserrat"/>
                <w:spacing w:val="-1"/>
                <w:sz w:val="15"/>
                <w:szCs w:val="15"/>
                <w:lang w:val="es-ES_tradnl"/>
              </w:rPr>
              <w:t>447</w:t>
            </w:r>
          </w:p>
        </w:tc>
        <w:tc>
          <w:tcPr>
            <w:tcW w:w="1984" w:type="dxa"/>
            <w:shd w:val="clear" w:color="auto" w:fill="F2F2F2" w:themeFill="background1" w:themeFillShade="F2"/>
            <w:tcMar>
              <w:top w:w="0" w:type="dxa"/>
              <w:left w:w="108" w:type="dxa"/>
              <w:bottom w:w="0" w:type="dxa"/>
              <w:right w:w="108" w:type="dxa"/>
            </w:tcMar>
          </w:tcPr>
          <w:p w14:paraId="38DDBADC" w14:textId="77777777" w:rsidR="007E26E9" w:rsidRPr="00255081" w:rsidRDefault="007E26E9" w:rsidP="007E26E9">
            <w:pPr>
              <w:spacing w:after="0" w:line="240" w:lineRule="exact"/>
              <w:ind w:right="113"/>
              <w:jc w:val="right"/>
              <w:rPr>
                <w:rFonts w:ascii="Montserrat" w:hAnsi="Montserrat"/>
                <w:spacing w:val="-1"/>
                <w:sz w:val="15"/>
                <w:szCs w:val="15"/>
                <w:lang w:val="es-ES_tradnl"/>
              </w:rPr>
            </w:pPr>
            <w:r w:rsidRPr="00255081">
              <w:rPr>
                <w:rFonts w:ascii="Montserrat" w:hAnsi="Montserrat"/>
                <w:spacing w:val="-1"/>
                <w:sz w:val="15"/>
                <w:szCs w:val="15"/>
                <w:lang w:val="es-ES_tradnl"/>
              </w:rPr>
              <w:t>135,950,994,144</w:t>
            </w:r>
          </w:p>
        </w:tc>
      </w:tr>
      <w:tr w:rsidR="007E26E9" w:rsidRPr="00F01A61" w14:paraId="2023C0D4" w14:textId="77777777" w:rsidTr="00F01A61">
        <w:trPr>
          <w:gridAfter w:val="1"/>
          <w:wAfter w:w="11" w:type="dxa"/>
          <w:trHeight w:val="215"/>
          <w:jc w:val="center"/>
        </w:trPr>
        <w:tc>
          <w:tcPr>
            <w:tcW w:w="1103" w:type="dxa"/>
            <w:shd w:val="clear" w:color="auto" w:fill="F2F2F2" w:themeFill="background1" w:themeFillShade="F2"/>
          </w:tcPr>
          <w:p w14:paraId="662CC249" w14:textId="77777777" w:rsidR="007E26E9" w:rsidRPr="00255081" w:rsidRDefault="007E26E9" w:rsidP="007E26E9">
            <w:pPr>
              <w:spacing w:after="0" w:line="240" w:lineRule="exact"/>
              <w:jc w:val="center"/>
              <w:rPr>
                <w:rFonts w:ascii="Montserrat" w:hAnsi="Montserrat"/>
                <w:sz w:val="15"/>
                <w:szCs w:val="15"/>
                <w:lang w:val="es-ES_tradnl"/>
              </w:rPr>
            </w:pPr>
            <w:r w:rsidRPr="00255081">
              <w:rPr>
                <w:rFonts w:ascii="Montserrat" w:hAnsi="Montserrat"/>
                <w:sz w:val="15"/>
                <w:szCs w:val="15"/>
                <w:lang w:val="es-ES_tradnl"/>
              </w:rPr>
              <w:t>Mex</w:t>
            </w:r>
          </w:p>
        </w:tc>
        <w:tc>
          <w:tcPr>
            <w:tcW w:w="1134" w:type="dxa"/>
            <w:shd w:val="clear" w:color="auto" w:fill="F2F2F2" w:themeFill="background1" w:themeFillShade="F2"/>
          </w:tcPr>
          <w:p w14:paraId="5E265CA2" w14:textId="77777777" w:rsidR="007E26E9" w:rsidRPr="00255081" w:rsidRDefault="007E26E9" w:rsidP="007E26E9">
            <w:pPr>
              <w:spacing w:after="0" w:line="240" w:lineRule="exact"/>
              <w:jc w:val="center"/>
              <w:rPr>
                <w:rFonts w:ascii="Montserrat" w:hAnsi="Montserrat"/>
                <w:sz w:val="15"/>
                <w:szCs w:val="15"/>
                <w:lang w:val="es-ES_tradnl"/>
              </w:rPr>
            </w:pPr>
            <w:r w:rsidRPr="00255081">
              <w:rPr>
                <w:rFonts w:ascii="Montserrat" w:hAnsi="Montserrat"/>
                <w:sz w:val="15"/>
                <w:szCs w:val="15"/>
                <w:lang w:val="es-ES_tradnl"/>
              </w:rPr>
              <w:t>Pso</w:t>
            </w:r>
          </w:p>
        </w:tc>
        <w:tc>
          <w:tcPr>
            <w:tcW w:w="5102" w:type="dxa"/>
            <w:shd w:val="clear" w:color="auto" w:fill="F2F2F2" w:themeFill="background1" w:themeFillShade="F2"/>
            <w:tcMar>
              <w:top w:w="0" w:type="dxa"/>
              <w:left w:w="108" w:type="dxa"/>
              <w:bottom w:w="0" w:type="dxa"/>
              <w:right w:w="108" w:type="dxa"/>
            </w:tcMar>
          </w:tcPr>
          <w:p w14:paraId="00BCA532" w14:textId="77777777" w:rsidR="007E26E9" w:rsidRPr="00255081" w:rsidRDefault="007E26E9" w:rsidP="007E26E9">
            <w:pPr>
              <w:spacing w:after="0" w:line="240" w:lineRule="exact"/>
              <w:rPr>
                <w:rFonts w:ascii="Montserrat" w:hAnsi="Montserrat"/>
                <w:bCs/>
                <w:spacing w:val="-1"/>
                <w:sz w:val="15"/>
                <w:szCs w:val="15"/>
                <w:lang w:val="es-ES_tradnl"/>
              </w:rPr>
            </w:pPr>
            <w:r w:rsidRPr="00255081">
              <w:rPr>
                <w:rFonts w:ascii="Montserrat" w:hAnsi="Montserrat"/>
                <w:bCs/>
                <w:spacing w:val="-1"/>
                <w:sz w:val="15"/>
                <w:szCs w:val="15"/>
                <w:lang w:val="es-ES_tradnl"/>
              </w:rPr>
              <w:t>Empresas Productivas</w:t>
            </w:r>
          </w:p>
        </w:tc>
        <w:tc>
          <w:tcPr>
            <w:tcW w:w="1984" w:type="dxa"/>
            <w:shd w:val="clear" w:color="auto" w:fill="F2F2F2" w:themeFill="background1" w:themeFillShade="F2"/>
          </w:tcPr>
          <w:p w14:paraId="601A29AE" w14:textId="4E819B5A" w:rsidR="007E26E9" w:rsidRPr="00255081" w:rsidRDefault="003348BD" w:rsidP="007E26E9">
            <w:pPr>
              <w:spacing w:after="0" w:line="240" w:lineRule="exact"/>
              <w:ind w:right="113"/>
              <w:jc w:val="right"/>
              <w:rPr>
                <w:rFonts w:ascii="Montserrat" w:hAnsi="Montserrat"/>
                <w:spacing w:val="-1"/>
                <w:sz w:val="15"/>
                <w:szCs w:val="15"/>
                <w:lang w:val="es-ES_tradnl"/>
              </w:rPr>
            </w:pPr>
            <w:r w:rsidRPr="00255081">
              <w:rPr>
                <w:rFonts w:ascii="Montserrat" w:hAnsi="Montserrat"/>
                <w:spacing w:val="-1"/>
                <w:sz w:val="15"/>
                <w:szCs w:val="15"/>
                <w:lang w:val="es-ES_tradnl"/>
              </w:rPr>
              <w:t>260</w:t>
            </w:r>
            <w:r w:rsidR="00C5200E" w:rsidRPr="00255081">
              <w:rPr>
                <w:rFonts w:ascii="Montserrat" w:hAnsi="Montserrat"/>
                <w:spacing w:val="-1"/>
                <w:sz w:val="15"/>
                <w:szCs w:val="15"/>
                <w:lang w:val="es-ES_tradnl"/>
              </w:rPr>
              <w:t>,</w:t>
            </w:r>
            <w:r w:rsidRPr="00255081">
              <w:rPr>
                <w:rFonts w:ascii="Montserrat" w:hAnsi="Montserrat"/>
                <w:spacing w:val="-1"/>
                <w:sz w:val="15"/>
                <w:szCs w:val="15"/>
                <w:lang w:val="es-ES_tradnl"/>
              </w:rPr>
              <w:t>494</w:t>
            </w:r>
            <w:r w:rsidR="00C5200E" w:rsidRPr="00255081">
              <w:rPr>
                <w:rFonts w:ascii="Montserrat" w:hAnsi="Montserrat"/>
                <w:spacing w:val="-1"/>
                <w:sz w:val="15"/>
                <w:szCs w:val="15"/>
                <w:lang w:val="es-ES_tradnl"/>
              </w:rPr>
              <w:t>,</w:t>
            </w:r>
            <w:r w:rsidRPr="00255081">
              <w:rPr>
                <w:rFonts w:ascii="Montserrat" w:hAnsi="Montserrat"/>
                <w:spacing w:val="-1"/>
                <w:sz w:val="15"/>
                <w:szCs w:val="15"/>
                <w:lang w:val="es-ES_tradnl"/>
              </w:rPr>
              <w:t>604</w:t>
            </w:r>
            <w:r w:rsidR="00C5200E" w:rsidRPr="00255081">
              <w:rPr>
                <w:rFonts w:ascii="Montserrat" w:hAnsi="Montserrat"/>
                <w:spacing w:val="-1"/>
                <w:sz w:val="15"/>
                <w:szCs w:val="15"/>
                <w:lang w:val="es-ES_tradnl"/>
              </w:rPr>
              <w:t>,</w:t>
            </w:r>
            <w:r w:rsidRPr="00255081">
              <w:rPr>
                <w:rFonts w:ascii="Montserrat" w:hAnsi="Montserrat"/>
                <w:spacing w:val="-1"/>
                <w:sz w:val="15"/>
                <w:szCs w:val="15"/>
                <w:lang w:val="es-ES_tradnl"/>
              </w:rPr>
              <w:t>978</w:t>
            </w:r>
          </w:p>
        </w:tc>
        <w:tc>
          <w:tcPr>
            <w:tcW w:w="1984" w:type="dxa"/>
            <w:shd w:val="clear" w:color="auto" w:fill="F2F2F2" w:themeFill="background1" w:themeFillShade="F2"/>
            <w:tcMar>
              <w:top w:w="0" w:type="dxa"/>
              <w:left w:w="108" w:type="dxa"/>
              <w:bottom w:w="0" w:type="dxa"/>
              <w:right w:w="108" w:type="dxa"/>
            </w:tcMar>
          </w:tcPr>
          <w:p w14:paraId="66BDF318" w14:textId="77777777" w:rsidR="007E26E9" w:rsidRPr="00255081" w:rsidRDefault="007E26E9" w:rsidP="007E26E9">
            <w:pPr>
              <w:spacing w:after="0" w:line="240" w:lineRule="exact"/>
              <w:ind w:right="113"/>
              <w:jc w:val="right"/>
              <w:rPr>
                <w:rFonts w:ascii="Montserrat" w:hAnsi="Montserrat"/>
                <w:spacing w:val="-1"/>
                <w:sz w:val="15"/>
                <w:szCs w:val="15"/>
                <w:lang w:val="es-ES_tradnl"/>
              </w:rPr>
            </w:pPr>
            <w:r w:rsidRPr="00255081">
              <w:rPr>
                <w:rFonts w:ascii="Montserrat" w:hAnsi="Montserrat"/>
                <w:spacing w:val="-1"/>
                <w:sz w:val="15"/>
                <w:szCs w:val="15"/>
                <w:lang w:val="es-ES_tradnl"/>
              </w:rPr>
              <w:t>293,961,878,746</w:t>
            </w:r>
          </w:p>
        </w:tc>
      </w:tr>
      <w:tr w:rsidR="007E26E9" w:rsidRPr="00F01A61" w14:paraId="42829015" w14:textId="77777777" w:rsidTr="00F01A61">
        <w:trPr>
          <w:gridAfter w:val="1"/>
          <w:wAfter w:w="11" w:type="dxa"/>
          <w:trHeight w:val="215"/>
          <w:jc w:val="center"/>
        </w:trPr>
        <w:tc>
          <w:tcPr>
            <w:tcW w:w="1103" w:type="dxa"/>
            <w:tcBorders>
              <w:bottom w:val="single" w:sz="12" w:space="0" w:color="808080" w:themeColor="background1" w:themeShade="80"/>
            </w:tcBorders>
            <w:shd w:val="clear" w:color="auto" w:fill="F2F2F2" w:themeFill="background1" w:themeFillShade="F2"/>
          </w:tcPr>
          <w:p w14:paraId="16A94814" w14:textId="77777777" w:rsidR="007E26E9" w:rsidRPr="00255081" w:rsidRDefault="007E26E9" w:rsidP="007E26E9">
            <w:pPr>
              <w:spacing w:after="0" w:line="240" w:lineRule="exact"/>
              <w:jc w:val="center"/>
              <w:rPr>
                <w:rFonts w:ascii="Montserrat" w:hAnsi="Montserrat"/>
                <w:sz w:val="15"/>
                <w:szCs w:val="15"/>
                <w:lang w:val="es-ES_tradnl"/>
              </w:rPr>
            </w:pPr>
            <w:r w:rsidRPr="00255081">
              <w:rPr>
                <w:rFonts w:ascii="Montserrat" w:hAnsi="Montserrat"/>
                <w:sz w:val="15"/>
                <w:szCs w:val="15"/>
                <w:lang w:val="es-ES_tradnl"/>
              </w:rPr>
              <w:t>Mex</w:t>
            </w:r>
          </w:p>
        </w:tc>
        <w:tc>
          <w:tcPr>
            <w:tcW w:w="1134" w:type="dxa"/>
            <w:tcBorders>
              <w:bottom w:val="single" w:sz="12" w:space="0" w:color="808080" w:themeColor="background1" w:themeShade="80"/>
            </w:tcBorders>
            <w:shd w:val="clear" w:color="auto" w:fill="F2F2F2" w:themeFill="background1" w:themeFillShade="F2"/>
          </w:tcPr>
          <w:p w14:paraId="773EF08B" w14:textId="77777777" w:rsidR="007E26E9" w:rsidRPr="00255081" w:rsidRDefault="007E26E9" w:rsidP="007E26E9">
            <w:pPr>
              <w:spacing w:after="0" w:line="240" w:lineRule="exact"/>
              <w:jc w:val="center"/>
              <w:rPr>
                <w:rFonts w:ascii="Montserrat" w:hAnsi="Montserrat"/>
                <w:sz w:val="15"/>
                <w:szCs w:val="15"/>
                <w:lang w:val="es-ES_tradnl"/>
              </w:rPr>
            </w:pPr>
            <w:r w:rsidRPr="00255081">
              <w:rPr>
                <w:rFonts w:ascii="Montserrat" w:hAnsi="Montserrat"/>
                <w:sz w:val="15"/>
                <w:szCs w:val="15"/>
                <w:lang w:val="es-ES_tradnl"/>
              </w:rPr>
              <w:t>Udi</w:t>
            </w:r>
          </w:p>
        </w:tc>
        <w:tc>
          <w:tcPr>
            <w:tcW w:w="5102" w:type="dxa"/>
            <w:tcBorders>
              <w:bottom w:val="single" w:sz="12" w:space="0" w:color="808080" w:themeColor="background1" w:themeShade="80"/>
            </w:tcBorders>
            <w:shd w:val="clear" w:color="auto" w:fill="F2F2F2" w:themeFill="background1" w:themeFillShade="F2"/>
            <w:tcMar>
              <w:top w:w="0" w:type="dxa"/>
              <w:left w:w="108" w:type="dxa"/>
              <w:bottom w:w="0" w:type="dxa"/>
              <w:right w:w="108" w:type="dxa"/>
            </w:tcMar>
          </w:tcPr>
          <w:p w14:paraId="449EF710" w14:textId="77777777" w:rsidR="007E26E9" w:rsidRPr="00255081" w:rsidRDefault="007E26E9" w:rsidP="007E26E9">
            <w:pPr>
              <w:spacing w:after="0" w:line="240" w:lineRule="exact"/>
              <w:rPr>
                <w:rFonts w:ascii="Montserrat" w:hAnsi="Montserrat"/>
                <w:bCs/>
                <w:spacing w:val="-1"/>
                <w:sz w:val="15"/>
                <w:szCs w:val="15"/>
                <w:lang w:val="es-ES_tradnl"/>
              </w:rPr>
            </w:pPr>
            <w:r w:rsidRPr="00255081">
              <w:rPr>
                <w:rFonts w:ascii="Montserrat" w:hAnsi="Montserrat"/>
                <w:bCs/>
                <w:spacing w:val="-1"/>
                <w:sz w:val="15"/>
                <w:szCs w:val="15"/>
                <w:lang w:val="es-ES_tradnl"/>
              </w:rPr>
              <w:t>Nueva Ley ISSSTE</w:t>
            </w:r>
          </w:p>
        </w:tc>
        <w:tc>
          <w:tcPr>
            <w:tcW w:w="1984" w:type="dxa"/>
            <w:tcBorders>
              <w:bottom w:val="single" w:sz="12" w:space="0" w:color="808080" w:themeColor="background1" w:themeShade="80"/>
            </w:tcBorders>
            <w:shd w:val="clear" w:color="auto" w:fill="F2F2F2" w:themeFill="background1" w:themeFillShade="F2"/>
          </w:tcPr>
          <w:p w14:paraId="2178F050" w14:textId="78C8F298" w:rsidR="007E26E9" w:rsidRPr="00255081" w:rsidRDefault="003348BD" w:rsidP="007E26E9">
            <w:pPr>
              <w:spacing w:after="0" w:line="240" w:lineRule="exact"/>
              <w:ind w:right="113"/>
              <w:jc w:val="right"/>
              <w:rPr>
                <w:rFonts w:ascii="Montserrat" w:hAnsi="Montserrat"/>
                <w:spacing w:val="-1"/>
                <w:sz w:val="15"/>
                <w:szCs w:val="15"/>
                <w:lang w:val="es-ES_tradnl"/>
              </w:rPr>
            </w:pPr>
            <w:r w:rsidRPr="00255081">
              <w:rPr>
                <w:rFonts w:ascii="Montserrat" w:hAnsi="Montserrat"/>
                <w:spacing w:val="-1"/>
                <w:sz w:val="15"/>
                <w:szCs w:val="15"/>
                <w:lang w:val="es-ES_tradnl"/>
              </w:rPr>
              <w:t>134</w:t>
            </w:r>
            <w:r w:rsidR="00C5200E" w:rsidRPr="00255081">
              <w:rPr>
                <w:rFonts w:ascii="Montserrat" w:hAnsi="Montserrat"/>
                <w:spacing w:val="-1"/>
                <w:sz w:val="15"/>
                <w:szCs w:val="15"/>
                <w:lang w:val="es-ES_tradnl"/>
              </w:rPr>
              <w:t>,</w:t>
            </w:r>
            <w:r w:rsidRPr="00255081">
              <w:rPr>
                <w:rFonts w:ascii="Montserrat" w:hAnsi="Montserrat"/>
                <w:spacing w:val="-1"/>
                <w:sz w:val="15"/>
                <w:szCs w:val="15"/>
                <w:lang w:val="es-ES_tradnl"/>
              </w:rPr>
              <w:t>347</w:t>
            </w:r>
            <w:r w:rsidR="00C5200E" w:rsidRPr="00255081">
              <w:rPr>
                <w:rFonts w:ascii="Montserrat" w:hAnsi="Montserrat"/>
                <w:spacing w:val="-1"/>
                <w:sz w:val="15"/>
                <w:szCs w:val="15"/>
                <w:lang w:val="es-ES_tradnl"/>
              </w:rPr>
              <w:t>,</w:t>
            </w:r>
            <w:r w:rsidRPr="00255081">
              <w:rPr>
                <w:rFonts w:ascii="Montserrat" w:hAnsi="Montserrat"/>
                <w:spacing w:val="-1"/>
                <w:sz w:val="15"/>
                <w:szCs w:val="15"/>
                <w:lang w:val="es-ES_tradnl"/>
              </w:rPr>
              <w:t>871</w:t>
            </w:r>
            <w:r w:rsidR="00C5200E" w:rsidRPr="00255081">
              <w:rPr>
                <w:rFonts w:ascii="Montserrat" w:hAnsi="Montserrat"/>
                <w:spacing w:val="-1"/>
                <w:sz w:val="15"/>
                <w:szCs w:val="15"/>
                <w:lang w:val="es-ES_tradnl"/>
              </w:rPr>
              <w:t>,</w:t>
            </w:r>
            <w:r w:rsidRPr="00255081">
              <w:rPr>
                <w:rFonts w:ascii="Montserrat" w:hAnsi="Montserrat"/>
                <w:spacing w:val="-1"/>
                <w:sz w:val="15"/>
                <w:szCs w:val="15"/>
                <w:lang w:val="es-ES_tradnl"/>
              </w:rPr>
              <w:t>154</w:t>
            </w:r>
          </w:p>
        </w:tc>
        <w:tc>
          <w:tcPr>
            <w:tcW w:w="1984" w:type="dxa"/>
            <w:tcBorders>
              <w:bottom w:val="single" w:sz="12" w:space="0" w:color="808080" w:themeColor="background1" w:themeShade="80"/>
            </w:tcBorders>
            <w:shd w:val="clear" w:color="auto" w:fill="F2F2F2" w:themeFill="background1" w:themeFillShade="F2"/>
            <w:tcMar>
              <w:top w:w="0" w:type="dxa"/>
              <w:left w:w="108" w:type="dxa"/>
              <w:bottom w:w="0" w:type="dxa"/>
              <w:right w:w="108" w:type="dxa"/>
            </w:tcMar>
          </w:tcPr>
          <w:p w14:paraId="37A7FC30" w14:textId="77777777" w:rsidR="007E26E9" w:rsidRPr="00255081" w:rsidRDefault="007E26E9" w:rsidP="007E26E9">
            <w:pPr>
              <w:spacing w:after="0" w:line="240" w:lineRule="exact"/>
              <w:ind w:right="113"/>
              <w:jc w:val="right"/>
              <w:rPr>
                <w:rFonts w:ascii="Montserrat" w:hAnsi="Montserrat"/>
                <w:spacing w:val="-1"/>
                <w:sz w:val="15"/>
                <w:szCs w:val="15"/>
                <w:lang w:val="es-ES_tradnl"/>
              </w:rPr>
            </w:pPr>
            <w:r w:rsidRPr="00255081">
              <w:rPr>
                <w:rFonts w:ascii="Montserrat" w:hAnsi="Montserrat"/>
                <w:spacing w:val="-1"/>
                <w:sz w:val="15"/>
                <w:szCs w:val="15"/>
                <w:lang w:val="es-ES_tradnl"/>
              </w:rPr>
              <w:t>141,843,477,339</w:t>
            </w:r>
          </w:p>
        </w:tc>
      </w:tr>
    </w:tbl>
    <w:p w14:paraId="25DE5CE2" w14:textId="77777777" w:rsidR="00F01A61" w:rsidRDefault="00F01A61" w:rsidP="00F01A61">
      <w:pPr>
        <w:spacing w:before="240" w:after="120" w:line="250" w:lineRule="exact"/>
        <w:ind w:left="357"/>
        <w:jc w:val="both"/>
        <w:rPr>
          <w:rFonts w:ascii="Montserrat" w:hAnsi="Montserrat" w:cs="Arial"/>
          <w:b/>
          <w:spacing w:val="-1"/>
          <w:sz w:val="18"/>
          <w:szCs w:val="18"/>
        </w:rPr>
      </w:pPr>
    </w:p>
    <w:p w14:paraId="5E9E091D" w14:textId="77777777" w:rsidR="00F01A61" w:rsidRDefault="00F01A61" w:rsidP="00F01A61">
      <w:pPr>
        <w:pStyle w:val="TEXTONORMAL"/>
      </w:pPr>
      <w:r>
        <w:br w:type="page"/>
      </w:r>
    </w:p>
    <w:p w14:paraId="2FDE9D3E" w14:textId="77777777" w:rsidR="009C3C24" w:rsidRPr="00CA3625" w:rsidRDefault="009C3C24" w:rsidP="00F01A61">
      <w:pPr>
        <w:pStyle w:val="Prrafodelista"/>
        <w:numPr>
          <w:ilvl w:val="0"/>
          <w:numId w:val="18"/>
        </w:numPr>
        <w:spacing w:after="120" w:line="250" w:lineRule="exact"/>
        <w:ind w:left="714" w:hanging="357"/>
        <w:jc w:val="both"/>
        <w:rPr>
          <w:rFonts w:ascii="Montserrat" w:hAnsi="Montserrat" w:cs="Arial"/>
          <w:spacing w:val="-1"/>
          <w:sz w:val="18"/>
          <w:szCs w:val="18"/>
        </w:rPr>
      </w:pPr>
      <w:r w:rsidRPr="00CA3625">
        <w:rPr>
          <w:rFonts w:ascii="Montserrat" w:hAnsi="Montserrat" w:cs="Arial"/>
          <w:spacing w:val="-1"/>
          <w:sz w:val="18"/>
          <w:szCs w:val="18"/>
        </w:rPr>
        <w:lastRenderedPageBreak/>
        <w:t>Deuda Pública Externa por Fuente de Financiamiento, País Acreedor y Divisa</w:t>
      </w:r>
    </w:p>
    <w:p w14:paraId="0A430ECC" w14:textId="77777777" w:rsidR="00F01A61" w:rsidRPr="00F01A61" w:rsidRDefault="00F01A61" w:rsidP="00F01A61">
      <w:pPr>
        <w:spacing w:after="0" w:line="240" w:lineRule="auto"/>
        <w:jc w:val="both"/>
        <w:rPr>
          <w:rFonts w:ascii="Montserrat" w:hAnsi="Montserrat" w:cs="Arial"/>
          <w:spacing w:val="-1"/>
          <w:sz w:val="18"/>
          <w:szCs w:val="18"/>
        </w:rPr>
      </w:pPr>
    </w:p>
    <w:tbl>
      <w:tblPr>
        <w:tblW w:w="11349" w:type="dxa"/>
        <w:jc w:val="center"/>
        <w:tblLayout w:type="fixed"/>
        <w:tblCellMar>
          <w:left w:w="0" w:type="dxa"/>
          <w:right w:w="0" w:type="dxa"/>
        </w:tblCellMar>
        <w:tblLook w:val="04A0" w:firstRow="1" w:lastRow="0" w:firstColumn="1" w:lastColumn="0" w:noHBand="0" w:noVBand="1"/>
      </w:tblPr>
      <w:tblGrid>
        <w:gridCol w:w="10"/>
        <w:gridCol w:w="1124"/>
        <w:gridCol w:w="1134"/>
        <w:gridCol w:w="5102"/>
        <w:gridCol w:w="1984"/>
        <w:gridCol w:w="1984"/>
        <w:gridCol w:w="11"/>
      </w:tblGrid>
      <w:tr w:rsidR="009C3C24" w:rsidRPr="006F0DF1" w14:paraId="663B1080" w14:textId="77777777" w:rsidTr="002F797B">
        <w:trPr>
          <w:gridBefore w:val="1"/>
          <w:wBefore w:w="10" w:type="dxa"/>
          <w:trHeight w:val="215"/>
          <w:jc w:val="center"/>
        </w:trPr>
        <w:tc>
          <w:tcPr>
            <w:tcW w:w="11339" w:type="dxa"/>
            <w:gridSpan w:val="6"/>
            <w:tcBorders>
              <w:bottom w:val="single" w:sz="8" w:space="0" w:color="BFBFBF"/>
            </w:tcBorders>
            <w:shd w:val="clear" w:color="auto" w:fill="00853F"/>
          </w:tcPr>
          <w:p w14:paraId="499B4F39" w14:textId="77777777" w:rsidR="009C3C24" w:rsidRPr="00685332" w:rsidRDefault="009C3C24" w:rsidP="002F797B">
            <w:pPr>
              <w:shd w:val="clear" w:color="auto" w:fill="FFFFFF"/>
              <w:spacing w:after="0" w:line="240" w:lineRule="exact"/>
              <w:jc w:val="center"/>
              <w:rPr>
                <w:rFonts w:ascii="Montserrat" w:hAnsi="Montserrat"/>
                <w:color w:val="FFFFFF"/>
                <w:spacing w:val="-1"/>
                <w:sz w:val="16"/>
                <w:szCs w:val="16"/>
                <w:lang w:val="es-ES_tradnl"/>
              </w:rPr>
            </w:pPr>
            <w:r w:rsidRPr="006F0DF1">
              <w:rPr>
                <w:rFonts w:ascii="Montserrat" w:hAnsi="Montserrat"/>
                <w:b/>
                <w:color w:val="FFFFFF"/>
                <w:sz w:val="16"/>
                <w:szCs w:val="16"/>
                <w:lang w:val="es-ES_tradnl"/>
              </w:rPr>
              <w:br w:type="page"/>
            </w:r>
            <w:r w:rsidRPr="00685332">
              <w:rPr>
                <w:rFonts w:ascii="Montserrat" w:hAnsi="Montserrat"/>
                <w:spacing w:val="-1"/>
                <w:sz w:val="16"/>
                <w:szCs w:val="16"/>
                <w:lang w:val="es-ES_tradnl"/>
              </w:rPr>
              <w:t>(Pesos)</w:t>
            </w:r>
          </w:p>
        </w:tc>
      </w:tr>
      <w:tr w:rsidR="00A71F0F" w:rsidRPr="00A71F0F" w14:paraId="0A358414" w14:textId="77777777" w:rsidTr="00112A60">
        <w:trPr>
          <w:gridAfter w:val="1"/>
          <w:wAfter w:w="11" w:type="dxa"/>
          <w:trHeight w:val="57"/>
          <w:jc w:val="center"/>
        </w:trPr>
        <w:tc>
          <w:tcPr>
            <w:tcW w:w="11338" w:type="dxa"/>
            <w:gridSpan w:val="6"/>
            <w:tcBorders>
              <w:top w:val="single" w:sz="12" w:space="0" w:color="808080" w:themeColor="background1" w:themeShade="80"/>
            </w:tcBorders>
            <w:shd w:val="clear" w:color="auto" w:fill="auto"/>
            <w:vAlign w:val="center"/>
          </w:tcPr>
          <w:p w14:paraId="02F4F3B1" w14:textId="77777777" w:rsidR="00A71F0F" w:rsidRPr="00A71F0F" w:rsidRDefault="00A71F0F" w:rsidP="00A71F0F">
            <w:pPr>
              <w:spacing w:after="0" w:line="240" w:lineRule="auto"/>
              <w:rPr>
                <w:sz w:val="4"/>
                <w:szCs w:val="4"/>
              </w:rPr>
            </w:pPr>
          </w:p>
        </w:tc>
      </w:tr>
      <w:tr w:rsidR="009C3C24" w:rsidRPr="006F0DF1" w14:paraId="6773DFD5" w14:textId="77777777" w:rsidTr="00F01A61">
        <w:trPr>
          <w:gridAfter w:val="1"/>
          <w:wAfter w:w="11" w:type="dxa"/>
          <w:trHeight w:val="317"/>
          <w:jc w:val="center"/>
        </w:trPr>
        <w:tc>
          <w:tcPr>
            <w:tcW w:w="1134" w:type="dxa"/>
            <w:gridSpan w:val="2"/>
            <w:tcBorders>
              <w:left w:val="single" w:sz="8" w:space="0" w:color="BFBFBF"/>
              <w:bottom w:val="double" w:sz="12" w:space="0" w:color="808080" w:themeColor="background1" w:themeShade="80"/>
              <w:right w:val="single" w:sz="8" w:space="0" w:color="FFFFFF" w:themeColor="background1"/>
            </w:tcBorders>
            <w:shd w:val="clear" w:color="auto" w:fill="D4C19C"/>
            <w:vAlign w:val="center"/>
          </w:tcPr>
          <w:p w14:paraId="42189E47" w14:textId="77777777" w:rsidR="009C3C24" w:rsidRPr="006F0DF1" w:rsidRDefault="009C3C24" w:rsidP="002F797B">
            <w:pPr>
              <w:spacing w:after="0" w:line="240" w:lineRule="exact"/>
              <w:jc w:val="center"/>
              <w:rPr>
                <w:rFonts w:ascii="Montserrat" w:hAnsi="Montserrat"/>
                <w:b/>
                <w:bCs/>
                <w:color w:val="FFFFFF"/>
                <w:spacing w:val="-1"/>
                <w:sz w:val="16"/>
                <w:szCs w:val="16"/>
                <w:lang w:val="es-ES_tradnl"/>
              </w:rPr>
            </w:pPr>
            <w:r w:rsidRPr="006F0DF1">
              <w:rPr>
                <w:rFonts w:ascii="Montserrat" w:hAnsi="Montserrat"/>
                <w:b/>
                <w:bCs/>
                <w:color w:val="FFFFFF"/>
                <w:spacing w:val="-1"/>
                <w:sz w:val="16"/>
                <w:szCs w:val="16"/>
                <w:lang w:val="es-ES_tradnl"/>
              </w:rPr>
              <w:t>País</w:t>
            </w:r>
          </w:p>
        </w:tc>
        <w:tc>
          <w:tcPr>
            <w:tcW w:w="1134" w:type="dxa"/>
            <w:tcBorders>
              <w:left w:val="single" w:sz="8" w:space="0" w:color="FFFFFF" w:themeColor="background1"/>
              <w:bottom w:val="double" w:sz="12" w:space="0" w:color="808080" w:themeColor="background1" w:themeShade="80"/>
              <w:right w:val="single" w:sz="8" w:space="0" w:color="FFFFFF" w:themeColor="background1"/>
            </w:tcBorders>
            <w:shd w:val="clear" w:color="auto" w:fill="D4C19C"/>
            <w:vAlign w:val="center"/>
          </w:tcPr>
          <w:p w14:paraId="457CDE4D" w14:textId="77777777" w:rsidR="009C3C24" w:rsidRPr="006F0DF1" w:rsidRDefault="009C3C24" w:rsidP="002F797B">
            <w:pPr>
              <w:spacing w:after="0" w:line="240" w:lineRule="exact"/>
              <w:jc w:val="center"/>
              <w:rPr>
                <w:rFonts w:ascii="Montserrat" w:hAnsi="Montserrat"/>
                <w:b/>
                <w:bCs/>
                <w:color w:val="FFFFFF"/>
                <w:spacing w:val="-1"/>
                <w:sz w:val="16"/>
                <w:szCs w:val="16"/>
                <w:lang w:val="es-ES_tradnl"/>
              </w:rPr>
            </w:pPr>
            <w:r w:rsidRPr="006F0DF1">
              <w:rPr>
                <w:rFonts w:ascii="Montserrat" w:hAnsi="Montserrat"/>
                <w:b/>
                <w:bCs/>
                <w:color w:val="FFFFFF"/>
                <w:spacing w:val="-1"/>
                <w:sz w:val="16"/>
                <w:szCs w:val="16"/>
                <w:lang w:val="es-ES_tradnl"/>
              </w:rPr>
              <w:t>Div.</w:t>
            </w:r>
          </w:p>
        </w:tc>
        <w:tc>
          <w:tcPr>
            <w:tcW w:w="5102" w:type="dxa"/>
            <w:tcBorders>
              <w:left w:val="single" w:sz="8" w:space="0" w:color="FFFFFF" w:themeColor="background1"/>
              <w:bottom w:val="double" w:sz="12" w:space="0" w:color="808080" w:themeColor="background1" w:themeShade="80"/>
              <w:right w:val="single" w:sz="8" w:space="0" w:color="FFFFFF" w:themeColor="background1"/>
            </w:tcBorders>
            <w:shd w:val="clear" w:color="auto" w:fill="D4C19C"/>
            <w:tcMar>
              <w:top w:w="0" w:type="dxa"/>
              <w:left w:w="108" w:type="dxa"/>
              <w:bottom w:w="0" w:type="dxa"/>
              <w:right w:w="108" w:type="dxa"/>
            </w:tcMar>
            <w:vAlign w:val="center"/>
            <w:hideMark/>
          </w:tcPr>
          <w:p w14:paraId="62691CB1" w14:textId="77777777" w:rsidR="009C3C24" w:rsidRPr="006F0DF1" w:rsidRDefault="009C3C24" w:rsidP="002F797B">
            <w:pPr>
              <w:spacing w:after="0" w:line="240" w:lineRule="exact"/>
              <w:jc w:val="center"/>
              <w:rPr>
                <w:rFonts w:ascii="Montserrat" w:hAnsi="Montserrat"/>
                <w:b/>
                <w:bCs/>
                <w:color w:val="FFFFFF"/>
                <w:spacing w:val="-1"/>
                <w:sz w:val="16"/>
                <w:szCs w:val="16"/>
                <w:lang w:val="es-ES_tradnl"/>
              </w:rPr>
            </w:pPr>
            <w:r w:rsidRPr="006F0DF1">
              <w:rPr>
                <w:rFonts w:ascii="Montserrat" w:hAnsi="Montserrat"/>
                <w:b/>
                <w:bCs/>
                <w:color w:val="FFFFFF"/>
                <w:spacing w:val="-1"/>
                <w:sz w:val="16"/>
                <w:szCs w:val="16"/>
                <w:lang w:val="es-ES_tradnl"/>
              </w:rPr>
              <w:t>Concepto</w:t>
            </w:r>
          </w:p>
        </w:tc>
        <w:tc>
          <w:tcPr>
            <w:tcW w:w="1984" w:type="dxa"/>
            <w:tcBorders>
              <w:left w:val="single" w:sz="8" w:space="0" w:color="FFFFFF" w:themeColor="background1"/>
              <w:bottom w:val="double" w:sz="12" w:space="0" w:color="808080" w:themeColor="background1" w:themeShade="80"/>
              <w:right w:val="single" w:sz="8" w:space="0" w:color="FFFFFF" w:themeColor="background1"/>
            </w:tcBorders>
            <w:shd w:val="clear" w:color="auto" w:fill="D4C19C"/>
            <w:vAlign w:val="center"/>
          </w:tcPr>
          <w:p w14:paraId="757EA1A4" w14:textId="77777777" w:rsidR="009C3C24" w:rsidRPr="006F0DF1" w:rsidRDefault="009C3C24" w:rsidP="002F797B">
            <w:pPr>
              <w:spacing w:after="0" w:line="240" w:lineRule="exact"/>
              <w:jc w:val="center"/>
              <w:rPr>
                <w:rFonts w:ascii="Montserrat" w:hAnsi="Montserrat"/>
                <w:b/>
                <w:color w:val="FFFFFF"/>
                <w:sz w:val="16"/>
                <w:szCs w:val="16"/>
                <w:lang w:val="es-ES_tradnl"/>
              </w:rPr>
            </w:pPr>
            <w:r w:rsidRPr="006F0DF1">
              <w:rPr>
                <w:rFonts w:ascii="Montserrat" w:hAnsi="Montserrat"/>
                <w:b/>
                <w:bCs/>
                <w:color w:val="FFFFFF"/>
                <w:spacing w:val="-1"/>
                <w:sz w:val="16"/>
                <w:szCs w:val="16"/>
                <w:lang w:val="es-ES_tradnl"/>
              </w:rPr>
              <w:t>201</w:t>
            </w:r>
            <w:r w:rsidR="00B30C16">
              <w:rPr>
                <w:rFonts w:ascii="Montserrat" w:hAnsi="Montserrat"/>
                <w:b/>
                <w:bCs/>
                <w:color w:val="FFFFFF"/>
                <w:spacing w:val="-1"/>
                <w:sz w:val="16"/>
                <w:szCs w:val="16"/>
                <w:lang w:val="es-ES_tradnl"/>
              </w:rPr>
              <w:t>9</w:t>
            </w:r>
          </w:p>
        </w:tc>
        <w:tc>
          <w:tcPr>
            <w:tcW w:w="1984" w:type="dxa"/>
            <w:tcBorders>
              <w:left w:val="single" w:sz="8" w:space="0" w:color="FFFFFF" w:themeColor="background1"/>
              <w:bottom w:val="double" w:sz="12" w:space="0" w:color="808080" w:themeColor="background1" w:themeShade="80"/>
              <w:right w:val="single" w:sz="8" w:space="0" w:color="BFBFBF"/>
            </w:tcBorders>
            <w:shd w:val="clear" w:color="auto" w:fill="D4C19C"/>
            <w:tcMar>
              <w:top w:w="0" w:type="dxa"/>
              <w:left w:w="108" w:type="dxa"/>
              <w:bottom w:w="0" w:type="dxa"/>
              <w:right w:w="108" w:type="dxa"/>
            </w:tcMar>
            <w:vAlign w:val="center"/>
            <w:hideMark/>
          </w:tcPr>
          <w:p w14:paraId="160C0DA3" w14:textId="77777777" w:rsidR="009C3C24" w:rsidRPr="006F0DF1" w:rsidRDefault="009C3C24" w:rsidP="002F797B">
            <w:pPr>
              <w:spacing w:after="0" w:line="240" w:lineRule="exact"/>
              <w:jc w:val="center"/>
              <w:rPr>
                <w:rFonts w:ascii="Montserrat" w:hAnsi="Montserrat"/>
                <w:b/>
                <w:bCs/>
                <w:color w:val="FFFFFF"/>
                <w:spacing w:val="-1"/>
                <w:sz w:val="16"/>
                <w:szCs w:val="16"/>
                <w:lang w:val="es-ES_tradnl"/>
              </w:rPr>
            </w:pPr>
            <w:r>
              <w:rPr>
                <w:rFonts w:ascii="Montserrat" w:hAnsi="Montserrat"/>
                <w:b/>
                <w:bCs/>
                <w:color w:val="FFFFFF"/>
                <w:spacing w:val="-1"/>
                <w:sz w:val="16"/>
                <w:szCs w:val="16"/>
                <w:lang w:val="es-ES_tradnl"/>
              </w:rPr>
              <w:t>201</w:t>
            </w:r>
            <w:r w:rsidR="00B30C16">
              <w:rPr>
                <w:rFonts w:ascii="Montserrat" w:hAnsi="Montserrat"/>
                <w:b/>
                <w:bCs/>
                <w:color w:val="FFFFFF"/>
                <w:spacing w:val="-1"/>
                <w:sz w:val="16"/>
                <w:szCs w:val="16"/>
                <w:lang w:val="es-ES_tradnl"/>
              </w:rPr>
              <w:t>8</w:t>
            </w:r>
          </w:p>
        </w:tc>
      </w:tr>
      <w:tr w:rsidR="00B30C16" w:rsidRPr="00F01A61" w14:paraId="789DA731" w14:textId="77777777" w:rsidTr="00F01A61">
        <w:trPr>
          <w:gridAfter w:val="1"/>
          <w:wAfter w:w="11" w:type="dxa"/>
          <w:trHeight w:val="215"/>
          <w:jc w:val="center"/>
        </w:trPr>
        <w:tc>
          <w:tcPr>
            <w:tcW w:w="1134" w:type="dxa"/>
            <w:gridSpan w:val="2"/>
            <w:tcBorders>
              <w:top w:val="double" w:sz="12" w:space="0" w:color="808080" w:themeColor="background1" w:themeShade="80"/>
            </w:tcBorders>
            <w:shd w:val="clear" w:color="auto" w:fill="F2F2F2" w:themeFill="background1" w:themeFillShade="F2"/>
          </w:tcPr>
          <w:p w14:paraId="635EE25E" w14:textId="77777777" w:rsidR="00B30C16" w:rsidRPr="00255081" w:rsidRDefault="00B30C16" w:rsidP="00B30C16">
            <w:pPr>
              <w:spacing w:after="0" w:line="240" w:lineRule="exact"/>
              <w:rPr>
                <w:rFonts w:ascii="Montserrat" w:hAnsi="Montserrat"/>
                <w:b/>
                <w:sz w:val="15"/>
                <w:szCs w:val="15"/>
                <w:lang w:val="es-ES_tradnl"/>
              </w:rPr>
            </w:pPr>
          </w:p>
        </w:tc>
        <w:tc>
          <w:tcPr>
            <w:tcW w:w="1134" w:type="dxa"/>
            <w:tcBorders>
              <w:top w:val="double" w:sz="12" w:space="0" w:color="808080" w:themeColor="background1" w:themeShade="80"/>
            </w:tcBorders>
            <w:shd w:val="clear" w:color="auto" w:fill="F2F2F2" w:themeFill="background1" w:themeFillShade="F2"/>
          </w:tcPr>
          <w:p w14:paraId="4A1F10E1" w14:textId="77777777" w:rsidR="00B30C16" w:rsidRPr="00255081" w:rsidRDefault="00B30C16" w:rsidP="00B30C16">
            <w:pPr>
              <w:spacing w:after="0" w:line="240" w:lineRule="exact"/>
              <w:rPr>
                <w:rFonts w:ascii="Montserrat" w:hAnsi="Montserrat"/>
                <w:b/>
                <w:sz w:val="15"/>
                <w:szCs w:val="15"/>
                <w:lang w:val="es-ES_tradnl"/>
              </w:rPr>
            </w:pPr>
          </w:p>
        </w:tc>
        <w:tc>
          <w:tcPr>
            <w:tcW w:w="5102" w:type="dxa"/>
            <w:tcBorders>
              <w:top w:val="double" w:sz="12" w:space="0" w:color="808080" w:themeColor="background1" w:themeShade="80"/>
            </w:tcBorders>
            <w:shd w:val="clear" w:color="auto" w:fill="F2F2F2" w:themeFill="background1" w:themeFillShade="F2"/>
            <w:tcMar>
              <w:top w:w="0" w:type="dxa"/>
              <w:left w:w="108" w:type="dxa"/>
              <w:bottom w:w="0" w:type="dxa"/>
              <w:right w:w="108" w:type="dxa"/>
            </w:tcMar>
          </w:tcPr>
          <w:p w14:paraId="24D774B0" w14:textId="77777777" w:rsidR="00B30C16" w:rsidRPr="00255081" w:rsidRDefault="00B30C16" w:rsidP="00B30C16">
            <w:pPr>
              <w:spacing w:after="0" w:line="240" w:lineRule="exact"/>
              <w:jc w:val="right"/>
              <w:rPr>
                <w:rFonts w:ascii="Montserrat" w:hAnsi="Montserrat"/>
                <w:b/>
                <w:bCs/>
                <w:spacing w:val="-1"/>
                <w:sz w:val="15"/>
                <w:szCs w:val="15"/>
                <w:lang w:val="es-ES_tradnl"/>
              </w:rPr>
            </w:pPr>
            <w:r w:rsidRPr="00255081">
              <w:rPr>
                <w:rFonts w:ascii="Montserrat" w:hAnsi="Montserrat"/>
                <w:b/>
                <w:bCs/>
                <w:spacing w:val="-1"/>
                <w:sz w:val="15"/>
                <w:szCs w:val="15"/>
                <w:lang w:val="es-ES_tradnl"/>
              </w:rPr>
              <w:t>Total Deuda Externa</w:t>
            </w:r>
          </w:p>
        </w:tc>
        <w:tc>
          <w:tcPr>
            <w:tcW w:w="1984" w:type="dxa"/>
            <w:tcBorders>
              <w:top w:val="double" w:sz="12" w:space="0" w:color="808080" w:themeColor="background1" w:themeShade="80"/>
            </w:tcBorders>
            <w:shd w:val="clear" w:color="auto" w:fill="F2F2F2" w:themeFill="background1" w:themeFillShade="F2"/>
          </w:tcPr>
          <w:p w14:paraId="78A43B75" w14:textId="6A7E71B2" w:rsidR="00B30C16" w:rsidRPr="00255081" w:rsidRDefault="006272D7" w:rsidP="00B30C16">
            <w:pPr>
              <w:spacing w:after="0" w:line="240" w:lineRule="exact"/>
              <w:ind w:right="113"/>
              <w:jc w:val="right"/>
              <w:rPr>
                <w:rFonts w:ascii="Montserrat" w:hAnsi="Montserrat"/>
                <w:b/>
                <w:spacing w:val="-1"/>
                <w:sz w:val="15"/>
                <w:szCs w:val="15"/>
                <w:lang w:val="es-ES_tradnl"/>
              </w:rPr>
            </w:pPr>
            <w:r w:rsidRPr="00255081">
              <w:rPr>
                <w:rFonts w:ascii="Montserrat" w:hAnsi="Montserrat"/>
                <w:b/>
                <w:spacing w:val="-1"/>
                <w:sz w:val="15"/>
                <w:szCs w:val="15"/>
                <w:lang w:val="es-ES_tradnl"/>
              </w:rPr>
              <w:t>1</w:t>
            </w:r>
            <w:r w:rsidR="00C5200E" w:rsidRPr="00255081">
              <w:rPr>
                <w:rFonts w:ascii="Montserrat" w:hAnsi="Montserrat"/>
                <w:b/>
                <w:spacing w:val="-1"/>
                <w:sz w:val="15"/>
                <w:szCs w:val="15"/>
                <w:lang w:val="es-ES_tradnl"/>
              </w:rPr>
              <w:t>,</w:t>
            </w:r>
            <w:r w:rsidRPr="00255081">
              <w:rPr>
                <w:rFonts w:ascii="Montserrat" w:hAnsi="Montserrat"/>
                <w:b/>
                <w:spacing w:val="-1"/>
                <w:sz w:val="15"/>
                <w:szCs w:val="15"/>
                <w:lang w:val="es-ES_tradnl"/>
              </w:rPr>
              <w:t>876</w:t>
            </w:r>
            <w:r w:rsidR="00C5200E" w:rsidRPr="00255081">
              <w:rPr>
                <w:rFonts w:ascii="Montserrat" w:hAnsi="Montserrat"/>
                <w:b/>
                <w:spacing w:val="-1"/>
                <w:sz w:val="15"/>
                <w:szCs w:val="15"/>
                <w:lang w:val="es-ES_tradnl"/>
              </w:rPr>
              <w:t>,</w:t>
            </w:r>
            <w:r w:rsidRPr="00255081">
              <w:rPr>
                <w:rFonts w:ascii="Montserrat" w:hAnsi="Montserrat"/>
                <w:b/>
                <w:spacing w:val="-1"/>
                <w:sz w:val="15"/>
                <w:szCs w:val="15"/>
                <w:lang w:val="es-ES_tradnl"/>
              </w:rPr>
              <w:t>485</w:t>
            </w:r>
            <w:r w:rsidR="00C5200E" w:rsidRPr="00255081">
              <w:rPr>
                <w:rFonts w:ascii="Montserrat" w:hAnsi="Montserrat"/>
                <w:b/>
                <w:spacing w:val="-1"/>
                <w:sz w:val="15"/>
                <w:szCs w:val="15"/>
                <w:lang w:val="es-ES_tradnl"/>
              </w:rPr>
              <w:t>,</w:t>
            </w:r>
            <w:r w:rsidRPr="00255081">
              <w:rPr>
                <w:rFonts w:ascii="Montserrat" w:hAnsi="Montserrat"/>
                <w:b/>
                <w:spacing w:val="-1"/>
                <w:sz w:val="15"/>
                <w:szCs w:val="15"/>
                <w:lang w:val="es-ES_tradnl"/>
              </w:rPr>
              <w:t>806</w:t>
            </w:r>
            <w:r w:rsidR="00C5200E" w:rsidRPr="00255081">
              <w:rPr>
                <w:rFonts w:ascii="Montserrat" w:hAnsi="Montserrat"/>
                <w:b/>
                <w:spacing w:val="-1"/>
                <w:sz w:val="15"/>
                <w:szCs w:val="15"/>
                <w:lang w:val="es-ES_tradnl"/>
              </w:rPr>
              <w:t>,</w:t>
            </w:r>
            <w:r w:rsidRPr="00255081">
              <w:rPr>
                <w:rFonts w:ascii="Montserrat" w:hAnsi="Montserrat"/>
                <w:b/>
                <w:spacing w:val="-1"/>
                <w:sz w:val="15"/>
                <w:szCs w:val="15"/>
                <w:lang w:val="es-ES_tradnl"/>
              </w:rPr>
              <w:t>255</w:t>
            </w:r>
          </w:p>
        </w:tc>
        <w:tc>
          <w:tcPr>
            <w:tcW w:w="1984" w:type="dxa"/>
            <w:tcBorders>
              <w:top w:val="double" w:sz="12" w:space="0" w:color="808080" w:themeColor="background1" w:themeShade="80"/>
            </w:tcBorders>
            <w:shd w:val="clear" w:color="auto" w:fill="F2F2F2" w:themeFill="background1" w:themeFillShade="F2"/>
            <w:tcMar>
              <w:top w:w="0" w:type="dxa"/>
              <w:left w:w="108" w:type="dxa"/>
              <w:bottom w:w="0" w:type="dxa"/>
              <w:right w:w="108" w:type="dxa"/>
            </w:tcMar>
          </w:tcPr>
          <w:p w14:paraId="4F89E832" w14:textId="77777777" w:rsidR="00B30C16" w:rsidRPr="00255081" w:rsidRDefault="00B30C16" w:rsidP="00B30C16">
            <w:pPr>
              <w:spacing w:after="0" w:line="240" w:lineRule="exact"/>
              <w:ind w:right="113"/>
              <w:jc w:val="right"/>
              <w:rPr>
                <w:rFonts w:ascii="Montserrat" w:hAnsi="Montserrat"/>
                <w:b/>
                <w:spacing w:val="-1"/>
                <w:sz w:val="15"/>
                <w:szCs w:val="15"/>
                <w:lang w:val="es-ES_tradnl"/>
              </w:rPr>
            </w:pPr>
            <w:r w:rsidRPr="00255081">
              <w:rPr>
                <w:rFonts w:ascii="Montserrat" w:hAnsi="Montserrat"/>
                <w:b/>
                <w:spacing w:val="-1"/>
                <w:sz w:val="15"/>
                <w:szCs w:val="15"/>
                <w:lang w:val="es-ES_tradnl"/>
              </w:rPr>
              <w:t>1,886,520,154,506</w:t>
            </w:r>
          </w:p>
        </w:tc>
      </w:tr>
      <w:tr w:rsidR="00B30C16" w:rsidRPr="00F01A61" w14:paraId="26CA15DB" w14:textId="77777777" w:rsidTr="00F01A61">
        <w:trPr>
          <w:gridAfter w:val="1"/>
          <w:wAfter w:w="11" w:type="dxa"/>
          <w:trHeight w:val="215"/>
          <w:jc w:val="center"/>
        </w:trPr>
        <w:tc>
          <w:tcPr>
            <w:tcW w:w="1134" w:type="dxa"/>
            <w:gridSpan w:val="2"/>
            <w:shd w:val="clear" w:color="auto" w:fill="F2F2F2" w:themeFill="background1" w:themeFillShade="F2"/>
          </w:tcPr>
          <w:p w14:paraId="53240B9E" w14:textId="77777777" w:rsidR="00B30C16" w:rsidRPr="00255081" w:rsidRDefault="00B30C16" w:rsidP="00B30C16">
            <w:pPr>
              <w:spacing w:after="0" w:line="240" w:lineRule="exact"/>
              <w:rPr>
                <w:rFonts w:ascii="Montserrat" w:hAnsi="Montserrat"/>
                <w:b/>
                <w:sz w:val="15"/>
                <w:szCs w:val="15"/>
                <w:lang w:val="es-ES_tradnl"/>
              </w:rPr>
            </w:pPr>
          </w:p>
        </w:tc>
        <w:tc>
          <w:tcPr>
            <w:tcW w:w="1134" w:type="dxa"/>
            <w:shd w:val="clear" w:color="auto" w:fill="F2F2F2" w:themeFill="background1" w:themeFillShade="F2"/>
          </w:tcPr>
          <w:p w14:paraId="28DEA050" w14:textId="77777777" w:rsidR="00B30C16" w:rsidRPr="00255081" w:rsidRDefault="00B30C16" w:rsidP="00B30C16">
            <w:pPr>
              <w:spacing w:after="0" w:line="240" w:lineRule="exact"/>
              <w:rPr>
                <w:rFonts w:ascii="Montserrat" w:hAnsi="Montserrat"/>
                <w:b/>
                <w:sz w:val="15"/>
                <w:szCs w:val="15"/>
                <w:lang w:val="es-ES_tradnl"/>
              </w:rPr>
            </w:pPr>
          </w:p>
        </w:tc>
        <w:tc>
          <w:tcPr>
            <w:tcW w:w="5102" w:type="dxa"/>
            <w:shd w:val="clear" w:color="auto" w:fill="F2F2F2" w:themeFill="background1" w:themeFillShade="F2"/>
            <w:tcMar>
              <w:top w:w="0" w:type="dxa"/>
              <w:left w:w="108" w:type="dxa"/>
              <w:bottom w:w="0" w:type="dxa"/>
              <w:right w:w="108" w:type="dxa"/>
            </w:tcMar>
          </w:tcPr>
          <w:p w14:paraId="7FB8F6D3" w14:textId="77777777" w:rsidR="00B30C16" w:rsidRPr="00255081" w:rsidRDefault="00B30C16" w:rsidP="00B30C16">
            <w:pPr>
              <w:spacing w:after="0" w:line="240" w:lineRule="exact"/>
              <w:jc w:val="both"/>
              <w:rPr>
                <w:rFonts w:ascii="Montserrat" w:hAnsi="Montserrat"/>
                <w:b/>
                <w:bCs/>
                <w:spacing w:val="-1"/>
                <w:sz w:val="15"/>
                <w:szCs w:val="15"/>
                <w:lang w:val="es-ES_tradnl"/>
              </w:rPr>
            </w:pPr>
            <w:r w:rsidRPr="00255081">
              <w:rPr>
                <w:rFonts w:ascii="Montserrat" w:hAnsi="Montserrat"/>
                <w:b/>
                <w:spacing w:val="-1"/>
                <w:sz w:val="15"/>
                <w:szCs w:val="15"/>
                <w:lang w:val="es-ES_tradnl"/>
              </w:rPr>
              <w:t>Valores Externos</w:t>
            </w:r>
          </w:p>
        </w:tc>
        <w:tc>
          <w:tcPr>
            <w:tcW w:w="1984" w:type="dxa"/>
            <w:shd w:val="clear" w:color="auto" w:fill="F2F2F2" w:themeFill="background1" w:themeFillShade="F2"/>
          </w:tcPr>
          <w:p w14:paraId="75E1EDB7" w14:textId="0FDCA351" w:rsidR="00B30C16" w:rsidRPr="00255081" w:rsidRDefault="006272D7" w:rsidP="00B30C16">
            <w:pPr>
              <w:spacing w:after="0" w:line="240" w:lineRule="exact"/>
              <w:ind w:right="113"/>
              <w:jc w:val="right"/>
              <w:rPr>
                <w:rFonts w:ascii="Montserrat" w:hAnsi="Montserrat"/>
                <w:b/>
                <w:spacing w:val="-1"/>
                <w:sz w:val="15"/>
                <w:szCs w:val="15"/>
                <w:lang w:val="es-ES_tradnl"/>
              </w:rPr>
            </w:pPr>
            <w:r w:rsidRPr="00255081">
              <w:rPr>
                <w:rFonts w:ascii="Montserrat" w:hAnsi="Montserrat"/>
                <w:b/>
                <w:spacing w:val="-1"/>
                <w:sz w:val="15"/>
                <w:szCs w:val="15"/>
                <w:lang w:val="es-ES_tradnl"/>
              </w:rPr>
              <w:t>1</w:t>
            </w:r>
            <w:r w:rsidR="00C5200E" w:rsidRPr="00255081">
              <w:rPr>
                <w:rFonts w:ascii="Montserrat" w:hAnsi="Montserrat"/>
                <w:b/>
                <w:spacing w:val="-1"/>
                <w:sz w:val="15"/>
                <w:szCs w:val="15"/>
                <w:lang w:val="es-ES_tradnl"/>
              </w:rPr>
              <w:t>,</w:t>
            </w:r>
            <w:r w:rsidRPr="00255081">
              <w:rPr>
                <w:rFonts w:ascii="Montserrat" w:hAnsi="Montserrat"/>
                <w:b/>
                <w:spacing w:val="-1"/>
                <w:sz w:val="15"/>
                <w:szCs w:val="15"/>
                <w:lang w:val="es-ES_tradnl"/>
              </w:rPr>
              <w:t>329</w:t>
            </w:r>
            <w:r w:rsidR="00C5200E" w:rsidRPr="00255081">
              <w:rPr>
                <w:rFonts w:ascii="Montserrat" w:hAnsi="Montserrat"/>
                <w:b/>
                <w:spacing w:val="-1"/>
                <w:sz w:val="15"/>
                <w:szCs w:val="15"/>
                <w:lang w:val="es-ES_tradnl"/>
              </w:rPr>
              <w:t>,</w:t>
            </w:r>
            <w:r w:rsidRPr="00255081">
              <w:rPr>
                <w:rFonts w:ascii="Montserrat" w:hAnsi="Montserrat"/>
                <w:b/>
                <w:spacing w:val="-1"/>
                <w:sz w:val="15"/>
                <w:szCs w:val="15"/>
                <w:lang w:val="es-ES_tradnl"/>
              </w:rPr>
              <w:t>381</w:t>
            </w:r>
            <w:r w:rsidR="00C5200E" w:rsidRPr="00255081">
              <w:rPr>
                <w:rFonts w:ascii="Montserrat" w:hAnsi="Montserrat"/>
                <w:b/>
                <w:spacing w:val="-1"/>
                <w:sz w:val="15"/>
                <w:szCs w:val="15"/>
                <w:lang w:val="es-ES_tradnl"/>
              </w:rPr>
              <w:t>,</w:t>
            </w:r>
            <w:r w:rsidRPr="00255081">
              <w:rPr>
                <w:rFonts w:ascii="Montserrat" w:hAnsi="Montserrat"/>
                <w:b/>
                <w:spacing w:val="-1"/>
                <w:sz w:val="15"/>
                <w:szCs w:val="15"/>
                <w:lang w:val="es-ES_tradnl"/>
              </w:rPr>
              <w:t>585</w:t>
            </w:r>
            <w:r w:rsidR="00C5200E" w:rsidRPr="00255081">
              <w:rPr>
                <w:rFonts w:ascii="Montserrat" w:hAnsi="Montserrat"/>
                <w:b/>
                <w:spacing w:val="-1"/>
                <w:sz w:val="15"/>
                <w:szCs w:val="15"/>
                <w:lang w:val="es-ES_tradnl"/>
              </w:rPr>
              <w:t>,</w:t>
            </w:r>
            <w:r w:rsidRPr="00255081">
              <w:rPr>
                <w:rFonts w:ascii="Montserrat" w:hAnsi="Montserrat"/>
                <w:b/>
                <w:spacing w:val="-1"/>
                <w:sz w:val="15"/>
                <w:szCs w:val="15"/>
                <w:lang w:val="es-ES_tradnl"/>
              </w:rPr>
              <w:t>974</w:t>
            </w:r>
          </w:p>
        </w:tc>
        <w:tc>
          <w:tcPr>
            <w:tcW w:w="1984" w:type="dxa"/>
            <w:shd w:val="clear" w:color="auto" w:fill="F2F2F2" w:themeFill="background1" w:themeFillShade="F2"/>
            <w:tcMar>
              <w:top w:w="0" w:type="dxa"/>
              <w:left w:w="108" w:type="dxa"/>
              <w:bottom w:w="0" w:type="dxa"/>
              <w:right w:w="108" w:type="dxa"/>
            </w:tcMar>
          </w:tcPr>
          <w:p w14:paraId="7769896D" w14:textId="77777777" w:rsidR="00B30C16" w:rsidRPr="00255081" w:rsidRDefault="00B30C16" w:rsidP="00B30C16">
            <w:pPr>
              <w:spacing w:after="0" w:line="240" w:lineRule="exact"/>
              <w:ind w:right="113"/>
              <w:jc w:val="right"/>
              <w:rPr>
                <w:rFonts w:ascii="Montserrat" w:hAnsi="Montserrat"/>
                <w:b/>
                <w:spacing w:val="-1"/>
                <w:sz w:val="15"/>
                <w:szCs w:val="15"/>
                <w:lang w:val="es-ES_tradnl"/>
              </w:rPr>
            </w:pPr>
            <w:r w:rsidRPr="00255081">
              <w:rPr>
                <w:rFonts w:ascii="Montserrat" w:hAnsi="Montserrat"/>
                <w:b/>
                <w:spacing w:val="-1"/>
                <w:sz w:val="15"/>
                <w:szCs w:val="15"/>
                <w:lang w:val="es-ES_tradnl"/>
              </w:rPr>
              <w:t>1,334,853,217,871</w:t>
            </w:r>
          </w:p>
        </w:tc>
      </w:tr>
      <w:tr w:rsidR="00B30C16" w:rsidRPr="00F01A61" w14:paraId="00E3EEFB" w14:textId="77777777" w:rsidTr="00F01A61">
        <w:trPr>
          <w:gridAfter w:val="1"/>
          <w:wAfter w:w="11" w:type="dxa"/>
          <w:trHeight w:val="215"/>
          <w:jc w:val="center"/>
        </w:trPr>
        <w:tc>
          <w:tcPr>
            <w:tcW w:w="1134" w:type="dxa"/>
            <w:gridSpan w:val="2"/>
            <w:shd w:val="clear" w:color="auto" w:fill="F2F2F2" w:themeFill="background1" w:themeFillShade="F2"/>
          </w:tcPr>
          <w:p w14:paraId="31B544C2" w14:textId="77777777" w:rsidR="00B30C16" w:rsidRPr="00255081" w:rsidRDefault="00B30C16" w:rsidP="00B30C16">
            <w:pPr>
              <w:spacing w:after="0" w:line="240" w:lineRule="exact"/>
              <w:rPr>
                <w:rFonts w:ascii="Montserrat" w:hAnsi="Montserrat"/>
                <w:b/>
                <w:sz w:val="15"/>
                <w:szCs w:val="15"/>
                <w:lang w:val="es-ES_tradnl"/>
              </w:rPr>
            </w:pPr>
          </w:p>
        </w:tc>
        <w:tc>
          <w:tcPr>
            <w:tcW w:w="1134" w:type="dxa"/>
            <w:shd w:val="clear" w:color="auto" w:fill="F2F2F2" w:themeFill="background1" w:themeFillShade="F2"/>
          </w:tcPr>
          <w:p w14:paraId="121B83EC" w14:textId="77777777" w:rsidR="00B30C16" w:rsidRPr="00255081" w:rsidRDefault="00B30C16" w:rsidP="00B30C16">
            <w:pPr>
              <w:spacing w:after="0" w:line="240" w:lineRule="exact"/>
              <w:rPr>
                <w:rFonts w:ascii="Montserrat" w:hAnsi="Montserrat"/>
                <w:b/>
                <w:sz w:val="15"/>
                <w:szCs w:val="15"/>
                <w:lang w:val="es-ES_tradnl"/>
              </w:rPr>
            </w:pPr>
          </w:p>
        </w:tc>
        <w:tc>
          <w:tcPr>
            <w:tcW w:w="5102" w:type="dxa"/>
            <w:shd w:val="clear" w:color="auto" w:fill="F2F2F2" w:themeFill="background1" w:themeFillShade="F2"/>
            <w:tcMar>
              <w:top w:w="0" w:type="dxa"/>
              <w:left w:w="108" w:type="dxa"/>
              <w:bottom w:w="0" w:type="dxa"/>
              <w:right w:w="108" w:type="dxa"/>
            </w:tcMar>
          </w:tcPr>
          <w:p w14:paraId="44A0A61D" w14:textId="77777777" w:rsidR="00B30C16" w:rsidRPr="00255081" w:rsidRDefault="00B30C16" w:rsidP="00B30C16">
            <w:pPr>
              <w:spacing w:after="0" w:line="240" w:lineRule="exact"/>
              <w:ind w:firstLine="675"/>
              <w:jc w:val="both"/>
              <w:rPr>
                <w:rFonts w:ascii="Montserrat" w:hAnsi="Montserrat"/>
                <w:b/>
                <w:bCs/>
                <w:spacing w:val="-1"/>
                <w:sz w:val="15"/>
                <w:szCs w:val="15"/>
                <w:lang w:val="es-ES_tradnl"/>
              </w:rPr>
            </w:pPr>
            <w:r w:rsidRPr="00255081">
              <w:rPr>
                <w:rFonts w:ascii="Montserrat" w:hAnsi="Montserrat"/>
                <w:b/>
                <w:spacing w:val="-1"/>
                <w:sz w:val="15"/>
                <w:szCs w:val="15"/>
                <w:lang w:val="es-ES_tradnl"/>
              </w:rPr>
              <w:t>Pagarés</w:t>
            </w:r>
          </w:p>
        </w:tc>
        <w:tc>
          <w:tcPr>
            <w:tcW w:w="1984" w:type="dxa"/>
            <w:shd w:val="clear" w:color="auto" w:fill="F2F2F2" w:themeFill="background1" w:themeFillShade="F2"/>
          </w:tcPr>
          <w:p w14:paraId="621174E9" w14:textId="1E721240" w:rsidR="00B30C16" w:rsidRPr="00255081" w:rsidRDefault="003348BD" w:rsidP="00B30C16">
            <w:pPr>
              <w:spacing w:after="0" w:line="240" w:lineRule="exact"/>
              <w:ind w:right="113"/>
              <w:jc w:val="right"/>
              <w:rPr>
                <w:rFonts w:ascii="Montserrat" w:hAnsi="Montserrat"/>
                <w:b/>
                <w:spacing w:val="-1"/>
                <w:sz w:val="15"/>
                <w:szCs w:val="15"/>
                <w:lang w:val="es-ES_tradnl"/>
              </w:rPr>
            </w:pPr>
            <w:r w:rsidRPr="00255081">
              <w:rPr>
                <w:rFonts w:ascii="Montserrat" w:hAnsi="Montserrat"/>
                <w:b/>
                <w:spacing w:val="-1"/>
                <w:sz w:val="15"/>
                <w:szCs w:val="15"/>
                <w:lang w:val="es-ES_tradnl"/>
              </w:rPr>
              <w:t>1</w:t>
            </w:r>
            <w:r w:rsidR="00C5200E" w:rsidRPr="00255081">
              <w:rPr>
                <w:rFonts w:ascii="Montserrat" w:hAnsi="Montserrat"/>
                <w:b/>
                <w:spacing w:val="-1"/>
                <w:sz w:val="15"/>
                <w:szCs w:val="15"/>
                <w:lang w:val="es-ES_tradnl"/>
              </w:rPr>
              <w:t>,</w:t>
            </w:r>
            <w:r w:rsidRPr="00255081">
              <w:rPr>
                <w:rFonts w:ascii="Montserrat" w:hAnsi="Montserrat"/>
                <w:b/>
                <w:spacing w:val="-1"/>
                <w:sz w:val="15"/>
                <w:szCs w:val="15"/>
                <w:lang w:val="es-ES_tradnl"/>
              </w:rPr>
              <w:t>323</w:t>
            </w:r>
            <w:r w:rsidR="00C5200E" w:rsidRPr="00255081">
              <w:rPr>
                <w:rFonts w:ascii="Montserrat" w:hAnsi="Montserrat"/>
                <w:b/>
                <w:spacing w:val="-1"/>
                <w:sz w:val="15"/>
                <w:szCs w:val="15"/>
                <w:lang w:val="es-ES_tradnl"/>
              </w:rPr>
              <w:t>,</w:t>
            </w:r>
            <w:r w:rsidRPr="00255081">
              <w:rPr>
                <w:rFonts w:ascii="Montserrat" w:hAnsi="Montserrat"/>
                <w:b/>
                <w:spacing w:val="-1"/>
                <w:sz w:val="15"/>
                <w:szCs w:val="15"/>
                <w:lang w:val="es-ES_tradnl"/>
              </w:rPr>
              <w:t>342</w:t>
            </w:r>
            <w:r w:rsidR="00C5200E" w:rsidRPr="00255081">
              <w:rPr>
                <w:rFonts w:ascii="Montserrat" w:hAnsi="Montserrat"/>
                <w:b/>
                <w:spacing w:val="-1"/>
                <w:sz w:val="15"/>
                <w:szCs w:val="15"/>
                <w:lang w:val="es-ES_tradnl"/>
              </w:rPr>
              <w:t>,</w:t>
            </w:r>
            <w:r w:rsidRPr="00255081">
              <w:rPr>
                <w:rFonts w:ascii="Montserrat" w:hAnsi="Montserrat"/>
                <w:b/>
                <w:spacing w:val="-1"/>
                <w:sz w:val="15"/>
                <w:szCs w:val="15"/>
                <w:lang w:val="es-ES_tradnl"/>
              </w:rPr>
              <w:t>735</w:t>
            </w:r>
            <w:r w:rsidR="00C5200E" w:rsidRPr="00255081">
              <w:rPr>
                <w:rFonts w:ascii="Montserrat" w:hAnsi="Montserrat"/>
                <w:b/>
                <w:spacing w:val="-1"/>
                <w:sz w:val="15"/>
                <w:szCs w:val="15"/>
                <w:lang w:val="es-ES_tradnl"/>
              </w:rPr>
              <w:t>,</w:t>
            </w:r>
            <w:r w:rsidRPr="00255081">
              <w:rPr>
                <w:rFonts w:ascii="Montserrat" w:hAnsi="Montserrat"/>
                <w:b/>
                <w:spacing w:val="-1"/>
                <w:sz w:val="15"/>
                <w:szCs w:val="15"/>
                <w:lang w:val="es-ES_tradnl"/>
              </w:rPr>
              <w:t>965</w:t>
            </w:r>
          </w:p>
        </w:tc>
        <w:tc>
          <w:tcPr>
            <w:tcW w:w="1984" w:type="dxa"/>
            <w:shd w:val="clear" w:color="auto" w:fill="F2F2F2" w:themeFill="background1" w:themeFillShade="F2"/>
            <w:tcMar>
              <w:top w:w="0" w:type="dxa"/>
              <w:left w:w="108" w:type="dxa"/>
              <w:bottom w:w="0" w:type="dxa"/>
              <w:right w:w="108" w:type="dxa"/>
            </w:tcMar>
          </w:tcPr>
          <w:p w14:paraId="52BEE855" w14:textId="77777777" w:rsidR="00B30C16" w:rsidRPr="00255081" w:rsidRDefault="00B30C16" w:rsidP="00B30C16">
            <w:pPr>
              <w:spacing w:after="0" w:line="240" w:lineRule="exact"/>
              <w:ind w:right="113"/>
              <w:jc w:val="right"/>
              <w:rPr>
                <w:rFonts w:ascii="Montserrat" w:hAnsi="Montserrat"/>
                <w:b/>
                <w:spacing w:val="-1"/>
                <w:sz w:val="15"/>
                <w:szCs w:val="15"/>
                <w:lang w:val="es-ES_tradnl"/>
              </w:rPr>
            </w:pPr>
            <w:r w:rsidRPr="00255081">
              <w:rPr>
                <w:rFonts w:ascii="Montserrat" w:hAnsi="Montserrat"/>
                <w:b/>
                <w:spacing w:val="-1"/>
                <w:sz w:val="15"/>
                <w:szCs w:val="15"/>
                <w:lang w:val="es-ES_tradnl"/>
              </w:rPr>
              <w:t>1,302,088,747,710</w:t>
            </w:r>
          </w:p>
        </w:tc>
      </w:tr>
      <w:tr w:rsidR="00B30C16" w:rsidRPr="00F01A61" w14:paraId="0B8BE4F9" w14:textId="77777777" w:rsidTr="00F01A61">
        <w:trPr>
          <w:gridAfter w:val="1"/>
          <w:wAfter w:w="11" w:type="dxa"/>
          <w:trHeight w:val="215"/>
          <w:jc w:val="center"/>
        </w:trPr>
        <w:tc>
          <w:tcPr>
            <w:tcW w:w="1134" w:type="dxa"/>
            <w:gridSpan w:val="2"/>
            <w:shd w:val="clear" w:color="auto" w:fill="F2F2F2" w:themeFill="background1" w:themeFillShade="F2"/>
          </w:tcPr>
          <w:p w14:paraId="4353CE74" w14:textId="77777777" w:rsidR="00B30C16" w:rsidRPr="00255081" w:rsidRDefault="00B30C16" w:rsidP="00B30C16">
            <w:pPr>
              <w:spacing w:after="0" w:line="240" w:lineRule="exact"/>
              <w:jc w:val="center"/>
              <w:rPr>
                <w:rFonts w:ascii="Montserrat" w:hAnsi="Montserrat"/>
                <w:sz w:val="15"/>
                <w:szCs w:val="15"/>
                <w:lang w:val="es-ES_tradnl"/>
              </w:rPr>
            </w:pPr>
            <w:r w:rsidRPr="00255081">
              <w:rPr>
                <w:rFonts w:ascii="Montserrat" w:hAnsi="Montserrat"/>
                <w:sz w:val="15"/>
                <w:szCs w:val="15"/>
                <w:lang w:val="es-ES_tradnl"/>
              </w:rPr>
              <w:t>E.u.</w:t>
            </w:r>
          </w:p>
        </w:tc>
        <w:tc>
          <w:tcPr>
            <w:tcW w:w="1134" w:type="dxa"/>
            <w:shd w:val="clear" w:color="auto" w:fill="F2F2F2" w:themeFill="background1" w:themeFillShade="F2"/>
          </w:tcPr>
          <w:p w14:paraId="0124059F" w14:textId="77777777" w:rsidR="00B30C16" w:rsidRPr="00255081" w:rsidRDefault="00B30C16" w:rsidP="00B30C16">
            <w:pPr>
              <w:spacing w:after="0" w:line="240" w:lineRule="exact"/>
              <w:jc w:val="center"/>
              <w:rPr>
                <w:rFonts w:ascii="Montserrat" w:hAnsi="Montserrat"/>
                <w:sz w:val="15"/>
                <w:szCs w:val="15"/>
                <w:lang w:val="es-ES_tradnl"/>
              </w:rPr>
            </w:pPr>
            <w:r w:rsidRPr="00255081">
              <w:rPr>
                <w:rFonts w:ascii="Montserrat" w:hAnsi="Montserrat"/>
                <w:sz w:val="15"/>
                <w:szCs w:val="15"/>
                <w:lang w:val="es-ES_tradnl"/>
              </w:rPr>
              <w:t>Dlr.</w:t>
            </w:r>
          </w:p>
        </w:tc>
        <w:tc>
          <w:tcPr>
            <w:tcW w:w="5102" w:type="dxa"/>
            <w:shd w:val="clear" w:color="auto" w:fill="F2F2F2" w:themeFill="background1" w:themeFillShade="F2"/>
            <w:tcMar>
              <w:top w:w="0" w:type="dxa"/>
              <w:left w:w="108" w:type="dxa"/>
              <w:bottom w:w="0" w:type="dxa"/>
              <w:right w:w="108" w:type="dxa"/>
            </w:tcMar>
          </w:tcPr>
          <w:p w14:paraId="5DF85CA8" w14:textId="77777777" w:rsidR="00B30C16" w:rsidRPr="00255081" w:rsidRDefault="00B30C16" w:rsidP="00B30C16">
            <w:pPr>
              <w:spacing w:after="0" w:line="240" w:lineRule="exact"/>
              <w:rPr>
                <w:rFonts w:ascii="Montserrat" w:hAnsi="Montserrat"/>
                <w:bCs/>
                <w:spacing w:val="-1"/>
                <w:sz w:val="15"/>
                <w:szCs w:val="15"/>
                <w:lang w:val="es-ES_tradnl"/>
              </w:rPr>
            </w:pPr>
          </w:p>
        </w:tc>
        <w:tc>
          <w:tcPr>
            <w:tcW w:w="1984" w:type="dxa"/>
            <w:shd w:val="clear" w:color="auto" w:fill="F2F2F2" w:themeFill="background1" w:themeFillShade="F2"/>
          </w:tcPr>
          <w:p w14:paraId="1C078635" w14:textId="1932E117" w:rsidR="00B30C16" w:rsidRPr="00255081" w:rsidRDefault="006272D7" w:rsidP="00B30C16">
            <w:pPr>
              <w:spacing w:after="0" w:line="240" w:lineRule="exact"/>
              <w:ind w:right="113"/>
              <w:jc w:val="right"/>
              <w:rPr>
                <w:rFonts w:ascii="Montserrat" w:hAnsi="Montserrat"/>
                <w:spacing w:val="-1"/>
                <w:sz w:val="15"/>
                <w:szCs w:val="15"/>
                <w:lang w:val="es-ES_tradnl"/>
              </w:rPr>
            </w:pPr>
            <w:r w:rsidRPr="00255081">
              <w:rPr>
                <w:rFonts w:ascii="Montserrat" w:hAnsi="Montserrat"/>
                <w:spacing w:val="-1"/>
                <w:sz w:val="15"/>
                <w:szCs w:val="15"/>
                <w:lang w:val="es-ES_tradnl"/>
              </w:rPr>
              <w:t>841</w:t>
            </w:r>
            <w:r w:rsidR="00C5200E" w:rsidRPr="00255081">
              <w:rPr>
                <w:rFonts w:ascii="Montserrat" w:hAnsi="Montserrat"/>
                <w:spacing w:val="-1"/>
                <w:sz w:val="15"/>
                <w:szCs w:val="15"/>
                <w:lang w:val="es-ES_tradnl"/>
              </w:rPr>
              <w:t>,</w:t>
            </w:r>
            <w:r w:rsidRPr="00255081">
              <w:rPr>
                <w:rFonts w:ascii="Montserrat" w:hAnsi="Montserrat"/>
                <w:spacing w:val="-1"/>
                <w:sz w:val="15"/>
                <w:szCs w:val="15"/>
                <w:lang w:val="es-ES_tradnl"/>
              </w:rPr>
              <w:t>581</w:t>
            </w:r>
            <w:r w:rsidR="00C5200E" w:rsidRPr="00255081">
              <w:rPr>
                <w:rFonts w:ascii="Montserrat" w:hAnsi="Montserrat"/>
                <w:spacing w:val="-1"/>
                <w:sz w:val="15"/>
                <w:szCs w:val="15"/>
                <w:lang w:val="es-ES_tradnl"/>
              </w:rPr>
              <w:t>,</w:t>
            </w:r>
            <w:r w:rsidRPr="00255081">
              <w:rPr>
                <w:rFonts w:ascii="Montserrat" w:hAnsi="Montserrat"/>
                <w:spacing w:val="-1"/>
                <w:sz w:val="15"/>
                <w:szCs w:val="15"/>
                <w:lang w:val="es-ES_tradnl"/>
              </w:rPr>
              <w:t>497</w:t>
            </w:r>
            <w:r w:rsidR="00C5200E" w:rsidRPr="00255081">
              <w:rPr>
                <w:rFonts w:ascii="Montserrat" w:hAnsi="Montserrat"/>
                <w:spacing w:val="-1"/>
                <w:sz w:val="15"/>
                <w:szCs w:val="15"/>
                <w:lang w:val="es-ES_tradnl"/>
              </w:rPr>
              <w:t>,</w:t>
            </w:r>
            <w:r w:rsidRPr="00255081">
              <w:rPr>
                <w:rFonts w:ascii="Montserrat" w:hAnsi="Montserrat"/>
                <w:spacing w:val="-1"/>
                <w:sz w:val="15"/>
                <w:szCs w:val="15"/>
                <w:lang w:val="es-ES_tradnl"/>
              </w:rPr>
              <w:t>793</w:t>
            </w:r>
          </w:p>
        </w:tc>
        <w:tc>
          <w:tcPr>
            <w:tcW w:w="1984" w:type="dxa"/>
            <w:shd w:val="clear" w:color="auto" w:fill="F2F2F2" w:themeFill="background1" w:themeFillShade="F2"/>
            <w:tcMar>
              <w:top w:w="0" w:type="dxa"/>
              <w:left w:w="108" w:type="dxa"/>
              <w:bottom w:w="0" w:type="dxa"/>
              <w:right w:w="108" w:type="dxa"/>
            </w:tcMar>
          </w:tcPr>
          <w:p w14:paraId="67B450C8" w14:textId="77777777" w:rsidR="00B30C16" w:rsidRPr="00255081" w:rsidRDefault="00B30C16" w:rsidP="00B30C16">
            <w:pPr>
              <w:spacing w:after="0" w:line="240" w:lineRule="exact"/>
              <w:ind w:right="113"/>
              <w:jc w:val="right"/>
              <w:rPr>
                <w:rFonts w:ascii="Montserrat" w:hAnsi="Montserrat"/>
                <w:spacing w:val="-1"/>
                <w:sz w:val="15"/>
                <w:szCs w:val="15"/>
                <w:lang w:val="es-ES_tradnl"/>
              </w:rPr>
            </w:pPr>
            <w:r w:rsidRPr="00255081">
              <w:rPr>
                <w:rFonts w:ascii="Montserrat" w:hAnsi="Montserrat"/>
                <w:spacing w:val="-1"/>
                <w:sz w:val="15"/>
                <w:szCs w:val="15"/>
                <w:lang w:val="es-ES_tradnl"/>
              </w:rPr>
              <w:t>836,228,892,278</w:t>
            </w:r>
          </w:p>
        </w:tc>
      </w:tr>
      <w:tr w:rsidR="00B30C16" w:rsidRPr="00F01A61" w14:paraId="322B1BBF" w14:textId="77777777" w:rsidTr="00F01A61">
        <w:trPr>
          <w:gridAfter w:val="1"/>
          <w:wAfter w:w="11" w:type="dxa"/>
          <w:trHeight w:val="215"/>
          <w:jc w:val="center"/>
        </w:trPr>
        <w:tc>
          <w:tcPr>
            <w:tcW w:w="1134" w:type="dxa"/>
            <w:gridSpan w:val="2"/>
            <w:shd w:val="clear" w:color="auto" w:fill="F2F2F2" w:themeFill="background1" w:themeFillShade="F2"/>
          </w:tcPr>
          <w:p w14:paraId="10DBCF8B" w14:textId="77777777" w:rsidR="00B30C16" w:rsidRPr="00255081" w:rsidRDefault="00B30C16" w:rsidP="00B30C16">
            <w:pPr>
              <w:spacing w:after="0" w:line="240" w:lineRule="exact"/>
              <w:jc w:val="center"/>
              <w:rPr>
                <w:rFonts w:ascii="Montserrat" w:hAnsi="Montserrat"/>
                <w:sz w:val="15"/>
                <w:szCs w:val="15"/>
                <w:lang w:val="es-ES_tradnl"/>
              </w:rPr>
            </w:pPr>
            <w:r w:rsidRPr="00255081">
              <w:rPr>
                <w:rFonts w:ascii="Montserrat" w:hAnsi="Montserrat"/>
                <w:sz w:val="15"/>
                <w:szCs w:val="15"/>
                <w:lang w:val="es-ES_tradnl"/>
              </w:rPr>
              <w:t>Eup.</w:t>
            </w:r>
          </w:p>
        </w:tc>
        <w:tc>
          <w:tcPr>
            <w:tcW w:w="1134" w:type="dxa"/>
            <w:shd w:val="clear" w:color="auto" w:fill="F2F2F2" w:themeFill="background1" w:themeFillShade="F2"/>
          </w:tcPr>
          <w:p w14:paraId="5BB5CBFB" w14:textId="77777777" w:rsidR="00B30C16" w:rsidRPr="00255081" w:rsidRDefault="00B30C16" w:rsidP="00B30C16">
            <w:pPr>
              <w:spacing w:after="0" w:line="240" w:lineRule="exact"/>
              <w:jc w:val="center"/>
              <w:rPr>
                <w:rFonts w:ascii="Montserrat" w:hAnsi="Montserrat"/>
                <w:sz w:val="15"/>
                <w:szCs w:val="15"/>
                <w:lang w:val="es-ES_tradnl"/>
              </w:rPr>
            </w:pPr>
            <w:r w:rsidRPr="00255081">
              <w:rPr>
                <w:rFonts w:ascii="Montserrat" w:hAnsi="Montserrat"/>
                <w:sz w:val="15"/>
                <w:szCs w:val="15"/>
                <w:lang w:val="es-ES_tradnl"/>
              </w:rPr>
              <w:t>Eur.</w:t>
            </w:r>
          </w:p>
        </w:tc>
        <w:tc>
          <w:tcPr>
            <w:tcW w:w="5102" w:type="dxa"/>
            <w:shd w:val="clear" w:color="auto" w:fill="F2F2F2" w:themeFill="background1" w:themeFillShade="F2"/>
            <w:tcMar>
              <w:top w:w="0" w:type="dxa"/>
              <w:left w:w="108" w:type="dxa"/>
              <w:bottom w:w="0" w:type="dxa"/>
              <w:right w:w="108" w:type="dxa"/>
            </w:tcMar>
          </w:tcPr>
          <w:p w14:paraId="685F36C5" w14:textId="77777777" w:rsidR="00B30C16" w:rsidRPr="00255081" w:rsidRDefault="00B30C16" w:rsidP="00B30C16">
            <w:pPr>
              <w:spacing w:after="0" w:line="240" w:lineRule="exact"/>
              <w:jc w:val="right"/>
              <w:rPr>
                <w:rFonts w:ascii="Montserrat" w:hAnsi="Montserrat"/>
                <w:bCs/>
                <w:spacing w:val="-1"/>
                <w:sz w:val="15"/>
                <w:szCs w:val="15"/>
                <w:lang w:val="es-ES_tradnl"/>
              </w:rPr>
            </w:pPr>
          </w:p>
        </w:tc>
        <w:tc>
          <w:tcPr>
            <w:tcW w:w="1984" w:type="dxa"/>
            <w:shd w:val="clear" w:color="auto" w:fill="F2F2F2" w:themeFill="background1" w:themeFillShade="F2"/>
          </w:tcPr>
          <w:p w14:paraId="27C5148F" w14:textId="4FF1FFE7" w:rsidR="00B30C16" w:rsidRPr="00255081" w:rsidRDefault="006272D7" w:rsidP="00B30C16">
            <w:pPr>
              <w:spacing w:after="0" w:line="240" w:lineRule="exact"/>
              <w:ind w:right="113"/>
              <w:jc w:val="right"/>
              <w:rPr>
                <w:rFonts w:ascii="Montserrat" w:hAnsi="Montserrat"/>
                <w:spacing w:val="-1"/>
                <w:sz w:val="15"/>
                <w:szCs w:val="15"/>
                <w:lang w:val="es-ES_tradnl"/>
              </w:rPr>
            </w:pPr>
            <w:r w:rsidRPr="00255081">
              <w:rPr>
                <w:rFonts w:ascii="Montserrat" w:hAnsi="Montserrat"/>
                <w:spacing w:val="-1"/>
                <w:sz w:val="15"/>
                <w:szCs w:val="15"/>
                <w:lang w:val="es-ES_tradnl"/>
              </w:rPr>
              <w:t>338</w:t>
            </w:r>
            <w:r w:rsidR="00C5200E" w:rsidRPr="00255081">
              <w:rPr>
                <w:rFonts w:ascii="Montserrat" w:hAnsi="Montserrat"/>
                <w:spacing w:val="-1"/>
                <w:sz w:val="15"/>
                <w:szCs w:val="15"/>
                <w:lang w:val="es-ES_tradnl"/>
              </w:rPr>
              <w:t>,</w:t>
            </w:r>
            <w:r w:rsidRPr="00255081">
              <w:rPr>
                <w:rFonts w:ascii="Montserrat" w:hAnsi="Montserrat"/>
                <w:spacing w:val="-1"/>
                <w:sz w:val="15"/>
                <w:szCs w:val="15"/>
                <w:lang w:val="es-ES_tradnl"/>
              </w:rPr>
              <w:t>459</w:t>
            </w:r>
            <w:r w:rsidR="00C5200E" w:rsidRPr="00255081">
              <w:rPr>
                <w:rFonts w:ascii="Montserrat" w:hAnsi="Montserrat"/>
                <w:spacing w:val="-1"/>
                <w:sz w:val="15"/>
                <w:szCs w:val="15"/>
                <w:lang w:val="es-ES_tradnl"/>
              </w:rPr>
              <w:t>,</w:t>
            </w:r>
            <w:r w:rsidRPr="00255081">
              <w:rPr>
                <w:rFonts w:ascii="Montserrat" w:hAnsi="Montserrat"/>
                <w:spacing w:val="-1"/>
                <w:sz w:val="15"/>
                <w:szCs w:val="15"/>
                <w:lang w:val="es-ES_tradnl"/>
              </w:rPr>
              <w:t>791</w:t>
            </w:r>
            <w:r w:rsidR="00C5200E" w:rsidRPr="00255081">
              <w:rPr>
                <w:rFonts w:ascii="Montserrat" w:hAnsi="Montserrat"/>
                <w:spacing w:val="-1"/>
                <w:sz w:val="15"/>
                <w:szCs w:val="15"/>
                <w:lang w:val="es-ES_tradnl"/>
              </w:rPr>
              <w:t>,</w:t>
            </w:r>
            <w:r w:rsidRPr="00255081">
              <w:rPr>
                <w:rFonts w:ascii="Montserrat" w:hAnsi="Montserrat"/>
                <w:spacing w:val="-1"/>
                <w:sz w:val="15"/>
                <w:szCs w:val="15"/>
                <w:lang w:val="es-ES_tradnl"/>
              </w:rPr>
              <w:t>998</w:t>
            </w:r>
          </w:p>
        </w:tc>
        <w:tc>
          <w:tcPr>
            <w:tcW w:w="1984" w:type="dxa"/>
            <w:shd w:val="clear" w:color="auto" w:fill="F2F2F2" w:themeFill="background1" w:themeFillShade="F2"/>
            <w:tcMar>
              <w:top w:w="0" w:type="dxa"/>
              <w:left w:w="108" w:type="dxa"/>
              <w:bottom w:w="0" w:type="dxa"/>
              <w:right w:w="108" w:type="dxa"/>
            </w:tcMar>
          </w:tcPr>
          <w:p w14:paraId="4EB2887E" w14:textId="77777777" w:rsidR="00B30C16" w:rsidRPr="00255081" w:rsidRDefault="00B30C16" w:rsidP="00B30C16">
            <w:pPr>
              <w:spacing w:after="0" w:line="240" w:lineRule="exact"/>
              <w:ind w:right="113"/>
              <w:jc w:val="right"/>
              <w:rPr>
                <w:rFonts w:ascii="Montserrat" w:hAnsi="Montserrat"/>
                <w:spacing w:val="-1"/>
                <w:sz w:val="15"/>
                <w:szCs w:val="15"/>
                <w:lang w:val="es-ES_tradnl"/>
              </w:rPr>
            </w:pPr>
            <w:r w:rsidRPr="00255081">
              <w:rPr>
                <w:rFonts w:ascii="Montserrat" w:hAnsi="Montserrat"/>
                <w:spacing w:val="-1"/>
                <w:sz w:val="15"/>
                <w:szCs w:val="15"/>
                <w:lang w:val="es-ES_tradnl"/>
              </w:rPr>
              <w:t>303,823,276,108</w:t>
            </w:r>
          </w:p>
        </w:tc>
      </w:tr>
      <w:tr w:rsidR="00B30C16" w:rsidRPr="00F01A61" w14:paraId="2E4DAC40" w14:textId="77777777" w:rsidTr="00F01A61">
        <w:trPr>
          <w:gridAfter w:val="1"/>
          <w:wAfter w:w="11" w:type="dxa"/>
          <w:trHeight w:val="215"/>
          <w:jc w:val="center"/>
        </w:trPr>
        <w:tc>
          <w:tcPr>
            <w:tcW w:w="1134" w:type="dxa"/>
            <w:gridSpan w:val="2"/>
            <w:shd w:val="clear" w:color="auto" w:fill="F2F2F2" w:themeFill="background1" w:themeFillShade="F2"/>
          </w:tcPr>
          <w:p w14:paraId="3AD43D49" w14:textId="77777777" w:rsidR="00B30C16" w:rsidRPr="00255081" w:rsidRDefault="00B30C16" w:rsidP="00B30C16">
            <w:pPr>
              <w:spacing w:after="0" w:line="240" w:lineRule="exact"/>
              <w:jc w:val="center"/>
              <w:rPr>
                <w:rFonts w:ascii="Montserrat" w:hAnsi="Montserrat"/>
                <w:sz w:val="15"/>
                <w:szCs w:val="15"/>
                <w:lang w:val="es-ES_tradnl"/>
              </w:rPr>
            </w:pPr>
            <w:r w:rsidRPr="00255081">
              <w:rPr>
                <w:rFonts w:ascii="Montserrat" w:hAnsi="Montserrat"/>
                <w:sz w:val="15"/>
                <w:szCs w:val="15"/>
                <w:lang w:val="es-ES_tradnl"/>
              </w:rPr>
              <w:t>E.u.</w:t>
            </w:r>
          </w:p>
        </w:tc>
        <w:tc>
          <w:tcPr>
            <w:tcW w:w="1134" w:type="dxa"/>
            <w:shd w:val="clear" w:color="auto" w:fill="F2F2F2" w:themeFill="background1" w:themeFillShade="F2"/>
          </w:tcPr>
          <w:p w14:paraId="7B3FFD9F" w14:textId="77777777" w:rsidR="00B30C16" w:rsidRPr="00255081" w:rsidRDefault="00B30C16" w:rsidP="00B30C16">
            <w:pPr>
              <w:spacing w:after="0" w:line="240" w:lineRule="exact"/>
              <w:jc w:val="center"/>
              <w:rPr>
                <w:rFonts w:ascii="Montserrat" w:hAnsi="Montserrat"/>
                <w:sz w:val="15"/>
                <w:szCs w:val="15"/>
                <w:lang w:val="es-ES_tradnl"/>
              </w:rPr>
            </w:pPr>
            <w:r w:rsidRPr="00255081">
              <w:rPr>
                <w:rFonts w:ascii="Montserrat" w:hAnsi="Montserrat"/>
                <w:sz w:val="15"/>
                <w:szCs w:val="15"/>
                <w:lang w:val="es-ES_tradnl"/>
              </w:rPr>
              <w:t>Eur.</w:t>
            </w:r>
          </w:p>
        </w:tc>
        <w:tc>
          <w:tcPr>
            <w:tcW w:w="5102" w:type="dxa"/>
            <w:shd w:val="clear" w:color="auto" w:fill="F2F2F2" w:themeFill="background1" w:themeFillShade="F2"/>
            <w:tcMar>
              <w:top w:w="0" w:type="dxa"/>
              <w:left w:w="108" w:type="dxa"/>
              <w:bottom w:w="0" w:type="dxa"/>
              <w:right w:w="108" w:type="dxa"/>
            </w:tcMar>
          </w:tcPr>
          <w:p w14:paraId="60F1B060" w14:textId="77777777" w:rsidR="00B30C16" w:rsidRPr="00255081" w:rsidRDefault="00B30C16" w:rsidP="00B30C16">
            <w:pPr>
              <w:spacing w:after="0" w:line="240" w:lineRule="exact"/>
              <w:jc w:val="right"/>
              <w:rPr>
                <w:rFonts w:ascii="Montserrat" w:hAnsi="Montserrat"/>
                <w:bCs/>
                <w:spacing w:val="-1"/>
                <w:sz w:val="15"/>
                <w:szCs w:val="15"/>
                <w:lang w:val="es-ES_tradnl"/>
              </w:rPr>
            </w:pPr>
          </w:p>
        </w:tc>
        <w:tc>
          <w:tcPr>
            <w:tcW w:w="1984" w:type="dxa"/>
            <w:shd w:val="clear" w:color="auto" w:fill="F2F2F2" w:themeFill="background1" w:themeFillShade="F2"/>
          </w:tcPr>
          <w:p w14:paraId="33083735" w14:textId="11F324E0" w:rsidR="00B30C16" w:rsidRPr="00255081" w:rsidRDefault="006272D7" w:rsidP="00B30C16">
            <w:pPr>
              <w:spacing w:after="0" w:line="240" w:lineRule="exact"/>
              <w:ind w:right="113"/>
              <w:jc w:val="right"/>
              <w:rPr>
                <w:rFonts w:ascii="Montserrat" w:hAnsi="Montserrat"/>
                <w:spacing w:val="-1"/>
                <w:sz w:val="15"/>
                <w:szCs w:val="15"/>
                <w:lang w:val="es-ES_tradnl"/>
              </w:rPr>
            </w:pPr>
            <w:r w:rsidRPr="00255081">
              <w:rPr>
                <w:rFonts w:ascii="Montserrat" w:hAnsi="Montserrat"/>
                <w:spacing w:val="-1"/>
                <w:sz w:val="15"/>
                <w:szCs w:val="15"/>
                <w:lang w:val="es-ES_tradnl"/>
              </w:rPr>
              <w:t>8</w:t>
            </w:r>
            <w:r w:rsidR="00C5200E" w:rsidRPr="00255081">
              <w:rPr>
                <w:rFonts w:ascii="Montserrat" w:hAnsi="Montserrat"/>
                <w:spacing w:val="-1"/>
                <w:sz w:val="15"/>
                <w:szCs w:val="15"/>
                <w:lang w:val="es-ES_tradnl"/>
              </w:rPr>
              <w:t>,</w:t>
            </w:r>
            <w:r w:rsidRPr="00255081">
              <w:rPr>
                <w:rFonts w:ascii="Montserrat" w:hAnsi="Montserrat"/>
                <w:spacing w:val="-1"/>
                <w:sz w:val="15"/>
                <w:szCs w:val="15"/>
                <w:lang w:val="es-ES_tradnl"/>
              </w:rPr>
              <w:t>440</w:t>
            </w:r>
            <w:r w:rsidR="00C5200E" w:rsidRPr="00255081">
              <w:rPr>
                <w:rFonts w:ascii="Montserrat" w:hAnsi="Montserrat"/>
                <w:spacing w:val="-1"/>
                <w:sz w:val="15"/>
                <w:szCs w:val="15"/>
                <w:lang w:val="es-ES_tradnl"/>
              </w:rPr>
              <w:t>,</w:t>
            </w:r>
            <w:r w:rsidRPr="00255081">
              <w:rPr>
                <w:rFonts w:ascii="Montserrat" w:hAnsi="Montserrat"/>
                <w:spacing w:val="-1"/>
                <w:sz w:val="15"/>
                <w:szCs w:val="15"/>
                <w:lang w:val="es-ES_tradnl"/>
              </w:rPr>
              <w:t>087</w:t>
            </w:r>
            <w:r w:rsidR="00C5200E" w:rsidRPr="00255081">
              <w:rPr>
                <w:rFonts w:ascii="Montserrat" w:hAnsi="Montserrat"/>
                <w:spacing w:val="-1"/>
                <w:sz w:val="15"/>
                <w:szCs w:val="15"/>
                <w:lang w:val="es-ES_tradnl"/>
              </w:rPr>
              <w:t>,</w:t>
            </w:r>
            <w:r w:rsidRPr="00255081">
              <w:rPr>
                <w:rFonts w:ascii="Montserrat" w:hAnsi="Montserrat"/>
                <w:spacing w:val="-1"/>
                <w:sz w:val="15"/>
                <w:szCs w:val="15"/>
                <w:lang w:val="es-ES_tradnl"/>
              </w:rPr>
              <w:t>277</w:t>
            </w:r>
          </w:p>
        </w:tc>
        <w:tc>
          <w:tcPr>
            <w:tcW w:w="1984" w:type="dxa"/>
            <w:shd w:val="clear" w:color="auto" w:fill="F2F2F2" w:themeFill="background1" w:themeFillShade="F2"/>
            <w:tcMar>
              <w:top w:w="0" w:type="dxa"/>
              <w:left w:w="108" w:type="dxa"/>
              <w:bottom w:w="0" w:type="dxa"/>
              <w:right w:w="108" w:type="dxa"/>
            </w:tcMar>
          </w:tcPr>
          <w:p w14:paraId="5D3AA80C" w14:textId="77777777" w:rsidR="00B30C16" w:rsidRPr="00255081" w:rsidRDefault="00B30C16" w:rsidP="00B30C16">
            <w:pPr>
              <w:spacing w:after="0" w:line="240" w:lineRule="exact"/>
              <w:ind w:right="113"/>
              <w:jc w:val="right"/>
              <w:rPr>
                <w:rFonts w:ascii="Montserrat" w:hAnsi="Montserrat"/>
                <w:spacing w:val="-1"/>
                <w:sz w:val="15"/>
                <w:szCs w:val="15"/>
                <w:lang w:val="es-ES_tradnl"/>
              </w:rPr>
            </w:pPr>
            <w:r w:rsidRPr="00255081">
              <w:rPr>
                <w:rFonts w:ascii="Montserrat" w:hAnsi="Montserrat"/>
                <w:spacing w:val="-1"/>
                <w:sz w:val="15"/>
                <w:szCs w:val="15"/>
                <w:lang w:val="es-ES_tradnl"/>
              </w:rPr>
              <w:t>8,979,395,710</w:t>
            </w:r>
          </w:p>
        </w:tc>
      </w:tr>
      <w:tr w:rsidR="00B30C16" w:rsidRPr="00F01A61" w14:paraId="0B37BBFE" w14:textId="77777777" w:rsidTr="00F01A61">
        <w:trPr>
          <w:gridAfter w:val="1"/>
          <w:wAfter w:w="11" w:type="dxa"/>
          <w:trHeight w:val="215"/>
          <w:jc w:val="center"/>
        </w:trPr>
        <w:tc>
          <w:tcPr>
            <w:tcW w:w="1134" w:type="dxa"/>
            <w:gridSpan w:val="2"/>
            <w:shd w:val="clear" w:color="auto" w:fill="F2F2F2" w:themeFill="background1" w:themeFillShade="F2"/>
          </w:tcPr>
          <w:p w14:paraId="4A9A7BF5" w14:textId="77777777" w:rsidR="00B30C16" w:rsidRPr="00255081" w:rsidRDefault="00B30C16" w:rsidP="00B30C16">
            <w:pPr>
              <w:spacing w:after="0" w:line="240" w:lineRule="exact"/>
              <w:jc w:val="center"/>
              <w:rPr>
                <w:rFonts w:ascii="Montserrat" w:hAnsi="Montserrat"/>
                <w:sz w:val="15"/>
                <w:szCs w:val="15"/>
                <w:lang w:val="es-ES_tradnl"/>
              </w:rPr>
            </w:pPr>
            <w:r w:rsidRPr="00255081">
              <w:rPr>
                <w:rFonts w:ascii="Montserrat" w:hAnsi="Montserrat"/>
                <w:sz w:val="15"/>
                <w:szCs w:val="15"/>
                <w:lang w:val="es-ES_tradnl"/>
              </w:rPr>
              <w:t>Ing.</w:t>
            </w:r>
          </w:p>
        </w:tc>
        <w:tc>
          <w:tcPr>
            <w:tcW w:w="1134" w:type="dxa"/>
            <w:shd w:val="clear" w:color="auto" w:fill="F2F2F2" w:themeFill="background1" w:themeFillShade="F2"/>
          </w:tcPr>
          <w:p w14:paraId="239246BD" w14:textId="77777777" w:rsidR="00B30C16" w:rsidRPr="00255081" w:rsidRDefault="00B30C16" w:rsidP="00B30C16">
            <w:pPr>
              <w:spacing w:after="0" w:line="240" w:lineRule="exact"/>
              <w:jc w:val="center"/>
              <w:rPr>
                <w:rFonts w:ascii="Montserrat" w:hAnsi="Montserrat"/>
                <w:sz w:val="15"/>
                <w:szCs w:val="15"/>
                <w:lang w:val="es-ES_tradnl"/>
              </w:rPr>
            </w:pPr>
            <w:r w:rsidRPr="00255081">
              <w:rPr>
                <w:rFonts w:ascii="Montserrat" w:hAnsi="Montserrat"/>
                <w:sz w:val="15"/>
                <w:szCs w:val="15"/>
                <w:lang w:val="es-ES_tradnl"/>
              </w:rPr>
              <w:t>Lib.</w:t>
            </w:r>
          </w:p>
        </w:tc>
        <w:tc>
          <w:tcPr>
            <w:tcW w:w="5102" w:type="dxa"/>
            <w:shd w:val="clear" w:color="auto" w:fill="F2F2F2" w:themeFill="background1" w:themeFillShade="F2"/>
            <w:tcMar>
              <w:top w:w="0" w:type="dxa"/>
              <w:left w:w="108" w:type="dxa"/>
              <w:bottom w:w="0" w:type="dxa"/>
              <w:right w:w="108" w:type="dxa"/>
            </w:tcMar>
          </w:tcPr>
          <w:p w14:paraId="3DB0873E" w14:textId="77777777" w:rsidR="00B30C16" w:rsidRPr="00255081" w:rsidRDefault="00B30C16" w:rsidP="00B30C16">
            <w:pPr>
              <w:spacing w:after="0" w:line="240" w:lineRule="exact"/>
              <w:rPr>
                <w:rFonts w:ascii="Montserrat" w:hAnsi="Montserrat"/>
                <w:spacing w:val="-1"/>
                <w:sz w:val="15"/>
                <w:szCs w:val="15"/>
                <w:lang w:val="es-ES_tradnl"/>
              </w:rPr>
            </w:pPr>
          </w:p>
        </w:tc>
        <w:tc>
          <w:tcPr>
            <w:tcW w:w="1984" w:type="dxa"/>
            <w:shd w:val="clear" w:color="auto" w:fill="F2F2F2" w:themeFill="background1" w:themeFillShade="F2"/>
          </w:tcPr>
          <w:p w14:paraId="38413369" w14:textId="3CF72197" w:rsidR="00B30C16" w:rsidRPr="00255081" w:rsidRDefault="006272D7" w:rsidP="00B30C16">
            <w:pPr>
              <w:spacing w:after="0" w:line="240" w:lineRule="exact"/>
              <w:ind w:right="113"/>
              <w:jc w:val="right"/>
              <w:rPr>
                <w:rFonts w:ascii="Montserrat" w:hAnsi="Montserrat"/>
                <w:spacing w:val="-1"/>
                <w:sz w:val="15"/>
                <w:szCs w:val="15"/>
                <w:lang w:val="es-ES_tradnl"/>
              </w:rPr>
            </w:pPr>
            <w:r w:rsidRPr="00255081">
              <w:rPr>
                <w:rFonts w:ascii="Montserrat" w:hAnsi="Montserrat"/>
                <w:spacing w:val="-1"/>
                <w:sz w:val="15"/>
                <w:szCs w:val="15"/>
                <w:lang w:val="es-ES_tradnl"/>
              </w:rPr>
              <w:t>36</w:t>
            </w:r>
            <w:r w:rsidR="00C5200E" w:rsidRPr="00255081">
              <w:rPr>
                <w:rFonts w:ascii="Montserrat" w:hAnsi="Montserrat"/>
                <w:spacing w:val="-1"/>
                <w:sz w:val="15"/>
                <w:szCs w:val="15"/>
                <w:lang w:val="es-ES_tradnl"/>
              </w:rPr>
              <w:t>,</w:t>
            </w:r>
            <w:r w:rsidRPr="00255081">
              <w:rPr>
                <w:rFonts w:ascii="Montserrat" w:hAnsi="Montserrat"/>
                <w:spacing w:val="-1"/>
                <w:sz w:val="15"/>
                <w:szCs w:val="15"/>
                <w:lang w:val="es-ES_tradnl"/>
              </w:rPr>
              <w:t>851</w:t>
            </w:r>
            <w:r w:rsidR="00C5200E" w:rsidRPr="00255081">
              <w:rPr>
                <w:rFonts w:ascii="Montserrat" w:hAnsi="Montserrat"/>
                <w:spacing w:val="-1"/>
                <w:sz w:val="15"/>
                <w:szCs w:val="15"/>
                <w:lang w:val="es-ES_tradnl"/>
              </w:rPr>
              <w:t>,</w:t>
            </w:r>
            <w:r w:rsidRPr="00255081">
              <w:rPr>
                <w:rFonts w:ascii="Montserrat" w:hAnsi="Montserrat"/>
                <w:spacing w:val="-1"/>
                <w:sz w:val="15"/>
                <w:szCs w:val="15"/>
                <w:lang w:val="es-ES_tradnl"/>
              </w:rPr>
              <w:t>996</w:t>
            </w:r>
            <w:r w:rsidR="00C5200E" w:rsidRPr="00255081">
              <w:rPr>
                <w:rFonts w:ascii="Montserrat" w:hAnsi="Montserrat"/>
                <w:spacing w:val="-1"/>
                <w:sz w:val="15"/>
                <w:szCs w:val="15"/>
                <w:lang w:val="es-ES_tradnl"/>
              </w:rPr>
              <w:t>,</w:t>
            </w:r>
            <w:r w:rsidRPr="00255081">
              <w:rPr>
                <w:rFonts w:ascii="Montserrat" w:hAnsi="Montserrat"/>
                <w:spacing w:val="-1"/>
                <w:sz w:val="15"/>
                <w:szCs w:val="15"/>
                <w:lang w:val="es-ES_tradnl"/>
              </w:rPr>
              <w:t>545</w:t>
            </w:r>
          </w:p>
        </w:tc>
        <w:tc>
          <w:tcPr>
            <w:tcW w:w="1984" w:type="dxa"/>
            <w:shd w:val="clear" w:color="auto" w:fill="F2F2F2" w:themeFill="background1" w:themeFillShade="F2"/>
            <w:tcMar>
              <w:top w:w="0" w:type="dxa"/>
              <w:left w:w="108" w:type="dxa"/>
              <w:bottom w:w="0" w:type="dxa"/>
              <w:right w:w="108" w:type="dxa"/>
            </w:tcMar>
          </w:tcPr>
          <w:p w14:paraId="385E0D79" w14:textId="77777777" w:rsidR="00B30C16" w:rsidRPr="00255081" w:rsidRDefault="00B30C16" w:rsidP="00B30C16">
            <w:pPr>
              <w:spacing w:after="0" w:line="240" w:lineRule="exact"/>
              <w:ind w:right="113"/>
              <w:jc w:val="right"/>
              <w:rPr>
                <w:rFonts w:ascii="Montserrat" w:hAnsi="Montserrat"/>
                <w:spacing w:val="-1"/>
                <w:sz w:val="15"/>
                <w:szCs w:val="15"/>
                <w:lang w:val="es-ES_tradnl"/>
              </w:rPr>
            </w:pPr>
            <w:r w:rsidRPr="00255081">
              <w:rPr>
                <w:rFonts w:ascii="Montserrat" w:hAnsi="Montserrat"/>
                <w:spacing w:val="-1"/>
                <w:sz w:val="15"/>
                <w:szCs w:val="15"/>
                <w:lang w:val="es-ES_tradnl"/>
              </w:rPr>
              <w:t>37,042,824,921</w:t>
            </w:r>
          </w:p>
        </w:tc>
      </w:tr>
      <w:tr w:rsidR="00B30C16" w:rsidRPr="00F01A61" w14:paraId="1E803917" w14:textId="77777777" w:rsidTr="00F01A61">
        <w:trPr>
          <w:gridAfter w:val="1"/>
          <w:wAfter w:w="11" w:type="dxa"/>
          <w:trHeight w:val="215"/>
          <w:jc w:val="center"/>
        </w:trPr>
        <w:tc>
          <w:tcPr>
            <w:tcW w:w="1134" w:type="dxa"/>
            <w:gridSpan w:val="2"/>
            <w:shd w:val="clear" w:color="auto" w:fill="F2F2F2" w:themeFill="background1" w:themeFillShade="F2"/>
          </w:tcPr>
          <w:p w14:paraId="7433BB5D" w14:textId="77777777" w:rsidR="00B30C16" w:rsidRPr="00255081" w:rsidRDefault="00B30C16" w:rsidP="00B30C16">
            <w:pPr>
              <w:spacing w:after="0" w:line="240" w:lineRule="exact"/>
              <w:jc w:val="center"/>
              <w:rPr>
                <w:rFonts w:ascii="Montserrat" w:hAnsi="Montserrat"/>
                <w:spacing w:val="-1"/>
                <w:sz w:val="15"/>
                <w:szCs w:val="15"/>
                <w:lang w:val="es-ES_tradnl"/>
              </w:rPr>
            </w:pPr>
            <w:r w:rsidRPr="00255081">
              <w:rPr>
                <w:rFonts w:ascii="Montserrat" w:hAnsi="Montserrat"/>
                <w:spacing w:val="-1"/>
                <w:sz w:val="15"/>
                <w:szCs w:val="15"/>
                <w:lang w:val="es-ES_tradnl"/>
              </w:rPr>
              <w:t>Jpn.</w:t>
            </w:r>
          </w:p>
        </w:tc>
        <w:tc>
          <w:tcPr>
            <w:tcW w:w="1134" w:type="dxa"/>
            <w:shd w:val="clear" w:color="auto" w:fill="F2F2F2" w:themeFill="background1" w:themeFillShade="F2"/>
          </w:tcPr>
          <w:p w14:paraId="7FA7D28C" w14:textId="77777777" w:rsidR="00B30C16" w:rsidRPr="00255081" w:rsidRDefault="00B30C16" w:rsidP="00B30C16">
            <w:pPr>
              <w:spacing w:after="0" w:line="240" w:lineRule="exact"/>
              <w:jc w:val="center"/>
              <w:rPr>
                <w:rFonts w:ascii="Montserrat" w:hAnsi="Montserrat"/>
                <w:spacing w:val="-1"/>
                <w:sz w:val="15"/>
                <w:szCs w:val="15"/>
                <w:lang w:val="es-ES_tradnl"/>
              </w:rPr>
            </w:pPr>
            <w:r w:rsidRPr="00255081">
              <w:rPr>
                <w:rFonts w:ascii="Montserrat" w:hAnsi="Montserrat"/>
                <w:spacing w:val="-1"/>
                <w:sz w:val="15"/>
                <w:szCs w:val="15"/>
                <w:lang w:val="es-ES_tradnl"/>
              </w:rPr>
              <w:t>Yen.</w:t>
            </w:r>
          </w:p>
        </w:tc>
        <w:tc>
          <w:tcPr>
            <w:tcW w:w="5102" w:type="dxa"/>
            <w:shd w:val="clear" w:color="auto" w:fill="F2F2F2" w:themeFill="background1" w:themeFillShade="F2"/>
            <w:tcMar>
              <w:top w:w="0" w:type="dxa"/>
              <w:left w:w="108" w:type="dxa"/>
              <w:bottom w:w="0" w:type="dxa"/>
              <w:right w:w="108" w:type="dxa"/>
            </w:tcMar>
          </w:tcPr>
          <w:p w14:paraId="64453720" w14:textId="77777777" w:rsidR="00B30C16" w:rsidRPr="00255081" w:rsidRDefault="00B30C16" w:rsidP="00B30C16">
            <w:pPr>
              <w:spacing w:after="0" w:line="240" w:lineRule="exact"/>
              <w:rPr>
                <w:rFonts w:ascii="Montserrat" w:hAnsi="Montserrat"/>
                <w:spacing w:val="-1"/>
                <w:sz w:val="15"/>
                <w:szCs w:val="15"/>
                <w:lang w:val="es-ES_tradnl"/>
              </w:rPr>
            </w:pPr>
          </w:p>
        </w:tc>
        <w:tc>
          <w:tcPr>
            <w:tcW w:w="1984" w:type="dxa"/>
            <w:shd w:val="clear" w:color="auto" w:fill="F2F2F2" w:themeFill="background1" w:themeFillShade="F2"/>
          </w:tcPr>
          <w:p w14:paraId="4E60A09D" w14:textId="6FD0816F" w:rsidR="00B30C16" w:rsidRPr="00255081" w:rsidRDefault="003348BD" w:rsidP="00B30C16">
            <w:pPr>
              <w:spacing w:after="0" w:line="240" w:lineRule="exact"/>
              <w:ind w:right="113"/>
              <w:jc w:val="right"/>
              <w:rPr>
                <w:rFonts w:ascii="Montserrat" w:hAnsi="Montserrat"/>
                <w:spacing w:val="-1"/>
                <w:sz w:val="15"/>
                <w:szCs w:val="15"/>
                <w:lang w:val="es-ES_tradnl"/>
              </w:rPr>
            </w:pPr>
            <w:r w:rsidRPr="00255081">
              <w:rPr>
                <w:rFonts w:ascii="Montserrat" w:hAnsi="Montserrat"/>
                <w:spacing w:val="-1"/>
                <w:sz w:val="15"/>
                <w:szCs w:val="15"/>
                <w:lang w:val="es-ES_tradnl"/>
              </w:rPr>
              <w:t>98</w:t>
            </w:r>
            <w:r w:rsidR="00C5200E" w:rsidRPr="00255081">
              <w:rPr>
                <w:rFonts w:ascii="Montserrat" w:hAnsi="Montserrat"/>
                <w:spacing w:val="-1"/>
                <w:sz w:val="15"/>
                <w:szCs w:val="15"/>
                <w:lang w:val="es-ES_tradnl"/>
              </w:rPr>
              <w:t>,</w:t>
            </w:r>
            <w:r w:rsidRPr="00255081">
              <w:rPr>
                <w:rFonts w:ascii="Montserrat" w:hAnsi="Montserrat"/>
                <w:spacing w:val="-1"/>
                <w:sz w:val="15"/>
                <w:szCs w:val="15"/>
                <w:lang w:val="es-ES_tradnl"/>
              </w:rPr>
              <w:t>009</w:t>
            </w:r>
            <w:r w:rsidR="00C5200E" w:rsidRPr="00255081">
              <w:rPr>
                <w:rFonts w:ascii="Montserrat" w:hAnsi="Montserrat"/>
                <w:spacing w:val="-1"/>
                <w:sz w:val="15"/>
                <w:szCs w:val="15"/>
                <w:lang w:val="es-ES_tradnl"/>
              </w:rPr>
              <w:t>,</w:t>
            </w:r>
            <w:r w:rsidRPr="00255081">
              <w:rPr>
                <w:rFonts w:ascii="Montserrat" w:hAnsi="Montserrat"/>
                <w:spacing w:val="-1"/>
                <w:sz w:val="15"/>
                <w:szCs w:val="15"/>
                <w:lang w:val="es-ES_tradnl"/>
              </w:rPr>
              <w:t>362</w:t>
            </w:r>
            <w:r w:rsidR="00C5200E" w:rsidRPr="00255081">
              <w:rPr>
                <w:rFonts w:ascii="Montserrat" w:hAnsi="Montserrat"/>
                <w:spacing w:val="-1"/>
                <w:sz w:val="15"/>
                <w:szCs w:val="15"/>
                <w:lang w:val="es-ES_tradnl"/>
              </w:rPr>
              <w:t>,</w:t>
            </w:r>
            <w:r w:rsidRPr="00255081">
              <w:rPr>
                <w:rFonts w:ascii="Montserrat" w:hAnsi="Montserrat"/>
                <w:spacing w:val="-1"/>
                <w:sz w:val="15"/>
                <w:szCs w:val="15"/>
                <w:lang w:val="es-ES_tradnl"/>
              </w:rPr>
              <w:t>352</w:t>
            </w:r>
          </w:p>
        </w:tc>
        <w:tc>
          <w:tcPr>
            <w:tcW w:w="1984" w:type="dxa"/>
            <w:shd w:val="clear" w:color="auto" w:fill="F2F2F2" w:themeFill="background1" w:themeFillShade="F2"/>
            <w:tcMar>
              <w:top w:w="0" w:type="dxa"/>
              <w:left w:w="108" w:type="dxa"/>
              <w:bottom w:w="0" w:type="dxa"/>
              <w:right w:w="108" w:type="dxa"/>
            </w:tcMar>
          </w:tcPr>
          <w:p w14:paraId="6BFE86A4" w14:textId="77777777" w:rsidR="00B30C16" w:rsidRPr="00255081" w:rsidRDefault="00B30C16" w:rsidP="00B30C16">
            <w:pPr>
              <w:spacing w:after="0" w:line="240" w:lineRule="exact"/>
              <w:ind w:right="113"/>
              <w:jc w:val="right"/>
              <w:rPr>
                <w:rFonts w:ascii="Montserrat" w:hAnsi="Montserrat"/>
                <w:spacing w:val="-1"/>
                <w:sz w:val="15"/>
                <w:szCs w:val="15"/>
                <w:lang w:val="es-ES_tradnl"/>
              </w:rPr>
            </w:pPr>
            <w:r w:rsidRPr="00255081">
              <w:rPr>
                <w:rFonts w:ascii="Montserrat" w:hAnsi="Montserrat"/>
                <w:spacing w:val="-1"/>
                <w:sz w:val="15"/>
                <w:szCs w:val="15"/>
                <w:lang w:val="es-ES_tradnl"/>
              </w:rPr>
              <w:t>116,014,358,693</w:t>
            </w:r>
          </w:p>
        </w:tc>
      </w:tr>
      <w:tr w:rsidR="00B30C16" w:rsidRPr="00F01A61" w14:paraId="59F98FA8" w14:textId="77777777" w:rsidTr="00F01A61">
        <w:trPr>
          <w:gridAfter w:val="1"/>
          <w:wAfter w:w="11" w:type="dxa"/>
          <w:trHeight w:val="215"/>
          <w:jc w:val="center"/>
        </w:trPr>
        <w:tc>
          <w:tcPr>
            <w:tcW w:w="1134" w:type="dxa"/>
            <w:gridSpan w:val="2"/>
            <w:shd w:val="clear" w:color="auto" w:fill="F2F2F2" w:themeFill="background1" w:themeFillShade="F2"/>
          </w:tcPr>
          <w:p w14:paraId="381AF668" w14:textId="77777777" w:rsidR="00B30C16" w:rsidRPr="00255081" w:rsidRDefault="00B30C16" w:rsidP="00B30C16">
            <w:pPr>
              <w:spacing w:after="0" w:line="240" w:lineRule="exact"/>
              <w:rPr>
                <w:rFonts w:ascii="Montserrat" w:hAnsi="Montserrat"/>
                <w:b/>
                <w:spacing w:val="-1"/>
                <w:sz w:val="15"/>
                <w:szCs w:val="15"/>
                <w:lang w:val="es-ES_tradnl"/>
              </w:rPr>
            </w:pPr>
          </w:p>
        </w:tc>
        <w:tc>
          <w:tcPr>
            <w:tcW w:w="1134" w:type="dxa"/>
            <w:shd w:val="clear" w:color="auto" w:fill="F2F2F2" w:themeFill="background1" w:themeFillShade="F2"/>
          </w:tcPr>
          <w:p w14:paraId="7D6BBF75" w14:textId="77777777" w:rsidR="00B30C16" w:rsidRPr="00255081" w:rsidRDefault="00B30C16" w:rsidP="00B30C16">
            <w:pPr>
              <w:spacing w:after="0" w:line="240" w:lineRule="exact"/>
              <w:rPr>
                <w:rFonts w:ascii="Montserrat" w:hAnsi="Montserrat"/>
                <w:b/>
                <w:spacing w:val="-1"/>
                <w:sz w:val="15"/>
                <w:szCs w:val="15"/>
                <w:lang w:val="es-ES_tradnl"/>
              </w:rPr>
            </w:pPr>
          </w:p>
        </w:tc>
        <w:tc>
          <w:tcPr>
            <w:tcW w:w="5102" w:type="dxa"/>
            <w:shd w:val="clear" w:color="auto" w:fill="F2F2F2" w:themeFill="background1" w:themeFillShade="F2"/>
            <w:tcMar>
              <w:top w:w="0" w:type="dxa"/>
              <w:left w:w="108" w:type="dxa"/>
              <w:bottom w:w="0" w:type="dxa"/>
              <w:right w:w="108" w:type="dxa"/>
            </w:tcMar>
          </w:tcPr>
          <w:p w14:paraId="299CD6E1" w14:textId="77777777" w:rsidR="00B30C16" w:rsidRPr="00255081" w:rsidRDefault="00B30C16" w:rsidP="00B30C16">
            <w:pPr>
              <w:spacing w:after="0" w:line="240" w:lineRule="exact"/>
              <w:ind w:firstLine="675"/>
              <w:jc w:val="both"/>
              <w:rPr>
                <w:rFonts w:ascii="Montserrat" w:hAnsi="Montserrat"/>
                <w:b/>
                <w:spacing w:val="-1"/>
                <w:sz w:val="15"/>
                <w:szCs w:val="15"/>
                <w:lang w:val="es-ES_tradnl"/>
              </w:rPr>
            </w:pPr>
            <w:r w:rsidRPr="00255081">
              <w:rPr>
                <w:rFonts w:ascii="Montserrat" w:hAnsi="Montserrat"/>
                <w:b/>
                <w:spacing w:val="-1"/>
                <w:sz w:val="15"/>
                <w:szCs w:val="15"/>
                <w:lang w:val="es-ES_tradnl"/>
              </w:rPr>
              <w:t>Otros</w:t>
            </w:r>
          </w:p>
        </w:tc>
        <w:tc>
          <w:tcPr>
            <w:tcW w:w="1984" w:type="dxa"/>
            <w:shd w:val="clear" w:color="auto" w:fill="F2F2F2" w:themeFill="background1" w:themeFillShade="F2"/>
          </w:tcPr>
          <w:p w14:paraId="00EC3475" w14:textId="2D026886" w:rsidR="00B30C16" w:rsidRPr="00255081" w:rsidRDefault="003348BD" w:rsidP="00B30C16">
            <w:pPr>
              <w:spacing w:after="0" w:line="240" w:lineRule="exact"/>
              <w:ind w:right="113"/>
              <w:jc w:val="right"/>
              <w:rPr>
                <w:rFonts w:ascii="Montserrat" w:hAnsi="Montserrat"/>
                <w:b/>
                <w:spacing w:val="-1"/>
                <w:sz w:val="15"/>
                <w:szCs w:val="15"/>
                <w:lang w:val="es-ES_tradnl"/>
              </w:rPr>
            </w:pPr>
            <w:r w:rsidRPr="00255081">
              <w:rPr>
                <w:rFonts w:ascii="Montserrat" w:hAnsi="Montserrat"/>
                <w:b/>
                <w:spacing w:val="-1"/>
                <w:sz w:val="15"/>
                <w:szCs w:val="15"/>
                <w:lang w:val="es-ES_tradnl"/>
              </w:rPr>
              <w:t>6</w:t>
            </w:r>
            <w:r w:rsidR="00C5200E" w:rsidRPr="00255081">
              <w:rPr>
                <w:rFonts w:ascii="Montserrat" w:hAnsi="Montserrat"/>
                <w:b/>
                <w:spacing w:val="-1"/>
                <w:sz w:val="15"/>
                <w:szCs w:val="15"/>
                <w:lang w:val="es-ES_tradnl"/>
              </w:rPr>
              <w:t>,</w:t>
            </w:r>
            <w:r w:rsidRPr="00255081">
              <w:rPr>
                <w:rFonts w:ascii="Montserrat" w:hAnsi="Montserrat"/>
                <w:b/>
                <w:spacing w:val="-1"/>
                <w:sz w:val="15"/>
                <w:szCs w:val="15"/>
                <w:lang w:val="es-ES_tradnl"/>
              </w:rPr>
              <w:t>038</w:t>
            </w:r>
            <w:r w:rsidR="00C5200E" w:rsidRPr="00255081">
              <w:rPr>
                <w:rFonts w:ascii="Montserrat" w:hAnsi="Montserrat"/>
                <w:b/>
                <w:spacing w:val="-1"/>
                <w:sz w:val="15"/>
                <w:szCs w:val="15"/>
                <w:lang w:val="es-ES_tradnl"/>
              </w:rPr>
              <w:t>,</w:t>
            </w:r>
            <w:r w:rsidRPr="00255081">
              <w:rPr>
                <w:rFonts w:ascii="Montserrat" w:hAnsi="Montserrat"/>
                <w:b/>
                <w:spacing w:val="-1"/>
                <w:sz w:val="15"/>
                <w:szCs w:val="15"/>
                <w:lang w:val="es-ES_tradnl"/>
              </w:rPr>
              <w:t>850</w:t>
            </w:r>
            <w:r w:rsidR="00C5200E" w:rsidRPr="00255081">
              <w:rPr>
                <w:rFonts w:ascii="Montserrat" w:hAnsi="Montserrat"/>
                <w:b/>
                <w:spacing w:val="-1"/>
                <w:sz w:val="15"/>
                <w:szCs w:val="15"/>
                <w:lang w:val="es-ES_tradnl"/>
              </w:rPr>
              <w:t>,</w:t>
            </w:r>
            <w:r w:rsidRPr="00255081">
              <w:rPr>
                <w:rFonts w:ascii="Montserrat" w:hAnsi="Montserrat"/>
                <w:b/>
                <w:spacing w:val="-1"/>
                <w:sz w:val="15"/>
                <w:szCs w:val="15"/>
                <w:lang w:val="es-ES_tradnl"/>
              </w:rPr>
              <w:t>009</w:t>
            </w:r>
          </w:p>
        </w:tc>
        <w:tc>
          <w:tcPr>
            <w:tcW w:w="1984" w:type="dxa"/>
            <w:shd w:val="clear" w:color="auto" w:fill="F2F2F2" w:themeFill="background1" w:themeFillShade="F2"/>
            <w:tcMar>
              <w:top w:w="0" w:type="dxa"/>
              <w:left w:w="108" w:type="dxa"/>
              <w:bottom w:w="0" w:type="dxa"/>
              <w:right w:w="108" w:type="dxa"/>
            </w:tcMar>
          </w:tcPr>
          <w:p w14:paraId="00A52142" w14:textId="77777777" w:rsidR="00B30C16" w:rsidRPr="00255081" w:rsidRDefault="00B30C16" w:rsidP="00B30C16">
            <w:pPr>
              <w:spacing w:after="0" w:line="240" w:lineRule="exact"/>
              <w:ind w:right="113"/>
              <w:jc w:val="right"/>
              <w:rPr>
                <w:rFonts w:ascii="Montserrat" w:hAnsi="Montserrat"/>
                <w:b/>
                <w:spacing w:val="-1"/>
                <w:sz w:val="15"/>
                <w:szCs w:val="15"/>
                <w:lang w:val="es-ES_tradnl"/>
              </w:rPr>
            </w:pPr>
            <w:r w:rsidRPr="00255081">
              <w:rPr>
                <w:rFonts w:ascii="Montserrat" w:hAnsi="Montserrat"/>
                <w:b/>
                <w:spacing w:val="-1"/>
                <w:sz w:val="15"/>
                <w:szCs w:val="15"/>
                <w:lang w:val="es-ES_tradnl"/>
              </w:rPr>
              <w:t>32,764,470,161</w:t>
            </w:r>
          </w:p>
        </w:tc>
      </w:tr>
      <w:tr w:rsidR="00B30C16" w:rsidRPr="00F01A61" w14:paraId="02A4013C" w14:textId="77777777" w:rsidTr="00F01A61">
        <w:trPr>
          <w:gridAfter w:val="1"/>
          <w:wAfter w:w="11" w:type="dxa"/>
          <w:trHeight w:val="215"/>
          <w:jc w:val="center"/>
        </w:trPr>
        <w:tc>
          <w:tcPr>
            <w:tcW w:w="1134" w:type="dxa"/>
            <w:gridSpan w:val="2"/>
            <w:shd w:val="clear" w:color="auto" w:fill="F2F2F2" w:themeFill="background1" w:themeFillShade="F2"/>
          </w:tcPr>
          <w:p w14:paraId="56090B96" w14:textId="77777777" w:rsidR="00B30C16" w:rsidRPr="00255081" w:rsidRDefault="00B30C16" w:rsidP="00B30C16">
            <w:pPr>
              <w:spacing w:after="0" w:line="240" w:lineRule="exact"/>
              <w:jc w:val="center"/>
              <w:rPr>
                <w:rFonts w:ascii="Montserrat" w:hAnsi="Montserrat"/>
                <w:spacing w:val="-1"/>
                <w:sz w:val="15"/>
                <w:szCs w:val="15"/>
                <w:lang w:val="es-ES_tradnl"/>
              </w:rPr>
            </w:pPr>
            <w:r w:rsidRPr="00255081">
              <w:rPr>
                <w:rFonts w:ascii="Montserrat" w:hAnsi="Montserrat"/>
                <w:spacing w:val="-1"/>
                <w:sz w:val="15"/>
                <w:szCs w:val="15"/>
                <w:lang w:val="es-ES_tradnl"/>
              </w:rPr>
              <w:t>E.u.</w:t>
            </w:r>
          </w:p>
        </w:tc>
        <w:tc>
          <w:tcPr>
            <w:tcW w:w="1134" w:type="dxa"/>
            <w:shd w:val="clear" w:color="auto" w:fill="F2F2F2" w:themeFill="background1" w:themeFillShade="F2"/>
          </w:tcPr>
          <w:p w14:paraId="340E6C22" w14:textId="77777777" w:rsidR="00B30C16" w:rsidRPr="00255081" w:rsidRDefault="00B30C16" w:rsidP="00B30C16">
            <w:pPr>
              <w:spacing w:after="0" w:line="240" w:lineRule="exact"/>
              <w:jc w:val="center"/>
              <w:rPr>
                <w:rFonts w:ascii="Montserrat" w:hAnsi="Montserrat"/>
                <w:spacing w:val="-1"/>
                <w:sz w:val="15"/>
                <w:szCs w:val="15"/>
                <w:lang w:val="es-ES_tradnl"/>
              </w:rPr>
            </w:pPr>
            <w:r w:rsidRPr="00255081">
              <w:rPr>
                <w:rFonts w:ascii="Montserrat" w:hAnsi="Montserrat"/>
                <w:spacing w:val="-1"/>
                <w:sz w:val="15"/>
                <w:szCs w:val="15"/>
                <w:lang w:val="es-ES_tradnl"/>
              </w:rPr>
              <w:t>Dlr.</w:t>
            </w:r>
          </w:p>
        </w:tc>
        <w:tc>
          <w:tcPr>
            <w:tcW w:w="5102" w:type="dxa"/>
            <w:shd w:val="clear" w:color="auto" w:fill="F2F2F2" w:themeFill="background1" w:themeFillShade="F2"/>
            <w:tcMar>
              <w:top w:w="0" w:type="dxa"/>
              <w:left w:w="108" w:type="dxa"/>
              <w:bottom w:w="0" w:type="dxa"/>
              <w:right w:w="108" w:type="dxa"/>
            </w:tcMar>
          </w:tcPr>
          <w:p w14:paraId="28572ABF" w14:textId="77777777" w:rsidR="00B30C16" w:rsidRPr="00255081" w:rsidRDefault="00B30C16" w:rsidP="00B30C16">
            <w:pPr>
              <w:spacing w:after="0" w:line="240" w:lineRule="exact"/>
              <w:rPr>
                <w:rFonts w:ascii="Montserrat" w:hAnsi="Montserrat"/>
                <w:spacing w:val="-1"/>
                <w:sz w:val="15"/>
                <w:szCs w:val="15"/>
                <w:lang w:val="es-ES_tradnl"/>
              </w:rPr>
            </w:pPr>
          </w:p>
        </w:tc>
        <w:tc>
          <w:tcPr>
            <w:tcW w:w="1984" w:type="dxa"/>
            <w:shd w:val="clear" w:color="auto" w:fill="F2F2F2" w:themeFill="background1" w:themeFillShade="F2"/>
          </w:tcPr>
          <w:p w14:paraId="330FA56C" w14:textId="40E134FC" w:rsidR="00B30C16" w:rsidRPr="00255081" w:rsidRDefault="00C5200E" w:rsidP="00B30C16">
            <w:pPr>
              <w:spacing w:after="0" w:line="240" w:lineRule="exact"/>
              <w:ind w:right="113"/>
              <w:jc w:val="right"/>
              <w:rPr>
                <w:rFonts w:ascii="Montserrat" w:hAnsi="Montserrat"/>
                <w:spacing w:val="-1"/>
                <w:sz w:val="15"/>
                <w:szCs w:val="15"/>
                <w:lang w:val="es-ES_tradnl"/>
              </w:rPr>
            </w:pPr>
            <w:r w:rsidRPr="000F0321">
              <w:rPr>
                <w:rFonts w:ascii="Montserrat" w:hAnsi="Montserrat"/>
                <w:spacing w:val="-1"/>
                <w:sz w:val="15"/>
                <w:szCs w:val="15"/>
                <w:lang w:val="es-ES_tradnl"/>
              </w:rPr>
              <w:t>6,038,850,009</w:t>
            </w:r>
          </w:p>
        </w:tc>
        <w:tc>
          <w:tcPr>
            <w:tcW w:w="1984" w:type="dxa"/>
            <w:shd w:val="clear" w:color="auto" w:fill="F2F2F2" w:themeFill="background1" w:themeFillShade="F2"/>
            <w:tcMar>
              <w:top w:w="0" w:type="dxa"/>
              <w:left w:w="108" w:type="dxa"/>
              <w:bottom w:w="0" w:type="dxa"/>
              <w:right w:w="108" w:type="dxa"/>
            </w:tcMar>
          </w:tcPr>
          <w:p w14:paraId="7A49F75F" w14:textId="0C6D5CBE" w:rsidR="00B30C16" w:rsidRPr="00255081" w:rsidRDefault="00B30C16" w:rsidP="00B30C16">
            <w:pPr>
              <w:spacing w:after="0" w:line="240" w:lineRule="exact"/>
              <w:ind w:right="113"/>
              <w:jc w:val="right"/>
              <w:rPr>
                <w:rFonts w:ascii="Montserrat" w:hAnsi="Montserrat"/>
                <w:spacing w:val="-1"/>
                <w:sz w:val="15"/>
                <w:szCs w:val="15"/>
                <w:lang w:val="es-ES_tradnl"/>
              </w:rPr>
            </w:pPr>
            <w:r w:rsidRPr="00255081">
              <w:rPr>
                <w:rFonts w:ascii="Montserrat" w:hAnsi="Montserrat"/>
                <w:spacing w:val="-1"/>
                <w:sz w:val="15"/>
                <w:szCs w:val="15"/>
                <w:lang w:val="es-ES_tradnl"/>
              </w:rPr>
              <w:t>3</w:t>
            </w:r>
            <w:r w:rsidR="003C6AB1" w:rsidRPr="00255081">
              <w:rPr>
                <w:rFonts w:ascii="Montserrat" w:hAnsi="Montserrat"/>
                <w:spacing w:val="-1"/>
                <w:sz w:val="15"/>
                <w:szCs w:val="15"/>
                <w:lang w:val="es-ES_tradnl"/>
              </w:rPr>
              <w:t>2</w:t>
            </w:r>
            <w:r w:rsidRPr="00255081">
              <w:rPr>
                <w:rFonts w:ascii="Montserrat" w:hAnsi="Montserrat"/>
                <w:spacing w:val="-1"/>
                <w:sz w:val="15"/>
                <w:szCs w:val="15"/>
                <w:lang w:val="es-ES_tradnl"/>
              </w:rPr>
              <w:t>,764,470,161</w:t>
            </w:r>
          </w:p>
        </w:tc>
      </w:tr>
      <w:tr w:rsidR="00B30C16" w:rsidRPr="00F01A61" w14:paraId="41C9F0CC" w14:textId="77777777" w:rsidTr="00F01A61">
        <w:trPr>
          <w:gridAfter w:val="1"/>
          <w:wAfter w:w="11" w:type="dxa"/>
          <w:trHeight w:val="215"/>
          <w:jc w:val="center"/>
        </w:trPr>
        <w:tc>
          <w:tcPr>
            <w:tcW w:w="1134" w:type="dxa"/>
            <w:gridSpan w:val="2"/>
            <w:shd w:val="clear" w:color="auto" w:fill="F2F2F2" w:themeFill="background1" w:themeFillShade="F2"/>
          </w:tcPr>
          <w:p w14:paraId="68D008E0" w14:textId="77777777" w:rsidR="00B30C16" w:rsidRPr="00255081" w:rsidRDefault="00B30C16" w:rsidP="00B30C16">
            <w:pPr>
              <w:spacing w:after="0" w:line="240" w:lineRule="exact"/>
              <w:rPr>
                <w:rFonts w:ascii="Montserrat" w:hAnsi="Montserrat"/>
                <w:b/>
                <w:spacing w:val="-1"/>
                <w:sz w:val="15"/>
                <w:szCs w:val="15"/>
                <w:lang w:val="es-ES_tradnl"/>
              </w:rPr>
            </w:pPr>
          </w:p>
        </w:tc>
        <w:tc>
          <w:tcPr>
            <w:tcW w:w="1134" w:type="dxa"/>
            <w:shd w:val="clear" w:color="auto" w:fill="F2F2F2" w:themeFill="background1" w:themeFillShade="F2"/>
          </w:tcPr>
          <w:p w14:paraId="0FF16E6B" w14:textId="77777777" w:rsidR="00B30C16" w:rsidRPr="00255081" w:rsidRDefault="00B30C16" w:rsidP="00B30C16">
            <w:pPr>
              <w:spacing w:after="0" w:line="240" w:lineRule="exact"/>
              <w:rPr>
                <w:rFonts w:ascii="Montserrat" w:hAnsi="Montserrat"/>
                <w:b/>
                <w:spacing w:val="-1"/>
                <w:sz w:val="15"/>
                <w:szCs w:val="15"/>
                <w:lang w:val="es-ES_tradnl"/>
              </w:rPr>
            </w:pPr>
          </w:p>
        </w:tc>
        <w:tc>
          <w:tcPr>
            <w:tcW w:w="5102" w:type="dxa"/>
            <w:shd w:val="clear" w:color="auto" w:fill="F2F2F2" w:themeFill="background1" w:themeFillShade="F2"/>
            <w:tcMar>
              <w:top w:w="0" w:type="dxa"/>
              <w:left w:w="108" w:type="dxa"/>
              <w:bottom w:w="0" w:type="dxa"/>
              <w:right w:w="108" w:type="dxa"/>
            </w:tcMar>
          </w:tcPr>
          <w:p w14:paraId="3C25BEB6" w14:textId="77777777" w:rsidR="00B30C16" w:rsidRPr="00255081" w:rsidRDefault="00B30C16" w:rsidP="00B30C16">
            <w:pPr>
              <w:spacing w:after="0" w:line="240" w:lineRule="exact"/>
              <w:jc w:val="both"/>
              <w:rPr>
                <w:rFonts w:ascii="Montserrat" w:hAnsi="Montserrat"/>
                <w:b/>
                <w:spacing w:val="-1"/>
                <w:sz w:val="15"/>
                <w:szCs w:val="15"/>
                <w:lang w:val="es-ES_tradnl"/>
              </w:rPr>
            </w:pPr>
            <w:r w:rsidRPr="00255081">
              <w:rPr>
                <w:rFonts w:ascii="Montserrat" w:hAnsi="Montserrat"/>
                <w:b/>
                <w:spacing w:val="-1"/>
                <w:sz w:val="15"/>
                <w:szCs w:val="15"/>
                <w:lang w:val="es-ES_tradnl"/>
              </w:rPr>
              <w:t>Contratos y Documentos:</w:t>
            </w:r>
          </w:p>
        </w:tc>
        <w:tc>
          <w:tcPr>
            <w:tcW w:w="1984" w:type="dxa"/>
            <w:shd w:val="clear" w:color="auto" w:fill="F2F2F2" w:themeFill="background1" w:themeFillShade="F2"/>
          </w:tcPr>
          <w:p w14:paraId="0F121CAB" w14:textId="46999562" w:rsidR="00B30C16" w:rsidRPr="00255081" w:rsidRDefault="006272D7" w:rsidP="00B30C16">
            <w:pPr>
              <w:spacing w:after="0" w:line="240" w:lineRule="exact"/>
              <w:ind w:right="113"/>
              <w:jc w:val="right"/>
              <w:rPr>
                <w:rFonts w:ascii="Montserrat" w:hAnsi="Montserrat"/>
                <w:b/>
                <w:spacing w:val="-1"/>
                <w:sz w:val="15"/>
                <w:szCs w:val="15"/>
                <w:lang w:val="es-ES_tradnl"/>
              </w:rPr>
            </w:pPr>
            <w:r w:rsidRPr="00255081">
              <w:rPr>
                <w:rFonts w:ascii="Montserrat" w:hAnsi="Montserrat"/>
                <w:b/>
                <w:spacing w:val="-1"/>
                <w:sz w:val="15"/>
                <w:szCs w:val="15"/>
                <w:lang w:val="es-ES_tradnl"/>
              </w:rPr>
              <w:t>547</w:t>
            </w:r>
            <w:r w:rsidR="00C5200E" w:rsidRPr="00255081">
              <w:rPr>
                <w:rFonts w:ascii="Montserrat" w:hAnsi="Montserrat"/>
                <w:b/>
                <w:spacing w:val="-1"/>
                <w:sz w:val="15"/>
                <w:szCs w:val="15"/>
                <w:lang w:val="es-ES_tradnl"/>
              </w:rPr>
              <w:t>,</w:t>
            </w:r>
            <w:r w:rsidRPr="00255081">
              <w:rPr>
                <w:rFonts w:ascii="Montserrat" w:hAnsi="Montserrat"/>
                <w:b/>
                <w:spacing w:val="-1"/>
                <w:sz w:val="15"/>
                <w:szCs w:val="15"/>
                <w:lang w:val="es-ES_tradnl"/>
              </w:rPr>
              <w:t>104</w:t>
            </w:r>
            <w:r w:rsidR="00C5200E" w:rsidRPr="00255081">
              <w:rPr>
                <w:rFonts w:ascii="Montserrat" w:hAnsi="Montserrat"/>
                <w:b/>
                <w:spacing w:val="-1"/>
                <w:sz w:val="15"/>
                <w:szCs w:val="15"/>
                <w:lang w:val="es-ES_tradnl"/>
              </w:rPr>
              <w:t>,</w:t>
            </w:r>
            <w:r w:rsidRPr="00255081">
              <w:rPr>
                <w:rFonts w:ascii="Montserrat" w:hAnsi="Montserrat"/>
                <w:b/>
                <w:spacing w:val="-1"/>
                <w:sz w:val="15"/>
                <w:szCs w:val="15"/>
                <w:lang w:val="es-ES_tradnl"/>
              </w:rPr>
              <w:t>220</w:t>
            </w:r>
            <w:r w:rsidR="00C5200E" w:rsidRPr="00255081">
              <w:rPr>
                <w:rFonts w:ascii="Montserrat" w:hAnsi="Montserrat"/>
                <w:b/>
                <w:spacing w:val="-1"/>
                <w:sz w:val="15"/>
                <w:szCs w:val="15"/>
                <w:lang w:val="es-ES_tradnl"/>
              </w:rPr>
              <w:t>,</w:t>
            </w:r>
            <w:r w:rsidRPr="00255081">
              <w:rPr>
                <w:rFonts w:ascii="Montserrat" w:hAnsi="Montserrat"/>
                <w:b/>
                <w:spacing w:val="-1"/>
                <w:sz w:val="15"/>
                <w:szCs w:val="15"/>
                <w:lang w:val="es-ES_tradnl"/>
              </w:rPr>
              <w:t>281</w:t>
            </w:r>
          </w:p>
        </w:tc>
        <w:tc>
          <w:tcPr>
            <w:tcW w:w="1984" w:type="dxa"/>
            <w:shd w:val="clear" w:color="auto" w:fill="F2F2F2" w:themeFill="background1" w:themeFillShade="F2"/>
            <w:tcMar>
              <w:top w:w="0" w:type="dxa"/>
              <w:left w:w="108" w:type="dxa"/>
              <w:bottom w:w="0" w:type="dxa"/>
              <w:right w:w="108" w:type="dxa"/>
            </w:tcMar>
          </w:tcPr>
          <w:p w14:paraId="44E289B6" w14:textId="77777777" w:rsidR="00B30C16" w:rsidRPr="00255081" w:rsidRDefault="00B30C16" w:rsidP="00B30C16">
            <w:pPr>
              <w:spacing w:after="0" w:line="240" w:lineRule="exact"/>
              <w:ind w:right="113"/>
              <w:jc w:val="right"/>
              <w:rPr>
                <w:rFonts w:ascii="Montserrat" w:hAnsi="Montserrat"/>
                <w:b/>
                <w:spacing w:val="-1"/>
                <w:sz w:val="15"/>
                <w:szCs w:val="15"/>
                <w:lang w:val="es-ES_tradnl"/>
              </w:rPr>
            </w:pPr>
            <w:r w:rsidRPr="00255081">
              <w:rPr>
                <w:rFonts w:ascii="Montserrat" w:hAnsi="Montserrat"/>
                <w:b/>
                <w:spacing w:val="-1"/>
                <w:sz w:val="15"/>
                <w:szCs w:val="15"/>
                <w:lang w:val="es-ES_tradnl"/>
              </w:rPr>
              <w:t>551,666,936,635</w:t>
            </w:r>
          </w:p>
        </w:tc>
      </w:tr>
      <w:tr w:rsidR="00B30C16" w:rsidRPr="00F01A61" w14:paraId="4BF55CC7" w14:textId="77777777" w:rsidTr="00F01A61">
        <w:trPr>
          <w:gridAfter w:val="1"/>
          <w:wAfter w:w="11" w:type="dxa"/>
          <w:trHeight w:val="215"/>
          <w:jc w:val="center"/>
        </w:trPr>
        <w:tc>
          <w:tcPr>
            <w:tcW w:w="1134" w:type="dxa"/>
            <w:gridSpan w:val="2"/>
            <w:shd w:val="clear" w:color="auto" w:fill="F2F2F2" w:themeFill="background1" w:themeFillShade="F2"/>
          </w:tcPr>
          <w:p w14:paraId="7B27883D" w14:textId="77777777" w:rsidR="00B30C16" w:rsidRPr="00255081" w:rsidRDefault="00B30C16" w:rsidP="00B30C16">
            <w:pPr>
              <w:spacing w:after="0" w:line="240" w:lineRule="exact"/>
              <w:rPr>
                <w:rFonts w:ascii="Montserrat" w:hAnsi="Montserrat"/>
                <w:b/>
                <w:spacing w:val="-1"/>
                <w:sz w:val="15"/>
                <w:szCs w:val="15"/>
                <w:lang w:val="es-ES_tradnl"/>
              </w:rPr>
            </w:pPr>
          </w:p>
        </w:tc>
        <w:tc>
          <w:tcPr>
            <w:tcW w:w="1134" w:type="dxa"/>
            <w:shd w:val="clear" w:color="auto" w:fill="F2F2F2" w:themeFill="background1" w:themeFillShade="F2"/>
          </w:tcPr>
          <w:p w14:paraId="36A28CF6" w14:textId="77777777" w:rsidR="00B30C16" w:rsidRPr="00255081" w:rsidRDefault="00B30C16" w:rsidP="00B30C16">
            <w:pPr>
              <w:spacing w:after="0" w:line="240" w:lineRule="exact"/>
              <w:rPr>
                <w:rFonts w:ascii="Montserrat" w:hAnsi="Montserrat"/>
                <w:b/>
                <w:spacing w:val="-1"/>
                <w:sz w:val="15"/>
                <w:szCs w:val="15"/>
                <w:lang w:val="es-ES_tradnl"/>
              </w:rPr>
            </w:pPr>
          </w:p>
        </w:tc>
        <w:tc>
          <w:tcPr>
            <w:tcW w:w="5102" w:type="dxa"/>
            <w:shd w:val="clear" w:color="auto" w:fill="F2F2F2" w:themeFill="background1" w:themeFillShade="F2"/>
            <w:tcMar>
              <w:top w:w="0" w:type="dxa"/>
              <w:left w:w="108" w:type="dxa"/>
              <w:bottom w:w="0" w:type="dxa"/>
              <w:right w:w="108" w:type="dxa"/>
            </w:tcMar>
          </w:tcPr>
          <w:p w14:paraId="15069C80" w14:textId="1EEEFF57" w:rsidR="00B30C16" w:rsidRPr="00255081" w:rsidRDefault="00EE5081" w:rsidP="00B30C16">
            <w:pPr>
              <w:spacing w:after="0" w:line="240" w:lineRule="exact"/>
              <w:ind w:firstLine="675"/>
              <w:jc w:val="both"/>
              <w:rPr>
                <w:rFonts w:ascii="Montserrat" w:hAnsi="Montserrat"/>
                <w:b/>
                <w:spacing w:val="-1"/>
                <w:sz w:val="15"/>
                <w:szCs w:val="15"/>
                <w:lang w:val="es-ES_tradnl"/>
              </w:rPr>
            </w:pPr>
            <w:r>
              <w:rPr>
                <w:rFonts w:ascii="Montserrat" w:hAnsi="Montserrat"/>
                <w:b/>
                <w:spacing w:val="-1"/>
                <w:sz w:val="15"/>
                <w:szCs w:val="15"/>
                <w:lang w:val="es-ES_tradnl"/>
              </w:rPr>
              <w:t>OFI´s</w:t>
            </w:r>
          </w:p>
        </w:tc>
        <w:tc>
          <w:tcPr>
            <w:tcW w:w="1984" w:type="dxa"/>
            <w:shd w:val="clear" w:color="auto" w:fill="F2F2F2" w:themeFill="background1" w:themeFillShade="F2"/>
          </w:tcPr>
          <w:p w14:paraId="39AE99E4" w14:textId="0CD6A75A" w:rsidR="00B30C16" w:rsidRPr="00255081" w:rsidRDefault="003348BD" w:rsidP="00B30C16">
            <w:pPr>
              <w:spacing w:after="0" w:line="240" w:lineRule="exact"/>
              <w:ind w:right="113"/>
              <w:jc w:val="right"/>
              <w:rPr>
                <w:rFonts w:ascii="Montserrat" w:hAnsi="Montserrat"/>
                <w:b/>
                <w:spacing w:val="-1"/>
                <w:sz w:val="15"/>
                <w:szCs w:val="15"/>
                <w:lang w:val="es-ES_tradnl"/>
              </w:rPr>
            </w:pPr>
            <w:r w:rsidRPr="00255081">
              <w:rPr>
                <w:rFonts w:ascii="Montserrat" w:hAnsi="Montserrat"/>
                <w:b/>
                <w:spacing w:val="-1"/>
                <w:sz w:val="15"/>
                <w:szCs w:val="15"/>
                <w:lang w:val="es-ES_tradnl"/>
              </w:rPr>
              <w:t>514</w:t>
            </w:r>
            <w:r w:rsidR="00C5200E" w:rsidRPr="00255081">
              <w:rPr>
                <w:rFonts w:ascii="Montserrat" w:hAnsi="Montserrat"/>
                <w:b/>
                <w:spacing w:val="-1"/>
                <w:sz w:val="15"/>
                <w:szCs w:val="15"/>
                <w:lang w:val="es-ES_tradnl"/>
              </w:rPr>
              <w:t>,</w:t>
            </w:r>
            <w:r w:rsidRPr="00255081">
              <w:rPr>
                <w:rFonts w:ascii="Montserrat" w:hAnsi="Montserrat"/>
                <w:b/>
                <w:spacing w:val="-1"/>
                <w:sz w:val="15"/>
                <w:szCs w:val="15"/>
                <w:lang w:val="es-ES_tradnl"/>
              </w:rPr>
              <w:t>667</w:t>
            </w:r>
            <w:r w:rsidR="00C5200E" w:rsidRPr="00255081">
              <w:rPr>
                <w:rFonts w:ascii="Montserrat" w:hAnsi="Montserrat"/>
                <w:b/>
                <w:spacing w:val="-1"/>
                <w:sz w:val="15"/>
                <w:szCs w:val="15"/>
                <w:lang w:val="es-ES_tradnl"/>
              </w:rPr>
              <w:t>,</w:t>
            </w:r>
            <w:r w:rsidRPr="00255081">
              <w:rPr>
                <w:rFonts w:ascii="Montserrat" w:hAnsi="Montserrat"/>
                <w:b/>
                <w:spacing w:val="-1"/>
                <w:sz w:val="15"/>
                <w:szCs w:val="15"/>
                <w:lang w:val="es-ES_tradnl"/>
              </w:rPr>
              <w:t>920</w:t>
            </w:r>
            <w:r w:rsidR="00C5200E" w:rsidRPr="00255081">
              <w:rPr>
                <w:rFonts w:ascii="Montserrat" w:hAnsi="Montserrat"/>
                <w:b/>
                <w:spacing w:val="-1"/>
                <w:sz w:val="15"/>
                <w:szCs w:val="15"/>
                <w:lang w:val="es-ES_tradnl"/>
              </w:rPr>
              <w:t>,</w:t>
            </w:r>
            <w:r w:rsidRPr="00255081">
              <w:rPr>
                <w:rFonts w:ascii="Montserrat" w:hAnsi="Montserrat"/>
                <w:b/>
                <w:spacing w:val="-1"/>
                <w:sz w:val="15"/>
                <w:szCs w:val="15"/>
                <w:lang w:val="es-ES_tradnl"/>
              </w:rPr>
              <w:t>920</w:t>
            </w:r>
          </w:p>
        </w:tc>
        <w:tc>
          <w:tcPr>
            <w:tcW w:w="1984" w:type="dxa"/>
            <w:shd w:val="clear" w:color="auto" w:fill="F2F2F2" w:themeFill="background1" w:themeFillShade="F2"/>
            <w:tcMar>
              <w:top w:w="0" w:type="dxa"/>
              <w:left w:w="108" w:type="dxa"/>
              <w:bottom w:w="0" w:type="dxa"/>
              <w:right w:w="108" w:type="dxa"/>
            </w:tcMar>
          </w:tcPr>
          <w:p w14:paraId="7A528CED" w14:textId="77777777" w:rsidR="00B30C16" w:rsidRPr="00255081" w:rsidRDefault="00B30C16" w:rsidP="00B30C16">
            <w:pPr>
              <w:spacing w:after="0" w:line="240" w:lineRule="exact"/>
              <w:ind w:right="113"/>
              <w:jc w:val="right"/>
              <w:rPr>
                <w:rFonts w:ascii="Montserrat" w:hAnsi="Montserrat"/>
                <w:b/>
                <w:spacing w:val="-1"/>
                <w:sz w:val="15"/>
                <w:szCs w:val="15"/>
                <w:lang w:val="es-ES_tradnl"/>
              </w:rPr>
            </w:pPr>
            <w:r w:rsidRPr="00255081">
              <w:rPr>
                <w:rFonts w:ascii="Montserrat" w:hAnsi="Montserrat"/>
                <w:b/>
                <w:spacing w:val="-1"/>
                <w:sz w:val="15"/>
                <w:szCs w:val="15"/>
                <w:lang w:val="es-ES_tradnl"/>
              </w:rPr>
              <w:t>513,520,691,068</w:t>
            </w:r>
          </w:p>
        </w:tc>
      </w:tr>
      <w:tr w:rsidR="00B30C16" w:rsidRPr="00F01A61" w14:paraId="4039B882" w14:textId="77777777" w:rsidTr="00F01A61">
        <w:trPr>
          <w:gridAfter w:val="1"/>
          <w:wAfter w:w="11" w:type="dxa"/>
          <w:trHeight w:val="215"/>
          <w:jc w:val="center"/>
        </w:trPr>
        <w:tc>
          <w:tcPr>
            <w:tcW w:w="1134" w:type="dxa"/>
            <w:gridSpan w:val="2"/>
            <w:shd w:val="clear" w:color="auto" w:fill="F2F2F2" w:themeFill="background1" w:themeFillShade="F2"/>
          </w:tcPr>
          <w:p w14:paraId="1EF521BA" w14:textId="77777777" w:rsidR="00B30C16" w:rsidRPr="00255081" w:rsidRDefault="00B30C16" w:rsidP="00B30C16">
            <w:pPr>
              <w:spacing w:after="0" w:line="240" w:lineRule="exact"/>
              <w:rPr>
                <w:rFonts w:ascii="Montserrat" w:hAnsi="Montserrat"/>
                <w:b/>
                <w:spacing w:val="-1"/>
                <w:sz w:val="15"/>
                <w:szCs w:val="15"/>
                <w:lang w:val="es-ES_tradnl"/>
              </w:rPr>
            </w:pPr>
          </w:p>
        </w:tc>
        <w:tc>
          <w:tcPr>
            <w:tcW w:w="1134" w:type="dxa"/>
            <w:shd w:val="clear" w:color="auto" w:fill="F2F2F2" w:themeFill="background1" w:themeFillShade="F2"/>
          </w:tcPr>
          <w:p w14:paraId="3D1B9178" w14:textId="77777777" w:rsidR="00B30C16" w:rsidRPr="00255081" w:rsidRDefault="00B30C16" w:rsidP="00B30C16">
            <w:pPr>
              <w:spacing w:after="0" w:line="240" w:lineRule="exact"/>
              <w:rPr>
                <w:rFonts w:ascii="Montserrat" w:hAnsi="Montserrat"/>
                <w:b/>
                <w:spacing w:val="-1"/>
                <w:sz w:val="15"/>
                <w:szCs w:val="15"/>
                <w:lang w:val="es-ES_tradnl"/>
              </w:rPr>
            </w:pPr>
          </w:p>
        </w:tc>
        <w:tc>
          <w:tcPr>
            <w:tcW w:w="5102" w:type="dxa"/>
            <w:shd w:val="clear" w:color="auto" w:fill="F2F2F2" w:themeFill="background1" w:themeFillShade="F2"/>
            <w:tcMar>
              <w:top w:w="0" w:type="dxa"/>
              <w:left w:w="108" w:type="dxa"/>
              <w:bottom w:w="0" w:type="dxa"/>
              <w:right w:w="108" w:type="dxa"/>
            </w:tcMar>
          </w:tcPr>
          <w:p w14:paraId="65A88B92" w14:textId="77777777" w:rsidR="00B30C16" w:rsidRPr="00255081" w:rsidRDefault="00B30C16" w:rsidP="00B30C16">
            <w:pPr>
              <w:spacing w:after="0" w:line="240" w:lineRule="exact"/>
              <w:ind w:firstLine="675"/>
              <w:jc w:val="center"/>
              <w:rPr>
                <w:rFonts w:ascii="Montserrat" w:hAnsi="Montserrat"/>
                <w:b/>
                <w:spacing w:val="-1"/>
                <w:sz w:val="15"/>
                <w:szCs w:val="15"/>
                <w:lang w:val="es-ES_tradnl"/>
              </w:rPr>
            </w:pPr>
            <w:r w:rsidRPr="00255081">
              <w:rPr>
                <w:rFonts w:ascii="Montserrat" w:hAnsi="Montserrat"/>
                <w:b/>
                <w:spacing w:val="-1"/>
                <w:sz w:val="15"/>
                <w:szCs w:val="15"/>
                <w:lang w:val="es-ES_tradnl"/>
              </w:rPr>
              <w:t>Nafin</w:t>
            </w:r>
          </w:p>
        </w:tc>
        <w:tc>
          <w:tcPr>
            <w:tcW w:w="1984" w:type="dxa"/>
            <w:shd w:val="clear" w:color="auto" w:fill="F2F2F2" w:themeFill="background1" w:themeFillShade="F2"/>
          </w:tcPr>
          <w:p w14:paraId="0DFF5E39" w14:textId="74D34720" w:rsidR="00B30C16" w:rsidRPr="00255081" w:rsidRDefault="006272D7" w:rsidP="00B30C16">
            <w:pPr>
              <w:spacing w:after="0" w:line="240" w:lineRule="exact"/>
              <w:ind w:right="113"/>
              <w:jc w:val="right"/>
              <w:rPr>
                <w:rFonts w:ascii="Montserrat" w:hAnsi="Montserrat"/>
                <w:b/>
                <w:spacing w:val="-1"/>
                <w:sz w:val="15"/>
                <w:szCs w:val="15"/>
                <w:lang w:val="es-ES_tradnl"/>
              </w:rPr>
            </w:pPr>
            <w:r w:rsidRPr="00255081">
              <w:rPr>
                <w:rFonts w:ascii="Montserrat" w:hAnsi="Montserrat"/>
                <w:b/>
                <w:spacing w:val="-1"/>
                <w:sz w:val="15"/>
                <w:szCs w:val="15"/>
                <w:lang w:val="es-ES_tradnl"/>
              </w:rPr>
              <w:t>362</w:t>
            </w:r>
            <w:r w:rsidR="00C5200E" w:rsidRPr="00255081">
              <w:rPr>
                <w:rFonts w:ascii="Montserrat" w:hAnsi="Montserrat"/>
                <w:b/>
                <w:spacing w:val="-1"/>
                <w:sz w:val="15"/>
                <w:szCs w:val="15"/>
                <w:lang w:val="es-ES_tradnl"/>
              </w:rPr>
              <w:t>,</w:t>
            </w:r>
            <w:r w:rsidRPr="00255081">
              <w:rPr>
                <w:rFonts w:ascii="Montserrat" w:hAnsi="Montserrat"/>
                <w:b/>
                <w:spacing w:val="-1"/>
                <w:sz w:val="15"/>
                <w:szCs w:val="15"/>
                <w:lang w:val="es-ES_tradnl"/>
              </w:rPr>
              <w:t>928</w:t>
            </w:r>
            <w:r w:rsidR="00C5200E" w:rsidRPr="00255081">
              <w:rPr>
                <w:rFonts w:ascii="Montserrat" w:hAnsi="Montserrat"/>
                <w:b/>
                <w:spacing w:val="-1"/>
                <w:sz w:val="15"/>
                <w:szCs w:val="15"/>
                <w:lang w:val="es-ES_tradnl"/>
              </w:rPr>
              <w:t>,</w:t>
            </w:r>
            <w:r w:rsidRPr="00255081">
              <w:rPr>
                <w:rFonts w:ascii="Montserrat" w:hAnsi="Montserrat"/>
                <w:b/>
                <w:spacing w:val="-1"/>
                <w:sz w:val="15"/>
                <w:szCs w:val="15"/>
                <w:lang w:val="es-ES_tradnl"/>
              </w:rPr>
              <w:t>368</w:t>
            </w:r>
            <w:r w:rsidR="00C5200E" w:rsidRPr="00255081">
              <w:rPr>
                <w:rFonts w:ascii="Montserrat" w:hAnsi="Montserrat"/>
                <w:b/>
                <w:spacing w:val="-1"/>
                <w:sz w:val="15"/>
                <w:szCs w:val="15"/>
                <w:lang w:val="es-ES_tradnl"/>
              </w:rPr>
              <w:t>,</w:t>
            </w:r>
            <w:r w:rsidRPr="00255081">
              <w:rPr>
                <w:rFonts w:ascii="Montserrat" w:hAnsi="Montserrat"/>
                <w:b/>
                <w:spacing w:val="-1"/>
                <w:sz w:val="15"/>
                <w:szCs w:val="15"/>
                <w:lang w:val="es-ES_tradnl"/>
              </w:rPr>
              <w:t>250</w:t>
            </w:r>
          </w:p>
        </w:tc>
        <w:tc>
          <w:tcPr>
            <w:tcW w:w="1984" w:type="dxa"/>
            <w:shd w:val="clear" w:color="auto" w:fill="F2F2F2" w:themeFill="background1" w:themeFillShade="F2"/>
            <w:tcMar>
              <w:top w:w="0" w:type="dxa"/>
              <w:left w:w="108" w:type="dxa"/>
              <w:bottom w:w="0" w:type="dxa"/>
              <w:right w:w="108" w:type="dxa"/>
            </w:tcMar>
          </w:tcPr>
          <w:p w14:paraId="18CE5FB1" w14:textId="77777777" w:rsidR="00B30C16" w:rsidRPr="00255081" w:rsidRDefault="00B30C16" w:rsidP="00B30C16">
            <w:pPr>
              <w:spacing w:after="0" w:line="240" w:lineRule="exact"/>
              <w:ind w:right="113"/>
              <w:jc w:val="right"/>
              <w:rPr>
                <w:rFonts w:ascii="Montserrat" w:hAnsi="Montserrat"/>
                <w:b/>
                <w:spacing w:val="-1"/>
                <w:sz w:val="15"/>
                <w:szCs w:val="15"/>
                <w:lang w:val="es-ES_tradnl"/>
              </w:rPr>
            </w:pPr>
            <w:r w:rsidRPr="00255081">
              <w:rPr>
                <w:rFonts w:ascii="Montserrat" w:hAnsi="Montserrat"/>
                <w:b/>
                <w:spacing w:val="-1"/>
                <w:sz w:val="15"/>
                <w:szCs w:val="15"/>
                <w:lang w:val="es-ES_tradnl"/>
              </w:rPr>
              <w:t>374,689,021,164</w:t>
            </w:r>
          </w:p>
        </w:tc>
      </w:tr>
      <w:tr w:rsidR="00B30C16" w:rsidRPr="00F01A61" w14:paraId="39D36D28" w14:textId="77777777" w:rsidTr="00F01A61">
        <w:trPr>
          <w:gridAfter w:val="1"/>
          <w:wAfter w:w="11" w:type="dxa"/>
          <w:trHeight w:val="215"/>
          <w:jc w:val="center"/>
        </w:trPr>
        <w:tc>
          <w:tcPr>
            <w:tcW w:w="1134" w:type="dxa"/>
            <w:gridSpan w:val="2"/>
            <w:shd w:val="clear" w:color="auto" w:fill="F2F2F2" w:themeFill="background1" w:themeFillShade="F2"/>
          </w:tcPr>
          <w:p w14:paraId="01681757" w14:textId="77777777" w:rsidR="00B30C16" w:rsidRPr="00255081" w:rsidRDefault="00B30C16" w:rsidP="00B30C16">
            <w:pPr>
              <w:spacing w:after="0" w:line="240" w:lineRule="exact"/>
              <w:rPr>
                <w:rFonts w:ascii="Montserrat" w:hAnsi="Montserrat"/>
                <w:spacing w:val="-1"/>
                <w:sz w:val="15"/>
                <w:szCs w:val="15"/>
                <w:lang w:val="es-ES_tradnl"/>
              </w:rPr>
            </w:pPr>
          </w:p>
        </w:tc>
        <w:tc>
          <w:tcPr>
            <w:tcW w:w="1134" w:type="dxa"/>
            <w:shd w:val="clear" w:color="auto" w:fill="F2F2F2" w:themeFill="background1" w:themeFillShade="F2"/>
          </w:tcPr>
          <w:p w14:paraId="11541C5B" w14:textId="77777777" w:rsidR="00B30C16" w:rsidRPr="00255081" w:rsidRDefault="00B30C16" w:rsidP="00B30C16">
            <w:pPr>
              <w:spacing w:after="0" w:line="240" w:lineRule="exact"/>
              <w:rPr>
                <w:rFonts w:ascii="Montserrat" w:hAnsi="Montserrat"/>
                <w:spacing w:val="-1"/>
                <w:sz w:val="15"/>
                <w:szCs w:val="15"/>
                <w:lang w:val="es-ES_tradnl"/>
              </w:rPr>
            </w:pPr>
          </w:p>
        </w:tc>
        <w:tc>
          <w:tcPr>
            <w:tcW w:w="5102" w:type="dxa"/>
            <w:shd w:val="clear" w:color="auto" w:fill="F2F2F2" w:themeFill="background1" w:themeFillShade="F2"/>
            <w:tcMar>
              <w:top w:w="0" w:type="dxa"/>
              <w:left w:w="108" w:type="dxa"/>
              <w:bottom w:w="0" w:type="dxa"/>
              <w:right w:w="108" w:type="dxa"/>
            </w:tcMar>
          </w:tcPr>
          <w:p w14:paraId="62D087EE" w14:textId="173C0E45" w:rsidR="00B30C16" w:rsidRPr="00255081" w:rsidRDefault="00B30C16" w:rsidP="00B30C16">
            <w:pPr>
              <w:spacing w:after="0" w:line="240" w:lineRule="exact"/>
              <w:rPr>
                <w:rFonts w:ascii="Montserrat" w:hAnsi="Montserrat"/>
                <w:spacing w:val="-1"/>
                <w:sz w:val="15"/>
                <w:szCs w:val="15"/>
                <w:lang w:val="es-ES_tradnl"/>
              </w:rPr>
            </w:pPr>
            <w:r w:rsidRPr="00255081">
              <w:rPr>
                <w:rFonts w:ascii="Montserrat" w:hAnsi="Montserrat"/>
                <w:spacing w:val="-1"/>
                <w:sz w:val="15"/>
                <w:szCs w:val="15"/>
                <w:lang w:val="es-ES_tradnl"/>
              </w:rPr>
              <w:t>Bid</w:t>
            </w:r>
          </w:p>
        </w:tc>
        <w:tc>
          <w:tcPr>
            <w:tcW w:w="1984" w:type="dxa"/>
            <w:shd w:val="clear" w:color="auto" w:fill="F2F2F2" w:themeFill="background1" w:themeFillShade="F2"/>
          </w:tcPr>
          <w:p w14:paraId="74FB95A1" w14:textId="6C0D1770" w:rsidR="00B30C16" w:rsidRPr="00255081" w:rsidRDefault="006272D7" w:rsidP="00B30C16">
            <w:pPr>
              <w:spacing w:after="0" w:line="240" w:lineRule="exact"/>
              <w:ind w:right="113"/>
              <w:jc w:val="right"/>
              <w:rPr>
                <w:rFonts w:ascii="Montserrat" w:hAnsi="Montserrat"/>
                <w:spacing w:val="-1"/>
                <w:sz w:val="15"/>
                <w:szCs w:val="15"/>
                <w:lang w:val="es-ES_tradnl"/>
              </w:rPr>
            </w:pPr>
            <w:r w:rsidRPr="00255081">
              <w:rPr>
                <w:rFonts w:ascii="Montserrat" w:hAnsi="Montserrat"/>
                <w:spacing w:val="-1"/>
                <w:sz w:val="15"/>
                <w:szCs w:val="15"/>
                <w:lang w:val="es-ES_tradnl"/>
              </w:rPr>
              <w:t>213</w:t>
            </w:r>
            <w:r w:rsidR="00C5200E" w:rsidRPr="00255081">
              <w:rPr>
                <w:rFonts w:ascii="Montserrat" w:hAnsi="Montserrat"/>
                <w:spacing w:val="-1"/>
                <w:sz w:val="15"/>
                <w:szCs w:val="15"/>
                <w:lang w:val="es-ES_tradnl"/>
              </w:rPr>
              <w:t>,</w:t>
            </w:r>
            <w:r w:rsidRPr="00255081">
              <w:rPr>
                <w:rFonts w:ascii="Montserrat" w:hAnsi="Montserrat"/>
                <w:spacing w:val="-1"/>
                <w:sz w:val="15"/>
                <w:szCs w:val="15"/>
                <w:lang w:val="es-ES_tradnl"/>
              </w:rPr>
              <w:t>239</w:t>
            </w:r>
            <w:r w:rsidR="00C5200E" w:rsidRPr="00255081">
              <w:rPr>
                <w:rFonts w:ascii="Montserrat" w:hAnsi="Montserrat"/>
                <w:spacing w:val="-1"/>
                <w:sz w:val="15"/>
                <w:szCs w:val="15"/>
                <w:lang w:val="es-ES_tradnl"/>
              </w:rPr>
              <w:t>,</w:t>
            </w:r>
            <w:r w:rsidRPr="00255081">
              <w:rPr>
                <w:rFonts w:ascii="Montserrat" w:hAnsi="Montserrat"/>
                <w:spacing w:val="-1"/>
                <w:sz w:val="15"/>
                <w:szCs w:val="15"/>
                <w:lang w:val="es-ES_tradnl"/>
              </w:rPr>
              <w:t>023</w:t>
            </w:r>
            <w:r w:rsidR="00C5200E" w:rsidRPr="00255081">
              <w:rPr>
                <w:rFonts w:ascii="Montserrat" w:hAnsi="Montserrat"/>
                <w:spacing w:val="-1"/>
                <w:sz w:val="15"/>
                <w:szCs w:val="15"/>
                <w:lang w:val="es-ES_tradnl"/>
              </w:rPr>
              <w:t>,</w:t>
            </w:r>
            <w:r w:rsidRPr="00255081">
              <w:rPr>
                <w:rFonts w:ascii="Montserrat" w:hAnsi="Montserrat"/>
                <w:spacing w:val="-1"/>
                <w:sz w:val="15"/>
                <w:szCs w:val="15"/>
                <w:lang w:val="es-ES_tradnl"/>
              </w:rPr>
              <w:t>953</w:t>
            </w:r>
          </w:p>
        </w:tc>
        <w:tc>
          <w:tcPr>
            <w:tcW w:w="1984" w:type="dxa"/>
            <w:shd w:val="clear" w:color="auto" w:fill="F2F2F2" w:themeFill="background1" w:themeFillShade="F2"/>
            <w:tcMar>
              <w:top w:w="0" w:type="dxa"/>
              <w:left w:w="108" w:type="dxa"/>
              <w:bottom w:w="0" w:type="dxa"/>
              <w:right w:w="108" w:type="dxa"/>
            </w:tcMar>
          </w:tcPr>
          <w:p w14:paraId="72A833AD" w14:textId="77777777" w:rsidR="00B30C16" w:rsidRPr="00255081" w:rsidRDefault="00B30C16" w:rsidP="00B30C16">
            <w:pPr>
              <w:spacing w:after="0" w:line="240" w:lineRule="exact"/>
              <w:ind w:right="113"/>
              <w:jc w:val="right"/>
              <w:rPr>
                <w:rFonts w:ascii="Montserrat" w:hAnsi="Montserrat"/>
                <w:spacing w:val="-1"/>
                <w:sz w:val="15"/>
                <w:szCs w:val="15"/>
                <w:lang w:val="es-ES_tradnl"/>
              </w:rPr>
            </w:pPr>
            <w:r w:rsidRPr="00255081">
              <w:rPr>
                <w:rFonts w:ascii="Montserrat" w:hAnsi="Montserrat"/>
                <w:spacing w:val="-1"/>
                <w:sz w:val="15"/>
                <w:szCs w:val="15"/>
                <w:lang w:val="es-ES_tradnl"/>
              </w:rPr>
              <w:t>216,333,090,722</w:t>
            </w:r>
          </w:p>
        </w:tc>
      </w:tr>
      <w:tr w:rsidR="00B30C16" w:rsidRPr="00F01A61" w14:paraId="41DF9D28" w14:textId="77777777" w:rsidTr="00F01A61">
        <w:trPr>
          <w:gridAfter w:val="1"/>
          <w:wAfter w:w="11" w:type="dxa"/>
          <w:trHeight w:val="215"/>
          <w:jc w:val="center"/>
        </w:trPr>
        <w:tc>
          <w:tcPr>
            <w:tcW w:w="1134" w:type="dxa"/>
            <w:gridSpan w:val="2"/>
            <w:shd w:val="clear" w:color="auto" w:fill="F2F2F2" w:themeFill="background1" w:themeFillShade="F2"/>
          </w:tcPr>
          <w:p w14:paraId="034CFF71" w14:textId="77777777" w:rsidR="00B30C16" w:rsidRPr="00255081" w:rsidRDefault="00B30C16" w:rsidP="00B30C16">
            <w:pPr>
              <w:spacing w:after="0" w:line="240" w:lineRule="exact"/>
              <w:jc w:val="center"/>
              <w:rPr>
                <w:rFonts w:ascii="Montserrat" w:hAnsi="Montserrat"/>
                <w:spacing w:val="-1"/>
                <w:sz w:val="15"/>
                <w:szCs w:val="15"/>
                <w:lang w:val="es-ES_tradnl"/>
              </w:rPr>
            </w:pPr>
            <w:r w:rsidRPr="00255081">
              <w:rPr>
                <w:rFonts w:ascii="Montserrat" w:hAnsi="Montserrat"/>
                <w:spacing w:val="-1"/>
                <w:sz w:val="15"/>
                <w:szCs w:val="15"/>
                <w:lang w:val="es-ES_tradnl"/>
              </w:rPr>
              <w:t>E.u.</w:t>
            </w:r>
          </w:p>
        </w:tc>
        <w:tc>
          <w:tcPr>
            <w:tcW w:w="1134" w:type="dxa"/>
            <w:shd w:val="clear" w:color="auto" w:fill="F2F2F2" w:themeFill="background1" w:themeFillShade="F2"/>
          </w:tcPr>
          <w:p w14:paraId="3BF055F0" w14:textId="77777777" w:rsidR="00B30C16" w:rsidRPr="00255081" w:rsidRDefault="00B30C16" w:rsidP="00B30C16">
            <w:pPr>
              <w:spacing w:after="0" w:line="240" w:lineRule="exact"/>
              <w:jc w:val="center"/>
              <w:rPr>
                <w:rFonts w:ascii="Montserrat" w:hAnsi="Montserrat"/>
                <w:spacing w:val="-1"/>
                <w:sz w:val="15"/>
                <w:szCs w:val="15"/>
                <w:lang w:val="es-ES_tradnl"/>
              </w:rPr>
            </w:pPr>
            <w:r w:rsidRPr="00255081">
              <w:rPr>
                <w:rFonts w:ascii="Montserrat" w:hAnsi="Montserrat"/>
                <w:spacing w:val="-1"/>
                <w:sz w:val="15"/>
                <w:szCs w:val="15"/>
                <w:lang w:val="es-ES_tradnl"/>
              </w:rPr>
              <w:t>Dlr.</w:t>
            </w:r>
          </w:p>
        </w:tc>
        <w:tc>
          <w:tcPr>
            <w:tcW w:w="5102" w:type="dxa"/>
            <w:shd w:val="clear" w:color="auto" w:fill="F2F2F2" w:themeFill="background1" w:themeFillShade="F2"/>
            <w:tcMar>
              <w:top w:w="0" w:type="dxa"/>
              <w:left w:w="108" w:type="dxa"/>
              <w:bottom w:w="0" w:type="dxa"/>
              <w:right w:w="108" w:type="dxa"/>
            </w:tcMar>
          </w:tcPr>
          <w:p w14:paraId="0E1DA166" w14:textId="77777777" w:rsidR="00B30C16" w:rsidRPr="00255081" w:rsidRDefault="00B30C16" w:rsidP="00B30C16">
            <w:pPr>
              <w:spacing w:after="0" w:line="240" w:lineRule="exact"/>
              <w:rPr>
                <w:rFonts w:ascii="Montserrat" w:hAnsi="Montserrat"/>
                <w:spacing w:val="-1"/>
                <w:sz w:val="15"/>
                <w:szCs w:val="15"/>
                <w:lang w:val="es-ES_tradnl"/>
              </w:rPr>
            </w:pPr>
          </w:p>
        </w:tc>
        <w:tc>
          <w:tcPr>
            <w:tcW w:w="1984" w:type="dxa"/>
            <w:shd w:val="clear" w:color="auto" w:fill="F2F2F2" w:themeFill="background1" w:themeFillShade="F2"/>
          </w:tcPr>
          <w:p w14:paraId="21C57BEE" w14:textId="78B444F6" w:rsidR="00B30C16" w:rsidRPr="00255081" w:rsidRDefault="006272D7" w:rsidP="00B30C16">
            <w:pPr>
              <w:spacing w:after="0" w:line="240" w:lineRule="exact"/>
              <w:ind w:right="113"/>
              <w:jc w:val="right"/>
              <w:rPr>
                <w:rFonts w:ascii="Montserrat" w:hAnsi="Montserrat"/>
                <w:spacing w:val="-1"/>
                <w:sz w:val="15"/>
                <w:szCs w:val="15"/>
                <w:lang w:val="es-ES_tradnl"/>
              </w:rPr>
            </w:pPr>
            <w:r w:rsidRPr="00255081">
              <w:rPr>
                <w:rFonts w:ascii="Montserrat" w:hAnsi="Montserrat"/>
                <w:spacing w:val="-1"/>
                <w:sz w:val="15"/>
                <w:szCs w:val="15"/>
                <w:lang w:val="es-ES_tradnl"/>
              </w:rPr>
              <w:t>85</w:t>
            </w:r>
            <w:r w:rsidR="00C5200E" w:rsidRPr="00255081">
              <w:rPr>
                <w:rFonts w:ascii="Montserrat" w:hAnsi="Montserrat"/>
                <w:spacing w:val="-1"/>
                <w:sz w:val="15"/>
                <w:szCs w:val="15"/>
                <w:lang w:val="es-ES_tradnl"/>
              </w:rPr>
              <w:t>,</w:t>
            </w:r>
            <w:r w:rsidRPr="00255081">
              <w:rPr>
                <w:rFonts w:ascii="Montserrat" w:hAnsi="Montserrat"/>
                <w:spacing w:val="-1"/>
                <w:sz w:val="15"/>
                <w:szCs w:val="15"/>
                <w:lang w:val="es-ES_tradnl"/>
              </w:rPr>
              <w:t>889</w:t>
            </w:r>
            <w:r w:rsidR="00C5200E" w:rsidRPr="00255081">
              <w:rPr>
                <w:rFonts w:ascii="Montserrat" w:hAnsi="Montserrat"/>
                <w:spacing w:val="-1"/>
                <w:sz w:val="15"/>
                <w:szCs w:val="15"/>
                <w:lang w:val="es-ES_tradnl"/>
              </w:rPr>
              <w:t>,</w:t>
            </w:r>
            <w:r w:rsidRPr="00255081">
              <w:rPr>
                <w:rFonts w:ascii="Montserrat" w:hAnsi="Montserrat"/>
                <w:spacing w:val="-1"/>
                <w:sz w:val="15"/>
                <w:szCs w:val="15"/>
                <w:lang w:val="es-ES_tradnl"/>
              </w:rPr>
              <w:t>867</w:t>
            </w:r>
            <w:r w:rsidR="00C5200E" w:rsidRPr="00255081">
              <w:rPr>
                <w:rFonts w:ascii="Montserrat" w:hAnsi="Montserrat"/>
                <w:spacing w:val="-1"/>
                <w:sz w:val="15"/>
                <w:szCs w:val="15"/>
                <w:lang w:val="es-ES_tradnl"/>
              </w:rPr>
              <w:t>,</w:t>
            </w:r>
            <w:r w:rsidRPr="00255081">
              <w:rPr>
                <w:rFonts w:ascii="Montserrat" w:hAnsi="Montserrat"/>
                <w:spacing w:val="-1"/>
                <w:sz w:val="15"/>
                <w:szCs w:val="15"/>
                <w:lang w:val="es-ES_tradnl"/>
              </w:rPr>
              <w:t>436</w:t>
            </w:r>
          </w:p>
        </w:tc>
        <w:tc>
          <w:tcPr>
            <w:tcW w:w="1984" w:type="dxa"/>
            <w:shd w:val="clear" w:color="auto" w:fill="F2F2F2" w:themeFill="background1" w:themeFillShade="F2"/>
            <w:tcMar>
              <w:top w:w="0" w:type="dxa"/>
              <w:left w:w="108" w:type="dxa"/>
              <w:bottom w:w="0" w:type="dxa"/>
              <w:right w:w="108" w:type="dxa"/>
            </w:tcMar>
          </w:tcPr>
          <w:p w14:paraId="303023F1" w14:textId="77777777" w:rsidR="00B30C16" w:rsidRPr="00255081" w:rsidRDefault="00B30C16" w:rsidP="00B30C16">
            <w:pPr>
              <w:spacing w:after="0" w:line="240" w:lineRule="exact"/>
              <w:ind w:right="113"/>
              <w:jc w:val="right"/>
              <w:rPr>
                <w:rFonts w:ascii="Montserrat" w:hAnsi="Montserrat"/>
                <w:spacing w:val="-1"/>
                <w:sz w:val="15"/>
                <w:szCs w:val="15"/>
                <w:lang w:val="es-ES_tradnl"/>
              </w:rPr>
            </w:pPr>
            <w:r w:rsidRPr="00255081">
              <w:rPr>
                <w:rFonts w:ascii="Montserrat" w:hAnsi="Montserrat"/>
                <w:spacing w:val="-1"/>
                <w:sz w:val="15"/>
                <w:szCs w:val="15"/>
                <w:lang w:val="es-ES_tradnl"/>
              </w:rPr>
              <w:t>216,303,894,440</w:t>
            </w:r>
          </w:p>
        </w:tc>
      </w:tr>
      <w:tr w:rsidR="00B30C16" w:rsidRPr="00F01A61" w14:paraId="0DABAC7D" w14:textId="77777777" w:rsidTr="00F01A61">
        <w:trPr>
          <w:gridAfter w:val="1"/>
          <w:wAfter w:w="11" w:type="dxa"/>
          <w:trHeight w:val="215"/>
          <w:jc w:val="center"/>
        </w:trPr>
        <w:tc>
          <w:tcPr>
            <w:tcW w:w="1134" w:type="dxa"/>
            <w:gridSpan w:val="2"/>
            <w:shd w:val="clear" w:color="auto" w:fill="F2F2F2" w:themeFill="background1" w:themeFillShade="F2"/>
          </w:tcPr>
          <w:p w14:paraId="3A9CE1BF" w14:textId="77777777" w:rsidR="00B30C16" w:rsidRPr="00255081" w:rsidRDefault="00B30C16" w:rsidP="00B30C16">
            <w:pPr>
              <w:spacing w:after="0" w:line="240" w:lineRule="exact"/>
              <w:jc w:val="center"/>
              <w:rPr>
                <w:rFonts w:ascii="Montserrat" w:hAnsi="Montserrat"/>
                <w:spacing w:val="-1"/>
                <w:sz w:val="15"/>
                <w:szCs w:val="15"/>
                <w:lang w:val="es-ES_tradnl"/>
              </w:rPr>
            </w:pPr>
            <w:r w:rsidRPr="00255081">
              <w:rPr>
                <w:rFonts w:ascii="Montserrat" w:hAnsi="Montserrat"/>
                <w:spacing w:val="-1"/>
                <w:sz w:val="15"/>
                <w:szCs w:val="15"/>
                <w:lang w:val="es-ES_tradnl"/>
              </w:rPr>
              <w:t>E.u.</w:t>
            </w:r>
          </w:p>
        </w:tc>
        <w:tc>
          <w:tcPr>
            <w:tcW w:w="1134" w:type="dxa"/>
            <w:shd w:val="clear" w:color="auto" w:fill="F2F2F2" w:themeFill="background1" w:themeFillShade="F2"/>
          </w:tcPr>
          <w:p w14:paraId="2F8D2A8A" w14:textId="77777777" w:rsidR="00B30C16" w:rsidRPr="00255081" w:rsidRDefault="00B30C16" w:rsidP="00B30C16">
            <w:pPr>
              <w:spacing w:after="0" w:line="240" w:lineRule="exact"/>
              <w:jc w:val="center"/>
              <w:rPr>
                <w:rFonts w:ascii="Montserrat" w:hAnsi="Montserrat"/>
                <w:spacing w:val="-1"/>
                <w:sz w:val="15"/>
                <w:szCs w:val="15"/>
                <w:lang w:val="es-ES_tradnl"/>
              </w:rPr>
            </w:pPr>
            <w:r w:rsidRPr="00255081">
              <w:rPr>
                <w:rFonts w:ascii="Montserrat" w:hAnsi="Montserrat"/>
                <w:spacing w:val="-1"/>
                <w:sz w:val="15"/>
                <w:szCs w:val="15"/>
                <w:lang w:val="es-ES_tradnl"/>
              </w:rPr>
              <w:t>Eur.</w:t>
            </w:r>
          </w:p>
        </w:tc>
        <w:tc>
          <w:tcPr>
            <w:tcW w:w="5102" w:type="dxa"/>
            <w:shd w:val="clear" w:color="auto" w:fill="F2F2F2" w:themeFill="background1" w:themeFillShade="F2"/>
            <w:tcMar>
              <w:top w:w="0" w:type="dxa"/>
              <w:left w:w="108" w:type="dxa"/>
              <w:bottom w:w="0" w:type="dxa"/>
              <w:right w:w="108" w:type="dxa"/>
            </w:tcMar>
          </w:tcPr>
          <w:p w14:paraId="55A5B4EA" w14:textId="77777777" w:rsidR="00B30C16" w:rsidRPr="00255081" w:rsidRDefault="00B30C16" w:rsidP="00B30C16">
            <w:pPr>
              <w:spacing w:after="0" w:line="240" w:lineRule="exact"/>
              <w:rPr>
                <w:rFonts w:ascii="Montserrat" w:hAnsi="Montserrat"/>
                <w:spacing w:val="-1"/>
                <w:sz w:val="15"/>
                <w:szCs w:val="15"/>
                <w:lang w:val="es-ES_tradnl"/>
              </w:rPr>
            </w:pPr>
          </w:p>
        </w:tc>
        <w:tc>
          <w:tcPr>
            <w:tcW w:w="1984" w:type="dxa"/>
            <w:shd w:val="clear" w:color="auto" w:fill="F2F2F2" w:themeFill="background1" w:themeFillShade="F2"/>
          </w:tcPr>
          <w:p w14:paraId="511A6B78" w14:textId="45D87470" w:rsidR="00B30C16" w:rsidRPr="00255081" w:rsidRDefault="006272D7" w:rsidP="00B30C16">
            <w:pPr>
              <w:spacing w:after="0" w:line="240" w:lineRule="exact"/>
              <w:ind w:right="113"/>
              <w:jc w:val="right"/>
              <w:rPr>
                <w:rFonts w:ascii="Montserrat" w:hAnsi="Montserrat"/>
                <w:spacing w:val="-1"/>
                <w:sz w:val="15"/>
                <w:szCs w:val="15"/>
                <w:lang w:val="es-ES_tradnl"/>
              </w:rPr>
            </w:pPr>
            <w:r w:rsidRPr="00255081">
              <w:rPr>
                <w:rFonts w:ascii="Montserrat" w:hAnsi="Montserrat"/>
                <w:spacing w:val="-1"/>
                <w:sz w:val="15"/>
                <w:szCs w:val="15"/>
                <w:lang w:val="es-ES_tradnl"/>
              </w:rPr>
              <w:t>58</w:t>
            </w:r>
            <w:r w:rsidR="00C5200E" w:rsidRPr="00255081">
              <w:rPr>
                <w:rFonts w:ascii="Montserrat" w:hAnsi="Montserrat"/>
                <w:spacing w:val="-1"/>
                <w:sz w:val="15"/>
                <w:szCs w:val="15"/>
                <w:lang w:val="es-ES_tradnl"/>
              </w:rPr>
              <w:t>,</w:t>
            </w:r>
            <w:r w:rsidRPr="00255081">
              <w:rPr>
                <w:rFonts w:ascii="Montserrat" w:hAnsi="Montserrat"/>
                <w:spacing w:val="-1"/>
                <w:sz w:val="15"/>
                <w:szCs w:val="15"/>
                <w:lang w:val="es-ES_tradnl"/>
              </w:rPr>
              <w:t>358</w:t>
            </w:r>
            <w:r w:rsidR="00C5200E" w:rsidRPr="00255081">
              <w:rPr>
                <w:rFonts w:ascii="Montserrat" w:hAnsi="Montserrat"/>
                <w:spacing w:val="-1"/>
                <w:sz w:val="15"/>
                <w:szCs w:val="15"/>
                <w:lang w:val="es-ES_tradnl"/>
              </w:rPr>
              <w:t>,</w:t>
            </w:r>
            <w:r w:rsidRPr="00255081">
              <w:rPr>
                <w:rFonts w:ascii="Montserrat" w:hAnsi="Montserrat"/>
                <w:spacing w:val="-1"/>
                <w:sz w:val="15"/>
                <w:szCs w:val="15"/>
                <w:lang w:val="es-ES_tradnl"/>
              </w:rPr>
              <w:t>813</w:t>
            </w:r>
            <w:r w:rsidR="00C5200E" w:rsidRPr="00255081">
              <w:rPr>
                <w:rFonts w:ascii="Montserrat" w:hAnsi="Montserrat"/>
                <w:spacing w:val="-1"/>
                <w:sz w:val="15"/>
                <w:szCs w:val="15"/>
                <w:lang w:val="es-ES_tradnl"/>
              </w:rPr>
              <w:t>,</w:t>
            </w:r>
            <w:r w:rsidRPr="00255081">
              <w:rPr>
                <w:rFonts w:ascii="Montserrat" w:hAnsi="Montserrat"/>
                <w:spacing w:val="-1"/>
                <w:sz w:val="15"/>
                <w:szCs w:val="15"/>
                <w:lang w:val="es-ES_tradnl"/>
              </w:rPr>
              <w:t>687</w:t>
            </w:r>
          </w:p>
        </w:tc>
        <w:tc>
          <w:tcPr>
            <w:tcW w:w="1984" w:type="dxa"/>
            <w:shd w:val="clear" w:color="auto" w:fill="F2F2F2" w:themeFill="background1" w:themeFillShade="F2"/>
            <w:tcMar>
              <w:top w:w="0" w:type="dxa"/>
              <w:left w:w="108" w:type="dxa"/>
              <w:bottom w:w="0" w:type="dxa"/>
              <w:right w:w="108" w:type="dxa"/>
            </w:tcMar>
          </w:tcPr>
          <w:p w14:paraId="7D99BB19" w14:textId="77777777" w:rsidR="00B30C16" w:rsidRPr="00255081" w:rsidRDefault="00B30C16" w:rsidP="00B30C16">
            <w:pPr>
              <w:spacing w:after="0" w:line="240" w:lineRule="exact"/>
              <w:ind w:right="113"/>
              <w:jc w:val="right"/>
              <w:rPr>
                <w:rFonts w:ascii="Montserrat" w:hAnsi="Montserrat"/>
                <w:spacing w:val="-1"/>
                <w:sz w:val="15"/>
                <w:szCs w:val="15"/>
                <w:lang w:val="es-ES_tradnl"/>
              </w:rPr>
            </w:pPr>
            <w:r w:rsidRPr="00255081">
              <w:rPr>
                <w:rFonts w:ascii="Montserrat" w:hAnsi="Montserrat"/>
                <w:spacing w:val="-1"/>
                <w:sz w:val="15"/>
                <w:szCs w:val="15"/>
                <w:lang w:val="es-ES_tradnl"/>
              </w:rPr>
              <w:t>29,196,282</w:t>
            </w:r>
          </w:p>
        </w:tc>
      </w:tr>
      <w:tr w:rsidR="006272D7" w:rsidRPr="00F01A61" w14:paraId="2C6F311A" w14:textId="77777777" w:rsidTr="00F01A61">
        <w:trPr>
          <w:gridAfter w:val="1"/>
          <w:wAfter w:w="11" w:type="dxa"/>
          <w:trHeight w:val="215"/>
          <w:jc w:val="center"/>
        </w:trPr>
        <w:tc>
          <w:tcPr>
            <w:tcW w:w="1134" w:type="dxa"/>
            <w:gridSpan w:val="2"/>
            <w:shd w:val="clear" w:color="auto" w:fill="F2F2F2" w:themeFill="background1" w:themeFillShade="F2"/>
          </w:tcPr>
          <w:p w14:paraId="4CDAC88E" w14:textId="0BBBD2AB" w:rsidR="006272D7" w:rsidRPr="00255081" w:rsidRDefault="006272D7" w:rsidP="006272D7">
            <w:pPr>
              <w:spacing w:after="0" w:line="240" w:lineRule="exact"/>
              <w:jc w:val="center"/>
              <w:rPr>
                <w:rFonts w:ascii="Montserrat" w:hAnsi="Montserrat"/>
                <w:spacing w:val="-1"/>
                <w:sz w:val="15"/>
                <w:szCs w:val="15"/>
                <w:lang w:val="es-ES_tradnl"/>
              </w:rPr>
            </w:pPr>
            <w:r w:rsidRPr="00255081">
              <w:rPr>
                <w:rFonts w:ascii="Montserrat" w:hAnsi="Montserrat"/>
                <w:spacing w:val="-1"/>
                <w:sz w:val="15"/>
                <w:szCs w:val="15"/>
                <w:lang w:val="es-ES_tradnl"/>
              </w:rPr>
              <w:t>E.u.</w:t>
            </w:r>
          </w:p>
        </w:tc>
        <w:tc>
          <w:tcPr>
            <w:tcW w:w="1134" w:type="dxa"/>
            <w:shd w:val="clear" w:color="auto" w:fill="F2F2F2" w:themeFill="background1" w:themeFillShade="F2"/>
          </w:tcPr>
          <w:p w14:paraId="004CC023" w14:textId="42D42BC8" w:rsidR="006272D7" w:rsidRPr="00255081" w:rsidRDefault="006272D7" w:rsidP="006272D7">
            <w:pPr>
              <w:spacing w:after="0" w:line="240" w:lineRule="exact"/>
              <w:jc w:val="center"/>
              <w:rPr>
                <w:rFonts w:ascii="Montserrat" w:hAnsi="Montserrat"/>
                <w:spacing w:val="-1"/>
                <w:sz w:val="15"/>
                <w:szCs w:val="15"/>
                <w:lang w:val="es-ES_tradnl"/>
              </w:rPr>
            </w:pPr>
            <w:r w:rsidRPr="00255081">
              <w:rPr>
                <w:rFonts w:ascii="Montserrat" w:hAnsi="Montserrat"/>
                <w:spacing w:val="-1"/>
                <w:sz w:val="15"/>
                <w:szCs w:val="15"/>
                <w:lang w:val="es-ES_tradnl"/>
              </w:rPr>
              <w:t>Frs.</w:t>
            </w:r>
          </w:p>
        </w:tc>
        <w:tc>
          <w:tcPr>
            <w:tcW w:w="5102" w:type="dxa"/>
            <w:shd w:val="clear" w:color="auto" w:fill="F2F2F2" w:themeFill="background1" w:themeFillShade="F2"/>
            <w:tcMar>
              <w:top w:w="0" w:type="dxa"/>
              <w:left w:w="108" w:type="dxa"/>
              <w:bottom w:w="0" w:type="dxa"/>
              <w:right w:w="108" w:type="dxa"/>
            </w:tcMar>
          </w:tcPr>
          <w:p w14:paraId="1B73BC4F" w14:textId="77777777" w:rsidR="006272D7" w:rsidRPr="00255081" w:rsidRDefault="006272D7" w:rsidP="006272D7">
            <w:pPr>
              <w:spacing w:after="0" w:line="240" w:lineRule="exact"/>
              <w:rPr>
                <w:rFonts w:ascii="Montserrat" w:hAnsi="Montserrat"/>
                <w:spacing w:val="-1"/>
                <w:sz w:val="15"/>
                <w:szCs w:val="15"/>
                <w:lang w:val="es-ES_tradnl"/>
              </w:rPr>
            </w:pPr>
          </w:p>
        </w:tc>
        <w:tc>
          <w:tcPr>
            <w:tcW w:w="1984" w:type="dxa"/>
            <w:shd w:val="clear" w:color="auto" w:fill="F2F2F2" w:themeFill="background1" w:themeFillShade="F2"/>
          </w:tcPr>
          <w:p w14:paraId="420BE204" w14:textId="47C190ED" w:rsidR="006272D7" w:rsidRPr="00255081" w:rsidRDefault="006272D7" w:rsidP="006272D7">
            <w:pPr>
              <w:spacing w:after="0" w:line="240" w:lineRule="exact"/>
              <w:ind w:right="113"/>
              <w:jc w:val="right"/>
              <w:rPr>
                <w:rFonts w:ascii="Montserrat" w:hAnsi="Montserrat"/>
                <w:spacing w:val="-1"/>
                <w:sz w:val="15"/>
                <w:szCs w:val="15"/>
                <w:lang w:val="es-ES_tradnl"/>
              </w:rPr>
            </w:pPr>
            <w:r w:rsidRPr="00255081">
              <w:rPr>
                <w:rFonts w:ascii="Montserrat" w:hAnsi="Montserrat"/>
                <w:spacing w:val="-1"/>
                <w:sz w:val="15"/>
                <w:szCs w:val="15"/>
                <w:lang w:val="es-ES_tradnl"/>
              </w:rPr>
              <w:t>24</w:t>
            </w:r>
            <w:r w:rsidR="00C5200E" w:rsidRPr="00255081">
              <w:rPr>
                <w:rFonts w:ascii="Montserrat" w:hAnsi="Montserrat"/>
                <w:spacing w:val="-1"/>
                <w:sz w:val="15"/>
                <w:szCs w:val="15"/>
                <w:lang w:val="es-ES_tradnl"/>
              </w:rPr>
              <w:t>,</w:t>
            </w:r>
            <w:r w:rsidRPr="00255081">
              <w:rPr>
                <w:rFonts w:ascii="Montserrat" w:hAnsi="Montserrat"/>
                <w:spacing w:val="-1"/>
                <w:sz w:val="15"/>
                <w:szCs w:val="15"/>
                <w:lang w:val="es-ES_tradnl"/>
              </w:rPr>
              <w:t>553</w:t>
            </w:r>
            <w:r w:rsidR="00C5200E" w:rsidRPr="00255081">
              <w:rPr>
                <w:rFonts w:ascii="Montserrat" w:hAnsi="Montserrat"/>
                <w:spacing w:val="-1"/>
                <w:sz w:val="15"/>
                <w:szCs w:val="15"/>
                <w:lang w:val="es-ES_tradnl"/>
              </w:rPr>
              <w:t>,</w:t>
            </w:r>
            <w:r w:rsidRPr="00255081">
              <w:rPr>
                <w:rFonts w:ascii="Montserrat" w:hAnsi="Montserrat"/>
                <w:spacing w:val="-1"/>
                <w:sz w:val="15"/>
                <w:szCs w:val="15"/>
                <w:lang w:val="es-ES_tradnl"/>
              </w:rPr>
              <w:t>488</w:t>
            </w:r>
            <w:r w:rsidR="00C5200E" w:rsidRPr="00255081">
              <w:rPr>
                <w:rFonts w:ascii="Montserrat" w:hAnsi="Montserrat"/>
                <w:spacing w:val="-1"/>
                <w:sz w:val="15"/>
                <w:szCs w:val="15"/>
                <w:lang w:val="es-ES_tradnl"/>
              </w:rPr>
              <w:t>,</w:t>
            </w:r>
            <w:r w:rsidRPr="00255081">
              <w:rPr>
                <w:rFonts w:ascii="Montserrat" w:hAnsi="Montserrat"/>
                <w:spacing w:val="-1"/>
                <w:sz w:val="15"/>
                <w:szCs w:val="15"/>
                <w:lang w:val="es-ES_tradnl"/>
              </w:rPr>
              <w:t>111</w:t>
            </w:r>
          </w:p>
        </w:tc>
        <w:tc>
          <w:tcPr>
            <w:tcW w:w="1984" w:type="dxa"/>
            <w:shd w:val="clear" w:color="auto" w:fill="F2F2F2" w:themeFill="background1" w:themeFillShade="F2"/>
            <w:tcMar>
              <w:top w:w="0" w:type="dxa"/>
              <w:left w:w="108" w:type="dxa"/>
              <w:bottom w:w="0" w:type="dxa"/>
              <w:right w:w="108" w:type="dxa"/>
            </w:tcMar>
          </w:tcPr>
          <w:p w14:paraId="5CEA87F9" w14:textId="480BD215" w:rsidR="006272D7" w:rsidRPr="00255081" w:rsidRDefault="006272D7" w:rsidP="006272D7">
            <w:pPr>
              <w:spacing w:after="0" w:line="240" w:lineRule="exact"/>
              <w:ind w:right="113"/>
              <w:jc w:val="right"/>
              <w:rPr>
                <w:rFonts w:ascii="Montserrat" w:hAnsi="Montserrat"/>
                <w:spacing w:val="-1"/>
                <w:sz w:val="15"/>
                <w:szCs w:val="15"/>
                <w:lang w:val="es-ES_tradnl"/>
              </w:rPr>
            </w:pPr>
            <w:r w:rsidRPr="00255081">
              <w:rPr>
                <w:rFonts w:ascii="Montserrat" w:hAnsi="Montserrat"/>
                <w:spacing w:val="-1"/>
                <w:sz w:val="15"/>
                <w:szCs w:val="15"/>
                <w:lang w:val="es-ES_tradnl"/>
              </w:rPr>
              <w:t>0</w:t>
            </w:r>
          </w:p>
        </w:tc>
      </w:tr>
      <w:tr w:rsidR="006272D7" w:rsidRPr="00F01A61" w14:paraId="28418AAF" w14:textId="77777777" w:rsidTr="00F01A61">
        <w:trPr>
          <w:gridAfter w:val="1"/>
          <w:wAfter w:w="11" w:type="dxa"/>
          <w:trHeight w:val="215"/>
          <w:jc w:val="center"/>
        </w:trPr>
        <w:tc>
          <w:tcPr>
            <w:tcW w:w="1134" w:type="dxa"/>
            <w:gridSpan w:val="2"/>
            <w:shd w:val="clear" w:color="auto" w:fill="F2F2F2" w:themeFill="background1" w:themeFillShade="F2"/>
          </w:tcPr>
          <w:p w14:paraId="534FD7B4" w14:textId="275D11B1" w:rsidR="006272D7" w:rsidRPr="00255081" w:rsidRDefault="006272D7" w:rsidP="006272D7">
            <w:pPr>
              <w:spacing w:after="0" w:line="240" w:lineRule="exact"/>
              <w:jc w:val="center"/>
              <w:rPr>
                <w:rFonts w:ascii="Montserrat" w:hAnsi="Montserrat"/>
                <w:spacing w:val="-1"/>
                <w:sz w:val="15"/>
                <w:szCs w:val="15"/>
                <w:lang w:val="es-ES_tradnl"/>
              </w:rPr>
            </w:pPr>
            <w:r w:rsidRPr="00255081">
              <w:rPr>
                <w:rFonts w:ascii="Montserrat" w:hAnsi="Montserrat"/>
                <w:spacing w:val="-1"/>
                <w:sz w:val="15"/>
                <w:szCs w:val="15"/>
                <w:lang w:val="es-ES_tradnl"/>
              </w:rPr>
              <w:t>E.u.</w:t>
            </w:r>
          </w:p>
        </w:tc>
        <w:tc>
          <w:tcPr>
            <w:tcW w:w="1134" w:type="dxa"/>
            <w:shd w:val="clear" w:color="auto" w:fill="F2F2F2" w:themeFill="background1" w:themeFillShade="F2"/>
          </w:tcPr>
          <w:p w14:paraId="3912FC64" w14:textId="26994EA9" w:rsidR="006272D7" w:rsidRPr="00255081" w:rsidRDefault="006272D7" w:rsidP="006272D7">
            <w:pPr>
              <w:spacing w:after="0" w:line="240" w:lineRule="exact"/>
              <w:jc w:val="center"/>
              <w:rPr>
                <w:rFonts w:ascii="Montserrat" w:hAnsi="Montserrat"/>
                <w:spacing w:val="-1"/>
                <w:sz w:val="15"/>
                <w:szCs w:val="15"/>
                <w:lang w:val="es-ES_tradnl"/>
              </w:rPr>
            </w:pPr>
            <w:r w:rsidRPr="00255081">
              <w:rPr>
                <w:rFonts w:ascii="Montserrat" w:hAnsi="Montserrat"/>
                <w:spacing w:val="-1"/>
                <w:sz w:val="15"/>
                <w:szCs w:val="15"/>
                <w:lang w:val="es-ES_tradnl"/>
              </w:rPr>
              <w:t>Yen.</w:t>
            </w:r>
          </w:p>
        </w:tc>
        <w:tc>
          <w:tcPr>
            <w:tcW w:w="5102" w:type="dxa"/>
            <w:shd w:val="clear" w:color="auto" w:fill="F2F2F2" w:themeFill="background1" w:themeFillShade="F2"/>
            <w:tcMar>
              <w:top w:w="0" w:type="dxa"/>
              <w:left w:w="108" w:type="dxa"/>
              <w:bottom w:w="0" w:type="dxa"/>
              <w:right w:w="108" w:type="dxa"/>
            </w:tcMar>
          </w:tcPr>
          <w:p w14:paraId="286966AA" w14:textId="77777777" w:rsidR="006272D7" w:rsidRPr="00255081" w:rsidRDefault="006272D7" w:rsidP="006272D7">
            <w:pPr>
              <w:spacing w:after="0" w:line="240" w:lineRule="exact"/>
              <w:rPr>
                <w:rFonts w:ascii="Montserrat" w:hAnsi="Montserrat"/>
                <w:spacing w:val="-1"/>
                <w:sz w:val="15"/>
                <w:szCs w:val="15"/>
                <w:lang w:val="es-ES_tradnl"/>
              </w:rPr>
            </w:pPr>
          </w:p>
        </w:tc>
        <w:tc>
          <w:tcPr>
            <w:tcW w:w="1984" w:type="dxa"/>
            <w:shd w:val="clear" w:color="auto" w:fill="F2F2F2" w:themeFill="background1" w:themeFillShade="F2"/>
          </w:tcPr>
          <w:p w14:paraId="6E945588" w14:textId="4FFB1E94" w:rsidR="006272D7" w:rsidRPr="00255081" w:rsidRDefault="006272D7" w:rsidP="006272D7">
            <w:pPr>
              <w:spacing w:after="0" w:line="240" w:lineRule="exact"/>
              <w:ind w:right="113"/>
              <w:jc w:val="right"/>
              <w:rPr>
                <w:rFonts w:ascii="Montserrat" w:hAnsi="Montserrat"/>
                <w:spacing w:val="-1"/>
                <w:sz w:val="15"/>
                <w:szCs w:val="15"/>
                <w:lang w:val="es-ES_tradnl"/>
              </w:rPr>
            </w:pPr>
            <w:r w:rsidRPr="00255081">
              <w:rPr>
                <w:rFonts w:ascii="Montserrat" w:hAnsi="Montserrat"/>
                <w:spacing w:val="-1"/>
                <w:sz w:val="15"/>
                <w:szCs w:val="15"/>
                <w:lang w:val="es-ES_tradnl"/>
              </w:rPr>
              <w:t>44</w:t>
            </w:r>
            <w:r w:rsidR="00C5200E" w:rsidRPr="00255081">
              <w:rPr>
                <w:rFonts w:ascii="Montserrat" w:hAnsi="Montserrat"/>
                <w:spacing w:val="-1"/>
                <w:sz w:val="15"/>
                <w:szCs w:val="15"/>
                <w:lang w:val="es-ES_tradnl"/>
              </w:rPr>
              <w:t>,</w:t>
            </w:r>
            <w:r w:rsidRPr="00255081">
              <w:rPr>
                <w:rFonts w:ascii="Montserrat" w:hAnsi="Montserrat"/>
                <w:spacing w:val="-1"/>
                <w:sz w:val="15"/>
                <w:szCs w:val="15"/>
                <w:lang w:val="es-ES_tradnl"/>
              </w:rPr>
              <w:t>436</w:t>
            </w:r>
            <w:r w:rsidR="00C5200E" w:rsidRPr="00255081">
              <w:rPr>
                <w:rFonts w:ascii="Montserrat" w:hAnsi="Montserrat"/>
                <w:spacing w:val="-1"/>
                <w:sz w:val="15"/>
                <w:szCs w:val="15"/>
                <w:lang w:val="es-ES_tradnl"/>
              </w:rPr>
              <w:t>,</w:t>
            </w:r>
            <w:r w:rsidRPr="00255081">
              <w:rPr>
                <w:rFonts w:ascii="Montserrat" w:hAnsi="Montserrat"/>
                <w:spacing w:val="-1"/>
                <w:sz w:val="15"/>
                <w:szCs w:val="15"/>
                <w:lang w:val="es-ES_tradnl"/>
              </w:rPr>
              <w:t>854</w:t>
            </w:r>
            <w:r w:rsidR="00C5200E" w:rsidRPr="00255081">
              <w:rPr>
                <w:rFonts w:ascii="Montserrat" w:hAnsi="Montserrat"/>
                <w:spacing w:val="-1"/>
                <w:sz w:val="15"/>
                <w:szCs w:val="15"/>
                <w:lang w:val="es-ES_tradnl"/>
              </w:rPr>
              <w:t>,</w:t>
            </w:r>
            <w:r w:rsidRPr="00255081">
              <w:rPr>
                <w:rFonts w:ascii="Montserrat" w:hAnsi="Montserrat"/>
                <w:spacing w:val="-1"/>
                <w:sz w:val="15"/>
                <w:szCs w:val="15"/>
                <w:lang w:val="es-ES_tradnl"/>
              </w:rPr>
              <w:t>719</w:t>
            </w:r>
          </w:p>
        </w:tc>
        <w:tc>
          <w:tcPr>
            <w:tcW w:w="1984" w:type="dxa"/>
            <w:shd w:val="clear" w:color="auto" w:fill="F2F2F2" w:themeFill="background1" w:themeFillShade="F2"/>
            <w:tcMar>
              <w:top w:w="0" w:type="dxa"/>
              <w:left w:w="108" w:type="dxa"/>
              <w:bottom w:w="0" w:type="dxa"/>
              <w:right w:w="108" w:type="dxa"/>
            </w:tcMar>
          </w:tcPr>
          <w:p w14:paraId="4BA23113" w14:textId="088759E2" w:rsidR="006272D7" w:rsidRPr="00255081" w:rsidRDefault="006272D7" w:rsidP="006272D7">
            <w:pPr>
              <w:spacing w:after="0" w:line="240" w:lineRule="exact"/>
              <w:ind w:right="113"/>
              <w:jc w:val="right"/>
              <w:rPr>
                <w:rFonts w:ascii="Montserrat" w:hAnsi="Montserrat"/>
                <w:spacing w:val="-1"/>
                <w:sz w:val="15"/>
                <w:szCs w:val="15"/>
                <w:lang w:val="es-ES_tradnl"/>
              </w:rPr>
            </w:pPr>
            <w:r w:rsidRPr="00255081">
              <w:rPr>
                <w:rFonts w:ascii="Montserrat" w:hAnsi="Montserrat"/>
                <w:spacing w:val="-1"/>
                <w:sz w:val="15"/>
                <w:szCs w:val="15"/>
                <w:lang w:val="es-ES_tradnl"/>
              </w:rPr>
              <w:t>0</w:t>
            </w:r>
          </w:p>
        </w:tc>
      </w:tr>
      <w:tr w:rsidR="006272D7" w:rsidRPr="00F01A61" w14:paraId="63DCE655" w14:textId="77777777" w:rsidTr="00F01A61">
        <w:trPr>
          <w:gridAfter w:val="1"/>
          <w:wAfter w:w="11" w:type="dxa"/>
          <w:trHeight w:val="215"/>
          <w:jc w:val="center"/>
        </w:trPr>
        <w:tc>
          <w:tcPr>
            <w:tcW w:w="1134" w:type="dxa"/>
            <w:gridSpan w:val="2"/>
            <w:shd w:val="clear" w:color="auto" w:fill="F2F2F2" w:themeFill="background1" w:themeFillShade="F2"/>
          </w:tcPr>
          <w:p w14:paraId="0E04FB60" w14:textId="77777777" w:rsidR="006272D7" w:rsidRPr="00255081" w:rsidRDefault="006272D7" w:rsidP="006272D7">
            <w:pPr>
              <w:spacing w:after="0" w:line="240" w:lineRule="exact"/>
              <w:jc w:val="center"/>
              <w:rPr>
                <w:rFonts w:ascii="Montserrat" w:hAnsi="Montserrat"/>
                <w:spacing w:val="-1"/>
                <w:sz w:val="15"/>
                <w:szCs w:val="15"/>
                <w:lang w:val="es-ES_tradnl"/>
              </w:rPr>
            </w:pPr>
            <w:r w:rsidRPr="00255081">
              <w:rPr>
                <w:rFonts w:ascii="Montserrat" w:hAnsi="Montserrat"/>
                <w:spacing w:val="-1"/>
                <w:sz w:val="15"/>
                <w:szCs w:val="15"/>
                <w:lang w:val="es-ES_tradnl"/>
              </w:rPr>
              <w:t>E.u.</w:t>
            </w:r>
          </w:p>
        </w:tc>
        <w:tc>
          <w:tcPr>
            <w:tcW w:w="1134" w:type="dxa"/>
            <w:shd w:val="clear" w:color="auto" w:fill="F2F2F2" w:themeFill="background1" w:themeFillShade="F2"/>
          </w:tcPr>
          <w:p w14:paraId="702C3BAF" w14:textId="77777777" w:rsidR="006272D7" w:rsidRPr="00255081" w:rsidRDefault="006272D7" w:rsidP="006272D7">
            <w:pPr>
              <w:spacing w:after="0" w:line="240" w:lineRule="exact"/>
              <w:jc w:val="center"/>
              <w:rPr>
                <w:rFonts w:ascii="Montserrat" w:hAnsi="Montserrat"/>
                <w:spacing w:val="-1"/>
                <w:sz w:val="15"/>
                <w:szCs w:val="15"/>
                <w:lang w:val="es-ES_tradnl"/>
              </w:rPr>
            </w:pPr>
            <w:r w:rsidRPr="00255081">
              <w:rPr>
                <w:rFonts w:ascii="Montserrat" w:hAnsi="Montserrat"/>
                <w:spacing w:val="-1"/>
                <w:sz w:val="15"/>
                <w:szCs w:val="15"/>
                <w:lang w:val="es-ES_tradnl"/>
              </w:rPr>
              <w:t>Dlr.</w:t>
            </w:r>
          </w:p>
        </w:tc>
        <w:tc>
          <w:tcPr>
            <w:tcW w:w="5102" w:type="dxa"/>
            <w:shd w:val="clear" w:color="auto" w:fill="F2F2F2" w:themeFill="background1" w:themeFillShade="F2"/>
            <w:tcMar>
              <w:top w:w="0" w:type="dxa"/>
              <w:left w:w="108" w:type="dxa"/>
              <w:bottom w:w="0" w:type="dxa"/>
              <w:right w:w="108" w:type="dxa"/>
            </w:tcMar>
          </w:tcPr>
          <w:p w14:paraId="6BFA900C" w14:textId="09CDEB11" w:rsidR="006272D7" w:rsidRPr="00255081" w:rsidRDefault="00FC39E1" w:rsidP="006272D7">
            <w:pPr>
              <w:spacing w:after="0" w:line="240" w:lineRule="exact"/>
              <w:rPr>
                <w:rFonts w:ascii="Montserrat" w:hAnsi="Montserrat"/>
                <w:spacing w:val="-1"/>
                <w:sz w:val="15"/>
                <w:szCs w:val="15"/>
                <w:lang w:val="es-ES_tradnl"/>
              </w:rPr>
            </w:pPr>
            <w:r>
              <w:rPr>
                <w:rFonts w:ascii="Montserrat" w:hAnsi="Montserrat"/>
                <w:spacing w:val="-1"/>
                <w:sz w:val="15"/>
                <w:szCs w:val="15"/>
                <w:lang w:val="es-ES_tradnl"/>
              </w:rPr>
              <w:t>Bir</w:t>
            </w:r>
            <w:r w:rsidR="006272D7" w:rsidRPr="00255081">
              <w:rPr>
                <w:rFonts w:ascii="Montserrat" w:hAnsi="Montserrat"/>
                <w:spacing w:val="-1"/>
                <w:sz w:val="15"/>
                <w:szCs w:val="15"/>
                <w:lang w:val="es-ES_tradnl"/>
              </w:rPr>
              <w:t>f</w:t>
            </w:r>
          </w:p>
        </w:tc>
        <w:tc>
          <w:tcPr>
            <w:tcW w:w="1984" w:type="dxa"/>
            <w:shd w:val="clear" w:color="auto" w:fill="F2F2F2" w:themeFill="background1" w:themeFillShade="F2"/>
          </w:tcPr>
          <w:p w14:paraId="067516B9" w14:textId="19B37EDE" w:rsidR="006272D7" w:rsidRPr="00255081" w:rsidRDefault="006272D7" w:rsidP="006272D7">
            <w:pPr>
              <w:spacing w:after="0" w:line="240" w:lineRule="exact"/>
              <w:ind w:right="113"/>
              <w:jc w:val="right"/>
              <w:rPr>
                <w:rFonts w:ascii="Montserrat" w:hAnsi="Montserrat"/>
                <w:spacing w:val="-1"/>
                <w:sz w:val="15"/>
                <w:szCs w:val="15"/>
                <w:lang w:val="es-ES_tradnl"/>
              </w:rPr>
            </w:pPr>
            <w:r w:rsidRPr="00255081">
              <w:rPr>
                <w:rFonts w:ascii="Montserrat" w:hAnsi="Montserrat"/>
                <w:spacing w:val="-1"/>
                <w:sz w:val="15"/>
                <w:szCs w:val="15"/>
                <w:lang w:val="es-ES_tradnl"/>
              </w:rPr>
              <w:t>149</w:t>
            </w:r>
            <w:r w:rsidR="00C5200E" w:rsidRPr="00255081">
              <w:rPr>
                <w:rFonts w:ascii="Montserrat" w:hAnsi="Montserrat"/>
                <w:spacing w:val="-1"/>
                <w:sz w:val="15"/>
                <w:szCs w:val="15"/>
                <w:lang w:val="es-ES_tradnl"/>
              </w:rPr>
              <w:t>,</w:t>
            </w:r>
            <w:r w:rsidRPr="00255081">
              <w:rPr>
                <w:rFonts w:ascii="Montserrat" w:hAnsi="Montserrat"/>
                <w:spacing w:val="-1"/>
                <w:sz w:val="15"/>
                <w:szCs w:val="15"/>
                <w:lang w:val="es-ES_tradnl"/>
              </w:rPr>
              <w:t>128</w:t>
            </w:r>
            <w:r w:rsidR="00C5200E" w:rsidRPr="00255081">
              <w:rPr>
                <w:rFonts w:ascii="Montserrat" w:hAnsi="Montserrat"/>
                <w:spacing w:val="-1"/>
                <w:sz w:val="15"/>
                <w:szCs w:val="15"/>
                <w:lang w:val="es-ES_tradnl"/>
              </w:rPr>
              <w:t>,</w:t>
            </w:r>
            <w:r w:rsidRPr="00255081">
              <w:rPr>
                <w:rFonts w:ascii="Montserrat" w:hAnsi="Montserrat"/>
                <w:spacing w:val="-1"/>
                <w:sz w:val="15"/>
                <w:szCs w:val="15"/>
                <w:lang w:val="es-ES_tradnl"/>
              </w:rPr>
              <w:t>533</w:t>
            </w:r>
            <w:r w:rsidR="00C5200E" w:rsidRPr="00255081">
              <w:rPr>
                <w:rFonts w:ascii="Montserrat" w:hAnsi="Montserrat"/>
                <w:spacing w:val="-1"/>
                <w:sz w:val="15"/>
                <w:szCs w:val="15"/>
                <w:lang w:val="es-ES_tradnl"/>
              </w:rPr>
              <w:t>,</w:t>
            </w:r>
            <w:r w:rsidRPr="00255081">
              <w:rPr>
                <w:rFonts w:ascii="Montserrat" w:hAnsi="Montserrat"/>
                <w:spacing w:val="-1"/>
                <w:sz w:val="15"/>
                <w:szCs w:val="15"/>
                <w:lang w:val="es-ES_tradnl"/>
              </w:rPr>
              <w:t>515</w:t>
            </w:r>
          </w:p>
        </w:tc>
        <w:tc>
          <w:tcPr>
            <w:tcW w:w="1984" w:type="dxa"/>
            <w:shd w:val="clear" w:color="auto" w:fill="F2F2F2" w:themeFill="background1" w:themeFillShade="F2"/>
            <w:tcMar>
              <w:top w:w="0" w:type="dxa"/>
              <w:left w:w="108" w:type="dxa"/>
              <w:bottom w:w="0" w:type="dxa"/>
              <w:right w:w="108" w:type="dxa"/>
            </w:tcMar>
          </w:tcPr>
          <w:p w14:paraId="54F55C25" w14:textId="77777777" w:rsidR="006272D7" w:rsidRPr="00255081" w:rsidRDefault="006272D7" w:rsidP="006272D7">
            <w:pPr>
              <w:spacing w:after="0" w:line="240" w:lineRule="exact"/>
              <w:ind w:right="113"/>
              <w:jc w:val="right"/>
              <w:rPr>
                <w:rFonts w:ascii="Montserrat" w:hAnsi="Montserrat"/>
                <w:spacing w:val="-1"/>
                <w:sz w:val="15"/>
                <w:szCs w:val="15"/>
                <w:lang w:val="es-ES_tradnl"/>
              </w:rPr>
            </w:pPr>
            <w:r w:rsidRPr="00255081">
              <w:rPr>
                <w:rFonts w:ascii="Montserrat" w:hAnsi="Montserrat"/>
                <w:spacing w:val="-1"/>
                <w:sz w:val="15"/>
                <w:szCs w:val="15"/>
                <w:lang w:val="es-ES_tradnl"/>
              </w:rPr>
              <w:t>157,839,393,754</w:t>
            </w:r>
          </w:p>
        </w:tc>
      </w:tr>
      <w:tr w:rsidR="003A549B" w:rsidRPr="00F01A61" w14:paraId="15A2D61D" w14:textId="77777777" w:rsidTr="00F01A61">
        <w:trPr>
          <w:gridAfter w:val="1"/>
          <w:wAfter w:w="11" w:type="dxa"/>
          <w:trHeight w:val="215"/>
          <w:jc w:val="center"/>
        </w:trPr>
        <w:tc>
          <w:tcPr>
            <w:tcW w:w="1134" w:type="dxa"/>
            <w:gridSpan w:val="2"/>
            <w:shd w:val="clear" w:color="auto" w:fill="F2F2F2" w:themeFill="background1" w:themeFillShade="F2"/>
          </w:tcPr>
          <w:p w14:paraId="470A5009" w14:textId="77777777" w:rsidR="003A549B" w:rsidRPr="00255081" w:rsidRDefault="003A549B" w:rsidP="006272D7">
            <w:pPr>
              <w:spacing w:after="0" w:line="240" w:lineRule="exact"/>
              <w:jc w:val="center"/>
              <w:rPr>
                <w:rFonts w:ascii="Montserrat" w:hAnsi="Montserrat"/>
                <w:spacing w:val="-1"/>
                <w:sz w:val="15"/>
                <w:szCs w:val="15"/>
                <w:lang w:val="es-ES_tradnl"/>
              </w:rPr>
            </w:pPr>
          </w:p>
        </w:tc>
        <w:tc>
          <w:tcPr>
            <w:tcW w:w="1134" w:type="dxa"/>
            <w:shd w:val="clear" w:color="auto" w:fill="F2F2F2" w:themeFill="background1" w:themeFillShade="F2"/>
          </w:tcPr>
          <w:p w14:paraId="71AD3339" w14:textId="77777777" w:rsidR="003A549B" w:rsidRPr="00255081" w:rsidRDefault="003A549B" w:rsidP="006272D7">
            <w:pPr>
              <w:spacing w:after="0" w:line="240" w:lineRule="exact"/>
              <w:jc w:val="center"/>
              <w:rPr>
                <w:rFonts w:ascii="Montserrat" w:hAnsi="Montserrat"/>
                <w:spacing w:val="-1"/>
                <w:sz w:val="15"/>
                <w:szCs w:val="15"/>
                <w:lang w:val="es-ES_tradnl"/>
              </w:rPr>
            </w:pPr>
          </w:p>
        </w:tc>
        <w:tc>
          <w:tcPr>
            <w:tcW w:w="5102" w:type="dxa"/>
            <w:shd w:val="clear" w:color="auto" w:fill="F2F2F2" w:themeFill="background1" w:themeFillShade="F2"/>
            <w:tcMar>
              <w:top w:w="0" w:type="dxa"/>
              <w:left w:w="108" w:type="dxa"/>
              <w:bottom w:w="0" w:type="dxa"/>
              <w:right w:w="108" w:type="dxa"/>
            </w:tcMar>
          </w:tcPr>
          <w:p w14:paraId="1C92F643" w14:textId="24727705" w:rsidR="003A549B" w:rsidRPr="00255081" w:rsidRDefault="00FC39E1" w:rsidP="006272D7">
            <w:pPr>
              <w:spacing w:after="0" w:line="240" w:lineRule="exact"/>
              <w:rPr>
                <w:rFonts w:ascii="Montserrat" w:hAnsi="Montserrat"/>
                <w:spacing w:val="-1"/>
                <w:sz w:val="15"/>
                <w:szCs w:val="15"/>
                <w:lang w:val="es-ES_tradnl"/>
              </w:rPr>
            </w:pPr>
            <w:r>
              <w:rPr>
                <w:rFonts w:ascii="Montserrat" w:hAnsi="Montserrat"/>
                <w:spacing w:val="-1"/>
                <w:sz w:val="15"/>
                <w:szCs w:val="15"/>
                <w:lang w:val="es-ES_tradnl"/>
              </w:rPr>
              <w:t>Fid</w:t>
            </w:r>
            <w:r w:rsidR="003A549B" w:rsidRPr="00255081">
              <w:rPr>
                <w:rFonts w:ascii="Montserrat" w:hAnsi="Montserrat"/>
                <w:spacing w:val="-1"/>
                <w:sz w:val="15"/>
                <w:szCs w:val="15"/>
                <w:lang w:val="es-ES_tradnl"/>
              </w:rPr>
              <w:t>a</w:t>
            </w:r>
          </w:p>
        </w:tc>
        <w:tc>
          <w:tcPr>
            <w:tcW w:w="1984" w:type="dxa"/>
            <w:shd w:val="clear" w:color="auto" w:fill="F2F2F2" w:themeFill="background1" w:themeFillShade="F2"/>
          </w:tcPr>
          <w:p w14:paraId="4CFE3930" w14:textId="01F39D78" w:rsidR="003A549B" w:rsidRPr="00255081" w:rsidRDefault="003A549B" w:rsidP="006272D7">
            <w:pPr>
              <w:spacing w:after="0" w:line="240" w:lineRule="exact"/>
              <w:ind w:right="113"/>
              <w:jc w:val="right"/>
              <w:rPr>
                <w:rFonts w:ascii="Montserrat" w:hAnsi="Montserrat"/>
                <w:spacing w:val="-1"/>
                <w:sz w:val="15"/>
                <w:szCs w:val="15"/>
                <w:lang w:val="es-ES_tradnl"/>
              </w:rPr>
            </w:pPr>
            <w:r w:rsidRPr="00255081">
              <w:rPr>
                <w:rFonts w:ascii="Montserrat" w:hAnsi="Montserrat"/>
                <w:spacing w:val="-1"/>
                <w:sz w:val="15"/>
                <w:szCs w:val="15"/>
                <w:lang w:val="es-ES_tradnl"/>
              </w:rPr>
              <w:t>560,810,782</w:t>
            </w:r>
          </w:p>
        </w:tc>
        <w:tc>
          <w:tcPr>
            <w:tcW w:w="1984" w:type="dxa"/>
            <w:shd w:val="clear" w:color="auto" w:fill="F2F2F2" w:themeFill="background1" w:themeFillShade="F2"/>
            <w:tcMar>
              <w:top w:w="0" w:type="dxa"/>
              <w:left w:w="108" w:type="dxa"/>
              <w:bottom w:w="0" w:type="dxa"/>
              <w:right w:w="108" w:type="dxa"/>
            </w:tcMar>
          </w:tcPr>
          <w:p w14:paraId="4FE4BFE7" w14:textId="0B9D425A" w:rsidR="003A549B" w:rsidRPr="00255081" w:rsidRDefault="003A549B" w:rsidP="006272D7">
            <w:pPr>
              <w:spacing w:after="0" w:line="240" w:lineRule="exact"/>
              <w:ind w:right="113"/>
              <w:jc w:val="right"/>
              <w:rPr>
                <w:rFonts w:ascii="Montserrat" w:hAnsi="Montserrat"/>
                <w:spacing w:val="-1"/>
                <w:sz w:val="15"/>
                <w:szCs w:val="15"/>
                <w:lang w:val="es-ES_tradnl"/>
              </w:rPr>
            </w:pPr>
            <w:r w:rsidRPr="00255081">
              <w:rPr>
                <w:rFonts w:ascii="Montserrat" w:hAnsi="Montserrat"/>
                <w:spacing w:val="-1"/>
                <w:sz w:val="15"/>
                <w:szCs w:val="15"/>
                <w:lang w:val="es-ES_tradnl"/>
              </w:rPr>
              <w:t>516,536,688</w:t>
            </w:r>
          </w:p>
        </w:tc>
      </w:tr>
      <w:tr w:rsidR="006272D7" w:rsidRPr="00F01A61" w14:paraId="0A9CE3AF" w14:textId="77777777" w:rsidTr="00F01A61">
        <w:trPr>
          <w:gridAfter w:val="1"/>
          <w:wAfter w:w="11" w:type="dxa"/>
          <w:trHeight w:val="215"/>
          <w:jc w:val="center"/>
        </w:trPr>
        <w:tc>
          <w:tcPr>
            <w:tcW w:w="1134" w:type="dxa"/>
            <w:gridSpan w:val="2"/>
            <w:shd w:val="clear" w:color="auto" w:fill="F2F2F2" w:themeFill="background1" w:themeFillShade="F2"/>
          </w:tcPr>
          <w:p w14:paraId="2C7D447D" w14:textId="77777777" w:rsidR="006272D7" w:rsidRPr="00255081" w:rsidRDefault="006272D7" w:rsidP="006272D7">
            <w:pPr>
              <w:spacing w:after="0" w:line="240" w:lineRule="exact"/>
              <w:jc w:val="center"/>
              <w:rPr>
                <w:rFonts w:ascii="Montserrat" w:hAnsi="Montserrat"/>
                <w:spacing w:val="-1"/>
                <w:sz w:val="15"/>
                <w:szCs w:val="15"/>
                <w:lang w:val="es-ES_tradnl"/>
              </w:rPr>
            </w:pPr>
            <w:r w:rsidRPr="00255081">
              <w:rPr>
                <w:rFonts w:ascii="Montserrat" w:hAnsi="Montserrat"/>
                <w:spacing w:val="-1"/>
                <w:sz w:val="15"/>
                <w:szCs w:val="15"/>
                <w:lang w:val="es-ES_tradnl"/>
              </w:rPr>
              <w:t>E.u.</w:t>
            </w:r>
          </w:p>
        </w:tc>
        <w:tc>
          <w:tcPr>
            <w:tcW w:w="1134" w:type="dxa"/>
            <w:shd w:val="clear" w:color="auto" w:fill="F2F2F2" w:themeFill="background1" w:themeFillShade="F2"/>
          </w:tcPr>
          <w:p w14:paraId="5CB941AE" w14:textId="77777777" w:rsidR="006272D7" w:rsidRPr="00255081" w:rsidRDefault="006272D7" w:rsidP="006272D7">
            <w:pPr>
              <w:spacing w:after="0" w:line="240" w:lineRule="exact"/>
              <w:jc w:val="center"/>
              <w:rPr>
                <w:rFonts w:ascii="Montserrat" w:hAnsi="Montserrat"/>
                <w:spacing w:val="-1"/>
                <w:sz w:val="15"/>
                <w:szCs w:val="15"/>
                <w:lang w:val="es-ES_tradnl"/>
              </w:rPr>
            </w:pPr>
            <w:r w:rsidRPr="00255081">
              <w:rPr>
                <w:rFonts w:ascii="Montserrat" w:hAnsi="Montserrat"/>
                <w:spacing w:val="-1"/>
                <w:sz w:val="15"/>
                <w:szCs w:val="15"/>
                <w:lang w:val="es-ES_tradnl"/>
              </w:rPr>
              <w:t>Dlr.</w:t>
            </w:r>
          </w:p>
        </w:tc>
        <w:tc>
          <w:tcPr>
            <w:tcW w:w="5102" w:type="dxa"/>
            <w:shd w:val="clear" w:color="auto" w:fill="F2F2F2" w:themeFill="background1" w:themeFillShade="F2"/>
            <w:tcMar>
              <w:top w:w="0" w:type="dxa"/>
              <w:left w:w="108" w:type="dxa"/>
              <w:bottom w:w="0" w:type="dxa"/>
              <w:right w:w="108" w:type="dxa"/>
            </w:tcMar>
          </w:tcPr>
          <w:p w14:paraId="4A199AFC" w14:textId="5A8BA3E3" w:rsidR="006272D7" w:rsidRPr="00255081" w:rsidRDefault="006272D7" w:rsidP="006272D7">
            <w:pPr>
              <w:spacing w:after="0" w:line="240" w:lineRule="exact"/>
              <w:rPr>
                <w:rFonts w:ascii="Montserrat" w:hAnsi="Montserrat"/>
                <w:spacing w:val="-1"/>
                <w:sz w:val="15"/>
                <w:szCs w:val="15"/>
                <w:lang w:val="es-ES_tradnl"/>
              </w:rPr>
            </w:pPr>
          </w:p>
        </w:tc>
        <w:tc>
          <w:tcPr>
            <w:tcW w:w="1984" w:type="dxa"/>
            <w:shd w:val="clear" w:color="auto" w:fill="F2F2F2" w:themeFill="background1" w:themeFillShade="F2"/>
          </w:tcPr>
          <w:p w14:paraId="535B892A" w14:textId="0493A041" w:rsidR="006272D7" w:rsidRPr="00255081" w:rsidRDefault="006272D7" w:rsidP="006272D7">
            <w:pPr>
              <w:spacing w:after="0" w:line="240" w:lineRule="exact"/>
              <w:ind w:right="113"/>
              <w:jc w:val="right"/>
              <w:rPr>
                <w:rFonts w:ascii="Montserrat" w:hAnsi="Montserrat"/>
                <w:spacing w:val="-1"/>
                <w:sz w:val="15"/>
                <w:szCs w:val="15"/>
                <w:lang w:val="es-ES_tradnl"/>
              </w:rPr>
            </w:pPr>
            <w:r w:rsidRPr="00255081">
              <w:rPr>
                <w:rFonts w:ascii="Montserrat" w:hAnsi="Montserrat"/>
                <w:spacing w:val="-1"/>
                <w:sz w:val="15"/>
                <w:szCs w:val="15"/>
                <w:lang w:val="es-ES_tradnl"/>
              </w:rPr>
              <w:t>410</w:t>
            </w:r>
            <w:r w:rsidR="00C5200E" w:rsidRPr="00255081">
              <w:rPr>
                <w:rFonts w:ascii="Montserrat" w:hAnsi="Montserrat"/>
                <w:spacing w:val="-1"/>
                <w:sz w:val="15"/>
                <w:szCs w:val="15"/>
                <w:lang w:val="es-ES_tradnl"/>
              </w:rPr>
              <w:t>,</w:t>
            </w:r>
            <w:r w:rsidRPr="00255081">
              <w:rPr>
                <w:rFonts w:ascii="Montserrat" w:hAnsi="Montserrat"/>
                <w:spacing w:val="-1"/>
                <w:sz w:val="15"/>
                <w:szCs w:val="15"/>
                <w:lang w:val="es-ES_tradnl"/>
              </w:rPr>
              <w:t>427</w:t>
            </w:r>
            <w:r w:rsidR="00C5200E" w:rsidRPr="00255081">
              <w:rPr>
                <w:rFonts w:ascii="Montserrat" w:hAnsi="Montserrat"/>
                <w:spacing w:val="-1"/>
                <w:sz w:val="15"/>
                <w:szCs w:val="15"/>
                <w:lang w:val="es-ES_tradnl"/>
              </w:rPr>
              <w:t>,</w:t>
            </w:r>
            <w:r w:rsidRPr="00255081">
              <w:rPr>
                <w:rFonts w:ascii="Montserrat" w:hAnsi="Montserrat"/>
                <w:spacing w:val="-1"/>
                <w:sz w:val="15"/>
                <w:szCs w:val="15"/>
                <w:lang w:val="es-ES_tradnl"/>
              </w:rPr>
              <w:t>759</w:t>
            </w:r>
          </w:p>
        </w:tc>
        <w:tc>
          <w:tcPr>
            <w:tcW w:w="1984" w:type="dxa"/>
            <w:shd w:val="clear" w:color="auto" w:fill="F2F2F2" w:themeFill="background1" w:themeFillShade="F2"/>
            <w:tcMar>
              <w:top w:w="0" w:type="dxa"/>
              <w:left w:w="108" w:type="dxa"/>
              <w:bottom w:w="0" w:type="dxa"/>
              <w:right w:w="108" w:type="dxa"/>
            </w:tcMar>
          </w:tcPr>
          <w:p w14:paraId="79AA055E" w14:textId="3A1B2484" w:rsidR="006272D7" w:rsidRPr="00255081" w:rsidRDefault="006272D7" w:rsidP="006272D7">
            <w:pPr>
              <w:spacing w:after="0" w:line="240" w:lineRule="exact"/>
              <w:ind w:right="113"/>
              <w:jc w:val="right"/>
              <w:rPr>
                <w:rFonts w:ascii="Montserrat" w:hAnsi="Montserrat"/>
                <w:spacing w:val="-1"/>
                <w:sz w:val="15"/>
                <w:szCs w:val="15"/>
                <w:lang w:val="es-ES_tradnl"/>
              </w:rPr>
            </w:pPr>
            <w:r w:rsidRPr="00255081">
              <w:rPr>
                <w:rFonts w:ascii="Montserrat" w:hAnsi="Montserrat"/>
                <w:spacing w:val="-1"/>
                <w:sz w:val="15"/>
                <w:szCs w:val="15"/>
                <w:lang w:val="es-ES_tradnl"/>
              </w:rPr>
              <w:t>389</w:t>
            </w:r>
            <w:r w:rsidR="003A549B" w:rsidRPr="00255081">
              <w:rPr>
                <w:rFonts w:ascii="Montserrat" w:hAnsi="Montserrat"/>
                <w:spacing w:val="-1"/>
                <w:sz w:val="15"/>
                <w:szCs w:val="15"/>
                <w:lang w:val="es-ES_tradnl"/>
              </w:rPr>
              <w:t>,</w:t>
            </w:r>
            <w:r w:rsidRPr="00255081">
              <w:rPr>
                <w:rFonts w:ascii="Montserrat" w:hAnsi="Montserrat"/>
                <w:spacing w:val="-1"/>
                <w:sz w:val="15"/>
                <w:szCs w:val="15"/>
                <w:lang w:val="es-ES_tradnl"/>
              </w:rPr>
              <w:t>290</w:t>
            </w:r>
            <w:r w:rsidR="003A549B" w:rsidRPr="00255081">
              <w:rPr>
                <w:rFonts w:ascii="Montserrat" w:hAnsi="Montserrat"/>
                <w:spacing w:val="-1"/>
                <w:sz w:val="15"/>
                <w:szCs w:val="15"/>
                <w:lang w:val="es-ES_tradnl"/>
              </w:rPr>
              <w:t>,</w:t>
            </w:r>
            <w:r w:rsidRPr="00255081">
              <w:rPr>
                <w:rFonts w:ascii="Montserrat" w:hAnsi="Montserrat"/>
                <w:spacing w:val="-1"/>
                <w:sz w:val="15"/>
                <w:szCs w:val="15"/>
                <w:lang w:val="es-ES_tradnl"/>
              </w:rPr>
              <w:t>357</w:t>
            </w:r>
          </w:p>
        </w:tc>
      </w:tr>
      <w:tr w:rsidR="006272D7" w:rsidRPr="00F01A61" w14:paraId="22F2CB2D" w14:textId="77777777" w:rsidTr="00F01A61">
        <w:trPr>
          <w:gridAfter w:val="1"/>
          <w:wAfter w:w="11" w:type="dxa"/>
          <w:trHeight w:val="215"/>
          <w:jc w:val="center"/>
        </w:trPr>
        <w:tc>
          <w:tcPr>
            <w:tcW w:w="1134" w:type="dxa"/>
            <w:gridSpan w:val="2"/>
            <w:shd w:val="clear" w:color="auto" w:fill="F2F2F2" w:themeFill="background1" w:themeFillShade="F2"/>
          </w:tcPr>
          <w:p w14:paraId="0F29061F" w14:textId="2CF35973" w:rsidR="006272D7" w:rsidRPr="00255081" w:rsidRDefault="006272D7" w:rsidP="006272D7">
            <w:pPr>
              <w:spacing w:after="0" w:line="240" w:lineRule="exact"/>
              <w:jc w:val="center"/>
              <w:rPr>
                <w:rFonts w:ascii="Montserrat" w:hAnsi="Montserrat"/>
                <w:spacing w:val="-1"/>
                <w:sz w:val="15"/>
                <w:szCs w:val="15"/>
                <w:lang w:val="es-ES_tradnl"/>
              </w:rPr>
            </w:pPr>
            <w:r w:rsidRPr="00255081">
              <w:rPr>
                <w:rFonts w:ascii="Montserrat" w:hAnsi="Montserrat"/>
                <w:spacing w:val="-1"/>
                <w:sz w:val="15"/>
                <w:szCs w:val="15"/>
                <w:lang w:val="es-ES_tradnl"/>
              </w:rPr>
              <w:t>E.u.</w:t>
            </w:r>
          </w:p>
        </w:tc>
        <w:tc>
          <w:tcPr>
            <w:tcW w:w="1134" w:type="dxa"/>
            <w:shd w:val="clear" w:color="auto" w:fill="F2F2F2" w:themeFill="background1" w:themeFillShade="F2"/>
          </w:tcPr>
          <w:p w14:paraId="33DC7B33" w14:textId="2E51B7E9" w:rsidR="006272D7" w:rsidRPr="00255081" w:rsidRDefault="006272D7" w:rsidP="006272D7">
            <w:pPr>
              <w:spacing w:after="0" w:line="240" w:lineRule="exact"/>
              <w:jc w:val="center"/>
              <w:rPr>
                <w:rFonts w:ascii="Montserrat" w:hAnsi="Montserrat"/>
                <w:spacing w:val="-1"/>
                <w:sz w:val="15"/>
                <w:szCs w:val="15"/>
                <w:lang w:val="es-ES_tradnl"/>
              </w:rPr>
            </w:pPr>
            <w:r w:rsidRPr="00255081">
              <w:rPr>
                <w:rFonts w:ascii="Montserrat" w:hAnsi="Montserrat"/>
                <w:spacing w:val="-1"/>
                <w:sz w:val="15"/>
                <w:szCs w:val="15"/>
                <w:lang w:val="es-ES_tradnl"/>
              </w:rPr>
              <w:t>Eur.</w:t>
            </w:r>
          </w:p>
        </w:tc>
        <w:tc>
          <w:tcPr>
            <w:tcW w:w="5102" w:type="dxa"/>
            <w:shd w:val="clear" w:color="auto" w:fill="F2F2F2" w:themeFill="background1" w:themeFillShade="F2"/>
            <w:tcMar>
              <w:top w:w="0" w:type="dxa"/>
              <w:left w:w="108" w:type="dxa"/>
              <w:bottom w:w="0" w:type="dxa"/>
              <w:right w:w="108" w:type="dxa"/>
            </w:tcMar>
          </w:tcPr>
          <w:p w14:paraId="2C6F2640" w14:textId="33C95857" w:rsidR="006272D7" w:rsidRPr="00255081" w:rsidRDefault="006272D7" w:rsidP="006272D7">
            <w:pPr>
              <w:spacing w:after="0" w:line="240" w:lineRule="exact"/>
              <w:rPr>
                <w:rFonts w:ascii="Montserrat" w:hAnsi="Montserrat"/>
                <w:spacing w:val="-1"/>
                <w:sz w:val="15"/>
                <w:szCs w:val="15"/>
                <w:lang w:val="es-ES_tradnl"/>
              </w:rPr>
            </w:pPr>
          </w:p>
        </w:tc>
        <w:tc>
          <w:tcPr>
            <w:tcW w:w="1984" w:type="dxa"/>
            <w:shd w:val="clear" w:color="auto" w:fill="F2F2F2" w:themeFill="background1" w:themeFillShade="F2"/>
          </w:tcPr>
          <w:p w14:paraId="3F1B2D1B" w14:textId="3B50D92D" w:rsidR="006272D7" w:rsidRPr="00255081" w:rsidRDefault="006272D7" w:rsidP="006272D7">
            <w:pPr>
              <w:spacing w:after="0" w:line="240" w:lineRule="exact"/>
              <w:ind w:right="113"/>
              <w:jc w:val="right"/>
              <w:rPr>
                <w:rFonts w:ascii="Montserrat" w:hAnsi="Montserrat"/>
                <w:spacing w:val="-1"/>
                <w:sz w:val="15"/>
                <w:szCs w:val="15"/>
                <w:lang w:val="es-ES_tradnl"/>
              </w:rPr>
            </w:pPr>
            <w:r w:rsidRPr="00255081">
              <w:rPr>
                <w:rFonts w:ascii="Montserrat" w:hAnsi="Montserrat"/>
                <w:spacing w:val="-1"/>
                <w:sz w:val="15"/>
                <w:szCs w:val="15"/>
                <w:lang w:val="es-ES_tradnl"/>
              </w:rPr>
              <w:t>150</w:t>
            </w:r>
            <w:r w:rsidR="00C5200E" w:rsidRPr="00255081">
              <w:rPr>
                <w:rFonts w:ascii="Montserrat" w:hAnsi="Montserrat"/>
                <w:spacing w:val="-1"/>
                <w:sz w:val="15"/>
                <w:szCs w:val="15"/>
                <w:lang w:val="es-ES_tradnl"/>
              </w:rPr>
              <w:t>,</w:t>
            </w:r>
            <w:r w:rsidRPr="00255081">
              <w:rPr>
                <w:rFonts w:ascii="Montserrat" w:hAnsi="Montserrat"/>
                <w:spacing w:val="-1"/>
                <w:sz w:val="15"/>
                <w:szCs w:val="15"/>
                <w:lang w:val="es-ES_tradnl"/>
              </w:rPr>
              <w:t>383</w:t>
            </w:r>
            <w:r w:rsidR="00C5200E" w:rsidRPr="00255081">
              <w:rPr>
                <w:rFonts w:ascii="Montserrat" w:hAnsi="Montserrat"/>
                <w:spacing w:val="-1"/>
                <w:sz w:val="15"/>
                <w:szCs w:val="15"/>
                <w:lang w:val="es-ES_tradnl"/>
              </w:rPr>
              <w:t>,</w:t>
            </w:r>
            <w:r w:rsidRPr="00255081">
              <w:rPr>
                <w:rFonts w:ascii="Montserrat" w:hAnsi="Montserrat"/>
                <w:spacing w:val="-1"/>
                <w:sz w:val="15"/>
                <w:szCs w:val="15"/>
                <w:lang w:val="es-ES_tradnl"/>
              </w:rPr>
              <w:t>023</w:t>
            </w:r>
          </w:p>
        </w:tc>
        <w:tc>
          <w:tcPr>
            <w:tcW w:w="1984" w:type="dxa"/>
            <w:shd w:val="clear" w:color="auto" w:fill="F2F2F2" w:themeFill="background1" w:themeFillShade="F2"/>
            <w:tcMar>
              <w:top w:w="0" w:type="dxa"/>
              <w:left w:w="108" w:type="dxa"/>
              <w:bottom w:w="0" w:type="dxa"/>
              <w:right w:w="108" w:type="dxa"/>
            </w:tcMar>
          </w:tcPr>
          <w:p w14:paraId="109E4612" w14:textId="4AA05969" w:rsidR="006272D7" w:rsidRPr="00255081" w:rsidRDefault="006272D7" w:rsidP="006272D7">
            <w:pPr>
              <w:spacing w:after="0" w:line="240" w:lineRule="exact"/>
              <w:ind w:right="113"/>
              <w:jc w:val="right"/>
              <w:rPr>
                <w:rFonts w:ascii="Montserrat" w:hAnsi="Montserrat"/>
                <w:spacing w:val="-1"/>
                <w:sz w:val="15"/>
                <w:szCs w:val="15"/>
                <w:lang w:val="es-ES_tradnl"/>
              </w:rPr>
            </w:pPr>
            <w:r w:rsidRPr="00255081">
              <w:rPr>
                <w:rFonts w:ascii="Montserrat" w:hAnsi="Montserrat"/>
                <w:spacing w:val="-1"/>
                <w:sz w:val="15"/>
                <w:szCs w:val="15"/>
                <w:lang w:val="es-ES_tradnl"/>
              </w:rPr>
              <w:t>127</w:t>
            </w:r>
            <w:r w:rsidR="003A549B" w:rsidRPr="00255081">
              <w:rPr>
                <w:rFonts w:ascii="Montserrat" w:hAnsi="Montserrat"/>
                <w:spacing w:val="-1"/>
                <w:sz w:val="15"/>
                <w:szCs w:val="15"/>
                <w:lang w:val="es-ES_tradnl"/>
              </w:rPr>
              <w:t>,</w:t>
            </w:r>
            <w:r w:rsidRPr="00255081">
              <w:rPr>
                <w:rFonts w:ascii="Montserrat" w:hAnsi="Montserrat"/>
                <w:spacing w:val="-1"/>
                <w:sz w:val="15"/>
                <w:szCs w:val="15"/>
                <w:lang w:val="es-ES_tradnl"/>
              </w:rPr>
              <w:t>246</w:t>
            </w:r>
            <w:r w:rsidR="003A549B" w:rsidRPr="00255081">
              <w:rPr>
                <w:rFonts w:ascii="Montserrat" w:hAnsi="Montserrat"/>
                <w:spacing w:val="-1"/>
                <w:sz w:val="15"/>
                <w:szCs w:val="15"/>
                <w:lang w:val="es-ES_tradnl"/>
              </w:rPr>
              <w:t>,</w:t>
            </w:r>
            <w:r w:rsidRPr="00255081">
              <w:rPr>
                <w:rFonts w:ascii="Montserrat" w:hAnsi="Montserrat"/>
                <w:spacing w:val="-1"/>
                <w:sz w:val="15"/>
                <w:szCs w:val="15"/>
                <w:lang w:val="es-ES_tradnl"/>
              </w:rPr>
              <w:t>331</w:t>
            </w:r>
          </w:p>
        </w:tc>
      </w:tr>
      <w:tr w:rsidR="006272D7" w:rsidRPr="00F01A61" w14:paraId="1CB47E48" w14:textId="77777777" w:rsidTr="00F01A61">
        <w:trPr>
          <w:gridAfter w:val="1"/>
          <w:wAfter w:w="11" w:type="dxa"/>
          <w:trHeight w:val="215"/>
          <w:jc w:val="center"/>
        </w:trPr>
        <w:tc>
          <w:tcPr>
            <w:tcW w:w="1134" w:type="dxa"/>
            <w:gridSpan w:val="2"/>
            <w:shd w:val="clear" w:color="auto" w:fill="F2F2F2" w:themeFill="background1" w:themeFillShade="F2"/>
          </w:tcPr>
          <w:p w14:paraId="3FD75FDB" w14:textId="77777777" w:rsidR="006272D7" w:rsidRPr="00255081" w:rsidRDefault="006272D7" w:rsidP="006272D7">
            <w:pPr>
              <w:spacing w:after="0" w:line="240" w:lineRule="exact"/>
              <w:jc w:val="center"/>
              <w:rPr>
                <w:rFonts w:ascii="Montserrat" w:hAnsi="Montserrat"/>
                <w:b/>
                <w:spacing w:val="-1"/>
                <w:sz w:val="15"/>
                <w:szCs w:val="15"/>
                <w:lang w:val="es-ES_tradnl"/>
              </w:rPr>
            </w:pPr>
          </w:p>
        </w:tc>
        <w:tc>
          <w:tcPr>
            <w:tcW w:w="1134" w:type="dxa"/>
            <w:shd w:val="clear" w:color="auto" w:fill="F2F2F2" w:themeFill="background1" w:themeFillShade="F2"/>
          </w:tcPr>
          <w:p w14:paraId="44851FA3" w14:textId="77777777" w:rsidR="006272D7" w:rsidRPr="00255081" w:rsidRDefault="006272D7" w:rsidP="006272D7">
            <w:pPr>
              <w:spacing w:after="0" w:line="240" w:lineRule="exact"/>
              <w:jc w:val="center"/>
              <w:rPr>
                <w:rFonts w:ascii="Montserrat" w:hAnsi="Montserrat"/>
                <w:b/>
                <w:spacing w:val="-1"/>
                <w:sz w:val="15"/>
                <w:szCs w:val="15"/>
                <w:lang w:val="es-ES_tradnl"/>
              </w:rPr>
            </w:pPr>
          </w:p>
        </w:tc>
        <w:tc>
          <w:tcPr>
            <w:tcW w:w="5102" w:type="dxa"/>
            <w:shd w:val="clear" w:color="auto" w:fill="F2F2F2" w:themeFill="background1" w:themeFillShade="F2"/>
            <w:tcMar>
              <w:top w:w="0" w:type="dxa"/>
              <w:left w:w="108" w:type="dxa"/>
              <w:bottom w:w="0" w:type="dxa"/>
              <w:right w:w="108" w:type="dxa"/>
            </w:tcMar>
          </w:tcPr>
          <w:p w14:paraId="421B8A34" w14:textId="77777777" w:rsidR="006272D7" w:rsidRPr="00255081" w:rsidRDefault="006272D7" w:rsidP="006272D7">
            <w:pPr>
              <w:spacing w:after="0" w:line="240" w:lineRule="exact"/>
              <w:ind w:firstLine="675"/>
              <w:jc w:val="center"/>
              <w:rPr>
                <w:rFonts w:ascii="Montserrat" w:hAnsi="Montserrat"/>
                <w:b/>
                <w:spacing w:val="-1"/>
                <w:sz w:val="15"/>
                <w:szCs w:val="15"/>
                <w:lang w:val="es-ES_tradnl"/>
              </w:rPr>
            </w:pPr>
            <w:r w:rsidRPr="00255081">
              <w:rPr>
                <w:rFonts w:ascii="Montserrat" w:hAnsi="Montserrat"/>
                <w:b/>
                <w:spacing w:val="-1"/>
                <w:sz w:val="15"/>
                <w:szCs w:val="15"/>
                <w:lang w:val="es-ES_tradnl"/>
              </w:rPr>
              <w:t>Banobras</w:t>
            </w:r>
          </w:p>
        </w:tc>
        <w:tc>
          <w:tcPr>
            <w:tcW w:w="1984" w:type="dxa"/>
            <w:shd w:val="clear" w:color="auto" w:fill="F2F2F2" w:themeFill="background1" w:themeFillShade="F2"/>
          </w:tcPr>
          <w:p w14:paraId="3591CC80" w14:textId="020A4C47" w:rsidR="006272D7" w:rsidRPr="00255081" w:rsidRDefault="006272D7" w:rsidP="006272D7">
            <w:pPr>
              <w:spacing w:after="0" w:line="240" w:lineRule="exact"/>
              <w:ind w:right="113"/>
              <w:jc w:val="right"/>
              <w:rPr>
                <w:rFonts w:ascii="Montserrat" w:hAnsi="Montserrat"/>
                <w:b/>
                <w:spacing w:val="-1"/>
                <w:sz w:val="15"/>
                <w:szCs w:val="15"/>
                <w:lang w:val="es-ES_tradnl"/>
              </w:rPr>
            </w:pPr>
            <w:r w:rsidRPr="00255081">
              <w:rPr>
                <w:rFonts w:ascii="Montserrat" w:hAnsi="Montserrat"/>
                <w:b/>
                <w:spacing w:val="-1"/>
                <w:sz w:val="15"/>
                <w:szCs w:val="15"/>
                <w:lang w:val="es-ES_tradnl"/>
              </w:rPr>
              <w:t>323</w:t>
            </w:r>
            <w:r w:rsidR="00C5200E" w:rsidRPr="00255081">
              <w:rPr>
                <w:rFonts w:ascii="Montserrat" w:hAnsi="Montserrat"/>
                <w:b/>
                <w:spacing w:val="-1"/>
                <w:sz w:val="15"/>
                <w:szCs w:val="15"/>
                <w:lang w:val="es-ES_tradnl"/>
              </w:rPr>
              <w:t>,</w:t>
            </w:r>
            <w:r w:rsidRPr="00255081">
              <w:rPr>
                <w:rFonts w:ascii="Montserrat" w:hAnsi="Montserrat"/>
                <w:b/>
                <w:spacing w:val="-1"/>
                <w:sz w:val="15"/>
                <w:szCs w:val="15"/>
                <w:lang w:val="es-ES_tradnl"/>
              </w:rPr>
              <w:t>563</w:t>
            </w:r>
            <w:r w:rsidR="00C5200E" w:rsidRPr="00255081">
              <w:rPr>
                <w:rFonts w:ascii="Montserrat" w:hAnsi="Montserrat"/>
                <w:b/>
                <w:spacing w:val="-1"/>
                <w:sz w:val="15"/>
                <w:szCs w:val="15"/>
                <w:lang w:val="es-ES_tradnl"/>
              </w:rPr>
              <w:t>,</w:t>
            </w:r>
            <w:r w:rsidRPr="00255081">
              <w:rPr>
                <w:rFonts w:ascii="Montserrat" w:hAnsi="Montserrat"/>
                <w:b/>
                <w:spacing w:val="-1"/>
                <w:sz w:val="15"/>
                <w:szCs w:val="15"/>
                <w:lang w:val="es-ES_tradnl"/>
              </w:rPr>
              <w:t>258</w:t>
            </w:r>
          </w:p>
        </w:tc>
        <w:tc>
          <w:tcPr>
            <w:tcW w:w="1984" w:type="dxa"/>
            <w:shd w:val="clear" w:color="auto" w:fill="F2F2F2" w:themeFill="background1" w:themeFillShade="F2"/>
            <w:tcMar>
              <w:top w:w="0" w:type="dxa"/>
              <w:left w:w="108" w:type="dxa"/>
              <w:bottom w:w="0" w:type="dxa"/>
              <w:right w:w="108" w:type="dxa"/>
            </w:tcMar>
          </w:tcPr>
          <w:p w14:paraId="355F1BA6" w14:textId="77777777" w:rsidR="006272D7" w:rsidRPr="00255081" w:rsidRDefault="006272D7" w:rsidP="006272D7">
            <w:pPr>
              <w:spacing w:after="0" w:line="240" w:lineRule="exact"/>
              <w:ind w:right="113"/>
              <w:jc w:val="right"/>
              <w:rPr>
                <w:rFonts w:ascii="Montserrat" w:hAnsi="Montserrat"/>
                <w:b/>
                <w:spacing w:val="-1"/>
                <w:sz w:val="15"/>
                <w:szCs w:val="15"/>
                <w:lang w:val="es-ES_tradnl"/>
              </w:rPr>
            </w:pPr>
            <w:r w:rsidRPr="00255081">
              <w:rPr>
                <w:rFonts w:ascii="Montserrat" w:hAnsi="Montserrat"/>
                <w:b/>
                <w:spacing w:val="-1"/>
                <w:sz w:val="15"/>
                <w:szCs w:val="15"/>
                <w:lang w:val="es-ES_tradnl"/>
              </w:rPr>
              <w:t>675,861,946</w:t>
            </w:r>
          </w:p>
        </w:tc>
      </w:tr>
      <w:tr w:rsidR="006272D7" w:rsidRPr="00F01A61" w14:paraId="2E5AA677" w14:textId="77777777" w:rsidTr="00F01A61">
        <w:trPr>
          <w:gridAfter w:val="1"/>
          <w:wAfter w:w="11" w:type="dxa"/>
          <w:trHeight w:val="215"/>
          <w:jc w:val="center"/>
        </w:trPr>
        <w:tc>
          <w:tcPr>
            <w:tcW w:w="1134" w:type="dxa"/>
            <w:gridSpan w:val="2"/>
            <w:tcBorders>
              <w:bottom w:val="single" w:sz="12" w:space="0" w:color="808080" w:themeColor="background1" w:themeShade="80"/>
            </w:tcBorders>
            <w:shd w:val="clear" w:color="auto" w:fill="F2F2F2" w:themeFill="background1" w:themeFillShade="F2"/>
          </w:tcPr>
          <w:p w14:paraId="535D54DD" w14:textId="77777777" w:rsidR="006272D7" w:rsidRPr="00255081" w:rsidRDefault="006272D7" w:rsidP="006272D7">
            <w:pPr>
              <w:spacing w:after="0" w:line="240" w:lineRule="exact"/>
              <w:jc w:val="center"/>
              <w:rPr>
                <w:rFonts w:ascii="Montserrat" w:hAnsi="Montserrat"/>
                <w:spacing w:val="-1"/>
                <w:sz w:val="15"/>
                <w:szCs w:val="15"/>
                <w:lang w:val="es-ES_tradnl"/>
              </w:rPr>
            </w:pPr>
            <w:r w:rsidRPr="00255081">
              <w:rPr>
                <w:rFonts w:ascii="Montserrat" w:hAnsi="Montserrat"/>
                <w:spacing w:val="-1"/>
                <w:sz w:val="15"/>
                <w:szCs w:val="15"/>
                <w:lang w:val="es-ES_tradnl"/>
              </w:rPr>
              <w:t>E.u.</w:t>
            </w:r>
          </w:p>
        </w:tc>
        <w:tc>
          <w:tcPr>
            <w:tcW w:w="1134" w:type="dxa"/>
            <w:tcBorders>
              <w:bottom w:val="single" w:sz="12" w:space="0" w:color="808080" w:themeColor="background1" w:themeShade="80"/>
            </w:tcBorders>
            <w:shd w:val="clear" w:color="auto" w:fill="F2F2F2" w:themeFill="background1" w:themeFillShade="F2"/>
          </w:tcPr>
          <w:p w14:paraId="3E8D91C7" w14:textId="77777777" w:rsidR="006272D7" w:rsidRPr="00255081" w:rsidRDefault="006272D7" w:rsidP="006272D7">
            <w:pPr>
              <w:spacing w:after="0" w:line="240" w:lineRule="exact"/>
              <w:jc w:val="center"/>
              <w:rPr>
                <w:rFonts w:ascii="Montserrat" w:hAnsi="Montserrat"/>
                <w:spacing w:val="-1"/>
                <w:sz w:val="15"/>
                <w:szCs w:val="15"/>
                <w:lang w:val="es-ES_tradnl"/>
              </w:rPr>
            </w:pPr>
            <w:r w:rsidRPr="00255081">
              <w:rPr>
                <w:rFonts w:ascii="Montserrat" w:hAnsi="Montserrat"/>
                <w:spacing w:val="-1"/>
                <w:sz w:val="15"/>
                <w:szCs w:val="15"/>
                <w:lang w:val="es-ES_tradnl"/>
              </w:rPr>
              <w:t>Dir.</w:t>
            </w:r>
          </w:p>
        </w:tc>
        <w:tc>
          <w:tcPr>
            <w:tcW w:w="5102" w:type="dxa"/>
            <w:tcBorders>
              <w:bottom w:val="single" w:sz="12" w:space="0" w:color="808080" w:themeColor="background1" w:themeShade="80"/>
            </w:tcBorders>
            <w:shd w:val="clear" w:color="auto" w:fill="F2F2F2" w:themeFill="background1" w:themeFillShade="F2"/>
            <w:tcMar>
              <w:top w:w="0" w:type="dxa"/>
              <w:left w:w="108" w:type="dxa"/>
              <w:bottom w:w="0" w:type="dxa"/>
              <w:right w:w="108" w:type="dxa"/>
            </w:tcMar>
          </w:tcPr>
          <w:p w14:paraId="581E63EC" w14:textId="73FE23DF" w:rsidR="006272D7" w:rsidRPr="00255081" w:rsidRDefault="00FC39E1" w:rsidP="006272D7">
            <w:pPr>
              <w:spacing w:after="0" w:line="240" w:lineRule="exact"/>
              <w:rPr>
                <w:rFonts w:ascii="Montserrat" w:hAnsi="Montserrat"/>
                <w:spacing w:val="-1"/>
                <w:sz w:val="15"/>
                <w:szCs w:val="15"/>
                <w:lang w:val="es-ES_tradnl"/>
              </w:rPr>
            </w:pPr>
            <w:r>
              <w:rPr>
                <w:rFonts w:ascii="Montserrat" w:hAnsi="Montserrat"/>
                <w:spacing w:val="-1"/>
                <w:sz w:val="15"/>
                <w:szCs w:val="15"/>
                <w:lang w:val="es-ES_tradnl"/>
              </w:rPr>
              <w:t>Bir</w:t>
            </w:r>
            <w:r w:rsidR="006272D7" w:rsidRPr="00255081">
              <w:rPr>
                <w:rFonts w:ascii="Montserrat" w:hAnsi="Montserrat"/>
                <w:spacing w:val="-1"/>
                <w:sz w:val="15"/>
                <w:szCs w:val="15"/>
                <w:lang w:val="es-ES_tradnl"/>
              </w:rPr>
              <w:t>f</w:t>
            </w:r>
          </w:p>
        </w:tc>
        <w:tc>
          <w:tcPr>
            <w:tcW w:w="1984" w:type="dxa"/>
            <w:tcBorders>
              <w:bottom w:val="single" w:sz="12" w:space="0" w:color="808080" w:themeColor="background1" w:themeShade="80"/>
            </w:tcBorders>
            <w:shd w:val="clear" w:color="auto" w:fill="F2F2F2" w:themeFill="background1" w:themeFillShade="F2"/>
          </w:tcPr>
          <w:p w14:paraId="20EC2C67" w14:textId="5411B431" w:rsidR="006272D7" w:rsidRPr="00255081" w:rsidRDefault="006272D7" w:rsidP="006272D7">
            <w:pPr>
              <w:spacing w:after="0" w:line="240" w:lineRule="exact"/>
              <w:ind w:right="113"/>
              <w:jc w:val="right"/>
              <w:rPr>
                <w:rFonts w:ascii="Montserrat" w:hAnsi="Montserrat"/>
                <w:spacing w:val="-1"/>
                <w:sz w:val="15"/>
                <w:szCs w:val="15"/>
                <w:lang w:val="es-ES_tradnl"/>
              </w:rPr>
            </w:pPr>
            <w:r w:rsidRPr="00255081">
              <w:rPr>
                <w:rFonts w:ascii="Montserrat" w:hAnsi="Montserrat"/>
                <w:spacing w:val="-1"/>
                <w:sz w:val="15"/>
                <w:szCs w:val="15"/>
                <w:lang w:val="es-ES_tradnl"/>
              </w:rPr>
              <w:t>323</w:t>
            </w:r>
            <w:r w:rsidR="00C5200E" w:rsidRPr="00255081">
              <w:rPr>
                <w:rFonts w:ascii="Montserrat" w:hAnsi="Montserrat"/>
                <w:spacing w:val="-1"/>
                <w:sz w:val="15"/>
                <w:szCs w:val="15"/>
                <w:lang w:val="es-ES_tradnl"/>
              </w:rPr>
              <w:t>,</w:t>
            </w:r>
            <w:r w:rsidRPr="00255081">
              <w:rPr>
                <w:rFonts w:ascii="Montserrat" w:hAnsi="Montserrat"/>
                <w:spacing w:val="-1"/>
                <w:sz w:val="15"/>
                <w:szCs w:val="15"/>
                <w:lang w:val="es-ES_tradnl"/>
              </w:rPr>
              <w:t>563</w:t>
            </w:r>
            <w:r w:rsidR="00C5200E" w:rsidRPr="00255081">
              <w:rPr>
                <w:rFonts w:ascii="Montserrat" w:hAnsi="Montserrat"/>
                <w:spacing w:val="-1"/>
                <w:sz w:val="15"/>
                <w:szCs w:val="15"/>
                <w:lang w:val="es-ES_tradnl"/>
              </w:rPr>
              <w:t>,</w:t>
            </w:r>
            <w:r w:rsidRPr="00255081">
              <w:rPr>
                <w:rFonts w:ascii="Montserrat" w:hAnsi="Montserrat"/>
                <w:spacing w:val="-1"/>
                <w:sz w:val="15"/>
                <w:szCs w:val="15"/>
                <w:lang w:val="es-ES_tradnl"/>
              </w:rPr>
              <w:t>258</w:t>
            </w:r>
          </w:p>
        </w:tc>
        <w:tc>
          <w:tcPr>
            <w:tcW w:w="1984" w:type="dxa"/>
            <w:tcBorders>
              <w:bottom w:val="single" w:sz="12" w:space="0" w:color="808080" w:themeColor="background1" w:themeShade="80"/>
            </w:tcBorders>
            <w:shd w:val="clear" w:color="auto" w:fill="F2F2F2" w:themeFill="background1" w:themeFillShade="F2"/>
            <w:tcMar>
              <w:top w:w="0" w:type="dxa"/>
              <w:left w:w="108" w:type="dxa"/>
              <w:bottom w:w="0" w:type="dxa"/>
              <w:right w:w="108" w:type="dxa"/>
            </w:tcMar>
          </w:tcPr>
          <w:p w14:paraId="1F7032D4" w14:textId="77777777" w:rsidR="006272D7" w:rsidRPr="00255081" w:rsidRDefault="006272D7" w:rsidP="006272D7">
            <w:pPr>
              <w:spacing w:after="0" w:line="240" w:lineRule="exact"/>
              <w:ind w:right="113"/>
              <w:jc w:val="right"/>
              <w:rPr>
                <w:rFonts w:ascii="Montserrat" w:hAnsi="Montserrat"/>
                <w:spacing w:val="-1"/>
                <w:sz w:val="15"/>
                <w:szCs w:val="15"/>
                <w:lang w:val="es-ES_tradnl"/>
              </w:rPr>
            </w:pPr>
            <w:r w:rsidRPr="00255081">
              <w:rPr>
                <w:rFonts w:ascii="Montserrat" w:hAnsi="Montserrat"/>
                <w:spacing w:val="-1"/>
                <w:sz w:val="15"/>
                <w:szCs w:val="15"/>
                <w:lang w:val="es-ES_tradnl"/>
              </w:rPr>
              <w:t>675,861,946</w:t>
            </w:r>
          </w:p>
        </w:tc>
      </w:tr>
    </w:tbl>
    <w:p w14:paraId="66B0E697" w14:textId="77777777" w:rsidR="00905B63" w:rsidRDefault="00905B63" w:rsidP="00186984">
      <w:pPr>
        <w:pStyle w:val="Prrafodelista"/>
        <w:spacing w:before="240" w:after="240" w:line="250" w:lineRule="exact"/>
        <w:ind w:left="2137"/>
        <w:jc w:val="both"/>
        <w:rPr>
          <w:rFonts w:ascii="Montserrat" w:hAnsi="Montserrat" w:cs="Arial"/>
          <w:b/>
          <w:spacing w:val="-1"/>
          <w:sz w:val="18"/>
          <w:szCs w:val="18"/>
        </w:rPr>
      </w:pPr>
    </w:p>
    <w:p w14:paraId="2B8B1403" w14:textId="77777777" w:rsidR="00905B63" w:rsidRDefault="00905B63" w:rsidP="00905B63">
      <w:pPr>
        <w:pStyle w:val="TEXTONORMAL"/>
        <w:rPr>
          <w:rFonts w:eastAsia="Times New Roman"/>
          <w:lang w:eastAsia="es-ES"/>
        </w:rPr>
      </w:pPr>
      <w:r>
        <w:br w:type="page"/>
      </w:r>
    </w:p>
    <w:p w14:paraId="118B72D0" w14:textId="77777777" w:rsidR="00186984" w:rsidRPr="00F01A61" w:rsidRDefault="00186984" w:rsidP="00F01A61">
      <w:pPr>
        <w:spacing w:after="0" w:line="240" w:lineRule="auto"/>
        <w:jc w:val="both"/>
        <w:rPr>
          <w:rFonts w:ascii="Montserrat" w:hAnsi="Montserrat" w:cs="Arial"/>
          <w:spacing w:val="-1"/>
          <w:sz w:val="18"/>
          <w:szCs w:val="18"/>
        </w:rPr>
      </w:pPr>
    </w:p>
    <w:p w14:paraId="4368C5B2" w14:textId="77777777" w:rsidR="00F01A61" w:rsidRPr="004E4051" w:rsidRDefault="00F01A61" w:rsidP="004E4051">
      <w:pPr>
        <w:spacing w:after="0" w:line="240" w:lineRule="auto"/>
        <w:jc w:val="both"/>
        <w:rPr>
          <w:rFonts w:ascii="Montserrat" w:hAnsi="Montserrat" w:cs="Arial"/>
          <w:spacing w:val="-1"/>
          <w:sz w:val="18"/>
          <w:szCs w:val="18"/>
        </w:rPr>
      </w:pPr>
    </w:p>
    <w:tbl>
      <w:tblPr>
        <w:tblW w:w="11771" w:type="dxa"/>
        <w:jc w:val="center"/>
        <w:tblLayout w:type="fixed"/>
        <w:tblCellMar>
          <w:left w:w="0" w:type="dxa"/>
          <w:right w:w="0" w:type="dxa"/>
        </w:tblCellMar>
        <w:tblLook w:val="04A0" w:firstRow="1" w:lastRow="0" w:firstColumn="1" w:lastColumn="0" w:noHBand="0" w:noVBand="1"/>
      </w:tblPr>
      <w:tblGrid>
        <w:gridCol w:w="1276"/>
        <w:gridCol w:w="1134"/>
        <w:gridCol w:w="4820"/>
        <w:gridCol w:w="1984"/>
        <w:gridCol w:w="1884"/>
        <w:gridCol w:w="673"/>
      </w:tblGrid>
      <w:tr w:rsidR="00A71F0F" w:rsidRPr="006F0DF1" w14:paraId="7545D165" w14:textId="77777777" w:rsidTr="001745ED">
        <w:trPr>
          <w:gridAfter w:val="1"/>
          <w:wAfter w:w="673" w:type="dxa"/>
          <w:jc w:val="center"/>
        </w:trPr>
        <w:tc>
          <w:tcPr>
            <w:tcW w:w="11098" w:type="dxa"/>
            <w:gridSpan w:val="5"/>
            <w:tcBorders>
              <w:bottom w:val="single" w:sz="12" w:space="0" w:color="808080" w:themeColor="background1" w:themeShade="80"/>
            </w:tcBorders>
            <w:shd w:val="clear" w:color="auto" w:fill="FFFFFF"/>
          </w:tcPr>
          <w:tbl>
            <w:tblPr>
              <w:tblW w:w="12049" w:type="dxa"/>
              <w:jc w:val="center"/>
              <w:tblLayout w:type="fixed"/>
              <w:tblCellMar>
                <w:left w:w="0" w:type="dxa"/>
                <w:right w:w="0" w:type="dxa"/>
              </w:tblCellMar>
              <w:tblLook w:val="04A0" w:firstRow="1" w:lastRow="0" w:firstColumn="1" w:lastColumn="0" w:noHBand="0" w:noVBand="1"/>
            </w:tblPr>
            <w:tblGrid>
              <w:gridCol w:w="12049"/>
            </w:tblGrid>
            <w:tr w:rsidR="00A71F0F" w:rsidRPr="006F0DF1" w14:paraId="16C330AB" w14:textId="77777777" w:rsidTr="00E93D03">
              <w:trPr>
                <w:trHeight w:val="215"/>
                <w:jc w:val="center"/>
              </w:trPr>
              <w:tc>
                <w:tcPr>
                  <w:tcW w:w="12049" w:type="dxa"/>
                  <w:shd w:val="clear" w:color="auto" w:fill="auto"/>
                </w:tcPr>
                <w:p w14:paraId="25750EBD" w14:textId="77777777" w:rsidR="00A71F0F" w:rsidRPr="00685332" w:rsidRDefault="00A71F0F" w:rsidP="009173AE">
                  <w:pPr>
                    <w:shd w:val="clear" w:color="auto" w:fill="FFFFFF"/>
                    <w:spacing w:after="60" w:line="240" w:lineRule="auto"/>
                    <w:jc w:val="center"/>
                    <w:rPr>
                      <w:rFonts w:ascii="Montserrat" w:hAnsi="Montserrat"/>
                      <w:color w:val="FFFFFF"/>
                      <w:spacing w:val="-1"/>
                      <w:sz w:val="16"/>
                      <w:szCs w:val="16"/>
                      <w:lang w:val="es-ES_tradnl"/>
                    </w:rPr>
                  </w:pPr>
                  <w:r w:rsidRPr="006F0DF1">
                    <w:rPr>
                      <w:rFonts w:ascii="Montserrat" w:hAnsi="Montserrat"/>
                      <w:b/>
                      <w:color w:val="FFFFFF"/>
                      <w:sz w:val="16"/>
                      <w:szCs w:val="16"/>
                      <w:lang w:val="es-ES_tradnl"/>
                    </w:rPr>
                    <w:br w:type="page"/>
                  </w:r>
                  <w:r w:rsidRPr="00685332">
                    <w:rPr>
                      <w:rFonts w:ascii="Montserrat" w:hAnsi="Montserrat"/>
                      <w:spacing w:val="-1"/>
                      <w:sz w:val="16"/>
                      <w:szCs w:val="16"/>
                      <w:lang w:val="es-ES_tradnl"/>
                    </w:rPr>
                    <w:t>(Pesos)</w:t>
                  </w:r>
                </w:p>
              </w:tc>
            </w:tr>
          </w:tbl>
          <w:p w14:paraId="592ED8F3" w14:textId="77777777" w:rsidR="00A71F0F" w:rsidRPr="006F0DF1" w:rsidRDefault="00A71F0F" w:rsidP="002F797B">
            <w:pPr>
              <w:spacing w:after="0" w:line="240" w:lineRule="exact"/>
              <w:jc w:val="center"/>
              <w:rPr>
                <w:rFonts w:ascii="Montserrat" w:hAnsi="Montserrat"/>
                <w:b/>
                <w:spacing w:val="-1"/>
                <w:sz w:val="16"/>
                <w:szCs w:val="16"/>
                <w:lang w:val="es-ES_tradnl"/>
              </w:rPr>
            </w:pPr>
          </w:p>
        </w:tc>
      </w:tr>
      <w:tr w:rsidR="00A71F0F" w:rsidRPr="00A71F0F" w14:paraId="2BF6DF87" w14:textId="77777777" w:rsidTr="001745ED">
        <w:trPr>
          <w:gridAfter w:val="1"/>
          <w:wAfter w:w="673" w:type="dxa"/>
          <w:jc w:val="center"/>
        </w:trPr>
        <w:tc>
          <w:tcPr>
            <w:tcW w:w="11098" w:type="dxa"/>
            <w:gridSpan w:val="5"/>
            <w:tcBorders>
              <w:top w:val="single" w:sz="12" w:space="0" w:color="808080" w:themeColor="background1" w:themeShade="80"/>
            </w:tcBorders>
            <w:shd w:val="clear" w:color="auto" w:fill="FFFFFF"/>
          </w:tcPr>
          <w:p w14:paraId="127EF7D8" w14:textId="77777777" w:rsidR="00A71F0F" w:rsidRPr="00A71F0F" w:rsidRDefault="00A71F0F" w:rsidP="00A71F0F">
            <w:pPr>
              <w:spacing w:after="0" w:line="240" w:lineRule="auto"/>
              <w:rPr>
                <w:sz w:val="4"/>
                <w:szCs w:val="4"/>
              </w:rPr>
            </w:pPr>
          </w:p>
        </w:tc>
      </w:tr>
      <w:tr w:rsidR="009C3C24" w:rsidRPr="006F0DF1" w14:paraId="0B48B20F" w14:textId="77777777" w:rsidTr="001745ED">
        <w:trPr>
          <w:gridAfter w:val="1"/>
          <w:wAfter w:w="673" w:type="dxa"/>
          <w:trHeight w:val="317"/>
          <w:jc w:val="center"/>
        </w:trPr>
        <w:tc>
          <w:tcPr>
            <w:tcW w:w="1276" w:type="dxa"/>
            <w:tcBorders>
              <w:left w:val="single" w:sz="8" w:space="0" w:color="BFBFBF"/>
              <w:bottom w:val="double" w:sz="12" w:space="0" w:color="808080" w:themeColor="background1" w:themeShade="80"/>
              <w:right w:val="single" w:sz="8" w:space="0" w:color="FFFFFF" w:themeColor="background1"/>
            </w:tcBorders>
            <w:shd w:val="clear" w:color="auto" w:fill="D4C19C"/>
            <w:vAlign w:val="center"/>
          </w:tcPr>
          <w:p w14:paraId="38EA1184" w14:textId="77777777" w:rsidR="009C3C24" w:rsidRPr="006F0DF1" w:rsidRDefault="009C3C24" w:rsidP="002F797B">
            <w:pPr>
              <w:spacing w:after="0" w:line="240" w:lineRule="exact"/>
              <w:jc w:val="center"/>
              <w:rPr>
                <w:rFonts w:ascii="Montserrat" w:hAnsi="Montserrat"/>
                <w:b/>
                <w:bCs/>
                <w:color w:val="FFFFFF"/>
                <w:spacing w:val="-1"/>
                <w:sz w:val="16"/>
                <w:szCs w:val="16"/>
                <w:lang w:val="es-ES_tradnl"/>
              </w:rPr>
            </w:pPr>
            <w:r w:rsidRPr="006F0DF1">
              <w:rPr>
                <w:rFonts w:ascii="Montserrat" w:hAnsi="Montserrat"/>
                <w:b/>
                <w:bCs/>
                <w:color w:val="FFFFFF"/>
                <w:spacing w:val="-1"/>
                <w:sz w:val="16"/>
                <w:szCs w:val="16"/>
                <w:lang w:val="es-ES_tradnl"/>
              </w:rPr>
              <w:t>País</w:t>
            </w:r>
          </w:p>
        </w:tc>
        <w:tc>
          <w:tcPr>
            <w:tcW w:w="1134" w:type="dxa"/>
            <w:tcBorders>
              <w:left w:val="single" w:sz="8" w:space="0" w:color="FFFFFF" w:themeColor="background1"/>
              <w:bottom w:val="double" w:sz="12" w:space="0" w:color="808080" w:themeColor="background1" w:themeShade="80"/>
              <w:right w:val="single" w:sz="8" w:space="0" w:color="FFFFFF" w:themeColor="background1"/>
            </w:tcBorders>
            <w:shd w:val="clear" w:color="auto" w:fill="D4C19C"/>
            <w:vAlign w:val="center"/>
          </w:tcPr>
          <w:p w14:paraId="06AEB5C5" w14:textId="77777777" w:rsidR="009C3C24" w:rsidRPr="006F0DF1" w:rsidRDefault="009C3C24" w:rsidP="002F797B">
            <w:pPr>
              <w:spacing w:after="0" w:line="240" w:lineRule="exact"/>
              <w:jc w:val="center"/>
              <w:rPr>
                <w:rFonts w:ascii="Montserrat" w:hAnsi="Montserrat"/>
                <w:b/>
                <w:bCs/>
                <w:color w:val="FFFFFF"/>
                <w:spacing w:val="-1"/>
                <w:sz w:val="16"/>
                <w:szCs w:val="16"/>
                <w:lang w:val="es-ES_tradnl"/>
              </w:rPr>
            </w:pPr>
            <w:r w:rsidRPr="006F0DF1">
              <w:rPr>
                <w:rFonts w:ascii="Montserrat" w:hAnsi="Montserrat"/>
                <w:b/>
                <w:bCs/>
                <w:color w:val="FFFFFF"/>
                <w:spacing w:val="-1"/>
                <w:sz w:val="16"/>
                <w:szCs w:val="16"/>
                <w:lang w:val="es-ES_tradnl"/>
              </w:rPr>
              <w:t>Div.</w:t>
            </w:r>
          </w:p>
        </w:tc>
        <w:tc>
          <w:tcPr>
            <w:tcW w:w="4820" w:type="dxa"/>
            <w:tcBorders>
              <w:left w:val="single" w:sz="8" w:space="0" w:color="FFFFFF" w:themeColor="background1"/>
              <w:bottom w:val="double" w:sz="12" w:space="0" w:color="808080" w:themeColor="background1" w:themeShade="80"/>
              <w:right w:val="single" w:sz="8" w:space="0" w:color="FFFFFF" w:themeColor="background1"/>
            </w:tcBorders>
            <w:shd w:val="clear" w:color="auto" w:fill="D4C19C"/>
            <w:tcMar>
              <w:top w:w="0" w:type="dxa"/>
              <w:left w:w="108" w:type="dxa"/>
              <w:bottom w:w="0" w:type="dxa"/>
              <w:right w:w="108" w:type="dxa"/>
            </w:tcMar>
            <w:vAlign w:val="center"/>
            <w:hideMark/>
          </w:tcPr>
          <w:p w14:paraId="777FFE9C" w14:textId="77777777" w:rsidR="009C3C24" w:rsidRPr="006F0DF1" w:rsidRDefault="009C3C24" w:rsidP="002F797B">
            <w:pPr>
              <w:spacing w:after="0" w:line="240" w:lineRule="exact"/>
              <w:jc w:val="center"/>
              <w:rPr>
                <w:rFonts w:ascii="Montserrat" w:hAnsi="Montserrat"/>
                <w:b/>
                <w:bCs/>
                <w:color w:val="FFFFFF"/>
                <w:spacing w:val="-1"/>
                <w:sz w:val="16"/>
                <w:szCs w:val="16"/>
                <w:lang w:val="es-ES_tradnl"/>
              </w:rPr>
            </w:pPr>
            <w:r w:rsidRPr="006F0DF1">
              <w:rPr>
                <w:rFonts w:ascii="Montserrat" w:hAnsi="Montserrat"/>
                <w:b/>
                <w:bCs/>
                <w:color w:val="FFFFFF"/>
                <w:spacing w:val="-1"/>
                <w:sz w:val="16"/>
                <w:szCs w:val="16"/>
                <w:lang w:val="es-ES_tradnl"/>
              </w:rPr>
              <w:t>Concepto</w:t>
            </w:r>
          </w:p>
        </w:tc>
        <w:tc>
          <w:tcPr>
            <w:tcW w:w="1984" w:type="dxa"/>
            <w:tcBorders>
              <w:left w:val="single" w:sz="8" w:space="0" w:color="FFFFFF" w:themeColor="background1"/>
              <w:bottom w:val="double" w:sz="12" w:space="0" w:color="808080" w:themeColor="background1" w:themeShade="80"/>
              <w:right w:val="single" w:sz="8" w:space="0" w:color="FFFFFF" w:themeColor="background1"/>
            </w:tcBorders>
            <w:shd w:val="clear" w:color="auto" w:fill="D4C19C"/>
            <w:vAlign w:val="center"/>
          </w:tcPr>
          <w:p w14:paraId="0457A1C8" w14:textId="77777777" w:rsidR="009C3C24" w:rsidRPr="006F0DF1" w:rsidRDefault="009C3C24" w:rsidP="002F797B">
            <w:pPr>
              <w:spacing w:after="0" w:line="240" w:lineRule="exact"/>
              <w:jc w:val="center"/>
              <w:rPr>
                <w:rFonts w:ascii="Montserrat" w:hAnsi="Montserrat"/>
                <w:b/>
                <w:color w:val="FFFFFF"/>
                <w:sz w:val="16"/>
                <w:szCs w:val="16"/>
                <w:lang w:val="es-ES_tradnl"/>
              </w:rPr>
            </w:pPr>
            <w:r w:rsidRPr="006F0DF1">
              <w:rPr>
                <w:rFonts w:ascii="Montserrat" w:hAnsi="Montserrat"/>
                <w:b/>
                <w:bCs/>
                <w:color w:val="FFFFFF"/>
                <w:spacing w:val="-1"/>
                <w:sz w:val="16"/>
                <w:szCs w:val="16"/>
                <w:lang w:val="es-ES_tradnl"/>
              </w:rPr>
              <w:t>201</w:t>
            </w:r>
            <w:r w:rsidR="00B30C16">
              <w:rPr>
                <w:rFonts w:ascii="Montserrat" w:hAnsi="Montserrat"/>
                <w:b/>
                <w:bCs/>
                <w:color w:val="FFFFFF"/>
                <w:spacing w:val="-1"/>
                <w:sz w:val="16"/>
                <w:szCs w:val="16"/>
                <w:lang w:val="es-ES_tradnl"/>
              </w:rPr>
              <w:t>9</w:t>
            </w:r>
          </w:p>
        </w:tc>
        <w:tc>
          <w:tcPr>
            <w:tcW w:w="1884" w:type="dxa"/>
            <w:tcBorders>
              <w:left w:val="single" w:sz="8" w:space="0" w:color="FFFFFF" w:themeColor="background1"/>
              <w:bottom w:val="double" w:sz="12" w:space="0" w:color="808080" w:themeColor="background1" w:themeShade="80"/>
              <w:right w:val="single" w:sz="8" w:space="0" w:color="BFBFBF"/>
            </w:tcBorders>
            <w:shd w:val="clear" w:color="auto" w:fill="D4C19C"/>
            <w:tcMar>
              <w:top w:w="0" w:type="dxa"/>
              <w:left w:w="108" w:type="dxa"/>
              <w:bottom w:w="0" w:type="dxa"/>
              <w:right w:w="108" w:type="dxa"/>
            </w:tcMar>
            <w:vAlign w:val="center"/>
          </w:tcPr>
          <w:p w14:paraId="30E639EB" w14:textId="77777777" w:rsidR="009C3C24" w:rsidRPr="006F0DF1" w:rsidRDefault="009C3C24" w:rsidP="002F797B">
            <w:pPr>
              <w:spacing w:after="0" w:line="240" w:lineRule="exact"/>
              <w:jc w:val="center"/>
              <w:rPr>
                <w:rFonts w:ascii="Montserrat" w:hAnsi="Montserrat"/>
                <w:b/>
                <w:color w:val="FFFFFF"/>
                <w:sz w:val="16"/>
                <w:szCs w:val="16"/>
                <w:lang w:val="es-ES_tradnl"/>
              </w:rPr>
            </w:pPr>
            <w:r w:rsidRPr="006F0DF1">
              <w:rPr>
                <w:rFonts w:ascii="Montserrat" w:hAnsi="Montserrat"/>
                <w:b/>
                <w:bCs/>
                <w:color w:val="FFFFFF"/>
                <w:spacing w:val="-1"/>
                <w:sz w:val="16"/>
                <w:szCs w:val="16"/>
                <w:lang w:val="es-ES_tradnl"/>
              </w:rPr>
              <w:t>201</w:t>
            </w:r>
            <w:r w:rsidR="00B30C16">
              <w:rPr>
                <w:rFonts w:ascii="Montserrat" w:hAnsi="Montserrat"/>
                <w:b/>
                <w:bCs/>
                <w:color w:val="FFFFFF"/>
                <w:spacing w:val="-1"/>
                <w:sz w:val="16"/>
                <w:szCs w:val="16"/>
                <w:lang w:val="es-ES_tradnl"/>
              </w:rPr>
              <w:t>8</w:t>
            </w:r>
          </w:p>
        </w:tc>
      </w:tr>
      <w:tr w:rsidR="00B30C16" w:rsidRPr="006F0DF1" w14:paraId="0280C3DD" w14:textId="77777777" w:rsidTr="001745ED">
        <w:trPr>
          <w:gridAfter w:val="1"/>
          <w:wAfter w:w="673" w:type="dxa"/>
          <w:trHeight w:val="282"/>
          <w:jc w:val="center"/>
        </w:trPr>
        <w:tc>
          <w:tcPr>
            <w:tcW w:w="1276" w:type="dxa"/>
            <w:tcBorders>
              <w:top w:val="double" w:sz="12" w:space="0" w:color="808080" w:themeColor="background1" w:themeShade="80"/>
            </w:tcBorders>
            <w:shd w:val="clear" w:color="auto" w:fill="F2F2F2" w:themeFill="background1" w:themeFillShade="F2"/>
          </w:tcPr>
          <w:p w14:paraId="7EE39A13" w14:textId="77777777" w:rsidR="00B30C16" w:rsidRPr="000F0321" w:rsidRDefault="00B30C16" w:rsidP="00B30C16">
            <w:pPr>
              <w:spacing w:after="0" w:line="240" w:lineRule="exact"/>
              <w:jc w:val="center"/>
              <w:rPr>
                <w:rFonts w:ascii="Montserrat" w:hAnsi="Montserrat"/>
                <w:b/>
                <w:spacing w:val="-1"/>
                <w:sz w:val="15"/>
                <w:szCs w:val="15"/>
                <w:lang w:val="es-ES_tradnl"/>
              </w:rPr>
            </w:pPr>
          </w:p>
        </w:tc>
        <w:tc>
          <w:tcPr>
            <w:tcW w:w="1134" w:type="dxa"/>
            <w:tcBorders>
              <w:top w:val="double" w:sz="12" w:space="0" w:color="808080" w:themeColor="background1" w:themeShade="80"/>
            </w:tcBorders>
            <w:shd w:val="clear" w:color="auto" w:fill="F2F2F2" w:themeFill="background1" w:themeFillShade="F2"/>
          </w:tcPr>
          <w:p w14:paraId="7C9AC6AE" w14:textId="77777777" w:rsidR="00B30C16" w:rsidRPr="000F0321" w:rsidRDefault="00B30C16" w:rsidP="00B30C16">
            <w:pPr>
              <w:spacing w:after="0" w:line="240" w:lineRule="exact"/>
              <w:jc w:val="center"/>
              <w:rPr>
                <w:rFonts w:ascii="Montserrat" w:hAnsi="Montserrat"/>
                <w:b/>
                <w:spacing w:val="-1"/>
                <w:sz w:val="15"/>
                <w:szCs w:val="15"/>
                <w:lang w:val="es-ES_tradnl"/>
              </w:rPr>
            </w:pPr>
          </w:p>
        </w:tc>
        <w:tc>
          <w:tcPr>
            <w:tcW w:w="4820" w:type="dxa"/>
            <w:tcBorders>
              <w:top w:val="double" w:sz="12" w:space="0" w:color="808080" w:themeColor="background1" w:themeShade="80"/>
            </w:tcBorders>
            <w:shd w:val="clear" w:color="auto" w:fill="F2F2F2" w:themeFill="background1" w:themeFillShade="F2"/>
            <w:tcMar>
              <w:top w:w="0" w:type="dxa"/>
              <w:left w:w="108" w:type="dxa"/>
              <w:bottom w:w="0" w:type="dxa"/>
              <w:right w:w="108" w:type="dxa"/>
            </w:tcMar>
          </w:tcPr>
          <w:p w14:paraId="58C5041C" w14:textId="581C3BBC" w:rsidR="00B30C16" w:rsidRPr="000F0321" w:rsidRDefault="00EE5081" w:rsidP="00B30C16">
            <w:pPr>
              <w:spacing w:after="0" w:line="240" w:lineRule="exact"/>
              <w:ind w:firstLine="675"/>
              <w:jc w:val="center"/>
              <w:rPr>
                <w:rFonts w:ascii="Montserrat" w:hAnsi="Montserrat"/>
                <w:b/>
                <w:spacing w:val="-1"/>
                <w:sz w:val="15"/>
                <w:szCs w:val="15"/>
                <w:lang w:val="es-ES_tradnl"/>
              </w:rPr>
            </w:pPr>
            <w:r>
              <w:rPr>
                <w:rFonts w:ascii="Montserrat" w:hAnsi="Montserrat"/>
                <w:b/>
                <w:spacing w:val="-1"/>
                <w:sz w:val="15"/>
                <w:szCs w:val="15"/>
                <w:lang w:val="es-ES_tradnl"/>
              </w:rPr>
              <w:t>OINC</w:t>
            </w:r>
          </w:p>
        </w:tc>
        <w:tc>
          <w:tcPr>
            <w:tcW w:w="1984" w:type="dxa"/>
            <w:tcBorders>
              <w:top w:val="double" w:sz="12" w:space="0" w:color="808080" w:themeColor="background1" w:themeShade="80"/>
            </w:tcBorders>
            <w:shd w:val="clear" w:color="auto" w:fill="F2F2F2" w:themeFill="background1" w:themeFillShade="F2"/>
          </w:tcPr>
          <w:p w14:paraId="193B8C9A" w14:textId="7D9342A9" w:rsidR="00B30C16" w:rsidRPr="000F0321" w:rsidRDefault="006272D7" w:rsidP="00B30C16">
            <w:pPr>
              <w:spacing w:after="0" w:line="240" w:lineRule="exact"/>
              <w:ind w:right="113"/>
              <w:jc w:val="right"/>
              <w:rPr>
                <w:rFonts w:ascii="Montserrat" w:hAnsi="Montserrat"/>
                <w:b/>
                <w:spacing w:val="-1"/>
                <w:sz w:val="15"/>
                <w:szCs w:val="15"/>
                <w:lang w:val="es-ES_tradnl"/>
              </w:rPr>
            </w:pPr>
            <w:r w:rsidRPr="000F0321">
              <w:rPr>
                <w:rFonts w:ascii="Montserrat" w:hAnsi="Montserrat"/>
                <w:b/>
                <w:spacing w:val="-1"/>
                <w:sz w:val="15"/>
                <w:szCs w:val="15"/>
                <w:lang w:val="es-ES_tradnl"/>
              </w:rPr>
              <w:t>151</w:t>
            </w:r>
            <w:r w:rsidR="003A549B" w:rsidRPr="000F0321">
              <w:rPr>
                <w:rFonts w:ascii="Montserrat" w:hAnsi="Montserrat"/>
                <w:b/>
                <w:spacing w:val="-1"/>
                <w:sz w:val="15"/>
                <w:szCs w:val="15"/>
                <w:lang w:val="es-ES_tradnl"/>
              </w:rPr>
              <w:t>,</w:t>
            </w:r>
            <w:r w:rsidRPr="000F0321">
              <w:rPr>
                <w:rFonts w:ascii="Montserrat" w:hAnsi="Montserrat"/>
                <w:b/>
                <w:spacing w:val="-1"/>
                <w:sz w:val="15"/>
                <w:szCs w:val="15"/>
                <w:lang w:val="es-ES_tradnl"/>
              </w:rPr>
              <w:t>415</w:t>
            </w:r>
            <w:r w:rsidR="003A549B" w:rsidRPr="000F0321">
              <w:rPr>
                <w:rFonts w:ascii="Montserrat" w:hAnsi="Montserrat"/>
                <w:b/>
                <w:spacing w:val="-1"/>
                <w:sz w:val="15"/>
                <w:szCs w:val="15"/>
                <w:lang w:val="es-ES_tradnl"/>
              </w:rPr>
              <w:t>,</w:t>
            </w:r>
            <w:r w:rsidRPr="000F0321">
              <w:rPr>
                <w:rFonts w:ascii="Montserrat" w:hAnsi="Montserrat"/>
                <w:b/>
                <w:spacing w:val="-1"/>
                <w:sz w:val="15"/>
                <w:szCs w:val="15"/>
                <w:lang w:val="es-ES_tradnl"/>
              </w:rPr>
              <w:t>989</w:t>
            </w:r>
            <w:r w:rsidR="003A549B" w:rsidRPr="000F0321">
              <w:rPr>
                <w:rFonts w:ascii="Montserrat" w:hAnsi="Montserrat"/>
                <w:b/>
                <w:spacing w:val="-1"/>
                <w:sz w:val="15"/>
                <w:szCs w:val="15"/>
                <w:lang w:val="es-ES_tradnl"/>
              </w:rPr>
              <w:t>,</w:t>
            </w:r>
            <w:r w:rsidRPr="000F0321">
              <w:rPr>
                <w:rFonts w:ascii="Montserrat" w:hAnsi="Montserrat"/>
                <w:b/>
                <w:spacing w:val="-1"/>
                <w:sz w:val="15"/>
                <w:szCs w:val="15"/>
                <w:lang w:val="es-ES_tradnl"/>
              </w:rPr>
              <w:t>412</w:t>
            </w:r>
          </w:p>
        </w:tc>
        <w:tc>
          <w:tcPr>
            <w:tcW w:w="1884" w:type="dxa"/>
            <w:tcBorders>
              <w:top w:val="double" w:sz="12" w:space="0" w:color="808080" w:themeColor="background1" w:themeShade="80"/>
            </w:tcBorders>
            <w:shd w:val="clear" w:color="auto" w:fill="F2F2F2" w:themeFill="background1" w:themeFillShade="F2"/>
            <w:tcMar>
              <w:top w:w="0" w:type="dxa"/>
              <w:left w:w="108" w:type="dxa"/>
              <w:bottom w:w="0" w:type="dxa"/>
              <w:right w:w="108" w:type="dxa"/>
            </w:tcMar>
          </w:tcPr>
          <w:p w14:paraId="1C8DAF0A" w14:textId="77777777" w:rsidR="00B30C16" w:rsidRPr="000F0321" w:rsidRDefault="00B30C16" w:rsidP="00B30C16">
            <w:pPr>
              <w:spacing w:after="0" w:line="240" w:lineRule="exact"/>
              <w:ind w:right="113"/>
              <w:jc w:val="right"/>
              <w:rPr>
                <w:rFonts w:ascii="Montserrat" w:hAnsi="Montserrat"/>
                <w:b/>
                <w:spacing w:val="-1"/>
                <w:sz w:val="15"/>
                <w:szCs w:val="15"/>
                <w:lang w:val="es-ES_tradnl"/>
              </w:rPr>
            </w:pPr>
            <w:r w:rsidRPr="000F0321">
              <w:rPr>
                <w:rFonts w:ascii="Montserrat" w:hAnsi="Montserrat"/>
                <w:b/>
                <w:spacing w:val="-1"/>
                <w:sz w:val="15"/>
                <w:szCs w:val="15"/>
                <w:lang w:val="es-ES_tradnl"/>
              </w:rPr>
              <w:t>138,155,807,958</w:t>
            </w:r>
          </w:p>
        </w:tc>
      </w:tr>
      <w:tr w:rsidR="00B30C16" w:rsidRPr="006F0DF1" w14:paraId="4FFECA98" w14:textId="77777777" w:rsidTr="001745ED">
        <w:trPr>
          <w:gridAfter w:val="1"/>
          <w:wAfter w:w="673" w:type="dxa"/>
          <w:trHeight w:val="282"/>
          <w:jc w:val="center"/>
        </w:trPr>
        <w:tc>
          <w:tcPr>
            <w:tcW w:w="1276" w:type="dxa"/>
            <w:shd w:val="clear" w:color="auto" w:fill="F2F2F2" w:themeFill="background1" w:themeFillShade="F2"/>
          </w:tcPr>
          <w:p w14:paraId="20E6B5BA" w14:textId="77777777" w:rsidR="00B30C16" w:rsidRPr="000F0321" w:rsidRDefault="00B30C16" w:rsidP="00B30C16">
            <w:pPr>
              <w:spacing w:after="0" w:line="240" w:lineRule="exact"/>
              <w:jc w:val="center"/>
              <w:rPr>
                <w:rFonts w:ascii="Montserrat" w:hAnsi="Montserrat"/>
                <w:spacing w:val="-1"/>
                <w:sz w:val="15"/>
                <w:szCs w:val="15"/>
                <w:lang w:val="es-ES_tradnl"/>
              </w:rPr>
            </w:pPr>
            <w:r w:rsidRPr="000F0321">
              <w:rPr>
                <w:rFonts w:ascii="Montserrat" w:hAnsi="Montserrat"/>
                <w:spacing w:val="-1"/>
                <w:sz w:val="15"/>
                <w:szCs w:val="15"/>
                <w:lang w:val="es-ES_tradnl"/>
              </w:rPr>
              <w:t>E.u.</w:t>
            </w:r>
          </w:p>
        </w:tc>
        <w:tc>
          <w:tcPr>
            <w:tcW w:w="1134" w:type="dxa"/>
            <w:shd w:val="clear" w:color="auto" w:fill="F2F2F2" w:themeFill="background1" w:themeFillShade="F2"/>
          </w:tcPr>
          <w:p w14:paraId="4DD65C24" w14:textId="77777777" w:rsidR="00B30C16" w:rsidRPr="000F0321" w:rsidRDefault="00B30C16" w:rsidP="00B30C16">
            <w:pPr>
              <w:spacing w:after="0" w:line="240" w:lineRule="exact"/>
              <w:jc w:val="center"/>
              <w:rPr>
                <w:rFonts w:ascii="Montserrat" w:hAnsi="Montserrat"/>
                <w:spacing w:val="-1"/>
                <w:sz w:val="15"/>
                <w:szCs w:val="15"/>
                <w:lang w:val="es-ES_tradnl"/>
              </w:rPr>
            </w:pPr>
            <w:r w:rsidRPr="000F0321">
              <w:rPr>
                <w:rFonts w:ascii="Montserrat" w:hAnsi="Montserrat"/>
                <w:spacing w:val="-1"/>
                <w:sz w:val="15"/>
                <w:szCs w:val="15"/>
                <w:lang w:val="es-ES_tradnl"/>
              </w:rPr>
              <w:t>Dlr.</w:t>
            </w:r>
          </w:p>
        </w:tc>
        <w:tc>
          <w:tcPr>
            <w:tcW w:w="4820" w:type="dxa"/>
            <w:shd w:val="clear" w:color="auto" w:fill="F2F2F2" w:themeFill="background1" w:themeFillShade="F2"/>
            <w:tcMar>
              <w:top w:w="0" w:type="dxa"/>
              <w:left w:w="108" w:type="dxa"/>
              <w:bottom w:w="0" w:type="dxa"/>
              <w:right w:w="108" w:type="dxa"/>
            </w:tcMar>
          </w:tcPr>
          <w:p w14:paraId="3399AB11" w14:textId="77777777" w:rsidR="00B30C16" w:rsidRPr="000F0321" w:rsidRDefault="00B30C16" w:rsidP="00B30C16">
            <w:pPr>
              <w:spacing w:after="0" w:line="240" w:lineRule="exact"/>
              <w:rPr>
                <w:rFonts w:ascii="Montserrat" w:hAnsi="Montserrat"/>
                <w:spacing w:val="-1"/>
                <w:sz w:val="15"/>
                <w:szCs w:val="15"/>
                <w:lang w:val="es-ES_tradnl"/>
              </w:rPr>
            </w:pPr>
            <w:r w:rsidRPr="000F0321">
              <w:rPr>
                <w:rFonts w:ascii="Montserrat" w:hAnsi="Montserrat"/>
                <w:spacing w:val="-1"/>
                <w:sz w:val="15"/>
                <w:szCs w:val="15"/>
                <w:lang w:val="es-ES_tradnl"/>
              </w:rPr>
              <w:t>Bid</w:t>
            </w:r>
          </w:p>
        </w:tc>
        <w:tc>
          <w:tcPr>
            <w:tcW w:w="1984" w:type="dxa"/>
            <w:shd w:val="clear" w:color="auto" w:fill="F2F2F2" w:themeFill="background1" w:themeFillShade="F2"/>
          </w:tcPr>
          <w:p w14:paraId="29448AC9" w14:textId="6CFF03E7" w:rsidR="00B30C16" w:rsidRPr="000F0321" w:rsidRDefault="006272D7">
            <w:pPr>
              <w:spacing w:after="0" w:line="240" w:lineRule="exact"/>
              <w:ind w:right="113"/>
              <w:jc w:val="right"/>
              <w:rPr>
                <w:rFonts w:ascii="Montserrat" w:hAnsi="Montserrat"/>
                <w:spacing w:val="-1"/>
                <w:sz w:val="15"/>
                <w:szCs w:val="15"/>
                <w:lang w:val="es-ES_tradnl"/>
              </w:rPr>
            </w:pPr>
            <w:r w:rsidRPr="000F0321">
              <w:rPr>
                <w:rFonts w:ascii="Montserrat" w:hAnsi="Montserrat"/>
                <w:spacing w:val="-1"/>
                <w:sz w:val="15"/>
                <w:szCs w:val="15"/>
                <w:lang w:val="es-ES_tradnl"/>
              </w:rPr>
              <w:t>19</w:t>
            </w:r>
            <w:r w:rsidR="003A549B" w:rsidRPr="000F0321">
              <w:rPr>
                <w:rFonts w:ascii="Montserrat" w:hAnsi="Montserrat"/>
                <w:spacing w:val="-1"/>
                <w:sz w:val="15"/>
                <w:szCs w:val="15"/>
                <w:lang w:val="es-ES_tradnl"/>
              </w:rPr>
              <w:t>,1</w:t>
            </w:r>
            <w:r w:rsidRPr="000F0321">
              <w:rPr>
                <w:rFonts w:ascii="Montserrat" w:hAnsi="Montserrat"/>
                <w:spacing w:val="-1"/>
                <w:sz w:val="15"/>
                <w:szCs w:val="15"/>
                <w:lang w:val="es-ES_tradnl"/>
              </w:rPr>
              <w:t>81</w:t>
            </w:r>
            <w:r w:rsidR="003A549B" w:rsidRPr="000F0321">
              <w:rPr>
                <w:rFonts w:ascii="Montserrat" w:hAnsi="Montserrat"/>
                <w:spacing w:val="-1"/>
                <w:sz w:val="15"/>
                <w:szCs w:val="15"/>
                <w:lang w:val="es-ES_tradnl"/>
              </w:rPr>
              <w:t>,</w:t>
            </w:r>
            <w:r w:rsidRPr="000F0321">
              <w:rPr>
                <w:rFonts w:ascii="Montserrat" w:hAnsi="Montserrat"/>
                <w:spacing w:val="-1"/>
                <w:sz w:val="15"/>
                <w:szCs w:val="15"/>
                <w:lang w:val="es-ES_tradnl"/>
              </w:rPr>
              <w:t>176</w:t>
            </w:r>
            <w:r w:rsidR="003A549B" w:rsidRPr="000F0321">
              <w:rPr>
                <w:rFonts w:ascii="Montserrat" w:hAnsi="Montserrat"/>
                <w:spacing w:val="-1"/>
                <w:sz w:val="15"/>
                <w:szCs w:val="15"/>
                <w:lang w:val="es-ES_tradnl"/>
              </w:rPr>
              <w:t>,</w:t>
            </w:r>
            <w:r w:rsidRPr="000F0321">
              <w:rPr>
                <w:rFonts w:ascii="Montserrat" w:hAnsi="Montserrat"/>
                <w:spacing w:val="-1"/>
                <w:sz w:val="15"/>
                <w:szCs w:val="15"/>
                <w:lang w:val="es-ES_tradnl"/>
              </w:rPr>
              <w:t>649</w:t>
            </w:r>
          </w:p>
        </w:tc>
        <w:tc>
          <w:tcPr>
            <w:tcW w:w="1884" w:type="dxa"/>
            <w:shd w:val="clear" w:color="auto" w:fill="F2F2F2" w:themeFill="background1" w:themeFillShade="F2"/>
            <w:tcMar>
              <w:top w:w="0" w:type="dxa"/>
              <w:left w:w="108" w:type="dxa"/>
              <w:bottom w:w="0" w:type="dxa"/>
              <w:right w:w="108" w:type="dxa"/>
            </w:tcMar>
          </w:tcPr>
          <w:p w14:paraId="458D122B" w14:textId="77777777" w:rsidR="00B30C16" w:rsidRPr="000F0321" w:rsidRDefault="00B30C16" w:rsidP="00B30C16">
            <w:pPr>
              <w:spacing w:after="0" w:line="240" w:lineRule="exact"/>
              <w:ind w:right="113"/>
              <w:jc w:val="right"/>
              <w:rPr>
                <w:rFonts w:ascii="Montserrat" w:hAnsi="Montserrat"/>
                <w:spacing w:val="-1"/>
                <w:sz w:val="15"/>
                <w:szCs w:val="15"/>
                <w:lang w:val="es-ES_tradnl"/>
              </w:rPr>
            </w:pPr>
            <w:r w:rsidRPr="000F0321">
              <w:rPr>
                <w:rFonts w:ascii="Montserrat" w:hAnsi="Montserrat"/>
                <w:spacing w:val="-1"/>
                <w:sz w:val="15"/>
                <w:szCs w:val="15"/>
                <w:lang w:val="es-ES_tradnl"/>
              </w:rPr>
              <w:t>27,205,347,211</w:t>
            </w:r>
          </w:p>
        </w:tc>
      </w:tr>
      <w:tr w:rsidR="006272D7" w:rsidRPr="006F0DF1" w14:paraId="457402A2" w14:textId="77777777" w:rsidTr="001745ED">
        <w:trPr>
          <w:gridAfter w:val="1"/>
          <w:wAfter w:w="673" w:type="dxa"/>
          <w:trHeight w:val="282"/>
          <w:jc w:val="center"/>
        </w:trPr>
        <w:tc>
          <w:tcPr>
            <w:tcW w:w="1276" w:type="dxa"/>
            <w:shd w:val="clear" w:color="auto" w:fill="F2F2F2" w:themeFill="background1" w:themeFillShade="F2"/>
          </w:tcPr>
          <w:p w14:paraId="7417B38A" w14:textId="433BA511" w:rsidR="006272D7" w:rsidRPr="000F0321" w:rsidRDefault="006272D7" w:rsidP="006272D7">
            <w:pPr>
              <w:spacing w:after="0" w:line="240" w:lineRule="exact"/>
              <w:jc w:val="center"/>
              <w:rPr>
                <w:rFonts w:ascii="Montserrat" w:hAnsi="Montserrat"/>
                <w:spacing w:val="-1"/>
                <w:sz w:val="15"/>
                <w:szCs w:val="15"/>
                <w:lang w:val="es-ES_tradnl"/>
              </w:rPr>
            </w:pPr>
            <w:r w:rsidRPr="000F0321">
              <w:rPr>
                <w:rFonts w:ascii="Montserrat" w:hAnsi="Montserrat"/>
                <w:spacing w:val="-1"/>
                <w:sz w:val="15"/>
                <w:szCs w:val="15"/>
                <w:lang w:val="es-ES_tradnl"/>
              </w:rPr>
              <w:t>E.u.</w:t>
            </w:r>
          </w:p>
        </w:tc>
        <w:tc>
          <w:tcPr>
            <w:tcW w:w="1134" w:type="dxa"/>
            <w:shd w:val="clear" w:color="auto" w:fill="F2F2F2" w:themeFill="background1" w:themeFillShade="F2"/>
          </w:tcPr>
          <w:p w14:paraId="4C4F980A" w14:textId="65C56E40" w:rsidR="006272D7" w:rsidRPr="000F0321" w:rsidRDefault="006272D7" w:rsidP="006272D7">
            <w:pPr>
              <w:spacing w:after="0" w:line="240" w:lineRule="exact"/>
              <w:jc w:val="center"/>
              <w:rPr>
                <w:rFonts w:ascii="Montserrat" w:hAnsi="Montserrat"/>
                <w:spacing w:val="-1"/>
                <w:sz w:val="15"/>
                <w:szCs w:val="15"/>
                <w:lang w:val="es-ES_tradnl"/>
              </w:rPr>
            </w:pPr>
            <w:r w:rsidRPr="000F0321">
              <w:rPr>
                <w:rFonts w:ascii="Montserrat" w:hAnsi="Montserrat"/>
                <w:spacing w:val="-1"/>
                <w:sz w:val="15"/>
                <w:szCs w:val="15"/>
                <w:lang w:val="es-ES_tradnl"/>
              </w:rPr>
              <w:t>Eur.</w:t>
            </w:r>
          </w:p>
        </w:tc>
        <w:tc>
          <w:tcPr>
            <w:tcW w:w="4820" w:type="dxa"/>
            <w:shd w:val="clear" w:color="auto" w:fill="F2F2F2" w:themeFill="background1" w:themeFillShade="F2"/>
            <w:tcMar>
              <w:top w:w="0" w:type="dxa"/>
              <w:left w:w="108" w:type="dxa"/>
              <w:bottom w:w="0" w:type="dxa"/>
              <w:right w:w="108" w:type="dxa"/>
            </w:tcMar>
          </w:tcPr>
          <w:p w14:paraId="2488887C" w14:textId="26D0C1BB" w:rsidR="006272D7" w:rsidRPr="000F0321" w:rsidRDefault="006272D7" w:rsidP="006272D7">
            <w:pPr>
              <w:spacing w:after="0" w:line="240" w:lineRule="exact"/>
              <w:rPr>
                <w:rFonts w:ascii="Montserrat" w:hAnsi="Montserrat"/>
                <w:spacing w:val="-1"/>
                <w:sz w:val="15"/>
                <w:szCs w:val="15"/>
                <w:lang w:val="es-ES_tradnl"/>
              </w:rPr>
            </w:pPr>
            <w:r w:rsidRPr="000F0321">
              <w:rPr>
                <w:rFonts w:ascii="Montserrat" w:hAnsi="Montserrat"/>
                <w:spacing w:val="-1"/>
                <w:sz w:val="15"/>
                <w:szCs w:val="15"/>
                <w:lang w:val="es-ES_tradnl"/>
              </w:rPr>
              <w:t>Bid</w:t>
            </w:r>
          </w:p>
        </w:tc>
        <w:tc>
          <w:tcPr>
            <w:tcW w:w="1984" w:type="dxa"/>
            <w:shd w:val="clear" w:color="auto" w:fill="F2F2F2" w:themeFill="background1" w:themeFillShade="F2"/>
          </w:tcPr>
          <w:p w14:paraId="24E8B026" w14:textId="57FB06A7" w:rsidR="006272D7" w:rsidRPr="000F0321" w:rsidRDefault="006272D7" w:rsidP="006272D7">
            <w:pPr>
              <w:spacing w:after="0" w:line="240" w:lineRule="exact"/>
              <w:ind w:right="113"/>
              <w:jc w:val="right"/>
              <w:rPr>
                <w:rFonts w:ascii="Montserrat" w:hAnsi="Montserrat"/>
                <w:spacing w:val="-1"/>
                <w:sz w:val="15"/>
                <w:szCs w:val="15"/>
                <w:lang w:val="es-ES_tradnl"/>
              </w:rPr>
            </w:pPr>
            <w:r w:rsidRPr="000F0321">
              <w:rPr>
                <w:rFonts w:ascii="Montserrat" w:hAnsi="Montserrat"/>
                <w:spacing w:val="-1"/>
                <w:sz w:val="15"/>
                <w:szCs w:val="15"/>
                <w:lang w:val="es-ES_tradnl"/>
              </w:rPr>
              <w:t>5</w:t>
            </w:r>
            <w:r w:rsidR="003A549B" w:rsidRPr="000F0321">
              <w:rPr>
                <w:rFonts w:ascii="Montserrat" w:hAnsi="Montserrat"/>
                <w:spacing w:val="-1"/>
                <w:sz w:val="15"/>
                <w:szCs w:val="15"/>
                <w:lang w:val="es-ES_tradnl"/>
              </w:rPr>
              <w:t>,</w:t>
            </w:r>
            <w:r w:rsidRPr="000F0321">
              <w:rPr>
                <w:rFonts w:ascii="Montserrat" w:hAnsi="Montserrat"/>
                <w:spacing w:val="-1"/>
                <w:sz w:val="15"/>
                <w:szCs w:val="15"/>
                <w:lang w:val="es-ES_tradnl"/>
              </w:rPr>
              <w:t>016</w:t>
            </w:r>
            <w:r w:rsidR="003A549B" w:rsidRPr="000F0321">
              <w:rPr>
                <w:rFonts w:ascii="Montserrat" w:hAnsi="Montserrat"/>
                <w:spacing w:val="-1"/>
                <w:sz w:val="15"/>
                <w:szCs w:val="15"/>
                <w:lang w:val="es-ES_tradnl"/>
              </w:rPr>
              <w:t>,</w:t>
            </w:r>
            <w:r w:rsidRPr="000F0321">
              <w:rPr>
                <w:rFonts w:ascii="Montserrat" w:hAnsi="Montserrat"/>
                <w:spacing w:val="-1"/>
                <w:sz w:val="15"/>
                <w:szCs w:val="15"/>
                <w:lang w:val="es-ES_tradnl"/>
              </w:rPr>
              <w:t>914</w:t>
            </w:r>
            <w:r w:rsidR="003A549B" w:rsidRPr="000F0321">
              <w:rPr>
                <w:rFonts w:ascii="Montserrat" w:hAnsi="Montserrat"/>
                <w:spacing w:val="-1"/>
                <w:sz w:val="15"/>
                <w:szCs w:val="15"/>
                <w:lang w:val="es-ES_tradnl"/>
              </w:rPr>
              <w:t>,</w:t>
            </w:r>
            <w:r w:rsidRPr="000F0321">
              <w:rPr>
                <w:rFonts w:ascii="Montserrat" w:hAnsi="Montserrat"/>
                <w:spacing w:val="-1"/>
                <w:sz w:val="15"/>
                <w:szCs w:val="15"/>
                <w:lang w:val="es-ES_tradnl"/>
              </w:rPr>
              <w:t>599</w:t>
            </w:r>
          </w:p>
        </w:tc>
        <w:tc>
          <w:tcPr>
            <w:tcW w:w="1884" w:type="dxa"/>
            <w:shd w:val="clear" w:color="auto" w:fill="F2F2F2" w:themeFill="background1" w:themeFillShade="F2"/>
            <w:tcMar>
              <w:top w:w="0" w:type="dxa"/>
              <w:left w:w="108" w:type="dxa"/>
              <w:bottom w:w="0" w:type="dxa"/>
              <w:right w:w="108" w:type="dxa"/>
            </w:tcMar>
          </w:tcPr>
          <w:p w14:paraId="0DBA7700" w14:textId="4AB725FD" w:rsidR="006272D7" w:rsidRPr="000F0321" w:rsidRDefault="006272D7" w:rsidP="006272D7">
            <w:pPr>
              <w:spacing w:after="0" w:line="240" w:lineRule="exact"/>
              <w:ind w:right="113"/>
              <w:jc w:val="right"/>
              <w:rPr>
                <w:rFonts w:ascii="Montserrat" w:hAnsi="Montserrat"/>
                <w:spacing w:val="-1"/>
                <w:sz w:val="15"/>
                <w:szCs w:val="15"/>
                <w:lang w:val="es-ES_tradnl"/>
              </w:rPr>
            </w:pPr>
            <w:r w:rsidRPr="000F0321">
              <w:rPr>
                <w:rFonts w:ascii="Montserrat" w:hAnsi="Montserrat"/>
                <w:spacing w:val="-1"/>
                <w:sz w:val="15"/>
                <w:szCs w:val="15"/>
                <w:lang w:val="es-ES_tradnl"/>
              </w:rPr>
              <w:t>0</w:t>
            </w:r>
          </w:p>
        </w:tc>
      </w:tr>
      <w:tr w:rsidR="006272D7" w:rsidRPr="006F0DF1" w14:paraId="52BE2792" w14:textId="77777777" w:rsidTr="001745ED">
        <w:trPr>
          <w:gridAfter w:val="1"/>
          <w:wAfter w:w="673" w:type="dxa"/>
          <w:trHeight w:val="282"/>
          <w:jc w:val="center"/>
        </w:trPr>
        <w:tc>
          <w:tcPr>
            <w:tcW w:w="1276" w:type="dxa"/>
            <w:shd w:val="clear" w:color="auto" w:fill="F2F2F2" w:themeFill="background1" w:themeFillShade="F2"/>
          </w:tcPr>
          <w:p w14:paraId="110C6831" w14:textId="47DC4CE3" w:rsidR="006272D7" w:rsidRPr="000F0321" w:rsidRDefault="006272D7" w:rsidP="006272D7">
            <w:pPr>
              <w:spacing w:after="0" w:line="240" w:lineRule="exact"/>
              <w:jc w:val="center"/>
              <w:rPr>
                <w:rFonts w:ascii="Montserrat" w:hAnsi="Montserrat"/>
                <w:spacing w:val="-1"/>
                <w:sz w:val="15"/>
                <w:szCs w:val="15"/>
                <w:lang w:val="es-ES_tradnl"/>
              </w:rPr>
            </w:pPr>
            <w:r w:rsidRPr="000F0321">
              <w:rPr>
                <w:rFonts w:ascii="Montserrat" w:hAnsi="Montserrat"/>
                <w:spacing w:val="-1"/>
                <w:sz w:val="15"/>
                <w:szCs w:val="15"/>
                <w:lang w:val="es-ES_tradnl"/>
              </w:rPr>
              <w:t>E.u.</w:t>
            </w:r>
          </w:p>
        </w:tc>
        <w:tc>
          <w:tcPr>
            <w:tcW w:w="1134" w:type="dxa"/>
            <w:shd w:val="clear" w:color="auto" w:fill="F2F2F2" w:themeFill="background1" w:themeFillShade="F2"/>
          </w:tcPr>
          <w:p w14:paraId="2405CE2F" w14:textId="466563A4" w:rsidR="006272D7" w:rsidRPr="000F0321" w:rsidRDefault="006272D7" w:rsidP="006272D7">
            <w:pPr>
              <w:spacing w:after="0" w:line="240" w:lineRule="exact"/>
              <w:jc w:val="center"/>
              <w:rPr>
                <w:rFonts w:ascii="Montserrat" w:hAnsi="Montserrat"/>
                <w:spacing w:val="-1"/>
                <w:sz w:val="15"/>
                <w:szCs w:val="15"/>
                <w:lang w:val="es-ES_tradnl"/>
              </w:rPr>
            </w:pPr>
            <w:r w:rsidRPr="000F0321">
              <w:rPr>
                <w:rFonts w:ascii="Montserrat" w:hAnsi="Montserrat"/>
                <w:spacing w:val="-1"/>
                <w:sz w:val="15"/>
                <w:szCs w:val="15"/>
                <w:lang w:val="es-ES_tradnl"/>
              </w:rPr>
              <w:t>Frs.</w:t>
            </w:r>
          </w:p>
        </w:tc>
        <w:tc>
          <w:tcPr>
            <w:tcW w:w="4820" w:type="dxa"/>
            <w:shd w:val="clear" w:color="auto" w:fill="F2F2F2" w:themeFill="background1" w:themeFillShade="F2"/>
            <w:tcMar>
              <w:top w:w="0" w:type="dxa"/>
              <w:left w:w="108" w:type="dxa"/>
              <w:bottom w:w="0" w:type="dxa"/>
              <w:right w:w="108" w:type="dxa"/>
            </w:tcMar>
          </w:tcPr>
          <w:p w14:paraId="0DC3A543" w14:textId="35A242F0" w:rsidR="006272D7" w:rsidRPr="000F0321" w:rsidRDefault="006272D7" w:rsidP="006272D7">
            <w:pPr>
              <w:spacing w:after="0" w:line="240" w:lineRule="exact"/>
              <w:rPr>
                <w:rFonts w:ascii="Montserrat" w:hAnsi="Montserrat"/>
                <w:spacing w:val="-1"/>
                <w:sz w:val="15"/>
                <w:szCs w:val="15"/>
                <w:lang w:val="es-ES_tradnl"/>
              </w:rPr>
            </w:pPr>
            <w:r w:rsidRPr="000F0321">
              <w:rPr>
                <w:rFonts w:ascii="Montserrat" w:hAnsi="Montserrat"/>
                <w:spacing w:val="-1"/>
                <w:sz w:val="15"/>
                <w:szCs w:val="15"/>
                <w:lang w:val="es-ES_tradnl"/>
              </w:rPr>
              <w:t>Bid</w:t>
            </w:r>
          </w:p>
        </w:tc>
        <w:tc>
          <w:tcPr>
            <w:tcW w:w="1984" w:type="dxa"/>
            <w:shd w:val="clear" w:color="auto" w:fill="F2F2F2" w:themeFill="background1" w:themeFillShade="F2"/>
          </w:tcPr>
          <w:p w14:paraId="25A7BA0F" w14:textId="543B12C7" w:rsidR="006272D7" w:rsidRPr="000F0321" w:rsidRDefault="006272D7" w:rsidP="006272D7">
            <w:pPr>
              <w:spacing w:after="0" w:line="240" w:lineRule="exact"/>
              <w:ind w:right="113"/>
              <w:jc w:val="right"/>
              <w:rPr>
                <w:rFonts w:ascii="Montserrat" w:hAnsi="Montserrat"/>
                <w:spacing w:val="-1"/>
                <w:sz w:val="15"/>
                <w:szCs w:val="15"/>
                <w:lang w:val="es-ES_tradnl"/>
              </w:rPr>
            </w:pPr>
            <w:r w:rsidRPr="000F0321">
              <w:rPr>
                <w:rFonts w:ascii="Montserrat" w:hAnsi="Montserrat"/>
                <w:spacing w:val="-1"/>
                <w:sz w:val="15"/>
                <w:szCs w:val="15"/>
                <w:lang w:val="es-ES_tradnl"/>
              </w:rPr>
              <w:t>12</w:t>
            </w:r>
            <w:r w:rsidR="003A549B" w:rsidRPr="000F0321">
              <w:rPr>
                <w:rFonts w:ascii="Montserrat" w:hAnsi="Montserrat"/>
                <w:spacing w:val="-1"/>
                <w:sz w:val="15"/>
                <w:szCs w:val="15"/>
                <w:lang w:val="es-ES_tradnl"/>
              </w:rPr>
              <w:t>,</w:t>
            </w:r>
            <w:r w:rsidRPr="000F0321">
              <w:rPr>
                <w:rFonts w:ascii="Montserrat" w:hAnsi="Montserrat"/>
                <w:spacing w:val="-1"/>
                <w:sz w:val="15"/>
                <w:szCs w:val="15"/>
                <w:lang w:val="es-ES_tradnl"/>
              </w:rPr>
              <w:t>146</w:t>
            </w:r>
            <w:r w:rsidR="003A549B" w:rsidRPr="000F0321">
              <w:rPr>
                <w:rFonts w:ascii="Montserrat" w:hAnsi="Montserrat"/>
                <w:spacing w:val="-1"/>
                <w:sz w:val="15"/>
                <w:szCs w:val="15"/>
                <w:lang w:val="es-ES_tradnl"/>
              </w:rPr>
              <w:t>,</w:t>
            </w:r>
            <w:r w:rsidRPr="000F0321">
              <w:rPr>
                <w:rFonts w:ascii="Montserrat" w:hAnsi="Montserrat"/>
                <w:spacing w:val="-1"/>
                <w:sz w:val="15"/>
                <w:szCs w:val="15"/>
                <w:lang w:val="es-ES_tradnl"/>
              </w:rPr>
              <w:t>090</w:t>
            </w:r>
            <w:r w:rsidR="003A549B" w:rsidRPr="000F0321">
              <w:rPr>
                <w:rFonts w:ascii="Montserrat" w:hAnsi="Montserrat"/>
                <w:spacing w:val="-1"/>
                <w:sz w:val="15"/>
                <w:szCs w:val="15"/>
                <w:lang w:val="es-ES_tradnl"/>
              </w:rPr>
              <w:t>,</w:t>
            </w:r>
            <w:r w:rsidRPr="000F0321">
              <w:rPr>
                <w:rFonts w:ascii="Montserrat" w:hAnsi="Montserrat"/>
                <w:spacing w:val="-1"/>
                <w:sz w:val="15"/>
                <w:szCs w:val="15"/>
                <w:lang w:val="es-ES_tradnl"/>
              </w:rPr>
              <w:t>270</w:t>
            </w:r>
          </w:p>
        </w:tc>
        <w:tc>
          <w:tcPr>
            <w:tcW w:w="1884" w:type="dxa"/>
            <w:shd w:val="clear" w:color="auto" w:fill="F2F2F2" w:themeFill="background1" w:themeFillShade="F2"/>
            <w:tcMar>
              <w:top w:w="0" w:type="dxa"/>
              <w:left w:w="108" w:type="dxa"/>
              <w:bottom w:w="0" w:type="dxa"/>
              <w:right w:w="108" w:type="dxa"/>
            </w:tcMar>
          </w:tcPr>
          <w:p w14:paraId="2E998633" w14:textId="6F393BA4" w:rsidR="006272D7" w:rsidRPr="000F0321" w:rsidRDefault="006272D7" w:rsidP="006272D7">
            <w:pPr>
              <w:spacing w:after="0" w:line="240" w:lineRule="exact"/>
              <w:ind w:right="113"/>
              <w:jc w:val="right"/>
              <w:rPr>
                <w:rFonts w:ascii="Montserrat" w:hAnsi="Montserrat"/>
                <w:spacing w:val="-1"/>
                <w:sz w:val="15"/>
                <w:szCs w:val="15"/>
                <w:lang w:val="es-ES_tradnl"/>
              </w:rPr>
            </w:pPr>
            <w:r w:rsidRPr="000F0321">
              <w:rPr>
                <w:rFonts w:ascii="Montserrat" w:hAnsi="Montserrat"/>
                <w:spacing w:val="-1"/>
                <w:sz w:val="15"/>
                <w:szCs w:val="15"/>
                <w:lang w:val="es-ES_tradnl"/>
              </w:rPr>
              <w:t>0</w:t>
            </w:r>
          </w:p>
        </w:tc>
      </w:tr>
      <w:tr w:rsidR="006272D7" w:rsidRPr="006F0DF1" w14:paraId="40B2EA5F" w14:textId="77777777" w:rsidTr="001745ED">
        <w:trPr>
          <w:gridAfter w:val="1"/>
          <w:wAfter w:w="673" w:type="dxa"/>
          <w:trHeight w:val="282"/>
          <w:jc w:val="center"/>
        </w:trPr>
        <w:tc>
          <w:tcPr>
            <w:tcW w:w="1276" w:type="dxa"/>
            <w:shd w:val="clear" w:color="auto" w:fill="F2F2F2" w:themeFill="background1" w:themeFillShade="F2"/>
          </w:tcPr>
          <w:p w14:paraId="7CAF144A" w14:textId="77777777" w:rsidR="006272D7" w:rsidRPr="000F0321" w:rsidRDefault="006272D7" w:rsidP="006272D7">
            <w:pPr>
              <w:spacing w:after="0" w:line="240" w:lineRule="exact"/>
              <w:jc w:val="center"/>
              <w:rPr>
                <w:rFonts w:ascii="Montserrat" w:hAnsi="Montserrat"/>
                <w:spacing w:val="-1"/>
                <w:sz w:val="15"/>
                <w:szCs w:val="15"/>
                <w:lang w:val="es-ES_tradnl"/>
              </w:rPr>
            </w:pPr>
            <w:r w:rsidRPr="000F0321">
              <w:rPr>
                <w:rFonts w:ascii="Montserrat" w:hAnsi="Montserrat"/>
                <w:spacing w:val="-1"/>
                <w:sz w:val="15"/>
                <w:szCs w:val="15"/>
                <w:lang w:val="es-ES_tradnl"/>
              </w:rPr>
              <w:t>E.u.</w:t>
            </w:r>
          </w:p>
        </w:tc>
        <w:tc>
          <w:tcPr>
            <w:tcW w:w="1134" w:type="dxa"/>
            <w:shd w:val="clear" w:color="auto" w:fill="F2F2F2" w:themeFill="background1" w:themeFillShade="F2"/>
          </w:tcPr>
          <w:p w14:paraId="63AA4A60" w14:textId="77777777" w:rsidR="006272D7" w:rsidRPr="000F0321" w:rsidRDefault="006272D7" w:rsidP="006272D7">
            <w:pPr>
              <w:spacing w:after="0" w:line="240" w:lineRule="exact"/>
              <w:jc w:val="center"/>
              <w:rPr>
                <w:rFonts w:ascii="Montserrat" w:hAnsi="Montserrat"/>
                <w:spacing w:val="-1"/>
                <w:sz w:val="15"/>
                <w:szCs w:val="15"/>
                <w:lang w:val="es-ES_tradnl"/>
              </w:rPr>
            </w:pPr>
            <w:r w:rsidRPr="000F0321">
              <w:rPr>
                <w:rFonts w:ascii="Montserrat" w:hAnsi="Montserrat"/>
                <w:spacing w:val="-1"/>
                <w:sz w:val="15"/>
                <w:szCs w:val="15"/>
                <w:lang w:val="es-ES_tradnl"/>
              </w:rPr>
              <w:t>Dlr.</w:t>
            </w:r>
          </w:p>
        </w:tc>
        <w:tc>
          <w:tcPr>
            <w:tcW w:w="4820" w:type="dxa"/>
            <w:shd w:val="clear" w:color="auto" w:fill="F2F2F2" w:themeFill="background1" w:themeFillShade="F2"/>
            <w:tcMar>
              <w:top w:w="0" w:type="dxa"/>
              <w:left w:w="108" w:type="dxa"/>
              <w:bottom w:w="0" w:type="dxa"/>
              <w:right w:w="108" w:type="dxa"/>
            </w:tcMar>
          </w:tcPr>
          <w:p w14:paraId="16F42982" w14:textId="123F7D65" w:rsidR="006272D7" w:rsidRPr="000F0321" w:rsidRDefault="00FC39E1" w:rsidP="006272D7">
            <w:pPr>
              <w:spacing w:after="0" w:line="240" w:lineRule="exact"/>
              <w:rPr>
                <w:rFonts w:ascii="Montserrat" w:hAnsi="Montserrat"/>
                <w:spacing w:val="-1"/>
                <w:sz w:val="15"/>
                <w:szCs w:val="15"/>
                <w:lang w:val="es-ES_tradnl"/>
              </w:rPr>
            </w:pPr>
            <w:r>
              <w:rPr>
                <w:rFonts w:ascii="Montserrat" w:hAnsi="Montserrat"/>
                <w:spacing w:val="-1"/>
                <w:sz w:val="15"/>
                <w:szCs w:val="15"/>
                <w:lang w:val="es-ES_tradnl"/>
              </w:rPr>
              <w:t>Bir</w:t>
            </w:r>
            <w:r w:rsidR="006272D7" w:rsidRPr="000F0321">
              <w:rPr>
                <w:rFonts w:ascii="Montserrat" w:hAnsi="Montserrat"/>
                <w:spacing w:val="-1"/>
                <w:sz w:val="15"/>
                <w:szCs w:val="15"/>
                <w:lang w:val="es-ES_tradnl"/>
              </w:rPr>
              <w:t>f</w:t>
            </w:r>
          </w:p>
        </w:tc>
        <w:tc>
          <w:tcPr>
            <w:tcW w:w="1984" w:type="dxa"/>
            <w:shd w:val="clear" w:color="auto" w:fill="F2F2F2" w:themeFill="background1" w:themeFillShade="F2"/>
          </w:tcPr>
          <w:p w14:paraId="2FE91188" w14:textId="794C3B86" w:rsidR="006272D7" w:rsidRPr="000F0321" w:rsidRDefault="006272D7" w:rsidP="006272D7">
            <w:pPr>
              <w:spacing w:after="0" w:line="240" w:lineRule="exact"/>
              <w:ind w:right="113"/>
              <w:jc w:val="right"/>
              <w:rPr>
                <w:rFonts w:ascii="Montserrat" w:hAnsi="Montserrat"/>
                <w:spacing w:val="-1"/>
                <w:sz w:val="15"/>
                <w:szCs w:val="15"/>
                <w:lang w:val="es-ES_tradnl"/>
              </w:rPr>
            </w:pPr>
            <w:r w:rsidRPr="000F0321">
              <w:rPr>
                <w:rFonts w:ascii="Montserrat" w:hAnsi="Montserrat"/>
                <w:spacing w:val="-1"/>
                <w:sz w:val="15"/>
                <w:szCs w:val="15"/>
                <w:lang w:val="es-ES_tradnl"/>
              </w:rPr>
              <w:t>115</w:t>
            </w:r>
            <w:r w:rsidR="003A549B" w:rsidRPr="000F0321">
              <w:rPr>
                <w:rFonts w:ascii="Montserrat" w:hAnsi="Montserrat"/>
                <w:spacing w:val="-1"/>
                <w:sz w:val="15"/>
                <w:szCs w:val="15"/>
                <w:lang w:val="es-ES_tradnl"/>
              </w:rPr>
              <w:t>,</w:t>
            </w:r>
            <w:r w:rsidRPr="000F0321">
              <w:rPr>
                <w:rFonts w:ascii="Montserrat" w:hAnsi="Montserrat"/>
                <w:spacing w:val="-1"/>
                <w:sz w:val="15"/>
                <w:szCs w:val="15"/>
                <w:lang w:val="es-ES_tradnl"/>
              </w:rPr>
              <w:t>071</w:t>
            </w:r>
            <w:r w:rsidR="003A549B" w:rsidRPr="000F0321">
              <w:rPr>
                <w:rFonts w:ascii="Montserrat" w:hAnsi="Montserrat"/>
                <w:spacing w:val="-1"/>
                <w:sz w:val="15"/>
                <w:szCs w:val="15"/>
                <w:lang w:val="es-ES_tradnl"/>
              </w:rPr>
              <w:t>,</w:t>
            </w:r>
            <w:r w:rsidRPr="000F0321">
              <w:rPr>
                <w:rFonts w:ascii="Montserrat" w:hAnsi="Montserrat"/>
                <w:spacing w:val="-1"/>
                <w:sz w:val="15"/>
                <w:szCs w:val="15"/>
                <w:lang w:val="es-ES_tradnl"/>
              </w:rPr>
              <w:t>807</w:t>
            </w:r>
            <w:r w:rsidR="003A549B" w:rsidRPr="000F0321">
              <w:rPr>
                <w:rFonts w:ascii="Montserrat" w:hAnsi="Montserrat"/>
                <w:spacing w:val="-1"/>
                <w:sz w:val="15"/>
                <w:szCs w:val="15"/>
                <w:lang w:val="es-ES_tradnl"/>
              </w:rPr>
              <w:t>,</w:t>
            </w:r>
            <w:r w:rsidRPr="000F0321">
              <w:rPr>
                <w:rFonts w:ascii="Montserrat" w:hAnsi="Montserrat"/>
                <w:spacing w:val="-1"/>
                <w:sz w:val="15"/>
                <w:szCs w:val="15"/>
                <w:lang w:val="es-ES_tradnl"/>
              </w:rPr>
              <w:t>894</w:t>
            </w:r>
          </w:p>
        </w:tc>
        <w:tc>
          <w:tcPr>
            <w:tcW w:w="1884" w:type="dxa"/>
            <w:shd w:val="clear" w:color="auto" w:fill="F2F2F2" w:themeFill="background1" w:themeFillShade="F2"/>
            <w:tcMar>
              <w:top w:w="0" w:type="dxa"/>
              <w:left w:w="108" w:type="dxa"/>
              <w:bottom w:w="0" w:type="dxa"/>
              <w:right w:w="108" w:type="dxa"/>
            </w:tcMar>
          </w:tcPr>
          <w:p w14:paraId="1B5255D1" w14:textId="77777777" w:rsidR="006272D7" w:rsidRPr="000F0321" w:rsidRDefault="006272D7" w:rsidP="006272D7">
            <w:pPr>
              <w:spacing w:after="0" w:line="240" w:lineRule="exact"/>
              <w:ind w:right="113"/>
              <w:jc w:val="right"/>
              <w:rPr>
                <w:rFonts w:ascii="Montserrat" w:hAnsi="Montserrat"/>
                <w:spacing w:val="-1"/>
                <w:sz w:val="15"/>
                <w:szCs w:val="15"/>
                <w:lang w:val="es-ES_tradnl"/>
              </w:rPr>
            </w:pPr>
            <w:r w:rsidRPr="000F0321">
              <w:rPr>
                <w:rFonts w:ascii="Montserrat" w:hAnsi="Montserrat"/>
                <w:spacing w:val="-1"/>
                <w:sz w:val="15"/>
                <w:szCs w:val="15"/>
                <w:lang w:val="es-ES_tradnl"/>
              </w:rPr>
              <w:t>110,950,460,747</w:t>
            </w:r>
          </w:p>
        </w:tc>
      </w:tr>
      <w:tr w:rsidR="006272D7" w:rsidRPr="006F0DF1" w14:paraId="09946A62" w14:textId="77777777" w:rsidTr="001745ED">
        <w:trPr>
          <w:gridAfter w:val="1"/>
          <w:wAfter w:w="673" w:type="dxa"/>
          <w:trHeight w:val="282"/>
          <w:jc w:val="center"/>
        </w:trPr>
        <w:tc>
          <w:tcPr>
            <w:tcW w:w="1276" w:type="dxa"/>
            <w:shd w:val="clear" w:color="auto" w:fill="F2F2F2" w:themeFill="background1" w:themeFillShade="F2"/>
          </w:tcPr>
          <w:p w14:paraId="2AD6283D" w14:textId="77777777" w:rsidR="006272D7" w:rsidRPr="000F0321" w:rsidRDefault="006272D7" w:rsidP="006272D7">
            <w:pPr>
              <w:spacing w:after="0" w:line="240" w:lineRule="exact"/>
              <w:jc w:val="center"/>
              <w:rPr>
                <w:rFonts w:ascii="Montserrat" w:hAnsi="Montserrat"/>
                <w:spacing w:val="-1"/>
                <w:sz w:val="15"/>
                <w:szCs w:val="15"/>
                <w:lang w:val="es-ES_tradnl"/>
              </w:rPr>
            </w:pPr>
          </w:p>
        </w:tc>
        <w:tc>
          <w:tcPr>
            <w:tcW w:w="1134" w:type="dxa"/>
            <w:shd w:val="clear" w:color="auto" w:fill="F2F2F2" w:themeFill="background1" w:themeFillShade="F2"/>
          </w:tcPr>
          <w:p w14:paraId="74D26AF2" w14:textId="77777777" w:rsidR="006272D7" w:rsidRPr="000F0321" w:rsidRDefault="006272D7" w:rsidP="006272D7">
            <w:pPr>
              <w:spacing w:after="0" w:line="240" w:lineRule="exact"/>
              <w:jc w:val="center"/>
              <w:rPr>
                <w:rFonts w:ascii="Montserrat" w:hAnsi="Montserrat"/>
                <w:spacing w:val="-1"/>
                <w:sz w:val="15"/>
                <w:szCs w:val="15"/>
                <w:lang w:val="es-ES_tradnl"/>
              </w:rPr>
            </w:pPr>
          </w:p>
        </w:tc>
        <w:tc>
          <w:tcPr>
            <w:tcW w:w="4820" w:type="dxa"/>
            <w:shd w:val="clear" w:color="auto" w:fill="F2F2F2" w:themeFill="background1" w:themeFillShade="F2"/>
            <w:tcMar>
              <w:top w:w="0" w:type="dxa"/>
              <w:left w:w="108" w:type="dxa"/>
              <w:bottom w:w="0" w:type="dxa"/>
              <w:right w:w="108" w:type="dxa"/>
            </w:tcMar>
          </w:tcPr>
          <w:p w14:paraId="475DCE5C" w14:textId="77777777" w:rsidR="006272D7" w:rsidRPr="000F0321" w:rsidRDefault="006272D7" w:rsidP="006272D7">
            <w:pPr>
              <w:spacing w:after="0" w:line="240" w:lineRule="exact"/>
              <w:ind w:firstLine="675"/>
              <w:jc w:val="both"/>
              <w:rPr>
                <w:rFonts w:ascii="Montserrat" w:hAnsi="Montserrat"/>
                <w:b/>
                <w:spacing w:val="-1"/>
                <w:sz w:val="15"/>
                <w:szCs w:val="15"/>
                <w:lang w:val="es-ES_tradnl"/>
              </w:rPr>
            </w:pPr>
            <w:r w:rsidRPr="000F0321">
              <w:rPr>
                <w:rFonts w:ascii="Montserrat" w:hAnsi="Montserrat"/>
                <w:b/>
                <w:spacing w:val="-1"/>
                <w:sz w:val="15"/>
                <w:szCs w:val="15"/>
                <w:lang w:val="es-ES_tradnl"/>
              </w:rPr>
              <w:t>Bilaterales:</w:t>
            </w:r>
          </w:p>
        </w:tc>
        <w:tc>
          <w:tcPr>
            <w:tcW w:w="1984" w:type="dxa"/>
            <w:shd w:val="clear" w:color="auto" w:fill="F2F2F2" w:themeFill="background1" w:themeFillShade="F2"/>
          </w:tcPr>
          <w:p w14:paraId="74C2706B" w14:textId="7C947EB5" w:rsidR="006272D7" w:rsidRPr="000F0321" w:rsidRDefault="006272D7" w:rsidP="006272D7">
            <w:pPr>
              <w:spacing w:after="0" w:line="240" w:lineRule="exact"/>
              <w:ind w:right="113"/>
              <w:jc w:val="right"/>
              <w:rPr>
                <w:rFonts w:ascii="Montserrat" w:hAnsi="Montserrat"/>
                <w:b/>
                <w:spacing w:val="-1"/>
                <w:sz w:val="15"/>
                <w:szCs w:val="15"/>
                <w:lang w:val="es-ES_tradnl"/>
              </w:rPr>
            </w:pPr>
            <w:r w:rsidRPr="000F0321">
              <w:rPr>
                <w:rFonts w:ascii="Montserrat" w:hAnsi="Montserrat"/>
                <w:b/>
                <w:spacing w:val="-1"/>
                <w:sz w:val="15"/>
                <w:szCs w:val="15"/>
                <w:lang w:val="es-ES_tradnl"/>
              </w:rPr>
              <w:t>32</w:t>
            </w:r>
            <w:r w:rsidR="003A549B" w:rsidRPr="000F0321">
              <w:rPr>
                <w:rFonts w:ascii="Montserrat" w:hAnsi="Montserrat"/>
                <w:b/>
                <w:spacing w:val="-1"/>
                <w:sz w:val="15"/>
                <w:szCs w:val="15"/>
                <w:lang w:val="es-ES_tradnl"/>
              </w:rPr>
              <w:t>,</w:t>
            </w:r>
            <w:r w:rsidRPr="000F0321">
              <w:rPr>
                <w:rFonts w:ascii="Montserrat" w:hAnsi="Montserrat"/>
                <w:b/>
                <w:spacing w:val="-1"/>
                <w:sz w:val="15"/>
                <w:szCs w:val="15"/>
                <w:lang w:val="es-ES_tradnl"/>
              </w:rPr>
              <w:t>436</w:t>
            </w:r>
            <w:r w:rsidR="003A549B" w:rsidRPr="000F0321">
              <w:rPr>
                <w:rFonts w:ascii="Montserrat" w:hAnsi="Montserrat"/>
                <w:b/>
                <w:spacing w:val="-1"/>
                <w:sz w:val="15"/>
                <w:szCs w:val="15"/>
                <w:lang w:val="es-ES_tradnl"/>
              </w:rPr>
              <w:t>,</w:t>
            </w:r>
            <w:r w:rsidRPr="000F0321">
              <w:rPr>
                <w:rFonts w:ascii="Montserrat" w:hAnsi="Montserrat"/>
                <w:b/>
                <w:spacing w:val="-1"/>
                <w:sz w:val="15"/>
                <w:szCs w:val="15"/>
                <w:lang w:val="es-ES_tradnl"/>
              </w:rPr>
              <w:t>299</w:t>
            </w:r>
            <w:r w:rsidR="003A549B" w:rsidRPr="000F0321">
              <w:rPr>
                <w:rFonts w:ascii="Montserrat" w:hAnsi="Montserrat"/>
                <w:b/>
                <w:spacing w:val="-1"/>
                <w:sz w:val="15"/>
                <w:szCs w:val="15"/>
                <w:lang w:val="es-ES_tradnl"/>
              </w:rPr>
              <w:t>,</w:t>
            </w:r>
            <w:r w:rsidRPr="000F0321">
              <w:rPr>
                <w:rFonts w:ascii="Montserrat" w:hAnsi="Montserrat"/>
                <w:b/>
                <w:spacing w:val="-1"/>
                <w:sz w:val="15"/>
                <w:szCs w:val="15"/>
                <w:lang w:val="es-ES_tradnl"/>
              </w:rPr>
              <w:t>361</w:t>
            </w:r>
          </w:p>
        </w:tc>
        <w:tc>
          <w:tcPr>
            <w:tcW w:w="1884" w:type="dxa"/>
            <w:shd w:val="clear" w:color="auto" w:fill="F2F2F2" w:themeFill="background1" w:themeFillShade="F2"/>
            <w:tcMar>
              <w:top w:w="0" w:type="dxa"/>
              <w:left w:w="108" w:type="dxa"/>
              <w:bottom w:w="0" w:type="dxa"/>
              <w:right w:w="108" w:type="dxa"/>
            </w:tcMar>
          </w:tcPr>
          <w:p w14:paraId="625FA045" w14:textId="77777777" w:rsidR="006272D7" w:rsidRPr="000F0321" w:rsidRDefault="006272D7" w:rsidP="006272D7">
            <w:pPr>
              <w:spacing w:after="0" w:line="240" w:lineRule="exact"/>
              <w:ind w:right="113"/>
              <w:jc w:val="right"/>
              <w:rPr>
                <w:rFonts w:ascii="Montserrat" w:hAnsi="Montserrat"/>
                <w:b/>
                <w:spacing w:val="-1"/>
                <w:sz w:val="15"/>
                <w:szCs w:val="15"/>
                <w:lang w:val="es-ES_tradnl"/>
              </w:rPr>
            </w:pPr>
            <w:r w:rsidRPr="000F0321">
              <w:rPr>
                <w:rFonts w:ascii="Montserrat" w:hAnsi="Montserrat"/>
                <w:b/>
                <w:spacing w:val="-1"/>
                <w:sz w:val="15"/>
                <w:szCs w:val="15"/>
                <w:lang w:val="es-ES_tradnl"/>
              </w:rPr>
              <w:t>38,146,245,567</w:t>
            </w:r>
          </w:p>
        </w:tc>
      </w:tr>
      <w:tr w:rsidR="006272D7" w:rsidRPr="006F0DF1" w14:paraId="7D22A36A" w14:textId="77777777" w:rsidTr="001745ED">
        <w:trPr>
          <w:gridAfter w:val="1"/>
          <w:wAfter w:w="673" w:type="dxa"/>
          <w:trHeight w:val="282"/>
          <w:jc w:val="center"/>
        </w:trPr>
        <w:tc>
          <w:tcPr>
            <w:tcW w:w="1276" w:type="dxa"/>
            <w:shd w:val="clear" w:color="auto" w:fill="F2F2F2" w:themeFill="background1" w:themeFillShade="F2"/>
          </w:tcPr>
          <w:p w14:paraId="1DC1F9FC" w14:textId="77777777" w:rsidR="006272D7" w:rsidRPr="000F0321" w:rsidRDefault="006272D7" w:rsidP="006272D7">
            <w:pPr>
              <w:spacing w:after="0" w:line="240" w:lineRule="exact"/>
              <w:jc w:val="center"/>
              <w:rPr>
                <w:rFonts w:ascii="Montserrat" w:hAnsi="Montserrat"/>
                <w:spacing w:val="-1"/>
                <w:sz w:val="15"/>
                <w:szCs w:val="15"/>
                <w:lang w:val="es-ES_tradnl"/>
              </w:rPr>
            </w:pPr>
          </w:p>
        </w:tc>
        <w:tc>
          <w:tcPr>
            <w:tcW w:w="1134" w:type="dxa"/>
            <w:shd w:val="clear" w:color="auto" w:fill="F2F2F2" w:themeFill="background1" w:themeFillShade="F2"/>
          </w:tcPr>
          <w:p w14:paraId="359FFDDB" w14:textId="77777777" w:rsidR="006272D7" w:rsidRPr="000F0321" w:rsidRDefault="006272D7" w:rsidP="006272D7">
            <w:pPr>
              <w:spacing w:after="0" w:line="240" w:lineRule="exact"/>
              <w:jc w:val="center"/>
              <w:rPr>
                <w:rFonts w:ascii="Montserrat" w:hAnsi="Montserrat"/>
                <w:spacing w:val="-1"/>
                <w:sz w:val="15"/>
                <w:szCs w:val="15"/>
                <w:lang w:val="es-ES_tradnl"/>
              </w:rPr>
            </w:pPr>
          </w:p>
        </w:tc>
        <w:tc>
          <w:tcPr>
            <w:tcW w:w="4820" w:type="dxa"/>
            <w:shd w:val="clear" w:color="auto" w:fill="F2F2F2" w:themeFill="background1" w:themeFillShade="F2"/>
            <w:tcMar>
              <w:top w:w="0" w:type="dxa"/>
              <w:left w:w="108" w:type="dxa"/>
              <w:bottom w:w="0" w:type="dxa"/>
              <w:right w:w="108" w:type="dxa"/>
            </w:tcMar>
          </w:tcPr>
          <w:p w14:paraId="55DA9512" w14:textId="77777777" w:rsidR="006272D7" w:rsidRPr="000F0321" w:rsidRDefault="006272D7" w:rsidP="006272D7">
            <w:pPr>
              <w:spacing w:after="0" w:line="240" w:lineRule="exact"/>
              <w:ind w:firstLine="675"/>
              <w:jc w:val="center"/>
              <w:rPr>
                <w:rFonts w:ascii="Montserrat" w:hAnsi="Montserrat"/>
                <w:b/>
                <w:spacing w:val="-1"/>
                <w:sz w:val="15"/>
                <w:szCs w:val="15"/>
                <w:lang w:val="es-ES_tradnl"/>
              </w:rPr>
            </w:pPr>
            <w:r w:rsidRPr="000F0321">
              <w:rPr>
                <w:rFonts w:ascii="Montserrat" w:hAnsi="Montserrat"/>
                <w:b/>
                <w:spacing w:val="-1"/>
                <w:sz w:val="15"/>
                <w:szCs w:val="15"/>
                <w:lang w:val="es-ES_tradnl"/>
              </w:rPr>
              <w:t>Nafin</w:t>
            </w:r>
          </w:p>
        </w:tc>
        <w:tc>
          <w:tcPr>
            <w:tcW w:w="1984" w:type="dxa"/>
            <w:shd w:val="clear" w:color="auto" w:fill="F2F2F2" w:themeFill="background1" w:themeFillShade="F2"/>
          </w:tcPr>
          <w:p w14:paraId="3D95BD90" w14:textId="67CDEFD8" w:rsidR="006272D7" w:rsidRPr="000F0321" w:rsidRDefault="00C5200E" w:rsidP="006272D7">
            <w:pPr>
              <w:spacing w:after="0" w:line="240" w:lineRule="exact"/>
              <w:ind w:right="113"/>
              <w:jc w:val="right"/>
              <w:rPr>
                <w:rFonts w:ascii="Montserrat" w:hAnsi="Montserrat"/>
                <w:b/>
                <w:spacing w:val="-1"/>
                <w:sz w:val="15"/>
                <w:szCs w:val="15"/>
                <w:lang w:val="es-ES_tradnl"/>
              </w:rPr>
            </w:pPr>
            <w:r w:rsidRPr="000F0321">
              <w:rPr>
                <w:rFonts w:ascii="Montserrat" w:hAnsi="Montserrat"/>
                <w:b/>
                <w:spacing w:val="-1"/>
                <w:sz w:val="15"/>
                <w:szCs w:val="15"/>
                <w:lang w:val="es-ES_tradnl"/>
              </w:rPr>
              <w:t>2</w:t>
            </w:r>
            <w:r w:rsidR="003A549B" w:rsidRPr="000F0321">
              <w:rPr>
                <w:rFonts w:ascii="Montserrat" w:hAnsi="Montserrat"/>
                <w:b/>
                <w:spacing w:val="-1"/>
                <w:sz w:val="15"/>
                <w:szCs w:val="15"/>
                <w:lang w:val="es-ES_tradnl"/>
              </w:rPr>
              <w:t>,</w:t>
            </w:r>
            <w:r w:rsidRPr="000F0321">
              <w:rPr>
                <w:rFonts w:ascii="Montserrat" w:hAnsi="Montserrat"/>
                <w:b/>
                <w:spacing w:val="-1"/>
                <w:sz w:val="15"/>
                <w:szCs w:val="15"/>
                <w:lang w:val="es-ES_tradnl"/>
              </w:rPr>
              <w:t>121</w:t>
            </w:r>
            <w:r w:rsidR="003A549B" w:rsidRPr="000F0321">
              <w:rPr>
                <w:rFonts w:ascii="Montserrat" w:hAnsi="Montserrat"/>
                <w:b/>
                <w:spacing w:val="-1"/>
                <w:sz w:val="15"/>
                <w:szCs w:val="15"/>
                <w:lang w:val="es-ES_tradnl"/>
              </w:rPr>
              <w:t>,</w:t>
            </w:r>
            <w:r w:rsidRPr="000F0321">
              <w:rPr>
                <w:rFonts w:ascii="Montserrat" w:hAnsi="Montserrat"/>
                <w:b/>
                <w:spacing w:val="-1"/>
                <w:sz w:val="15"/>
                <w:szCs w:val="15"/>
                <w:lang w:val="es-ES_tradnl"/>
              </w:rPr>
              <w:t>178</w:t>
            </w:r>
            <w:r w:rsidR="003A549B" w:rsidRPr="000F0321">
              <w:rPr>
                <w:rFonts w:ascii="Montserrat" w:hAnsi="Montserrat"/>
                <w:b/>
                <w:spacing w:val="-1"/>
                <w:sz w:val="15"/>
                <w:szCs w:val="15"/>
                <w:lang w:val="es-ES_tradnl"/>
              </w:rPr>
              <w:t>,</w:t>
            </w:r>
            <w:r w:rsidRPr="000F0321">
              <w:rPr>
                <w:rFonts w:ascii="Montserrat" w:hAnsi="Montserrat"/>
                <w:b/>
                <w:spacing w:val="-1"/>
                <w:sz w:val="15"/>
                <w:szCs w:val="15"/>
                <w:lang w:val="es-ES_tradnl"/>
              </w:rPr>
              <w:t>537</w:t>
            </w:r>
          </w:p>
        </w:tc>
        <w:tc>
          <w:tcPr>
            <w:tcW w:w="1884" w:type="dxa"/>
            <w:shd w:val="clear" w:color="auto" w:fill="F2F2F2" w:themeFill="background1" w:themeFillShade="F2"/>
            <w:tcMar>
              <w:top w:w="0" w:type="dxa"/>
              <w:left w:w="108" w:type="dxa"/>
              <w:bottom w:w="0" w:type="dxa"/>
              <w:right w:w="108" w:type="dxa"/>
            </w:tcMar>
          </w:tcPr>
          <w:p w14:paraId="349617FA" w14:textId="77777777" w:rsidR="006272D7" w:rsidRPr="000F0321" w:rsidRDefault="006272D7" w:rsidP="006272D7">
            <w:pPr>
              <w:spacing w:after="0" w:line="240" w:lineRule="exact"/>
              <w:ind w:right="113"/>
              <w:jc w:val="right"/>
              <w:rPr>
                <w:rFonts w:ascii="Montserrat" w:hAnsi="Montserrat"/>
                <w:b/>
                <w:spacing w:val="-1"/>
                <w:sz w:val="15"/>
                <w:szCs w:val="15"/>
                <w:lang w:val="es-ES_tradnl"/>
              </w:rPr>
            </w:pPr>
            <w:r w:rsidRPr="000F0321">
              <w:rPr>
                <w:rFonts w:ascii="Montserrat" w:hAnsi="Montserrat"/>
                <w:b/>
                <w:spacing w:val="-1"/>
                <w:sz w:val="15"/>
                <w:szCs w:val="15"/>
                <w:lang w:val="es-ES_tradnl"/>
              </w:rPr>
              <w:t>2,262,892,268</w:t>
            </w:r>
          </w:p>
        </w:tc>
      </w:tr>
      <w:tr w:rsidR="006272D7" w:rsidRPr="006F0DF1" w14:paraId="07918AC3" w14:textId="77777777" w:rsidTr="001745ED">
        <w:trPr>
          <w:gridAfter w:val="1"/>
          <w:wAfter w:w="673" w:type="dxa"/>
          <w:trHeight w:val="282"/>
          <w:jc w:val="center"/>
        </w:trPr>
        <w:tc>
          <w:tcPr>
            <w:tcW w:w="1276" w:type="dxa"/>
            <w:shd w:val="clear" w:color="auto" w:fill="F2F2F2" w:themeFill="background1" w:themeFillShade="F2"/>
            <w:vAlign w:val="bottom"/>
          </w:tcPr>
          <w:p w14:paraId="34E4124B" w14:textId="77777777" w:rsidR="006272D7" w:rsidRPr="000F0321" w:rsidRDefault="006272D7" w:rsidP="006272D7">
            <w:pPr>
              <w:spacing w:after="0" w:line="240" w:lineRule="exact"/>
              <w:jc w:val="center"/>
              <w:rPr>
                <w:rFonts w:ascii="Montserrat" w:hAnsi="Montserrat"/>
                <w:sz w:val="15"/>
                <w:szCs w:val="15"/>
                <w:lang w:val="es-ES_tradnl"/>
              </w:rPr>
            </w:pPr>
            <w:r w:rsidRPr="000F0321">
              <w:rPr>
                <w:rFonts w:ascii="Montserrat" w:hAnsi="Montserrat"/>
                <w:sz w:val="15"/>
                <w:szCs w:val="15"/>
                <w:lang w:val="es-ES_tradnl"/>
              </w:rPr>
              <w:t>E.u.</w:t>
            </w:r>
          </w:p>
        </w:tc>
        <w:tc>
          <w:tcPr>
            <w:tcW w:w="1134" w:type="dxa"/>
            <w:shd w:val="clear" w:color="auto" w:fill="F2F2F2" w:themeFill="background1" w:themeFillShade="F2"/>
            <w:vAlign w:val="bottom"/>
          </w:tcPr>
          <w:p w14:paraId="2C9E9998" w14:textId="77777777" w:rsidR="006272D7" w:rsidRPr="000F0321" w:rsidRDefault="006272D7" w:rsidP="006272D7">
            <w:pPr>
              <w:spacing w:after="0" w:line="240" w:lineRule="exact"/>
              <w:jc w:val="center"/>
              <w:rPr>
                <w:rFonts w:ascii="Montserrat" w:hAnsi="Montserrat"/>
                <w:sz w:val="15"/>
                <w:szCs w:val="15"/>
                <w:lang w:val="es-ES_tradnl"/>
              </w:rPr>
            </w:pPr>
            <w:r w:rsidRPr="000F0321">
              <w:rPr>
                <w:rFonts w:ascii="Montserrat" w:hAnsi="Montserrat"/>
                <w:sz w:val="15"/>
                <w:szCs w:val="15"/>
                <w:lang w:val="es-ES_tradnl"/>
              </w:rPr>
              <w:t>Dlr.</w:t>
            </w:r>
          </w:p>
        </w:tc>
        <w:tc>
          <w:tcPr>
            <w:tcW w:w="4820" w:type="dxa"/>
            <w:shd w:val="clear" w:color="auto" w:fill="F2F2F2" w:themeFill="background1" w:themeFillShade="F2"/>
            <w:tcMar>
              <w:top w:w="0" w:type="dxa"/>
              <w:left w:w="108" w:type="dxa"/>
              <w:bottom w:w="0" w:type="dxa"/>
              <w:right w:w="108" w:type="dxa"/>
            </w:tcMar>
          </w:tcPr>
          <w:p w14:paraId="5B772798" w14:textId="77777777" w:rsidR="006272D7" w:rsidRPr="000F0321" w:rsidRDefault="006272D7" w:rsidP="006272D7">
            <w:pPr>
              <w:spacing w:after="0" w:line="240" w:lineRule="exact"/>
              <w:rPr>
                <w:rFonts w:ascii="Montserrat" w:hAnsi="Montserrat"/>
                <w:spacing w:val="-1"/>
                <w:sz w:val="15"/>
                <w:szCs w:val="15"/>
                <w:lang w:val="es-ES_tradnl"/>
              </w:rPr>
            </w:pPr>
          </w:p>
        </w:tc>
        <w:tc>
          <w:tcPr>
            <w:tcW w:w="1984" w:type="dxa"/>
            <w:shd w:val="clear" w:color="auto" w:fill="F2F2F2" w:themeFill="background1" w:themeFillShade="F2"/>
          </w:tcPr>
          <w:p w14:paraId="0536E816" w14:textId="714A0A24" w:rsidR="006272D7" w:rsidRPr="000F0321" w:rsidRDefault="00C5200E" w:rsidP="006272D7">
            <w:pPr>
              <w:spacing w:after="0" w:line="240" w:lineRule="exact"/>
              <w:ind w:right="113"/>
              <w:jc w:val="right"/>
              <w:rPr>
                <w:rFonts w:ascii="Montserrat" w:hAnsi="Montserrat"/>
                <w:spacing w:val="-1"/>
                <w:sz w:val="15"/>
                <w:szCs w:val="15"/>
                <w:lang w:val="es-ES_tradnl"/>
              </w:rPr>
            </w:pPr>
            <w:r w:rsidRPr="000F0321">
              <w:rPr>
                <w:rFonts w:ascii="Montserrat" w:hAnsi="Montserrat"/>
                <w:spacing w:val="-1"/>
                <w:sz w:val="15"/>
                <w:szCs w:val="15"/>
                <w:lang w:val="es-ES_tradnl"/>
              </w:rPr>
              <w:t>5</w:t>
            </w:r>
            <w:r w:rsidR="003A549B" w:rsidRPr="000F0321">
              <w:rPr>
                <w:rFonts w:ascii="Montserrat" w:hAnsi="Montserrat"/>
                <w:spacing w:val="-1"/>
                <w:sz w:val="15"/>
                <w:szCs w:val="15"/>
                <w:lang w:val="es-ES_tradnl"/>
              </w:rPr>
              <w:t>,</w:t>
            </w:r>
            <w:r w:rsidRPr="000F0321">
              <w:rPr>
                <w:rFonts w:ascii="Montserrat" w:hAnsi="Montserrat"/>
                <w:spacing w:val="-1"/>
                <w:sz w:val="15"/>
                <w:szCs w:val="15"/>
                <w:lang w:val="es-ES_tradnl"/>
              </w:rPr>
              <w:t>804</w:t>
            </w:r>
            <w:r w:rsidR="003A549B" w:rsidRPr="000F0321">
              <w:rPr>
                <w:rFonts w:ascii="Montserrat" w:hAnsi="Montserrat"/>
                <w:spacing w:val="-1"/>
                <w:sz w:val="15"/>
                <w:szCs w:val="15"/>
                <w:lang w:val="es-ES_tradnl"/>
              </w:rPr>
              <w:t>,</w:t>
            </w:r>
            <w:r w:rsidRPr="000F0321">
              <w:rPr>
                <w:rFonts w:ascii="Montserrat" w:hAnsi="Montserrat"/>
                <w:spacing w:val="-1"/>
                <w:sz w:val="15"/>
                <w:szCs w:val="15"/>
                <w:lang w:val="es-ES_tradnl"/>
              </w:rPr>
              <w:t>831</w:t>
            </w:r>
          </w:p>
        </w:tc>
        <w:tc>
          <w:tcPr>
            <w:tcW w:w="1884" w:type="dxa"/>
            <w:shd w:val="clear" w:color="auto" w:fill="F2F2F2" w:themeFill="background1" w:themeFillShade="F2"/>
            <w:tcMar>
              <w:top w:w="0" w:type="dxa"/>
              <w:left w:w="108" w:type="dxa"/>
              <w:bottom w:w="0" w:type="dxa"/>
              <w:right w:w="108" w:type="dxa"/>
            </w:tcMar>
          </w:tcPr>
          <w:p w14:paraId="26723CC1" w14:textId="77777777" w:rsidR="006272D7" w:rsidRPr="000F0321" w:rsidRDefault="006272D7" w:rsidP="006272D7">
            <w:pPr>
              <w:spacing w:after="0" w:line="240" w:lineRule="exact"/>
              <w:ind w:right="113"/>
              <w:jc w:val="right"/>
              <w:rPr>
                <w:rFonts w:ascii="Montserrat" w:hAnsi="Montserrat"/>
                <w:spacing w:val="-1"/>
                <w:sz w:val="15"/>
                <w:szCs w:val="15"/>
                <w:lang w:val="es-ES_tradnl"/>
              </w:rPr>
            </w:pPr>
            <w:r w:rsidRPr="000F0321">
              <w:rPr>
                <w:rFonts w:ascii="Montserrat" w:hAnsi="Montserrat"/>
                <w:spacing w:val="-1"/>
                <w:sz w:val="15"/>
                <w:szCs w:val="15"/>
                <w:lang w:val="es-ES_tradnl"/>
              </w:rPr>
              <w:t>12,125,954</w:t>
            </w:r>
          </w:p>
        </w:tc>
      </w:tr>
      <w:tr w:rsidR="006272D7" w:rsidRPr="006F0DF1" w14:paraId="4EE8CA86" w14:textId="77777777" w:rsidTr="001745ED">
        <w:trPr>
          <w:gridAfter w:val="1"/>
          <w:wAfter w:w="673" w:type="dxa"/>
          <w:trHeight w:val="282"/>
          <w:jc w:val="center"/>
        </w:trPr>
        <w:tc>
          <w:tcPr>
            <w:tcW w:w="1276" w:type="dxa"/>
            <w:shd w:val="clear" w:color="auto" w:fill="F2F2F2" w:themeFill="background1" w:themeFillShade="F2"/>
            <w:vAlign w:val="bottom"/>
          </w:tcPr>
          <w:p w14:paraId="75851BBA" w14:textId="77777777" w:rsidR="006272D7" w:rsidRPr="000F0321" w:rsidRDefault="006272D7" w:rsidP="006272D7">
            <w:pPr>
              <w:spacing w:after="0" w:line="240" w:lineRule="exact"/>
              <w:jc w:val="center"/>
              <w:rPr>
                <w:rFonts w:ascii="Montserrat" w:hAnsi="Montserrat"/>
                <w:sz w:val="15"/>
                <w:szCs w:val="15"/>
                <w:lang w:val="es-ES_tradnl"/>
              </w:rPr>
            </w:pPr>
            <w:r w:rsidRPr="000F0321">
              <w:rPr>
                <w:rFonts w:ascii="Montserrat" w:hAnsi="Montserrat"/>
                <w:sz w:val="15"/>
                <w:szCs w:val="15"/>
                <w:lang w:val="es-ES_tradnl"/>
              </w:rPr>
              <w:t>E.u.</w:t>
            </w:r>
          </w:p>
        </w:tc>
        <w:tc>
          <w:tcPr>
            <w:tcW w:w="1134" w:type="dxa"/>
            <w:shd w:val="clear" w:color="auto" w:fill="F2F2F2" w:themeFill="background1" w:themeFillShade="F2"/>
            <w:vAlign w:val="bottom"/>
          </w:tcPr>
          <w:p w14:paraId="0E8593F4" w14:textId="77777777" w:rsidR="006272D7" w:rsidRPr="000F0321" w:rsidRDefault="006272D7" w:rsidP="006272D7">
            <w:pPr>
              <w:spacing w:after="0" w:line="240" w:lineRule="exact"/>
              <w:jc w:val="center"/>
              <w:rPr>
                <w:rFonts w:ascii="Montserrat" w:hAnsi="Montserrat"/>
                <w:sz w:val="15"/>
                <w:szCs w:val="15"/>
                <w:lang w:val="es-ES_tradnl"/>
              </w:rPr>
            </w:pPr>
            <w:r w:rsidRPr="000F0321">
              <w:rPr>
                <w:rFonts w:ascii="Montserrat" w:hAnsi="Montserrat"/>
                <w:sz w:val="15"/>
                <w:szCs w:val="15"/>
                <w:lang w:val="es-ES_tradnl"/>
              </w:rPr>
              <w:t>Eur.</w:t>
            </w:r>
          </w:p>
        </w:tc>
        <w:tc>
          <w:tcPr>
            <w:tcW w:w="4820" w:type="dxa"/>
            <w:shd w:val="clear" w:color="auto" w:fill="F2F2F2" w:themeFill="background1" w:themeFillShade="F2"/>
            <w:tcMar>
              <w:top w:w="0" w:type="dxa"/>
              <w:left w:w="108" w:type="dxa"/>
              <w:bottom w:w="0" w:type="dxa"/>
              <w:right w:w="108" w:type="dxa"/>
            </w:tcMar>
          </w:tcPr>
          <w:p w14:paraId="3589A1FA" w14:textId="77777777" w:rsidR="006272D7" w:rsidRPr="000F0321" w:rsidRDefault="006272D7" w:rsidP="006272D7">
            <w:pPr>
              <w:spacing w:after="0" w:line="240" w:lineRule="exact"/>
              <w:rPr>
                <w:rFonts w:ascii="Montserrat" w:hAnsi="Montserrat"/>
                <w:spacing w:val="-1"/>
                <w:sz w:val="15"/>
                <w:szCs w:val="15"/>
                <w:lang w:val="es-ES_tradnl"/>
              </w:rPr>
            </w:pPr>
          </w:p>
        </w:tc>
        <w:tc>
          <w:tcPr>
            <w:tcW w:w="1984" w:type="dxa"/>
            <w:shd w:val="clear" w:color="auto" w:fill="F2F2F2" w:themeFill="background1" w:themeFillShade="F2"/>
          </w:tcPr>
          <w:p w14:paraId="7C17BF58" w14:textId="044B2723" w:rsidR="006272D7" w:rsidRPr="000F0321" w:rsidRDefault="00C5200E" w:rsidP="006272D7">
            <w:pPr>
              <w:spacing w:after="0" w:line="240" w:lineRule="exact"/>
              <w:ind w:right="113"/>
              <w:jc w:val="right"/>
              <w:rPr>
                <w:rFonts w:ascii="Montserrat" w:hAnsi="Montserrat"/>
                <w:spacing w:val="-1"/>
                <w:sz w:val="15"/>
                <w:szCs w:val="15"/>
                <w:lang w:val="es-ES_tradnl"/>
              </w:rPr>
            </w:pPr>
            <w:r w:rsidRPr="000F0321">
              <w:rPr>
                <w:rFonts w:ascii="Montserrat" w:hAnsi="Montserrat"/>
                <w:spacing w:val="-1"/>
                <w:sz w:val="15"/>
                <w:szCs w:val="15"/>
                <w:lang w:val="es-ES_tradnl"/>
              </w:rPr>
              <w:t>6</w:t>
            </w:r>
          </w:p>
        </w:tc>
        <w:tc>
          <w:tcPr>
            <w:tcW w:w="1884" w:type="dxa"/>
            <w:shd w:val="clear" w:color="auto" w:fill="F2F2F2" w:themeFill="background1" w:themeFillShade="F2"/>
            <w:tcMar>
              <w:top w:w="0" w:type="dxa"/>
              <w:left w:w="108" w:type="dxa"/>
              <w:bottom w:w="0" w:type="dxa"/>
              <w:right w:w="108" w:type="dxa"/>
            </w:tcMar>
          </w:tcPr>
          <w:p w14:paraId="361496C5" w14:textId="77777777" w:rsidR="006272D7" w:rsidRPr="000F0321" w:rsidRDefault="006272D7" w:rsidP="006272D7">
            <w:pPr>
              <w:spacing w:after="0" w:line="240" w:lineRule="exact"/>
              <w:ind w:right="113"/>
              <w:jc w:val="right"/>
              <w:rPr>
                <w:rFonts w:ascii="Montserrat" w:hAnsi="Montserrat"/>
                <w:spacing w:val="-1"/>
                <w:sz w:val="15"/>
                <w:szCs w:val="15"/>
                <w:lang w:val="es-ES_tradnl"/>
              </w:rPr>
            </w:pPr>
            <w:r w:rsidRPr="000F0321">
              <w:rPr>
                <w:rFonts w:ascii="Montserrat" w:hAnsi="Montserrat"/>
                <w:spacing w:val="-1"/>
                <w:sz w:val="15"/>
                <w:szCs w:val="15"/>
                <w:lang w:val="es-ES_tradnl"/>
              </w:rPr>
              <w:t>223,528</w:t>
            </w:r>
          </w:p>
        </w:tc>
      </w:tr>
      <w:tr w:rsidR="00C5200E" w:rsidRPr="006F0DF1" w14:paraId="5312E059" w14:textId="77777777" w:rsidTr="001745ED">
        <w:trPr>
          <w:gridAfter w:val="1"/>
          <w:wAfter w:w="673" w:type="dxa"/>
          <w:trHeight w:val="282"/>
          <w:jc w:val="center"/>
        </w:trPr>
        <w:tc>
          <w:tcPr>
            <w:tcW w:w="1276" w:type="dxa"/>
            <w:shd w:val="clear" w:color="auto" w:fill="F2F2F2" w:themeFill="background1" w:themeFillShade="F2"/>
            <w:vAlign w:val="bottom"/>
          </w:tcPr>
          <w:p w14:paraId="53AE510B" w14:textId="1A29C222" w:rsidR="00C5200E" w:rsidRPr="000F0321" w:rsidRDefault="00C5200E" w:rsidP="00C5200E">
            <w:pPr>
              <w:spacing w:after="0" w:line="240" w:lineRule="exact"/>
              <w:jc w:val="center"/>
              <w:rPr>
                <w:rFonts w:ascii="Montserrat" w:hAnsi="Montserrat"/>
                <w:spacing w:val="-1"/>
                <w:sz w:val="15"/>
                <w:szCs w:val="15"/>
                <w:lang w:val="es-ES_tradnl"/>
              </w:rPr>
            </w:pPr>
            <w:r w:rsidRPr="000F0321">
              <w:rPr>
                <w:rFonts w:ascii="Montserrat" w:hAnsi="Montserrat"/>
                <w:sz w:val="15"/>
                <w:szCs w:val="15"/>
                <w:lang w:val="es-ES_tradnl"/>
              </w:rPr>
              <w:t>Fra.</w:t>
            </w:r>
          </w:p>
        </w:tc>
        <w:tc>
          <w:tcPr>
            <w:tcW w:w="1134" w:type="dxa"/>
            <w:shd w:val="clear" w:color="auto" w:fill="F2F2F2" w:themeFill="background1" w:themeFillShade="F2"/>
            <w:vAlign w:val="bottom"/>
          </w:tcPr>
          <w:p w14:paraId="6167EF15" w14:textId="7800217D" w:rsidR="00C5200E" w:rsidRPr="000F0321" w:rsidRDefault="00C5200E" w:rsidP="00C5200E">
            <w:pPr>
              <w:spacing w:after="0" w:line="240" w:lineRule="exact"/>
              <w:jc w:val="center"/>
              <w:rPr>
                <w:rFonts w:ascii="Montserrat" w:hAnsi="Montserrat"/>
                <w:spacing w:val="-1"/>
                <w:sz w:val="15"/>
                <w:szCs w:val="15"/>
                <w:lang w:val="es-ES_tradnl"/>
              </w:rPr>
            </w:pPr>
            <w:r w:rsidRPr="000F0321">
              <w:rPr>
                <w:rFonts w:ascii="Montserrat" w:hAnsi="Montserrat"/>
                <w:sz w:val="15"/>
                <w:szCs w:val="15"/>
                <w:lang w:val="es-ES_tradnl"/>
              </w:rPr>
              <w:t>Eur.</w:t>
            </w:r>
          </w:p>
        </w:tc>
        <w:tc>
          <w:tcPr>
            <w:tcW w:w="4820" w:type="dxa"/>
            <w:shd w:val="clear" w:color="auto" w:fill="F2F2F2" w:themeFill="background1" w:themeFillShade="F2"/>
            <w:tcMar>
              <w:top w:w="0" w:type="dxa"/>
              <w:left w:w="108" w:type="dxa"/>
              <w:bottom w:w="0" w:type="dxa"/>
              <w:right w:w="108" w:type="dxa"/>
            </w:tcMar>
          </w:tcPr>
          <w:p w14:paraId="6B4BDB88" w14:textId="76272F48" w:rsidR="00C5200E" w:rsidRPr="000F0321" w:rsidRDefault="00C5200E" w:rsidP="00C5200E">
            <w:pPr>
              <w:spacing w:after="0" w:line="240" w:lineRule="exact"/>
              <w:ind w:firstLine="675"/>
              <w:jc w:val="center"/>
              <w:rPr>
                <w:rFonts w:ascii="Montserrat" w:hAnsi="Montserrat"/>
                <w:b/>
                <w:spacing w:val="-1"/>
                <w:sz w:val="15"/>
                <w:szCs w:val="15"/>
                <w:lang w:val="es-ES_tradnl"/>
              </w:rPr>
            </w:pPr>
          </w:p>
        </w:tc>
        <w:tc>
          <w:tcPr>
            <w:tcW w:w="1984" w:type="dxa"/>
            <w:shd w:val="clear" w:color="auto" w:fill="F2F2F2" w:themeFill="background1" w:themeFillShade="F2"/>
          </w:tcPr>
          <w:p w14:paraId="5831E79E" w14:textId="627728AE" w:rsidR="00C5200E" w:rsidRPr="000F0321" w:rsidRDefault="00C5200E" w:rsidP="00C5200E">
            <w:pPr>
              <w:spacing w:after="0" w:line="240" w:lineRule="exact"/>
              <w:ind w:right="113"/>
              <w:jc w:val="right"/>
              <w:rPr>
                <w:rFonts w:ascii="Montserrat" w:hAnsi="Montserrat"/>
                <w:spacing w:val="-1"/>
                <w:sz w:val="15"/>
                <w:szCs w:val="15"/>
                <w:lang w:val="es-ES_tradnl"/>
              </w:rPr>
            </w:pPr>
            <w:r w:rsidRPr="000F0321">
              <w:rPr>
                <w:rFonts w:ascii="Montserrat" w:hAnsi="Montserrat"/>
                <w:spacing w:val="-1"/>
                <w:sz w:val="15"/>
                <w:szCs w:val="15"/>
                <w:lang w:val="es-ES_tradnl"/>
              </w:rPr>
              <w:t>2</w:t>
            </w:r>
            <w:r w:rsidR="003A549B" w:rsidRPr="000F0321">
              <w:rPr>
                <w:rFonts w:ascii="Montserrat" w:hAnsi="Montserrat"/>
                <w:spacing w:val="-1"/>
                <w:sz w:val="15"/>
                <w:szCs w:val="15"/>
                <w:lang w:val="es-ES_tradnl"/>
              </w:rPr>
              <w:t>,</w:t>
            </w:r>
            <w:r w:rsidRPr="000F0321">
              <w:rPr>
                <w:rFonts w:ascii="Montserrat" w:hAnsi="Montserrat"/>
                <w:spacing w:val="-1"/>
                <w:sz w:val="15"/>
                <w:szCs w:val="15"/>
                <w:lang w:val="es-ES_tradnl"/>
              </w:rPr>
              <w:t>115</w:t>
            </w:r>
            <w:r w:rsidR="003A549B" w:rsidRPr="000F0321">
              <w:rPr>
                <w:rFonts w:ascii="Montserrat" w:hAnsi="Montserrat"/>
                <w:spacing w:val="-1"/>
                <w:sz w:val="15"/>
                <w:szCs w:val="15"/>
                <w:lang w:val="es-ES_tradnl"/>
              </w:rPr>
              <w:t>,</w:t>
            </w:r>
            <w:r w:rsidRPr="000F0321">
              <w:rPr>
                <w:rFonts w:ascii="Montserrat" w:hAnsi="Montserrat"/>
                <w:spacing w:val="-1"/>
                <w:sz w:val="15"/>
                <w:szCs w:val="15"/>
                <w:lang w:val="es-ES_tradnl"/>
              </w:rPr>
              <w:t>373</w:t>
            </w:r>
            <w:r w:rsidR="003A549B" w:rsidRPr="000F0321">
              <w:rPr>
                <w:rFonts w:ascii="Montserrat" w:hAnsi="Montserrat"/>
                <w:spacing w:val="-1"/>
                <w:sz w:val="15"/>
                <w:szCs w:val="15"/>
                <w:lang w:val="es-ES_tradnl"/>
              </w:rPr>
              <w:t>,</w:t>
            </w:r>
            <w:r w:rsidRPr="000F0321">
              <w:rPr>
                <w:rFonts w:ascii="Montserrat" w:hAnsi="Montserrat"/>
                <w:spacing w:val="-1"/>
                <w:sz w:val="15"/>
                <w:szCs w:val="15"/>
                <w:lang w:val="es-ES_tradnl"/>
              </w:rPr>
              <w:t>700</w:t>
            </w:r>
          </w:p>
        </w:tc>
        <w:tc>
          <w:tcPr>
            <w:tcW w:w="1884" w:type="dxa"/>
            <w:shd w:val="clear" w:color="auto" w:fill="F2F2F2" w:themeFill="background1" w:themeFillShade="F2"/>
            <w:tcMar>
              <w:top w:w="0" w:type="dxa"/>
              <w:left w:w="108" w:type="dxa"/>
              <w:bottom w:w="0" w:type="dxa"/>
              <w:right w:w="108" w:type="dxa"/>
            </w:tcMar>
          </w:tcPr>
          <w:p w14:paraId="0D8F71F1" w14:textId="77777777" w:rsidR="00C5200E" w:rsidRPr="000F0321" w:rsidRDefault="00C5200E" w:rsidP="00C5200E">
            <w:pPr>
              <w:spacing w:after="0" w:line="240" w:lineRule="exact"/>
              <w:ind w:right="113"/>
              <w:jc w:val="right"/>
              <w:rPr>
                <w:rFonts w:ascii="Montserrat" w:hAnsi="Montserrat"/>
                <w:spacing w:val="-1"/>
                <w:sz w:val="15"/>
                <w:szCs w:val="15"/>
                <w:lang w:val="es-ES_tradnl"/>
              </w:rPr>
            </w:pPr>
            <w:r w:rsidRPr="000F0321">
              <w:rPr>
                <w:rFonts w:ascii="Montserrat" w:hAnsi="Montserrat"/>
                <w:spacing w:val="-1"/>
                <w:sz w:val="15"/>
                <w:szCs w:val="15"/>
                <w:lang w:val="es-ES_tradnl"/>
              </w:rPr>
              <w:t>2,250,542,786</w:t>
            </w:r>
          </w:p>
        </w:tc>
      </w:tr>
      <w:tr w:rsidR="00C5200E" w:rsidRPr="006F0DF1" w14:paraId="4D73D633" w14:textId="77777777" w:rsidTr="001745ED">
        <w:trPr>
          <w:gridAfter w:val="1"/>
          <w:wAfter w:w="673" w:type="dxa"/>
          <w:trHeight w:val="282"/>
          <w:jc w:val="center"/>
        </w:trPr>
        <w:tc>
          <w:tcPr>
            <w:tcW w:w="1276" w:type="dxa"/>
            <w:shd w:val="clear" w:color="auto" w:fill="F2F2F2" w:themeFill="background1" w:themeFillShade="F2"/>
          </w:tcPr>
          <w:p w14:paraId="26ECFEEF" w14:textId="77777777" w:rsidR="00C5200E" w:rsidRPr="000F0321" w:rsidRDefault="00C5200E" w:rsidP="00C5200E">
            <w:pPr>
              <w:spacing w:after="0" w:line="240" w:lineRule="exact"/>
              <w:jc w:val="center"/>
              <w:rPr>
                <w:rFonts w:ascii="Montserrat" w:hAnsi="Montserrat"/>
                <w:spacing w:val="-1"/>
                <w:sz w:val="15"/>
                <w:szCs w:val="15"/>
                <w:lang w:val="es-ES_tradnl"/>
              </w:rPr>
            </w:pPr>
          </w:p>
        </w:tc>
        <w:tc>
          <w:tcPr>
            <w:tcW w:w="1134" w:type="dxa"/>
            <w:shd w:val="clear" w:color="auto" w:fill="F2F2F2" w:themeFill="background1" w:themeFillShade="F2"/>
          </w:tcPr>
          <w:p w14:paraId="6CFCEE30" w14:textId="77777777" w:rsidR="00C5200E" w:rsidRPr="000F0321" w:rsidRDefault="00C5200E" w:rsidP="00C5200E">
            <w:pPr>
              <w:spacing w:after="0" w:line="240" w:lineRule="exact"/>
              <w:jc w:val="center"/>
              <w:rPr>
                <w:rFonts w:ascii="Montserrat" w:hAnsi="Montserrat"/>
                <w:spacing w:val="-1"/>
                <w:sz w:val="15"/>
                <w:szCs w:val="15"/>
                <w:lang w:val="es-ES_tradnl"/>
              </w:rPr>
            </w:pPr>
          </w:p>
        </w:tc>
        <w:tc>
          <w:tcPr>
            <w:tcW w:w="4820" w:type="dxa"/>
            <w:shd w:val="clear" w:color="auto" w:fill="F2F2F2" w:themeFill="background1" w:themeFillShade="F2"/>
            <w:tcMar>
              <w:top w:w="0" w:type="dxa"/>
              <w:left w:w="108" w:type="dxa"/>
              <w:bottom w:w="0" w:type="dxa"/>
              <w:right w:w="108" w:type="dxa"/>
            </w:tcMar>
          </w:tcPr>
          <w:p w14:paraId="3E4A9FB3" w14:textId="6BFFA9C7" w:rsidR="00C5200E" w:rsidRPr="000F0321" w:rsidRDefault="00C5200E" w:rsidP="00C5200E">
            <w:pPr>
              <w:spacing w:after="0" w:line="240" w:lineRule="exact"/>
              <w:ind w:firstLine="675"/>
              <w:jc w:val="center"/>
              <w:rPr>
                <w:rFonts w:ascii="Montserrat" w:hAnsi="Montserrat"/>
                <w:b/>
                <w:spacing w:val="-1"/>
                <w:sz w:val="15"/>
                <w:szCs w:val="15"/>
                <w:lang w:val="es-ES_tradnl"/>
              </w:rPr>
            </w:pPr>
            <w:r w:rsidRPr="000F0321">
              <w:rPr>
                <w:rFonts w:ascii="Montserrat" w:hAnsi="Montserrat"/>
                <w:b/>
                <w:spacing w:val="-1"/>
                <w:sz w:val="15"/>
                <w:szCs w:val="15"/>
                <w:lang w:val="es-ES_tradnl"/>
              </w:rPr>
              <w:t>Banobras</w:t>
            </w:r>
          </w:p>
        </w:tc>
        <w:tc>
          <w:tcPr>
            <w:tcW w:w="1984" w:type="dxa"/>
            <w:shd w:val="clear" w:color="auto" w:fill="F2F2F2" w:themeFill="background1" w:themeFillShade="F2"/>
          </w:tcPr>
          <w:p w14:paraId="4FDD5E08" w14:textId="3E1A28F9" w:rsidR="00C5200E" w:rsidRPr="000F0321" w:rsidRDefault="00C5200E" w:rsidP="00C5200E">
            <w:pPr>
              <w:spacing w:after="0" w:line="240" w:lineRule="exact"/>
              <w:ind w:right="113"/>
              <w:jc w:val="right"/>
              <w:rPr>
                <w:rFonts w:ascii="Montserrat" w:hAnsi="Montserrat"/>
                <w:b/>
                <w:spacing w:val="-1"/>
                <w:sz w:val="15"/>
                <w:szCs w:val="15"/>
                <w:lang w:val="es-ES_tradnl"/>
              </w:rPr>
            </w:pPr>
            <w:r w:rsidRPr="000F0321">
              <w:rPr>
                <w:rFonts w:ascii="Montserrat" w:hAnsi="Montserrat"/>
                <w:b/>
                <w:spacing w:val="-1"/>
                <w:sz w:val="15"/>
                <w:szCs w:val="15"/>
                <w:lang w:val="es-ES_tradnl"/>
              </w:rPr>
              <w:t>496</w:t>
            </w:r>
            <w:r w:rsidR="003A549B" w:rsidRPr="000F0321">
              <w:rPr>
                <w:rFonts w:ascii="Montserrat" w:hAnsi="Montserrat"/>
                <w:b/>
                <w:spacing w:val="-1"/>
                <w:sz w:val="15"/>
                <w:szCs w:val="15"/>
                <w:lang w:val="es-ES_tradnl"/>
              </w:rPr>
              <w:t>,</w:t>
            </w:r>
            <w:r w:rsidRPr="000F0321">
              <w:rPr>
                <w:rFonts w:ascii="Montserrat" w:hAnsi="Montserrat"/>
                <w:b/>
                <w:spacing w:val="-1"/>
                <w:sz w:val="15"/>
                <w:szCs w:val="15"/>
                <w:lang w:val="es-ES_tradnl"/>
              </w:rPr>
              <w:t>064</w:t>
            </w:r>
            <w:r w:rsidR="003A549B" w:rsidRPr="000F0321">
              <w:rPr>
                <w:rFonts w:ascii="Montserrat" w:hAnsi="Montserrat"/>
                <w:b/>
                <w:spacing w:val="-1"/>
                <w:sz w:val="15"/>
                <w:szCs w:val="15"/>
                <w:lang w:val="es-ES_tradnl"/>
              </w:rPr>
              <w:t>,</w:t>
            </w:r>
            <w:r w:rsidRPr="000F0321">
              <w:rPr>
                <w:rFonts w:ascii="Montserrat" w:hAnsi="Montserrat"/>
                <w:b/>
                <w:spacing w:val="-1"/>
                <w:sz w:val="15"/>
                <w:szCs w:val="15"/>
                <w:lang w:val="es-ES_tradnl"/>
              </w:rPr>
              <w:t>735</w:t>
            </w:r>
          </w:p>
        </w:tc>
        <w:tc>
          <w:tcPr>
            <w:tcW w:w="1884" w:type="dxa"/>
            <w:shd w:val="clear" w:color="auto" w:fill="F2F2F2" w:themeFill="background1" w:themeFillShade="F2"/>
            <w:tcMar>
              <w:top w:w="0" w:type="dxa"/>
              <w:left w:w="108" w:type="dxa"/>
              <w:bottom w:w="0" w:type="dxa"/>
              <w:right w:w="108" w:type="dxa"/>
            </w:tcMar>
          </w:tcPr>
          <w:p w14:paraId="7A6D4819" w14:textId="099899B8" w:rsidR="00C5200E" w:rsidRPr="000F0321" w:rsidRDefault="00C5200E" w:rsidP="00C5200E">
            <w:pPr>
              <w:spacing w:after="0" w:line="240" w:lineRule="exact"/>
              <w:ind w:right="113"/>
              <w:jc w:val="right"/>
              <w:rPr>
                <w:rFonts w:ascii="Montserrat" w:hAnsi="Montserrat"/>
                <w:spacing w:val="-1"/>
                <w:sz w:val="15"/>
                <w:szCs w:val="15"/>
                <w:lang w:val="es-ES_tradnl"/>
              </w:rPr>
            </w:pPr>
            <w:r w:rsidRPr="000F0321">
              <w:rPr>
                <w:rFonts w:ascii="Montserrat" w:hAnsi="Montserrat"/>
                <w:b/>
                <w:spacing w:val="-1"/>
                <w:sz w:val="15"/>
                <w:szCs w:val="15"/>
                <w:lang w:val="es-ES_tradnl"/>
              </w:rPr>
              <w:t>580,055,565</w:t>
            </w:r>
          </w:p>
        </w:tc>
      </w:tr>
      <w:tr w:rsidR="00C5200E" w:rsidRPr="006F0DF1" w14:paraId="723C6B75" w14:textId="77777777" w:rsidTr="001745ED">
        <w:trPr>
          <w:gridAfter w:val="1"/>
          <w:wAfter w:w="673" w:type="dxa"/>
          <w:trHeight w:val="282"/>
          <w:jc w:val="center"/>
        </w:trPr>
        <w:tc>
          <w:tcPr>
            <w:tcW w:w="1276" w:type="dxa"/>
            <w:shd w:val="clear" w:color="auto" w:fill="F2F2F2" w:themeFill="background1" w:themeFillShade="F2"/>
            <w:vAlign w:val="bottom"/>
          </w:tcPr>
          <w:p w14:paraId="1635A035" w14:textId="77777777" w:rsidR="00C5200E" w:rsidRPr="000F0321" w:rsidRDefault="00C5200E" w:rsidP="00C5200E">
            <w:pPr>
              <w:spacing w:after="0" w:line="240" w:lineRule="exact"/>
              <w:jc w:val="center"/>
              <w:rPr>
                <w:rFonts w:ascii="Montserrat" w:hAnsi="Montserrat"/>
                <w:sz w:val="15"/>
                <w:szCs w:val="15"/>
                <w:lang w:val="es-ES_tradnl"/>
              </w:rPr>
            </w:pPr>
            <w:r w:rsidRPr="000F0321">
              <w:rPr>
                <w:rFonts w:ascii="Montserrat" w:hAnsi="Montserrat"/>
                <w:sz w:val="15"/>
                <w:szCs w:val="15"/>
                <w:lang w:val="es-ES_tradnl"/>
              </w:rPr>
              <w:t>Fra.</w:t>
            </w:r>
          </w:p>
        </w:tc>
        <w:tc>
          <w:tcPr>
            <w:tcW w:w="1134" w:type="dxa"/>
            <w:shd w:val="clear" w:color="auto" w:fill="F2F2F2" w:themeFill="background1" w:themeFillShade="F2"/>
            <w:vAlign w:val="bottom"/>
          </w:tcPr>
          <w:p w14:paraId="224FDDFC" w14:textId="77777777" w:rsidR="00C5200E" w:rsidRPr="000F0321" w:rsidRDefault="00C5200E" w:rsidP="00C5200E">
            <w:pPr>
              <w:spacing w:after="0" w:line="240" w:lineRule="exact"/>
              <w:jc w:val="center"/>
              <w:rPr>
                <w:rFonts w:ascii="Montserrat" w:hAnsi="Montserrat"/>
                <w:sz w:val="15"/>
                <w:szCs w:val="15"/>
                <w:lang w:val="es-ES_tradnl"/>
              </w:rPr>
            </w:pPr>
            <w:r w:rsidRPr="000F0321">
              <w:rPr>
                <w:rFonts w:ascii="Montserrat" w:hAnsi="Montserrat"/>
                <w:sz w:val="15"/>
                <w:szCs w:val="15"/>
                <w:lang w:val="es-ES_tradnl"/>
              </w:rPr>
              <w:t>Eur.</w:t>
            </w:r>
          </w:p>
        </w:tc>
        <w:tc>
          <w:tcPr>
            <w:tcW w:w="4820" w:type="dxa"/>
            <w:shd w:val="clear" w:color="auto" w:fill="F2F2F2" w:themeFill="background1" w:themeFillShade="F2"/>
            <w:tcMar>
              <w:top w:w="0" w:type="dxa"/>
              <w:left w:w="108" w:type="dxa"/>
              <w:bottom w:w="0" w:type="dxa"/>
              <w:right w:w="108" w:type="dxa"/>
            </w:tcMar>
          </w:tcPr>
          <w:p w14:paraId="6D03C005" w14:textId="77777777" w:rsidR="00C5200E" w:rsidRPr="000F0321" w:rsidRDefault="00C5200E" w:rsidP="00C5200E">
            <w:pPr>
              <w:spacing w:after="0" w:line="240" w:lineRule="exact"/>
              <w:ind w:firstLine="675"/>
              <w:jc w:val="both"/>
              <w:rPr>
                <w:rFonts w:ascii="Montserrat" w:hAnsi="Montserrat"/>
                <w:spacing w:val="-1"/>
                <w:sz w:val="15"/>
                <w:szCs w:val="15"/>
                <w:lang w:val="es-ES_tradnl"/>
              </w:rPr>
            </w:pPr>
          </w:p>
        </w:tc>
        <w:tc>
          <w:tcPr>
            <w:tcW w:w="1984" w:type="dxa"/>
            <w:shd w:val="clear" w:color="auto" w:fill="F2F2F2" w:themeFill="background1" w:themeFillShade="F2"/>
          </w:tcPr>
          <w:p w14:paraId="43EA77DA" w14:textId="0CA2AE07" w:rsidR="00C5200E" w:rsidRPr="000F0321" w:rsidRDefault="00C5200E" w:rsidP="00C5200E">
            <w:pPr>
              <w:spacing w:after="0" w:line="240" w:lineRule="exact"/>
              <w:ind w:right="113"/>
              <w:jc w:val="right"/>
              <w:rPr>
                <w:rFonts w:ascii="Montserrat" w:hAnsi="Montserrat"/>
                <w:spacing w:val="-1"/>
                <w:sz w:val="15"/>
                <w:szCs w:val="15"/>
                <w:lang w:val="es-ES_tradnl"/>
              </w:rPr>
            </w:pPr>
            <w:r w:rsidRPr="000F0321">
              <w:rPr>
                <w:rFonts w:ascii="Montserrat" w:hAnsi="Montserrat"/>
                <w:spacing w:val="-1"/>
                <w:sz w:val="15"/>
                <w:szCs w:val="15"/>
                <w:lang w:val="es-ES_tradnl"/>
              </w:rPr>
              <w:t>496</w:t>
            </w:r>
            <w:r w:rsidR="003A549B" w:rsidRPr="000F0321">
              <w:rPr>
                <w:rFonts w:ascii="Montserrat" w:hAnsi="Montserrat"/>
                <w:spacing w:val="-1"/>
                <w:sz w:val="15"/>
                <w:szCs w:val="15"/>
                <w:lang w:val="es-ES_tradnl"/>
              </w:rPr>
              <w:t>,</w:t>
            </w:r>
            <w:r w:rsidRPr="000F0321">
              <w:rPr>
                <w:rFonts w:ascii="Montserrat" w:hAnsi="Montserrat"/>
                <w:spacing w:val="-1"/>
                <w:sz w:val="15"/>
                <w:szCs w:val="15"/>
                <w:lang w:val="es-ES_tradnl"/>
              </w:rPr>
              <w:t>064</w:t>
            </w:r>
            <w:r w:rsidR="003A549B" w:rsidRPr="000F0321">
              <w:rPr>
                <w:rFonts w:ascii="Montserrat" w:hAnsi="Montserrat"/>
                <w:spacing w:val="-1"/>
                <w:sz w:val="15"/>
                <w:szCs w:val="15"/>
                <w:lang w:val="es-ES_tradnl"/>
              </w:rPr>
              <w:t>,</w:t>
            </w:r>
            <w:r w:rsidRPr="000F0321">
              <w:rPr>
                <w:rFonts w:ascii="Montserrat" w:hAnsi="Montserrat"/>
                <w:spacing w:val="-1"/>
                <w:sz w:val="15"/>
                <w:szCs w:val="15"/>
                <w:lang w:val="es-ES_tradnl"/>
              </w:rPr>
              <w:t>735</w:t>
            </w:r>
          </w:p>
        </w:tc>
        <w:tc>
          <w:tcPr>
            <w:tcW w:w="1884" w:type="dxa"/>
            <w:shd w:val="clear" w:color="auto" w:fill="F2F2F2" w:themeFill="background1" w:themeFillShade="F2"/>
            <w:tcMar>
              <w:top w:w="0" w:type="dxa"/>
              <w:left w:w="108" w:type="dxa"/>
              <w:bottom w:w="0" w:type="dxa"/>
              <w:right w:w="108" w:type="dxa"/>
            </w:tcMar>
          </w:tcPr>
          <w:p w14:paraId="1504BFBD" w14:textId="584DDD48" w:rsidR="00C5200E" w:rsidRPr="000F0321" w:rsidRDefault="00C5200E" w:rsidP="00C5200E">
            <w:pPr>
              <w:spacing w:after="0" w:line="240" w:lineRule="exact"/>
              <w:ind w:right="113"/>
              <w:jc w:val="right"/>
              <w:rPr>
                <w:rFonts w:ascii="Montserrat" w:hAnsi="Montserrat"/>
                <w:b/>
                <w:spacing w:val="-1"/>
                <w:sz w:val="15"/>
                <w:szCs w:val="15"/>
                <w:lang w:val="es-ES_tradnl"/>
              </w:rPr>
            </w:pPr>
            <w:r w:rsidRPr="000F0321">
              <w:rPr>
                <w:rFonts w:ascii="Montserrat" w:hAnsi="Montserrat"/>
                <w:spacing w:val="-1"/>
                <w:sz w:val="15"/>
                <w:szCs w:val="15"/>
                <w:lang w:val="es-ES_tradnl"/>
              </w:rPr>
              <w:t>580,055,565</w:t>
            </w:r>
          </w:p>
        </w:tc>
      </w:tr>
      <w:tr w:rsidR="00C5200E" w:rsidRPr="006F0DF1" w14:paraId="24268D0D" w14:textId="77777777" w:rsidTr="001745ED">
        <w:trPr>
          <w:gridAfter w:val="1"/>
          <w:wAfter w:w="673" w:type="dxa"/>
          <w:trHeight w:val="282"/>
          <w:jc w:val="center"/>
        </w:trPr>
        <w:tc>
          <w:tcPr>
            <w:tcW w:w="1276" w:type="dxa"/>
            <w:shd w:val="clear" w:color="auto" w:fill="F2F2F2" w:themeFill="background1" w:themeFillShade="F2"/>
            <w:vAlign w:val="bottom"/>
          </w:tcPr>
          <w:p w14:paraId="576C178F" w14:textId="3E2F0460" w:rsidR="00C5200E" w:rsidRPr="000F0321" w:rsidRDefault="00C5200E" w:rsidP="00C5200E">
            <w:pPr>
              <w:spacing w:after="0" w:line="240" w:lineRule="exact"/>
              <w:jc w:val="center"/>
              <w:rPr>
                <w:rFonts w:ascii="Montserrat" w:hAnsi="Montserrat"/>
                <w:sz w:val="15"/>
                <w:szCs w:val="15"/>
                <w:lang w:val="es-ES_tradnl"/>
              </w:rPr>
            </w:pPr>
          </w:p>
        </w:tc>
        <w:tc>
          <w:tcPr>
            <w:tcW w:w="1134" w:type="dxa"/>
            <w:shd w:val="clear" w:color="auto" w:fill="F2F2F2" w:themeFill="background1" w:themeFillShade="F2"/>
            <w:vAlign w:val="bottom"/>
          </w:tcPr>
          <w:p w14:paraId="68D0B96A" w14:textId="2CC79BF6" w:rsidR="00C5200E" w:rsidRPr="000F0321" w:rsidRDefault="00C5200E" w:rsidP="00C5200E">
            <w:pPr>
              <w:spacing w:after="0" w:line="240" w:lineRule="exact"/>
              <w:jc w:val="center"/>
              <w:rPr>
                <w:rFonts w:ascii="Montserrat" w:hAnsi="Montserrat"/>
                <w:sz w:val="15"/>
                <w:szCs w:val="15"/>
                <w:lang w:val="es-ES_tradnl"/>
              </w:rPr>
            </w:pPr>
          </w:p>
        </w:tc>
        <w:tc>
          <w:tcPr>
            <w:tcW w:w="4820" w:type="dxa"/>
            <w:shd w:val="clear" w:color="auto" w:fill="F2F2F2" w:themeFill="background1" w:themeFillShade="F2"/>
            <w:tcMar>
              <w:top w:w="0" w:type="dxa"/>
              <w:left w:w="108" w:type="dxa"/>
              <w:bottom w:w="0" w:type="dxa"/>
              <w:right w:w="108" w:type="dxa"/>
            </w:tcMar>
          </w:tcPr>
          <w:p w14:paraId="2A660A00" w14:textId="77777777" w:rsidR="00C5200E" w:rsidRPr="000F0321" w:rsidRDefault="00C5200E" w:rsidP="00C5200E">
            <w:pPr>
              <w:spacing w:after="0" w:line="240" w:lineRule="exact"/>
              <w:ind w:firstLine="675"/>
              <w:jc w:val="center"/>
              <w:rPr>
                <w:rFonts w:ascii="Montserrat" w:hAnsi="Montserrat"/>
                <w:b/>
                <w:spacing w:val="-1"/>
                <w:sz w:val="15"/>
                <w:szCs w:val="15"/>
                <w:lang w:val="es-ES_tradnl"/>
              </w:rPr>
            </w:pPr>
            <w:r w:rsidRPr="000F0321">
              <w:rPr>
                <w:rFonts w:ascii="Montserrat" w:hAnsi="Montserrat"/>
                <w:b/>
                <w:spacing w:val="-1"/>
                <w:sz w:val="15"/>
                <w:szCs w:val="15"/>
                <w:lang w:val="es-ES_tradnl"/>
              </w:rPr>
              <w:t>Bancomext</w:t>
            </w:r>
          </w:p>
        </w:tc>
        <w:tc>
          <w:tcPr>
            <w:tcW w:w="1984" w:type="dxa"/>
            <w:shd w:val="clear" w:color="auto" w:fill="F2F2F2" w:themeFill="background1" w:themeFillShade="F2"/>
          </w:tcPr>
          <w:p w14:paraId="279A6A75" w14:textId="682BDC9C" w:rsidR="00C5200E" w:rsidRPr="000F0321" w:rsidRDefault="00C5200E" w:rsidP="00C5200E">
            <w:pPr>
              <w:spacing w:after="0" w:line="240" w:lineRule="exact"/>
              <w:ind w:right="113"/>
              <w:jc w:val="right"/>
              <w:rPr>
                <w:rFonts w:ascii="Montserrat" w:hAnsi="Montserrat"/>
                <w:b/>
                <w:spacing w:val="-1"/>
                <w:sz w:val="15"/>
                <w:szCs w:val="15"/>
                <w:lang w:val="es-ES_tradnl"/>
              </w:rPr>
            </w:pPr>
            <w:r w:rsidRPr="000F0321">
              <w:rPr>
                <w:rFonts w:ascii="Montserrat" w:hAnsi="Montserrat"/>
                <w:b/>
                <w:spacing w:val="-1"/>
                <w:sz w:val="15"/>
                <w:szCs w:val="15"/>
                <w:lang w:val="es-ES_tradnl"/>
              </w:rPr>
              <w:t>33</w:t>
            </w:r>
            <w:r w:rsidR="003A549B" w:rsidRPr="000F0321">
              <w:rPr>
                <w:rFonts w:ascii="Montserrat" w:hAnsi="Montserrat"/>
                <w:b/>
                <w:spacing w:val="-1"/>
                <w:sz w:val="15"/>
                <w:szCs w:val="15"/>
                <w:lang w:val="es-ES_tradnl"/>
              </w:rPr>
              <w:t>,</w:t>
            </w:r>
            <w:r w:rsidRPr="000F0321">
              <w:rPr>
                <w:rFonts w:ascii="Montserrat" w:hAnsi="Montserrat"/>
                <w:b/>
                <w:spacing w:val="-1"/>
                <w:sz w:val="15"/>
                <w:szCs w:val="15"/>
                <w:lang w:val="es-ES_tradnl"/>
              </w:rPr>
              <w:t>345</w:t>
            </w:r>
            <w:r w:rsidR="003A549B" w:rsidRPr="000F0321">
              <w:rPr>
                <w:rFonts w:ascii="Montserrat" w:hAnsi="Montserrat"/>
                <w:b/>
                <w:spacing w:val="-1"/>
                <w:sz w:val="15"/>
                <w:szCs w:val="15"/>
                <w:lang w:val="es-ES_tradnl"/>
              </w:rPr>
              <w:t>,</w:t>
            </w:r>
            <w:r w:rsidRPr="000F0321">
              <w:rPr>
                <w:rFonts w:ascii="Montserrat" w:hAnsi="Montserrat"/>
                <w:b/>
                <w:spacing w:val="-1"/>
                <w:sz w:val="15"/>
                <w:szCs w:val="15"/>
                <w:lang w:val="es-ES_tradnl"/>
              </w:rPr>
              <w:t>011</w:t>
            </w:r>
          </w:p>
        </w:tc>
        <w:tc>
          <w:tcPr>
            <w:tcW w:w="1884" w:type="dxa"/>
            <w:shd w:val="clear" w:color="auto" w:fill="F2F2F2" w:themeFill="background1" w:themeFillShade="F2"/>
            <w:tcMar>
              <w:top w:w="0" w:type="dxa"/>
              <w:left w:w="108" w:type="dxa"/>
              <w:bottom w:w="0" w:type="dxa"/>
              <w:right w:w="108" w:type="dxa"/>
            </w:tcMar>
          </w:tcPr>
          <w:p w14:paraId="69F2D6C7" w14:textId="77777777" w:rsidR="00C5200E" w:rsidRPr="000F0321" w:rsidRDefault="00C5200E" w:rsidP="00C5200E">
            <w:pPr>
              <w:spacing w:after="0" w:line="240" w:lineRule="exact"/>
              <w:ind w:right="113"/>
              <w:jc w:val="right"/>
              <w:rPr>
                <w:rFonts w:ascii="Montserrat" w:hAnsi="Montserrat"/>
                <w:b/>
                <w:spacing w:val="-1"/>
                <w:sz w:val="15"/>
                <w:szCs w:val="15"/>
                <w:lang w:val="es-ES_tradnl"/>
              </w:rPr>
            </w:pPr>
            <w:r w:rsidRPr="000F0321">
              <w:rPr>
                <w:rFonts w:ascii="Montserrat" w:hAnsi="Montserrat"/>
                <w:b/>
                <w:spacing w:val="-1"/>
                <w:sz w:val="15"/>
                <w:szCs w:val="15"/>
                <w:lang w:val="es-ES_tradnl"/>
              </w:rPr>
              <w:t>46,186,050</w:t>
            </w:r>
          </w:p>
        </w:tc>
      </w:tr>
      <w:tr w:rsidR="00C5200E" w:rsidRPr="006F0DF1" w14:paraId="0C3C04BB" w14:textId="77777777" w:rsidTr="001745ED">
        <w:trPr>
          <w:gridAfter w:val="1"/>
          <w:wAfter w:w="673" w:type="dxa"/>
          <w:trHeight w:val="282"/>
          <w:jc w:val="center"/>
        </w:trPr>
        <w:tc>
          <w:tcPr>
            <w:tcW w:w="1276" w:type="dxa"/>
            <w:shd w:val="clear" w:color="auto" w:fill="F2F2F2" w:themeFill="background1" w:themeFillShade="F2"/>
            <w:vAlign w:val="bottom"/>
          </w:tcPr>
          <w:p w14:paraId="6345CD3F" w14:textId="731B40E5" w:rsidR="00C5200E" w:rsidRPr="000F0321" w:rsidRDefault="00C5200E" w:rsidP="00C5200E">
            <w:pPr>
              <w:spacing w:after="0" w:line="240" w:lineRule="exact"/>
              <w:jc w:val="center"/>
              <w:rPr>
                <w:rFonts w:ascii="Montserrat" w:hAnsi="Montserrat"/>
                <w:sz w:val="15"/>
                <w:szCs w:val="15"/>
                <w:lang w:val="es-ES_tradnl"/>
              </w:rPr>
            </w:pPr>
            <w:r w:rsidRPr="000F0321">
              <w:rPr>
                <w:rFonts w:ascii="Montserrat" w:hAnsi="Montserrat"/>
                <w:sz w:val="15"/>
                <w:szCs w:val="15"/>
                <w:lang w:val="es-ES_tradnl"/>
              </w:rPr>
              <w:t>E.u.</w:t>
            </w:r>
          </w:p>
        </w:tc>
        <w:tc>
          <w:tcPr>
            <w:tcW w:w="1134" w:type="dxa"/>
            <w:shd w:val="clear" w:color="auto" w:fill="F2F2F2" w:themeFill="background1" w:themeFillShade="F2"/>
            <w:vAlign w:val="bottom"/>
          </w:tcPr>
          <w:p w14:paraId="07DFD437" w14:textId="77957897" w:rsidR="00C5200E" w:rsidRPr="000F0321" w:rsidRDefault="00C5200E" w:rsidP="00C5200E">
            <w:pPr>
              <w:spacing w:after="0" w:line="240" w:lineRule="exact"/>
              <w:jc w:val="center"/>
              <w:rPr>
                <w:rFonts w:ascii="Montserrat" w:hAnsi="Montserrat"/>
                <w:sz w:val="15"/>
                <w:szCs w:val="15"/>
                <w:lang w:val="es-ES_tradnl"/>
              </w:rPr>
            </w:pPr>
            <w:r w:rsidRPr="000F0321">
              <w:rPr>
                <w:rFonts w:ascii="Montserrat" w:hAnsi="Montserrat"/>
                <w:sz w:val="15"/>
                <w:szCs w:val="15"/>
                <w:lang w:val="es-ES_tradnl"/>
              </w:rPr>
              <w:t>Dlr.</w:t>
            </w:r>
          </w:p>
        </w:tc>
        <w:tc>
          <w:tcPr>
            <w:tcW w:w="4820" w:type="dxa"/>
            <w:shd w:val="clear" w:color="auto" w:fill="F2F2F2" w:themeFill="background1" w:themeFillShade="F2"/>
            <w:tcMar>
              <w:top w:w="0" w:type="dxa"/>
              <w:left w:w="108" w:type="dxa"/>
              <w:bottom w:w="0" w:type="dxa"/>
              <w:right w:w="108" w:type="dxa"/>
            </w:tcMar>
          </w:tcPr>
          <w:p w14:paraId="30DCEBCB" w14:textId="77777777" w:rsidR="00C5200E" w:rsidRPr="000F0321" w:rsidRDefault="00C5200E" w:rsidP="00C5200E">
            <w:pPr>
              <w:spacing w:after="0" w:line="240" w:lineRule="exact"/>
              <w:ind w:firstLine="675"/>
              <w:jc w:val="center"/>
              <w:rPr>
                <w:rFonts w:ascii="Montserrat" w:hAnsi="Montserrat"/>
                <w:b/>
                <w:spacing w:val="-1"/>
                <w:sz w:val="15"/>
                <w:szCs w:val="15"/>
                <w:lang w:val="es-ES_tradnl"/>
              </w:rPr>
            </w:pPr>
          </w:p>
        </w:tc>
        <w:tc>
          <w:tcPr>
            <w:tcW w:w="1984" w:type="dxa"/>
            <w:shd w:val="clear" w:color="auto" w:fill="F2F2F2" w:themeFill="background1" w:themeFillShade="F2"/>
          </w:tcPr>
          <w:p w14:paraId="264E8BDC" w14:textId="75BB35A5" w:rsidR="00C5200E" w:rsidRPr="000F0321" w:rsidRDefault="00C5200E" w:rsidP="00C5200E">
            <w:pPr>
              <w:spacing w:after="0" w:line="240" w:lineRule="exact"/>
              <w:ind w:right="113"/>
              <w:jc w:val="right"/>
              <w:rPr>
                <w:rFonts w:ascii="Montserrat" w:hAnsi="Montserrat"/>
                <w:spacing w:val="-1"/>
                <w:sz w:val="15"/>
                <w:szCs w:val="15"/>
                <w:lang w:val="es-ES_tradnl"/>
              </w:rPr>
            </w:pPr>
            <w:r w:rsidRPr="000F0321">
              <w:rPr>
                <w:rFonts w:ascii="Montserrat" w:hAnsi="Montserrat"/>
                <w:spacing w:val="-1"/>
                <w:sz w:val="15"/>
                <w:szCs w:val="15"/>
                <w:lang w:val="es-ES_tradnl"/>
              </w:rPr>
              <w:t>33</w:t>
            </w:r>
            <w:r w:rsidR="003A549B" w:rsidRPr="000F0321">
              <w:rPr>
                <w:rFonts w:ascii="Montserrat" w:hAnsi="Montserrat"/>
                <w:spacing w:val="-1"/>
                <w:sz w:val="15"/>
                <w:szCs w:val="15"/>
                <w:lang w:val="es-ES_tradnl"/>
              </w:rPr>
              <w:t>,</w:t>
            </w:r>
            <w:r w:rsidRPr="000F0321">
              <w:rPr>
                <w:rFonts w:ascii="Montserrat" w:hAnsi="Montserrat"/>
                <w:spacing w:val="-1"/>
                <w:sz w:val="15"/>
                <w:szCs w:val="15"/>
                <w:lang w:val="es-ES_tradnl"/>
              </w:rPr>
              <w:t>345</w:t>
            </w:r>
            <w:r w:rsidR="003A549B" w:rsidRPr="000F0321">
              <w:rPr>
                <w:rFonts w:ascii="Montserrat" w:hAnsi="Montserrat"/>
                <w:spacing w:val="-1"/>
                <w:sz w:val="15"/>
                <w:szCs w:val="15"/>
                <w:lang w:val="es-ES_tradnl"/>
              </w:rPr>
              <w:t>,</w:t>
            </w:r>
            <w:r w:rsidRPr="000F0321">
              <w:rPr>
                <w:rFonts w:ascii="Montserrat" w:hAnsi="Montserrat"/>
                <w:spacing w:val="-1"/>
                <w:sz w:val="15"/>
                <w:szCs w:val="15"/>
                <w:lang w:val="es-ES_tradnl"/>
              </w:rPr>
              <w:t>011</w:t>
            </w:r>
          </w:p>
        </w:tc>
        <w:tc>
          <w:tcPr>
            <w:tcW w:w="1884" w:type="dxa"/>
            <w:shd w:val="clear" w:color="auto" w:fill="F2F2F2" w:themeFill="background1" w:themeFillShade="F2"/>
            <w:tcMar>
              <w:top w:w="0" w:type="dxa"/>
              <w:left w:w="108" w:type="dxa"/>
              <w:bottom w:w="0" w:type="dxa"/>
              <w:right w:w="108" w:type="dxa"/>
            </w:tcMar>
          </w:tcPr>
          <w:p w14:paraId="2E584AD8" w14:textId="3E85A8C9" w:rsidR="00C5200E" w:rsidRPr="000F0321" w:rsidRDefault="00C5200E" w:rsidP="00C5200E">
            <w:pPr>
              <w:spacing w:after="0" w:line="240" w:lineRule="exact"/>
              <w:ind w:right="113"/>
              <w:jc w:val="right"/>
              <w:rPr>
                <w:rFonts w:ascii="Montserrat" w:hAnsi="Montserrat"/>
                <w:spacing w:val="-1"/>
                <w:sz w:val="15"/>
                <w:szCs w:val="15"/>
                <w:lang w:val="es-ES_tradnl"/>
              </w:rPr>
            </w:pPr>
            <w:r w:rsidRPr="000F0321">
              <w:rPr>
                <w:rFonts w:ascii="Montserrat" w:hAnsi="Montserrat"/>
                <w:spacing w:val="-1"/>
                <w:sz w:val="15"/>
                <w:szCs w:val="15"/>
                <w:lang w:val="es-ES_tradnl"/>
              </w:rPr>
              <w:t>46,186,050</w:t>
            </w:r>
          </w:p>
        </w:tc>
      </w:tr>
      <w:tr w:rsidR="00C5200E" w:rsidRPr="006F0DF1" w14:paraId="348B1DBF" w14:textId="77777777" w:rsidTr="001745ED">
        <w:trPr>
          <w:gridAfter w:val="1"/>
          <w:wAfter w:w="673" w:type="dxa"/>
          <w:trHeight w:val="282"/>
          <w:jc w:val="center"/>
        </w:trPr>
        <w:tc>
          <w:tcPr>
            <w:tcW w:w="1276" w:type="dxa"/>
            <w:shd w:val="clear" w:color="auto" w:fill="F2F2F2" w:themeFill="background1" w:themeFillShade="F2"/>
          </w:tcPr>
          <w:p w14:paraId="75FDEFC1" w14:textId="77777777" w:rsidR="00C5200E" w:rsidRPr="000F0321" w:rsidRDefault="00C5200E" w:rsidP="00C5200E">
            <w:pPr>
              <w:spacing w:after="0" w:line="240" w:lineRule="exact"/>
              <w:jc w:val="center"/>
              <w:rPr>
                <w:rFonts w:ascii="Montserrat" w:hAnsi="Montserrat"/>
                <w:spacing w:val="-1"/>
                <w:sz w:val="15"/>
                <w:szCs w:val="15"/>
                <w:lang w:val="es-ES_tradnl"/>
              </w:rPr>
            </w:pPr>
          </w:p>
        </w:tc>
        <w:tc>
          <w:tcPr>
            <w:tcW w:w="1134" w:type="dxa"/>
            <w:shd w:val="clear" w:color="auto" w:fill="F2F2F2" w:themeFill="background1" w:themeFillShade="F2"/>
          </w:tcPr>
          <w:p w14:paraId="29E3BC9F" w14:textId="77777777" w:rsidR="00C5200E" w:rsidRPr="000F0321" w:rsidRDefault="00C5200E" w:rsidP="00C5200E">
            <w:pPr>
              <w:spacing w:after="0" w:line="240" w:lineRule="exact"/>
              <w:jc w:val="center"/>
              <w:rPr>
                <w:rFonts w:ascii="Montserrat" w:hAnsi="Montserrat"/>
                <w:spacing w:val="-1"/>
                <w:sz w:val="15"/>
                <w:szCs w:val="15"/>
                <w:lang w:val="es-ES_tradnl"/>
              </w:rPr>
            </w:pPr>
          </w:p>
        </w:tc>
        <w:tc>
          <w:tcPr>
            <w:tcW w:w="4820" w:type="dxa"/>
            <w:shd w:val="clear" w:color="auto" w:fill="F2F2F2" w:themeFill="background1" w:themeFillShade="F2"/>
            <w:tcMar>
              <w:top w:w="0" w:type="dxa"/>
              <w:left w:w="108" w:type="dxa"/>
              <w:bottom w:w="0" w:type="dxa"/>
              <w:right w:w="108" w:type="dxa"/>
            </w:tcMar>
          </w:tcPr>
          <w:p w14:paraId="20C7DCD5" w14:textId="613642B8" w:rsidR="00C5200E" w:rsidRPr="000F0321" w:rsidRDefault="00EE5081" w:rsidP="00C5200E">
            <w:pPr>
              <w:spacing w:after="0" w:line="240" w:lineRule="exact"/>
              <w:ind w:firstLine="675"/>
              <w:jc w:val="center"/>
              <w:rPr>
                <w:rFonts w:ascii="Montserrat" w:hAnsi="Montserrat"/>
                <w:b/>
                <w:spacing w:val="-1"/>
                <w:sz w:val="15"/>
                <w:szCs w:val="15"/>
                <w:lang w:val="es-ES_tradnl"/>
              </w:rPr>
            </w:pPr>
            <w:r>
              <w:rPr>
                <w:rFonts w:ascii="Montserrat" w:hAnsi="Montserrat"/>
                <w:b/>
                <w:spacing w:val="-1"/>
                <w:sz w:val="15"/>
                <w:szCs w:val="15"/>
                <w:lang w:val="es-ES_tradnl"/>
              </w:rPr>
              <w:t>IF</w:t>
            </w:r>
            <w:r w:rsidR="00C5200E" w:rsidRPr="000F0321">
              <w:rPr>
                <w:rFonts w:ascii="Montserrat" w:hAnsi="Montserrat"/>
                <w:b/>
                <w:spacing w:val="-1"/>
                <w:sz w:val="15"/>
                <w:szCs w:val="15"/>
                <w:lang w:val="es-ES_tradnl"/>
              </w:rPr>
              <w:t>E's</w:t>
            </w:r>
          </w:p>
        </w:tc>
        <w:tc>
          <w:tcPr>
            <w:tcW w:w="1984" w:type="dxa"/>
            <w:shd w:val="clear" w:color="auto" w:fill="F2F2F2" w:themeFill="background1" w:themeFillShade="F2"/>
          </w:tcPr>
          <w:p w14:paraId="2E6F8C48" w14:textId="3A0B359F" w:rsidR="00C5200E" w:rsidRPr="000F0321" w:rsidRDefault="00C5200E" w:rsidP="00C5200E">
            <w:pPr>
              <w:spacing w:after="0" w:line="240" w:lineRule="exact"/>
              <w:ind w:right="113"/>
              <w:jc w:val="right"/>
              <w:rPr>
                <w:rFonts w:ascii="Montserrat" w:hAnsi="Montserrat"/>
                <w:b/>
                <w:spacing w:val="-1"/>
                <w:sz w:val="15"/>
                <w:szCs w:val="15"/>
                <w:lang w:val="es-ES_tradnl"/>
              </w:rPr>
            </w:pPr>
            <w:r w:rsidRPr="000F0321">
              <w:rPr>
                <w:rFonts w:ascii="Montserrat" w:hAnsi="Montserrat"/>
                <w:b/>
                <w:spacing w:val="-1"/>
                <w:sz w:val="15"/>
                <w:szCs w:val="15"/>
                <w:lang w:val="es-ES_tradnl"/>
              </w:rPr>
              <w:t>29</w:t>
            </w:r>
            <w:r w:rsidR="003A549B" w:rsidRPr="000F0321">
              <w:rPr>
                <w:rFonts w:ascii="Montserrat" w:hAnsi="Montserrat"/>
                <w:b/>
                <w:spacing w:val="-1"/>
                <w:sz w:val="15"/>
                <w:szCs w:val="15"/>
                <w:lang w:val="es-ES_tradnl"/>
              </w:rPr>
              <w:t>,</w:t>
            </w:r>
            <w:r w:rsidRPr="000F0321">
              <w:rPr>
                <w:rFonts w:ascii="Montserrat" w:hAnsi="Montserrat"/>
                <w:b/>
                <w:spacing w:val="-1"/>
                <w:sz w:val="15"/>
                <w:szCs w:val="15"/>
                <w:lang w:val="es-ES_tradnl"/>
              </w:rPr>
              <w:t>785</w:t>
            </w:r>
            <w:r w:rsidR="003A549B" w:rsidRPr="000F0321">
              <w:rPr>
                <w:rFonts w:ascii="Montserrat" w:hAnsi="Montserrat"/>
                <w:b/>
                <w:spacing w:val="-1"/>
                <w:sz w:val="15"/>
                <w:szCs w:val="15"/>
                <w:lang w:val="es-ES_tradnl"/>
              </w:rPr>
              <w:t>,</w:t>
            </w:r>
            <w:r w:rsidRPr="000F0321">
              <w:rPr>
                <w:rFonts w:ascii="Montserrat" w:hAnsi="Montserrat"/>
                <w:b/>
                <w:spacing w:val="-1"/>
                <w:sz w:val="15"/>
                <w:szCs w:val="15"/>
                <w:lang w:val="es-ES_tradnl"/>
              </w:rPr>
              <w:t>711</w:t>
            </w:r>
            <w:r w:rsidR="003A549B" w:rsidRPr="000F0321">
              <w:rPr>
                <w:rFonts w:ascii="Montserrat" w:hAnsi="Montserrat"/>
                <w:b/>
                <w:spacing w:val="-1"/>
                <w:sz w:val="15"/>
                <w:szCs w:val="15"/>
                <w:lang w:val="es-ES_tradnl"/>
              </w:rPr>
              <w:t>,</w:t>
            </w:r>
            <w:r w:rsidRPr="000F0321">
              <w:rPr>
                <w:rFonts w:ascii="Montserrat" w:hAnsi="Montserrat"/>
                <w:b/>
                <w:spacing w:val="-1"/>
                <w:sz w:val="15"/>
                <w:szCs w:val="15"/>
                <w:lang w:val="es-ES_tradnl"/>
              </w:rPr>
              <w:t>078</w:t>
            </w:r>
          </w:p>
        </w:tc>
        <w:tc>
          <w:tcPr>
            <w:tcW w:w="1884" w:type="dxa"/>
            <w:shd w:val="clear" w:color="auto" w:fill="F2F2F2" w:themeFill="background1" w:themeFillShade="F2"/>
            <w:tcMar>
              <w:top w:w="0" w:type="dxa"/>
              <w:left w:w="108" w:type="dxa"/>
              <w:bottom w:w="0" w:type="dxa"/>
              <w:right w:w="108" w:type="dxa"/>
            </w:tcMar>
          </w:tcPr>
          <w:p w14:paraId="086562C7" w14:textId="77777777" w:rsidR="00C5200E" w:rsidRPr="000F0321" w:rsidRDefault="00C5200E" w:rsidP="00C5200E">
            <w:pPr>
              <w:spacing w:after="0" w:line="240" w:lineRule="exact"/>
              <w:ind w:right="113"/>
              <w:jc w:val="right"/>
              <w:rPr>
                <w:rFonts w:ascii="Montserrat" w:hAnsi="Montserrat"/>
                <w:b/>
                <w:spacing w:val="-1"/>
                <w:sz w:val="15"/>
                <w:szCs w:val="15"/>
                <w:lang w:val="es-ES_tradnl"/>
              </w:rPr>
            </w:pPr>
            <w:r w:rsidRPr="000F0321">
              <w:rPr>
                <w:rFonts w:ascii="Montserrat" w:hAnsi="Montserrat"/>
                <w:b/>
                <w:spacing w:val="-1"/>
                <w:sz w:val="15"/>
                <w:szCs w:val="15"/>
                <w:lang w:val="es-ES_tradnl"/>
              </w:rPr>
              <w:t>35,257,111,684</w:t>
            </w:r>
          </w:p>
        </w:tc>
      </w:tr>
      <w:tr w:rsidR="00C5200E" w:rsidRPr="006F0DF1" w14:paraId="5961EE50" w14:textId="77777777" w:rsidTr="001745ED">
        <w:trPr>
          <w:gridAfter w:val="1"/>
          <w:wAfter w:w="673" w:type="dxa"/>
          <w:trHeight w:val="282"/>
          <w:jc w:val="center"/>
        </w:trPr>
        <w:tc>
          <w:tcPr>
            <w:tcW w:w="1276" w:type="dxa"/>
            <w:shd w:val="clear" w:color="auto" w:fill="F2F2F2" w:themeFill="background1" w:themeFillShade="F2"/>
            <w:vAlign w:val="bottom"/>
          </w:tcPr>
          <w:p w14:paraId="5800FDBB" w14:textId="77777777" w:rsidR="00C5200E" w:rsidRPr="000F0321" w:rsidRDefault="00C5200E" w:rsidP="00C5200E">
            <w:pPr>
              <w:spacing w:after="0" w:line="240" w:lineRule="exact"/>
              <w:jc w:val="center"/>
              <w:rPr>
                <w:rFonts w:ascii="Montserrat" w:hAnsi="Montserrat"/>
                <w:sz w:val="15"/>
                <w:szCs w:val="15"/>
                <w:lang w:val="es-ES_tradnl"/>
              </w:rPr>
            </w:pPr>
            <w:r w:rsidRPr="000F0321">
              <w:rPr>
                <w:rFonts w:ascii="Montserrat" w:hAnsi="Montserrat"/>
                <w:sz w:val="15"/>
                <w:szCs w:val="15"/>
                <w:lang w:val="es-ES_tradnl"/>
              </w:rPr>
              <w:t>Fra.</w:t>
            </w:r>
          </w:p>
        </w:tc>
        <w:tc>
          <w:tcPr>
            <w:tcW w:w="1134" w:type="dxa"/>
            <w:shd w:val="clear" w:color="auto" w:fill="F2F2F2" w:themeFill="background1" w:themeFillShade="F2"/>
            <w:vAlign w:val="bottom"/>
          </w:tcPr>
          <w:p w14:paraId="3912C481" w14:textId="77777777" w:rsidR="00C5200E" w:rsidRPr="000F0321" w:rsidRDefault="00C5200E" w:rsidP="00C5200E">
            <w:pPr>
              <w:spacing w:after="0" w:line="240" w:lineRule="exact"/>
              <w:jc w:val="center"/>
              <w:rPr>
                <w:rFonts w:ascii="Montserrat" w:hAnsi="Montserrat"/>
                <w:sz w:val="15"/>
                <w:szCs w:val="15"/>
                <w:lang w:val="es-ES_tradnl"/>
              </w:rPr>
            </w:pPr>
            <w:r w:rsidRPr="000F0321">
              <w:rPr>
                <w:rFonts w:ascii="Montserrat" w:hAnsi="Montserrat"/>
                <w:sz w:val="15"/>
                <w:szCs w:val="15"/>
                <w:lang w:val="es-ES_tradnl"/>
              </w:rPr>
              <w:t>Eur.</w:t>
            </w:r>
          </w:p>
        </w:tc>
        <w:tc>
          <w:tcPr>
            <w:tcW w:w="4820" w:type="dxa"/>
            <w:shd w:val="clear" w:color="auto" w:fill="F2F2F2" w:themeFill="background1" w:themeFillShade="F2"/>
            <w:tcMar>
              <w:top w:w="0" w:type="dxa"/>
              <w:left w:w="108" w:type="dxa"/>
              <w:bottom w:w="0" w:type="dxa"/>
              <w:right w:w="108" w:type="dxa"/>
            </w:tcMar>
          </w:tcPr>
          <w:p w14:paraId="20094CFA" w14:textId="77777777" w:rsidR="00C5200E" w:rsidRPr="000F0321" w:rsidRDefault="00C5200E" w:rsidP="00C5200E">
            <w:pPr>
              <w:spacing w:after="0" w:line="240" w:lineRule="exact"/>
              <w:rPr>
                <w:rFonts w:ascii="Montserrat" w:hAnsi="Montserrat"/>
                <w:spacing w:val="-1"/>
                <w:sz w:val="15"/>
                <w:szCs w:val="15"/>
                <w:lang w:val="es-ES_tradnl"/>
              </w:rPr>
            </w:pPr>
          </w:p>
        </w:tc>
        <w:tc>
          <w:tcPr>
            <w:tcW w:w="1984" w:type="dxa"/>
            <w:shd w:val="clear" w:color="auto" w:fill="F2F2F2" w:themeFill="background1" w:themeFillShade="F2"/>
          </w:tcPr>
          <w:p w14:paraId="1FDACA92" w14:textId="5B14D7F9" w:rsidR="00C5200E" w:rsidRPr="000F0321" w:rsidRDefault="00C5200E" w:rsidP="00C5200E">
            <w:pPr>
              <w:spacing w:after="0" w:line="240" w:lineRule="exact"/>
              <w:ind w:right="113"/>
              <w:jc w:val="right"/>
              <w:rPr>
                <w:rFonts w:ascii="Montserrat" w:hAnsi="Montserrat"/>
                <w:spacing w:val="-1"/>
                <w:sz w:val="15"/>
                <w:szCs w:val="15"/>
                <w:lang w:val="es-ES_tradnl"/>
              </w:rPr>
            </w:pPr>
            <w:r w:rsidRPr="000F0321">
              <w:rPr>
                <w:rFonts w:ascii="Montserrat" w:hAnsi="Montserrat"/>
                <w:spacing w:val="-1"/>
                <w:sz w:val="15"/>
                <w:szCs w:val="15"/>
                <w:lang w:val="es-ES_tradnl"/>
              </w:rPr>
              <w:t>15</w:t>
            </w:r>
            <w:r w:rsidR="003A549B" w:rsidRPr="000F0321">
              <w:rPr>
                <w:rFonts w:ascii="Montserrat" w:hAnsi="Montserrat"/>
                <w:spacing w:val="-1"/>
                <w:sz w:val="15"/>
                <w:szCs w:val="15"/>
                <w:lang w:val="es-ES_tradnl"/>
              </w:rPr>
              <w:t>,</w:t>
            </w:r>
            <w:r w:rsidRPr="000F0321">
              <w:rPr>
                <w:rFonts w:ascii="Montserrat" w:hAnsi="Montserrat"/>
                <w:spacing w:val="-1"/>
                <w:sz w:val="15"/>
                <w:szCs w:val="15"/>
                <w:lang w:val="es-ES_tradnl"/>
              </w:rPr>
              <w:t>453</w:t>
            </w:r>
            <w:r w:rsidR="003A549B" w:rsidRPr="000F0321">
              <w:rPr>
                <w:rFonts w:ascii="Montserrat" w:hAnsi="Montserrat"/>
                <w:spacing w:val="-1"/>
                <w:sz w:val="15"/>
                <w:szCs w:val="15"/>
                <w:lang w:val="es-ES_tradnl"/>
              </w:rPr>
              <w:t>,</w:t>
            </w:r>
            <w:r w:rsidRPr="000F0321">
              <w:rPr>
                <w:rFonts w:ascii="Montserrat" w:hAnsi="Montserrat"/>
                <w:spacing w:val="-1"/>
                <w:sz w:val="15"/>
                <w:szCs w:val="15"/>
                <w:lang w:val="es-ES_tradnl"/>
              </w:rPr>
              <w:t>347</w:t>
            </w:r>
            <w:r w:rsidR="003A549B" w:rsidRPr="000F0321">
              <w:rPr>
                <w:rFonts w:ascii="Montserrat" w:hAnsi="Montserrat"/>
                <w:spacing w:val="-1"/>
                <w:sz w:val="15"/>
                <w:szCs w:val="15"/>
                <w:lang w:val="es-ES_tradnl"/>
              </w:rPr>
              <w:t>,</w:t>
            </w:r>
            <w:r w:rsidRPr="000F0321">
              <w:rPr>
                <w:rFonts w:ascii="Montserrat" w:hAnsi="Montserrat"/>
                <w:spacing w:val="-1"/>
                <w:sz w:val="15"/>
                <w:szCs w:val="15"/>
                <w:lang w:val="es-ES_tradnl"/>
              </w:rPr>
              <w:t>279</w:t>
            </w:r>
          </w:p>
        </w:tc>
        <w:tc>
          <w:tcPr>
            <w:tcW w:w="1884" w:type="dxa"/>
            <w:shd w:val="clear" w:color="auto" w:fill="F2F2F2" w:themeFill="background1" w:themeFillShade="F2"/>
            <w:tcMar>
              <w:top w:w="0" w:type="dxa"/>
              <w:left w:w="108" w:type="dxa"/>
              <w:bottom w:w="0" w:type="dxa"/>
              <w:right w:w="108" w:type="dxa"/>
            </w:tcMar>
          </w:tcPr>
          <w:p w14:paraId="2799FBE9" w14:textId="77777777" w:rsidR="00C5200E" w:rsidRPr="000F0321" w:rsidRDefault="00C5200E" w:rsidP="00C5200E">
            <w:pPr>
              <w:spacing w:after="0" w:line="240" w:lineRule="exact"/>
              <w:ind w:right="113"/>
              <w:jc w:val="right"/>
              <w:rPr>
                <w:rFonts w:ascii="Montserrat" w:hAnsi="Montserrat"/>
                <w:spacing w:val="-1"/>
                <w:sz w:val="15"/>
                <w:szCs w:val="15"/>
                <w:lang w:val="es-ES_tradnl"/>
              </w:rPr>
            </w:pPr>
            <w:r w:rsidRPr="000F0321">
              <w:rPr>
                <w:rFonts w:ascii="Montserrat" w:hAnsi="Montserrat"/>
                <w:spacing w:val="-1"/>
                <w:sz w:val="15"/>
                <w:szCs w:val="15"/>
                <w:lang w:val="es-ES_tradnl"/>
              </w:rPr>
              <w:t>17,006,894,292</w:t>
            </w:r>
          </w:p>
        </w:tc>
      </w:tr>
      <w:tr w:rsidR="00C5200E" w:rsidRPr="006F0DF1" w14:paraId="1F0CC4B3" w14:textId="77777777" w:rsidTr="001745ED">
        <w:trPr>
          <w:gridAfter w:val="1"/>
          <w:wAfter w:w="673" w:type="dxa"/>
          <w:trHeight w:val="282"/>
          <w:jc w:val="center"/>
        </w:trPr>
        <w:tc>
          <w:tcPr>
            <w:tcW w:w="1276" w:type="dxa"/>
            <w:shd w:val="clear" w:color="auto" w:fill="F2F2F2" w:themeFill="background1" w:themeFillShade="F2"/>
            <w:vAlign w:val="bottom"/>
          </w:tcPr>
          <w:p w14:paraId="1D0056A5" w14:textId="77777777" w:rsidR="00C5200E" w:rsidRPr="000F0321" w:rsidRDefault="00C5200E" w:rsidP="00C5200E">
            <w:pPr>
              <w:spacing w:after="0" w:line="240" w:lineRule="exact"/>
              <w:jc w:val="center"/>
              <w:rPr>
                <w:rFonts w:ascii="Montserrat" w:hAnsi="Montserrat"/>
                <w:sz w:val="15"/>
                <w:szCs w:val="15"/>
                <w:lang w:val="es-ES_tradnl"/>
              </w:rPr>
            </w:pPr>
            <w:r w:rsidRPr="000F0321">
              <w:rPr>
                <w:rFonts w:ascii="Montserrat" w:hAnsi="Montserrat"/>
                <w:sz w:val="15"/>
                <w:szCs w:val="15"/>
                <w:lang w:val="es-ES_tradnl"/>
              </w:rPr>
              <w:t>Fra.</w:t>
            </w:r>
          </w:p>
        </w:tc>
        <w:tc>
          <w:tcPr>
            <w:tcW w:w="1134" w:type="dxa"/>
            <w:shd w:val="clear" w:color="auto" w:fill="F2F2F2" w:themeFill="background1" w:themeFillShade="F2"/>
            <w:vAlign w:val="bottom"/>
          </w:tcPr>
          <w:p w14:paraId="3108BAC7" w14:textId="77777777" w:rsidR="00C5200E" w:rsidRPr="000F0321" w:rsidRDefault="00C5200E" w:rsidP="00C5200E">
            <w:pPr>
              <w:spacing w:after="0" w:line="240" w:lineRule="exact"/>
              <w:jc w:val="center"/>
              <w:rPr>
                <w:rFonts w:ascii="Montserrat" w:hAnsi="Montserrat"/>
                <w:sz w:val="15"/>
                <w:szCs w:val="15"/>
                <w:lang w:val="es-ES_tradnl"/>
              </w:rPr>
            </w:pPr>
            <w:r w:rsidRPr="000F0321">
              <w:rPr>
                <w:rFonts w:ascii="Montserrat" w:hAnsi="Montserrat"/>
                <w:sz w:val="15"/>
                <w:szCs w:val="15"/>
                <w:lang w:val="es-ES_tradnl"/>
              </w:rPr>
              <w:t>Dlr.</w:t>
            </w:r>
          </w:p>
        </w:tc>
        <w:tc>
          <w:tcPr>
            <w:tcW w:w="4820" w:type="dxa"/>
            <w:shd w:val="clear" w:color="auto" w:fill="F2F2F2" w:themeFill="background1" w:themeFillShade="F2"/>
            <w:tcMar>
              <w:top w:w="0" w:type="dxa"/>
              <w:left w:w="108" w:type="dxa"/>
              <w:bottom w:w="0" w:type="dxa"/>
              <w:right w:w="108" w:type="dxa"/>
            </w:tcMar>
          </w:tcPr>
          <w:p w14:paraId="36F23F08" w14:textId="77777777" w:rsidR="00C5200E" w:rsidRPr="000F0321" w:rsidRDefault="00C5200E" w:rsidP="00C5200E">
            <w:pPr>
              <w:spacing w:after="0" w:line="240" w:lineRule="exact"/>
              <w:rPr>
                <w:rFonts w:ascii="Montserrat" w:hAnsi="Montserrat"/>
                <w:spacing w:val="-1"/>
                <w:sz w:val="15"/>
                <w:szCs w:val="15"/>
                <w:lang w:val="es-ES_tradnl"/>
              </w:rPr>
            </w:pPr>
          </w:p>
        </w:tc>
        <w:tc>
          <w:tcPr>
            <w:tcW w:w="1984" w:type="dxa"/>
            <w:shd w:val="clear" w:color="auto" w:fill="F2F2F2" w:themeFill="background1" w:themeFillShade="F2"/>
          </w:tcPr>
          <w:p w14:paraId="0668EE7A" w14:textId="551B9D1E" w:rsidR="00C5200E" w:rsidRPr="000F0321" w:rsidRDefault="00C5200E" w:rsidP="00C5200E">
            <w:pPr>
              <w:spacing w:after="0" w:line="240" w:lineRule="exact"/>
              <w:ind w:right="113"/>
              <w:jc w:val="right"/>
              <w:rPr>
                <w:rFonts w:ascii="Montserrat" w:hAnsi="Montserrat"/>
                <w:spacing w:val="-1"/>
                <w:sz w:val="15"/>
                <w:szCs w:val="15"/>
                <w:lang w:val="es-ES_tradnl"/>
              </w:rPr>
            </w:pPr>
            <w:r w:rsidRPr="000F0321">
              <w:rPr>
                <w:rFonts w:ascii="Montserrat" w:hAnsi="Montserrat"/>
                <w:spacing w:val="-1"/>
                <w:sz w:val="15"/>
                <w:szCs w:val="15"/>
                <w:lang w:val="es-ES_tradnl"/>
              </w:rPr>
              <w:t>700</w:t>
            </w:r>
            <w:r w:rsidR="003A549B" w:rsidRPr="000F0321">
              <w:rPr>
                <w:rFonts w:ascii="Montserrat" w:hAnsi="Montserrat"/>
                <w:spacing w:val="-1"/>
                <w:sz w:val="15"/>
                <w:szCs w:val="15"/>
                <w:lang w:val="es-ES_tradnl"/>
              </w:rPr>
              <w:t>,</w:t>
            </w:r>
            <w:r w:rsidRPr="000F0321">
              <w:rPr>
                <w:rFonts w:ascii="Montserrat" w:hAnsi="Montserrat"/>
                <w:spacing w:val="-1"/>
                <w:sz w:val="15"/>
                <w:szCs w:val="15"/>
                <w:lang w:val="es-ES_tradnl"/>
              </w:rPr>
              <w:t>311</w:t>
            </w:r>
            <w:r w:rsidR="003A549B" w:rsidRPr="000F0321">
              <w:rPr>
                <w:rFonts w:ascii="Montserrat" w:hAnsi="Montserrat"/>
                <w:spacing w:val="-1"/>
                <w:sz w:val="15"/>
                <w:szCs w:val="15"/>
                <w:lang w:val="es-ES_tradnl"/>
              </w:rPr>
              <w:t>,</w:t>
            </w:r>
            <w:r w:rsidRPr="000F0321">
              <w:rPr>
                <w:rFonts w:ascii="Montserrat" w:hAnsi="Montserrat"/>
                <w:spacing w:val="-1"/>
                <w:sz w:val="15"/>
                <w:szCs w:val="15"/>
                <w:lang w:val="es-ES_tradnl"/>
              </w:rPr>
              <w:t>356</w:t>
            </w:r>
          </w:p>
        </w:tc>
        <w:tc>
          <w:tcPr>
            <w:tcW w:w="1884" w:type="dxa"/>
            <w:shd w:val="clear" w:color="auto" w:fill="F2F2F2" w:themeFill="background1" w:themeFillShade="F2"/>
            <w:tcMar>
              <w:top w:w="0" w:type="dxa"/>
              <w:left w:w="108" w:type="dxa"/>
              <w:bottom w:w="0" w:type="dxa"/>
              <w:right w:w="108" w:type="dxa"/>
            </w:tcMar>
          </w:tcPr>
          <w:p w14:paraId="02916643" w14:textId="77777777" w:rsidR="00C5200E" w:rsidRPr="000F0321" w:rsidRDefault="00C5200E" w:rsidP="00C5200E">
            <w:pPr>
              <w:spacing w:after="0" w:line="240" w:lineRule="exact"/>
              <w:ind w:right="113"/>
              <w:jc w:val="right"/>
              <w:rPr>
                <w:rFonts w:ascii="Montserrat" w:hAnsi="Montserrat"/>
                <w:spacing w:val="-1"/>
                <w:sz w:val="15"/>
                <w:szCs w:val="15"/>
                <w:lang w:val="es-ES_tradnl"/>
              </w:rPr>
            </w:pPr>
            <w:r w:rsidRPr="000F0321">
              <w:rPr>
                <w:rFonts w:ascii="Montserrat" w:hAnsi="Montserrat"/>
                <w:spacing w:val="-1"/>
                <w:sz w:val="15"/>
                <w:szCs w:val="15"/>
                <w:lang w:val="es-ES_tradnl"/>
              </w:rPr>
              <w:t>1,024,017,881</w:t>
            </w:r>
          </w:p>
        </w:tc>
      </w:tr>
      <w:tr w:rsidR="00C5200E" w:rsidRPr="006F0DF1" w14:paraId="4F70B743" w14:textId="77777777" w:rsidTr="001745ED">
        <w:trPr>
          <w:gridAfter w:val="1"/>
          <w:wAfter w:w="673" w:type="dxa"/>
          <w:trHeight w:val="282"/>
          <w:jc w:val="center"/>
        </w:trPr>
        <w:tc>
          <w:tcPr>
            <w:tcW w:w="1276" w:type="dxa"/>
            <w:shd w:val="clear" w:color="auto" w:fill="F2F2F2" w:themeFill="background1" w:themeFillShade="F2"/>
            <w:vAlign w:val="bottom"/>
          </w:tcPr>
          <w:p w14:paraId="47E2CEE3" w14:textId="77777777" w:rsidR="00C5200E" w:rsidRPr="000F0321" w:rsidRDefault="00C5200E" w:rsidP="00C5200E">
            <w:pPr>
              <w:spacing w:after="0" w:line="240" w:lineRule="exact"/>
              <w:jc w:val="center"/>
              <w:rPr>
                <w:rFonts w:ascii="Montserrat" w:hAnsi="Montserrat"/>
                <w:sz w:val="15"/>
                <w:szCs w:val="15"/>
                <w:lang w:val="es-ES_tradnl"/>
              </w:rPr>
            </w:pPr>
            <w:r w:rsidRPr="000F0321">
              <w:rPr>
                <w:rFonts w:ascii="Montserrat" w:hAnsi="Montserrat"/>
                <w:sz w:val="15"/>
                <w:szCs w:val="15"/>
                <w:lang w:val="es-ES_tradnl"/>
              </w:rPr>
              <w:t>Esp.</w:t>
            </w:r>
          </w:p>
        </w:tc>
        <w:tc>
          <w:tcPr>
            <w:tcW w:w="1134" w:type="dxa"/>
            <w:shd w:val="clear" w:color="auto" w:fill="F2F2F2" w:themeFill="background1" w:themeFillShade="F2"/>
            <w:vAlign w:val="bottom"/>
          </w:tcPr>
          <w:p w14:paraId="6327AC5C" w14:textId="77777777" w:rsidR="00C5200E" w:rsidRPr="000F0321" w:rsidRDefault="00C5200E" w:rsidP="00C5200E">
            <w:pPr>
              <w:spacing w:after="0" w:line="240" w:lineRule="exact"/>
              <w:jc w:val="center"/>
              <w:rPr>
                <w:rFonts w:ascii="Montserrat" w:hAnsi="Montserrat"/>
                <w:sz w:val="15"/>
                <w:szCs w:val="15"/>
                <w:lang w:val="es-ES_tradnl"/>
              </w:rPr>
            </w:pPr>
            <w:r w:rsidRPr="000F0321">
              <w:rPr>
                <w:rFonts w:ascii="Montserrat" w:hAnsi="Montserrat"/>
                <w:sz w:val="15"/>
                <w:szCs w:val="15"/>
                <w:lang w:val="es-ES_tradnl"/>
              </w:rPr>
              <w:t>Dlr.</w:t>
            </w:r>
          </w:p>
        </w:tc>
        <w:tc>
          <w:tcPr>
            <w:tcW w:w="4820" w:type="dxa"/>
            <w:shd w:val="clear" w:color="auto" w:fill="F2F2F2" w:themeFill="background1" w:themeFillShade="F2"/>
            <w:tcMar>
              <w:top w:w="0" w:type="dxa"/>
              <w:left w:w="108" w:type="dxa"/>
              <w:bottom w:w="0" w:type="dxa"/>
              <w:right w:w="108" w:type="dxa"/>
            </w:tcMar>
          </w:tcPr>
          <w:p w14:paraId="040C33B8" w14:textId="77777777" w:rsidR="00C5200E" w:rsidRPr="000F0321" w:rsidRDefault="00C5200E" w:rsidP="00C5200E">
            <w:pPr>
              <w:spacing w:after="0" w:line="240" w:lineRule="exact"/>
              <w:rPr>
                <w:rFonts w:ascii="Montserrat" w:hAnsi="Montserrat"/>
                <w:spacing w:val="-1"/>
                <w:sz w:val="15"/>
                <w:szCs w:val="15"/>
                <w:lang w:val="es-ES_tradnl"/>
              </w:rPr>
            </w:pPr>
          </w:p>
        </w:tc>
        <w:tc>
          <w:tcPr>
            <w:tcW w:w="1984" w:type="dxa"/>
            <w:shd w:val="clear" w:color="auto" w:fill="F2F2F2" w:themeFill="background1" w:themeFillShade="F2"/>
          </w:tcPr>
          <w:p w14:paraId="6328DBB4" w14:textId="49AE42AC" w:rsidR="00C5200E" w:rsidRPr="000F0321" w:rsidRDefault="00C5200E" w:rsidP="00C5200E">
            <w:pPr>
              <w:spacing w:after="0" w:line="240" w:lineRule="exact"/>
              <w:ind w:right="113"/>
              <w:jc w:val="right"/>
              <w:rPr>
                <w:rFonts w:ascii="Montserrat" w:hAnsi="Montserrat"/>
                <w:spacing w:val="-1"/>
                <w:sz w:val="15"/>
                <w:szCs w:val="15"/>
                <w:lang w:val="es-ES_tradnl"/>
              </w:rPr>
            </w:pPr>
            <w:r w:rsidRPr="000F0321">
              <w:rPr>
                <w:rFonts w:ascii="Montserrat" w:hAnsi="Montserrat"/>
                <w:spacing w:val="-1"/>
                <w:sz w:val="15"/>
                <w:szCs w:val="15"/>
                <w:lang w:val="es-ES_tradnl"/>
              </w:rPr>
              <w:t>1</w:t>
            </w:r>
            <w:r w:rsidR="003A549B" w:rsidRPr="000F0321">
              <w:rPr>
                <w:rFonts w:ascii="Montserrat" w:hAnsi="Montserrat"/>
                <w:spacing w:val="-1"/>
                <w:sz w:val="15"/>
                <w:szCs w:val="15"/>
                <w:lang w:val="es-ES_tradnl"/>
              </w:rPr>
              <w:t>,</w:t>
            </w:r>
            <w:r w:rsidRPr="000F0321">
              <w:rPr>
                <w:rFonts w:ascii="Montserrat" w:hAnsi="Montserrat"/>
                <w:spacing w:val="-1"/>
                <w:sz w:val="15"/>
                <w:szCs w:val="15"/>
                <w:lang w:val="es-ES_tradnl"/>
              </w:rPr>
              <w:t>748</w:t>
            </w:r>
            <w:r w:rsidR="003A549B" w:rsidRPr="000F0321">
              <w:rPr>
                <w:rFonts w:ascii="Montserrat" w:hAnsi="Montserrat"/>
                <w:spacing w:val="-1"/>
                <w:sz w:val="15"/>
                <w:szCs w:val="15"/>
                <w:lang w:val="es-ES_tradnl"/>
              </w:rPr>
              <w:t>,</w:t>
            </w:r>
            <w:r w:rsidRPr="000F0321">
              <w:rPr>
                <w:rFonts w:ascii="Montserrat" w:hAnsi="Montserrat"/>
                <w:spacing w:val="-1"/>
                <w:sz w:val="15"/>
                <w:szCs w:val="15"/>
                <w:lang w:val="es-ES_tradnl"/>
              </w:rPr>
              <w:t>147</w:t>
            </w:r>
            <w:r w:rsidR="003A549B" w:rsidRPr="000F0321">
              <w:rPr>
                <w:rFonts w:ascii="Montserrat" w:hAnsi="Montserrat"/>
                <w:spacing w:val="-1"/>
                <w:sz w:val="15"/>
                <w:szCs w:val="15"/>
                <w:lang w:val="es-ES_tradnl"/>
              </w:rPr>
              <w:t>,</w:t>
            </w:r>
            <w:r w:rsidRPr="000F0321">
              <w:rPr>
                <w:rFonts w:ascii="Montserrat" w:hAnsi="Montserrat"/>
                <w:spacing w:val="-1"/>
                <w:sz w:val="15"/>
                <w:szCs w:val="15"/>
                <w:lang w:val="es-ES_tradnl"/>
              </w:rPr>
              <w:t>066</w:t>
            </w:r>
          </w:p>
        </w:tc>
        <w:tc>
          <w:tcPr>
            <w:tcW w:w="1884" w:type="dxa"/>
            <w:shd w:val="clear" w:color="auto" w:fill="F2F2F2" w:themeFill="background1" w:themeFillShade="F2"/>
            <w:tcMar>
              <w:top w:w="0" w:type="dxa"/>
              <w:left w:w="108" w:type="dxa"/>
              <w:bottom w:w="0" w:type="dxa"/>
              <w:right w:w="108" w:type="dxa"/>
            </w:tcMar>
          </w:tcPr>
          <w:p w14:paraId="31817BA2" w14:textId="77777777" w:rsidR="00C5200E" w:rsidRPr="000F0321" w:rsidRDefault="00C5200E" w:rsidP="00C5200E">
            <w:pPr>
              <w:spacing w:after="0" w:line="240" w:lineRule="exact"/>
              <w:ind w:right="113"/>
              <w:jc w:val="right"/>
              <w:rPr>
                <w:rFonts w:ascii="Montserrat" w:hAnsi="Montserrat"/>
                <w:spacing w:val="-1"/>
                <w:sz w:val="15"/>
                <w:szCs w:val="15"/>
                <w:lang w:val="es-ES_tradnl"/>
              </w:rPr>
            </w:pPr>
            <w:r w:rsidRPr="000F0321">
              <w:rPr>
                <w:rFonts w:ascii="Montserrat" w:hAnsi="Montserrat"/>
                <w:spacing w:val="-1"/>
                <w:sz w:val="15"/>
                <w:szCs w:val="15"/>
                <w:lang w:val="es-ES_tradnl"/>
              </w:rPr>
              <w:t>2,472,054,887</w:t>
            </w:r>
          </w:p>
        </w:tc>
      </w:tr>
      <w:tr w:rsidR="00C5200E" w:rsidRPr="006F0DF1" w14:paraId="29AC41F6" w14:textId="77777777" w:rsidTr="001745ED">
        <w:trPr>
          <w:gridAfter w:val="1"/>
          <w:wAfter w:w="673" w:type="dxa"/>
          <w:trHeight w:val="282"/>
          <w:jc w:val="center"/>
        </w:trPr>
        <w:tc>
          <w:tcPr>
            <w:tcW w:w="1276" w:type="dxa"/>
            <w:shd w:val="clear" w:color="auto" w:fill="F2F2F2" w:themeFill="background1" w:themeFillShade="F2"/>
            <w:vAlign w:val="bottom"/>
          </w:tcPr>
          <w:p w14:paraId="32337522" w14:textId="77777777" w:rsidR="00C5200E" w:rsidRPr="000F0321" w:rsidRDefault="00C5200E" w:rsidP="00C5200E">
            <w:pPr>
              <w:spacing w:after="0" w:line="240" w:lineRule="exact"/>
              <w:jc w:val="center"/>
              <w:rPr>
                <w:rFonts w:ascii="Montserrat" w:hAnsi="Montserrat"/>
                <w:sz w:val="15"/>
                <w:szCs w:val="15"/>
                <w:lang w:val="es-ES_tradnl"/>
              </w:rPr>
            </w:pPr>
            <w:r w:rsidRPr="000F0321">
              <w:rPr>
                <w:rFonts w:ascii="Montserrat" w:hAnsi="Montserrat"/>
                <w:sz w:val="15"/>
                <w:szCs w:val="15"/>
                <w:lang w:val="es-ES_tradnl"/>
              </w:rPr>
              <w:t>E.u.</w:t>
            </w:r>
          </w:p>
        </w:tc>
        <w:tc>
          <w:tcPr>
            <w:tcW w:w="1134" w:type="dxa"/>
            <w:shd w:val="clear" w:color="auto" w:fill="F2F2F2" w:themeFill="background1" w:themeFillShade="F2"/>
            <w:vAlign w:val="bottom"/>
          </w:tcPr>
          <w:p w14:paraId="7B21737D" w14:textId="77777777" w:rsidR="00C5200E" w:rsidRPr="000F0321" w:rsidRDefault="00C5200E" w:rsidP="00C5200E">
            <w:pPr>
              <w:spacing w:after="0" w:line="240" w:lineRule="exact"/>
              <w:jc w:val="center"/>
              <w:rPr>
                <w:rFonts w:ascii="Montserrat" w:hAnsi="Montserrat"/>
                <w:sz w:val="15"/>
                <w:szCs w:val="15"/>
                <w:lang w:val="es-ES_tradnl"/>
              </w:rPr>
            </w:pPr>
            <w:r w:rsidRPr="000F0321">
              <w:rPr>
                <w:rFonts w:ascii="Montserrat" w:hAnsi="Montserrat"/>
                <w:sz w:val="15"/>
                <w:szCs w:val="15"/>
                <w:lang w:val="es-ES_tradnl"/>
              </w:rPr>
              <w:t>Dlr.</w:t>
            </w:r>
          </w:p>
        </w:tc>
        <w:tc>
          <w:tcPr>
            <w:tcW w:w="4820" w:type="dxa"/>
            <w:shd w:val="clear" w:color="auto" w:fill="F2F2F2" w:themeFill="background1" w:themeFillShade="F2"/>
            <w:tcMar>
              <w:top w:w="0" w:type="dxa"/>
              <w:left w:w="108" w:type="dxa"/>
              <w:bottom w:w="0" w:type="dxa"/>
              <w:right w:w="108" w:type="dxa"/>
            </w:tcMar>
          </w:tcPr>
          <w:p w14:paraId="4D586FF4" w14:textId="77777777" w:rsidR="00C5200E" w:rsidRPr="000F0321" w:rsidRDefault="00C5200E" w:rsidP="00C5200E">
            <w:pPr>
              <w:spacing w:after="0" w:line="240" w:lineRule="exact"/>
              <w:rPr>
                <w:rFonts w:ascii="Montserrat" w:hAnsi="Montserrat"/>
                <w:spacing w:val="-1"/>
                <w:sz w:val="15"/>
                <w:szCs w:val="15"/>
                <w:lang w:val="es-ES_tradnl"/>
              </w:rPr>
            </w:pPr>
          </w:p>
        </w:tc>
        <w:tc>
          <w:tcPr>
            <w:tcW w:w="1984" w:type="dxa"/>
            <w:shd w:val="clear" w:color="auto" w:fill="F2F2F2" w:themeFill="background1" w:themeFillShade="F2"/>
          </w:tcPr>
          <w:p w14:paraId="54CBD30F" w14:textId="3D40AACF" w:rsidR="00C5200E" w:rsidRPr="000F0321" w:rsidRDefault="00C5200E" w:rsidP="00C5200E">
            <w:pPr>
              <w:spacing w:after="0" w:line="240" w:lineRule="exact"/>
              <w:ind w:right="113"/>
              <w:jc w:val="right"/>
              <w:rPr>
                <w:rFonts w:ascii="Montserrat" w:hAnsi="Montserrat"/>
                <w:spacing w:val="-1"/>
                <w:sz w:val="15"/>
                <w:szCs w:val="15"/>
                <w:lang w:val="es-ES_tradnl"/>
              </w:rPr>
            </w:pPr>
            <w:r w:rsidRPr="000F0321">
              <w:rPr>
                <w:rFonts w:ascii="Montserrat" w:hAnsi="Montserrat"/>
                <w:spacing w:val="-1"/>
                <w:sz w:val="15"/>
                <w:szCs w:val="15"/>
                <w:lang w:val="es-ES_tradnl"/>
              </w:rPr>
              <w:t>6</w:t>
            </w:r>
            <w:r w:rsidR="003A549B" w:rsidRPr="000F0321">
              <w:rPr>
                <w:rFonts w:ascii="Montserrat" w:hAnsi="Montserrat"/>
                <w:spacing w:val="-1"/>
                <w:sz w:val="15"/>
                <w:szCs w:val="15"/>
                <w:lang w:val="es-ES_tradnl"/>
              </w:rPr>
              <w:t>,</w:t>
            </w:r>
            <w:r w:rsidRPr="000F0321">
              <w:rPr>
                <w:rFonts w:ascii="Montserrat" w:hAnsi="Montserrat"/>
                <w:spacing w:val="-1"/>
                <w:sz w:val="15"/>
                <w:szCs w:val="15"/>
                <w:lang w:val="es-ES_tradnl"/>
              </w:rPr>
              <w:t>651</w:t>
            </w:r>
            <w:r w:rsidR="003A549B" w:rsidRPr="000F0321">
              <w:rPr>
                <w:rFonts w:ascii="Montserrat" w:hAnsi="Montserrat"/>
                <w:spacing w:val="-1"/>
                <w:sz w:val="15"/>
                <w:szCs w:val="15"/>
                <w:lang w:val="es-ES_tradnl"/>
              </w:rPr>
              <w:t>,</w:t>
            </w:r>
            <w:r w:rsidRPr="000F0321">
              <w:rPr>
                <w:rFonts w:ascii="Montserrat" w:hAnsi="Montserrat"/>
                <w:spacing w:val="-1"/>
                <w:sz w:val="15"/>
                <w:szCs w:val="15"/>
                <w:lang w:val="es-ES_tradnl"/>
              </w:rPr>
              <w:t>138</w:t>
            </w:r>
            <w:r w:rsidR="003A549B" w:rsidRPr="000F0321">
              <w:rPr>
                <w:rFonts w:ascii="Montserrat" w:hAnsi="Montserrat"/>
                <w:spacing w:val="-1"/>
                <w:sz w:val="15"/>
                <w:szCs w:val="15"/>
                <w:lang w:val="es-ES_tradnl"/>
              </w:rPr>
              <w:t>,</w:t>
            </w:r>
            <w:r w:rsidRPr="000F0321">
              <w:rPr>
                <w:rFonts w:ascii="Montserrat" w:hAnsi="Montserrat"/>
                <w:spacing w:val="-1"/>
                <w:sz w:val="15"/>
                <w:szCs w:val="15"/>
                <w:lang w:val="es-ES_tradnl"/>
              </w:rPr>
              <w:t>855</w:t>
            </w:r>
          </w:p>
        </w:tc>
        <w:tc>
          <w:tcPr>
            <w:tcW w:w="1884" w:type="dxa"/>
            <w:shd w:val="clear" w:color="auto" w:fill="F2F2F2" w:themeFill="background1" w:themeFillShade="F2"/>
            <w:tcMar>
              <w:top w:w="0" w:type="dxa"/>
              <w:left w:w="108" w:type="dxa"/>
              <w:bottom w:w="0" w:type="dxa"/>
              <w:right w:w="108" w:type="dxa"/>
            </w:tcMar>
          </w:tcPr>
          <w:p w14:paraId="2A6CC41C" w14:textId="77777777" w:rsidR="00C5200E" w:rsidRPr="000F0321" w:rsidRDefault="00C5200E" w:rsidP="00C5200E">
            <w:pPr>
              <w:spacing w:after="0" w:line="240" w:lineRule="exact"/>
              <w:ind w:right="113"/>
              <w:jc w:val="right"/>
              <w:rPr>
                <w:rFonts w:ascii="Montserrat" w:hAnsi="Montserrat"/>
                <w:spacing w:val="-1"/>
                <w:sz w:val="15"/>
                <w:szCs w:val="15"/>
                <w:lang w:val="es-ES_tradnl"/>
              </w:rPr>
            </w:pPr>
            <w:r w:rsidRPr="000F0321">
              <w:rPr>
                <w:rFonts w:ascii="Montserrat" w:hAnsi="Montserrat"/>
                <w:spacing w:val="-1"/>
                <w:sz w:val="15"/>
                <w:szCs w:val="15"/>
                <w:lang w:val="es-ES_tradnl"/>
              </w:rPr>
              <w:t>8,594,764,367</w:t>
            </w:r>
          </w:p>
        </w:tc>
      </w:tr>
      <w:tr w:rsidR="00C5200E" w:rsidRPr="006F0DF1" w14:paraId="57551C6D" w14:textId="77777777" w:rsidTr="001745ED">
        <w:trPr>
          <w:gridAfter w:val="1"/>
          <w:wAfter w:w="673" w:type="dxa"/>
          <w:trHeight w:val="314"/>
          <w:jc w:val="center"/>
        </w:trPr>
        <w:tc>
          <w:tcPr>
            <w:tcW w:w="1276" w:type="dxa"/>
            <w:tcBorders>
              <w:bottom w:val="single" w:sz="12" w:space="0" w:color="808080" w:themeColor="background1" w:themeShade="80"/>
            </w:tcBorders>
            <w:shd w:val="clear" w:color="auto" w:fill="F2F2F2" w:themeFill="background1" w:themeFillShade="F2"/>
            <w:vAlign w:val="bottom"/>
          </w:tcPr>
          <w:p w14:paraId="506B4166" w14:textId="77777777" w:rsidR="00C5200E" w:rsidRPr="000F0321" w:rsidRDefault="00C5200E" w:rsidP="00C5200E">
            <w:pPr>
              <w:spacing w:after="0" w:line="240" w:lineRule="exact"/>
              <w:jc w:val="center"/>
              <w:rPr>
                <w:rFonts w:ascii="Montserrat" w:hAnsi="Montserrat"/>
                <w:sz w:val="15"/>
                <w:szCs w:val="15"/>
                <w:lang w:val="es-ES_tradnl"/>
              </w:rPr>
            </w:pPr>
            <w:r w:rsidRPr="000F0321">
              <w:rPr>
                <w:rFonts w:ascii="Montserrat" w:hAnsi="Montserrat"/>
                <w:sz w:val="15"/>
                <w:szCs w:val="15"/>
                <w:lang w:val="es-ES_tradnl"/>
              </w:rPr>
              <w:t>Alm.</w:t>
            </w:r>
          </w:p>
        </w:tc>
        <w:tc>
          <w:tcPr>
            <w:tcW w:w="1134" w:type="dxa"/>
            <w:tcBorders>
              <w:bottom w:val="single" w:sz="12" w:space="0" w:color="808080" w:themeColor="background1" w:themeShade="80"/>
            </w:tcBorders>
            <w:shd w:val="clear" w:color="auto" w:fill="F2F2F2" w:themeFill="background1" w:themeFillShade="F2"/>
            <w:vAlign w:val="bottom"/>
          </w:tcPr>
          <w:p w14:paraId="3DB8C763" w14:textId="77777777" w:rsidR="00C5200E" w:rsidRPr="000F0321" w:rsidRDefault="00C5200E" w:rsidP="00C5200E">
            <w:pPr>
              <w:spacing w:after="0" w:line="240" w:lineRule="exact"/>
              <w:jc w:val="center"/>
              <w:rPr>
                <w:rFonts w:ascii="Montserrat" w:hAnsi="Montserrat"/>
                <w:sz w:val="15"/>
                <w:szCs w:val="15"/>
                <w:lang w:val="es-ES_tradnl"/>
              </w:rPr>
            </w:pPr>
            <w:r w:rsidRPr="000F0321">
              <w:rPr>
                <w:rFonts w:ascii="Montserrat" w:hAnsi="Montserrat"/>
                <w:sz w:val="15"/>
                <w:szCs w:val="15"/>
                <w:lang w:val="es-ES_tradnl"/>
              </w:rPr>
              <w:t>Eur.</w:t>
            </w:r>
          </w:p>
        </w:tc>
        <w:tc>
          <w:tcPr>
            <w:tcW w:w="4820" w:type="dxa"/>
            <w:tcBorders>
              <w:bottom w:val="single" w:sz="12" w:space="0" w:color="808080" w:themeColor="background1" w:themeShade="80"/>
            </w:tcBorders>
            <w:shd w:val="clear" w:color="auto" w:fill="F2F2F2" w:themeFill="background1" w:themeFillShade="F2"/>
            <w:tcMar>
              <w:top w:w="0" w:type="dxa"/>
              <w:left w:w="108" w:type="dxa"/>
              <w:bottom w:w="0" w:type="dxa"/>
              <w:right w:w="108" w:type="dxa"/>
            </w:tcMar>
          </w:tcPr>
          <w:p w14:paraId="74C5F8EE" w14:textId="77777777" w:rsidR="00C5200E" w:rsidRPr="000F0321" w:rsidRDefault="00C5200E" w:rsidP="00C5200E">
            <w:pPr>
              <w:spacing w:after="0" w:line="240" w:lineRule="exact"/>
              <w:rPr>
                <w:rFonts w:ascii="Montserrat" w:hAnsi="Montserrat"/>
                <w:spacing w:val="-1"/>
                <w:sz w:val="15"/>
                <w:szCs w:val="15"/>
                <w:lang w:val="es-ES_tradnl"/>
              </w:rPr>
            </w:pPr>
          </w:p>
        </w:tc>
        <w:tc>
          <w:tcPr>
            <w:tcW w:w="1984" w:type="dxa"/>
            <w:tcBorders>
              <w:bottom w:val="single" w:sz="12" w:space="0" w:color="808080" w:themeColor="background1" w:themeShade="80"/>
            </w:tcBorders>
            <w:shd w:val="clear" w:color="auto" w:fill="F2F2F2" w:themeFill="background1" w:themeFillShade="F2"/>
          </w:tcPr>
          <w:p w14:paraId="69EBA5BD" w14:textId="74E5975F" w:rsidR="00C5200E" w:rsidRPr="000F0321" w:rsidRDefault="00C5200E" w:rsidP="00C5200E">
            <w:pPr>
              <w:spacing w:after="0" w:line="240" w:lineRule="exact"/>
              <w:ind w:right="113"/>
              <w:jc w:val="right"/>
              <w:rPr>
                <w:rFonts w:ascii="Montserrat" w:hAnsi="Montserrat"/>
                <w:spacing w:val="-1"/>
                <w:sz w:val="15"/>
                <w:szCs w:val="15"/>
                <w:lang w:val="es-ES_tradnl"/>
              </w:rPr>
            </w:pPr>
            <w:r w:rsidRPr="000F0321">
              <w:rPr>
                <w:rFonts w:ascii="Montserrat" w:hAnsi="Montserrat"/>
                <w:spacing w:val="-1"/>
                <w:sz w:val="15"/>
                <w:szCs w:val="15"/>
                <w:lang w:val="es-ES_tradnl"/>
              </w:rPr>
              <w:t>5</w:t>
            </w:r>
            <w:r w:rsidR="003A549B" w:rsidRPr="000F0321">
              <w:rPr>
                <w:rFonts w:ascii="Montserrat" w:hAnsi="Montserrat"/>
                <w:spacing w:val="-1"/>
                <w:sz w:val="15"/>
                <w:szCs w:val="15"/>
                <w:lang w:val="es-ES_tradnl"/>
              </w:rPr>
              <w:t>,</w:t>
            </w:r>
            <w:r w:rsidRPr="000F0321">
              <w:rPr>
                <w:rFonts w:ascii="Montserrat" w:hAnsi="Montserrat"/>
                <w:spacing w:val="-1"/>
                <w:sz w:val="15"/>
                <w:szCs w:val="15"/>
                <w:lang w:val="es-ES_tradnl"/>
              </w:rPr>
              <w:t>232</w:t>
            </w:r>
            <w:r w:rsidR="003A549B" w:rsidRPr="000F0321">
              <w:rPr>
                <w:rFonts w:ascii="Montserrat" w:hAnsi="Montserrat"/>
                <w:spacing w:val="-1"/>
                <w:sz w:val="15"/>
                <w:szCs w:val="15"/>
                <w:lang w:val="es-ES_tradnl"/>
              </w:rPr>
              <w:t>,</w:t>
            </w:r>
            <w:r w:rsidRPr="000F0321">
              <w:rPr>
                <w:rFonts w:ascii="Montserrat" w:hAnsi="Montserrat"/>
                <w:spacing w:val="-1"/>
                <w:sz w:val="15"/>
                <w:szCs w:val="15"/>
                <w:lang w:val="es-ES_tradnl"/>
              </w:rPr>
              <w:t>766</w:t>
            </w:r>
            <w:r w:rsidR="003A549B" w:rsidRPr="000F0321">
              <w:rPr>
                <w:rFonts w:ascii="Montserrat" w:hAnsi="Montserrat"/>
                <w:spacing w:val="-1"/>
                <w:sz w:val="15"/>
                <w:szCs w:val="15"/>
                <w:lang w:val="es-ES_tradnl"/>
              </w:rPr>
              <w:t>,</w:t>
            </w:r>
            <w:r w:rsidRPr="000F0321">
              <w:rPr>
                <w:rFonts w:ascii="Montserrat" w:hAnsi="Montserrat"/>
                <w:spacing w:val="-1"/>
                <w:sz w:val="15"/>
                <w:szCs w:val="15"/>
                <w:lang w:val="es-ES_tradnl"/>
              </w:rPr>
              <w:t>522</w:t>
            </w:r>
          </w:p>
        </w:tc>
        <w:tc>
          <w:tcPr>
            <w:tcW w:w="1884" w:type="dxa"/>
            <w:tcBorders>
              <w:bottom w:val="single" w:sz="12" w:space="0" w:color="808080" w:themeColor="background1" w:themeShade="80"/>
            </w:tcBorders>
            <w:shd w:val="clear" w:color="auto" w:fill="F2F2F2" w:themeFill="background1" w:themeFillShade="F2"/>
            <w:tcMar>
              <w:top w:w="0" w:type="dxa"/>
              <w:left w:w="108" w:type="dxa"/>
              <w:bottom w:w="0" w:type="dxa"/>
              <w:right w:w="108" w:type="dxa"/>
            </w:tcMar>
          </w:tcPr>
          <w:p w14:paraId="1042376D" w14:textId="77777777" w:rsidR="00C5200E" w:rsidRPr="000F0321" w:rsidRDefault="00C5200E" w:rsidP="00C5200E">
            <w:pPr>
              <w:spacing w:after="0" w:line="240" w:lineRule="exact"/>
              <w:ind w:right="113"/>
              <w:jc w:val="right"/>
              <w:rPr>
                <w:rFonts w:ascii="Montserrat" w:hAnsi="Montserrat"/>
                <w:spacing w:val="-1"/>
                <w:sz w:val="15"/>
                <w:szCs w:val="15"/>
                <w:lang w:val="es-ES_tradnl"/>
              </w:rPr>
            </w:pPr>
            <w:r w:rsidRPr="000F0321">
              <w:rPr>
                <w:rFonts w:ascii="Montserrat" w:hAnsi="Montserrat"/>
                <w:spacing w:val="-1"/>
                <w:sz w:val="15"/>
                <w:szCs w:val="15"/>
                <w:lang w:val="es-ES_tradnl"/>
              </w:rPr>
              <w:t>6,159,380,257</w:t>
            </w:r>
          </w:p>
        </w:tc>
      </w:tr>
      <w:tr w:rsidR="00C5200E" w:rsidRPr="006F0DF1" w14:paraId="14283543" w14:textId="77777777" w:rsidTr="001745ED">
        <w:trPr>
          <w:trHeight w:val="282"/>
          <w:jc w:val="center"/>
        </w:trPr>
        <w:tc>
          <w:tcPr>
            <w:tcW w:w="11771" w:type="dxa"/>
            <w:gridSpan w:val="6"/>
            <w:tcBorders>
              <w:top w:val="single" w:sz="8" w:space="0" w:color="BFBFBF"/>
            </w:tcBorders>
            <w:vAlign w:val="bottom"/>
          </w:tcPr>
          <w:p w14:paraId="7730548A" w14:textId="77777777" w:rsidR="00C5200E" w:rsidRPr="006F0DF1" w:rsidRDefault="00C5200E" w:rsidP="00C5200E">
            <w:pPr>
              <w:spacing w:after="0" w:line="240" w:lineRule="exact"/>
              <w:rPr>
                <w:rFonts w:ascii="Montserrat" w:hAnsi="Montserrat"/>
                <w:spacing w:val="-1"/>
                <w:sz w:val="16"/>
                <w:szCs w:val="16"/>
                <w:lang w:val="es-ES_tradnl"/>
              </w:rPr>
            </w:pPr>
            <w:r w:rsidRPr="006F0DF1">
              <w:rPr>
                <w:rFonts w:ascii="Montserrat" w:hAnsi="Montserrat"/>
                <w:spacing w:val="-1"/>
                <w:sz w:val="16"/>
                <w:szCs w:val="16"/>
                <w:lang w:val="es-ES_tradnl"/>
              </w:rPr>
              <w:t>* Las cifras podrían no coincidir debido al redondeo.</w:t>
            </w:r>
          </w:p>
        </w:tc>
      </w:tr>
    </w:tbl>
    <w:p w14:paraId="658FFA05" w14:textId="77777777" w:rsidR="00905B63" w:rsidRDefault="00905B63" w:rsidP="00186984">
      <w:pPr>
        <w:pStyle w:val="Prrafodelista"/>
        <w:spacing w:before="240" w:after="240" w:line="250" w:lineRule="exact"/>
        <w:ind w:left="2137"/>
        <w:jc w:val="both"/>
        <w:rPr>
          <w:rFonts w:ascii="Montserrat" w:hAnsi="Montserrat" w:cs="Arial"/>
          <w:b/>
          <w:spacing w:val="-1"/>
          <w:sz w:val="18"/>
          <w:szCs w:val="18"/>
        </w:rPr>
      </w:pPr>
    </w:p>
    <w:p w14:paraId="3761C2B7" w14:textId="77777777" w:rsidR="00F36D96" w:rsidRDefault="00F36D96" w:rsidP="000F0321">
      <w:pPr>
        <w:pStyle w:val="TEXTONORMAL"/>
      </w:pPr>
    </w:p>
    <w:p w14:paraId="3C77A5A5" w14:textId="77777777" w:rsidR="00F36D96" w:rsidRDefault="00F36D96" w:rsidP="000F0321">
      <w:pPr>
        <w:pStyle w:val="TEXTONORMAL"/>
      </w:pPr>
    </w:p>
    <w:p w14:paraId="5829A259" w14:textId="77777777" w:rsidR="0013519D" w:rsidRDefault="0013519D" w:rsidP="000F0321">
      <w:pPr>
        <w:pStyle w:val="TEXTONORMAL"/>
      </w:pPr>
    </w:p>
    <w:p w14:paraId="045872F9" w14:textId="77777777" w:rsidR="00186984" w:rsidRPr="004E4051" w:rsidRDefault="00186984" w:rsidP="000F0321">
      <w:pPr>
        <w:pStyle w:val="TEXTONORMAL"/>
      </w:pPr>
    </w:p>
    <w:p w14:paraId="503F70B4" w14:textId="77777777" w:rsidR="009C3C24" w:rsidRPr="00CA3625" w:rsidRDefault="009C3C24" w:rsidP="006A21CD">
      <w:pPr>
        <w:pStyle w:val="Prrafodelista"/>
        <w:numPr>
          <w:ilvl w:val="0"/>
          <w:numId w:val="18"/>
        </w:numPr>
        <w:spacing w:before="240" w:after="120" w:line="250" w:lineRule="exact"/>
        <w:ind w:left="714" w:hanging="357"/>
        <w:jc w:val="both"/>
        <w:rPr>
          <w:rFonts w:ascii="Montserrat" w:hAnsi="Montserrat" w:cs="Arial"/>
          <w:spacing w:val="-1"/>
          <w:sz w:val="18"/>
          <w:szCs w:val="18"/>
        </w:rPr>
      </w:pPr>
      <w:r w:rsidRPr="00CA3625">
        <w:rPr>
          <w:rFonts w:ascii="Montserrat" w:hAnsi="Montserrat" w:cs="Arial"/>
          <w:spacing w:val="-1"/>
          <w:sz w:val="18"/>
          <w:szCs w:val="18"/>
        </w:rPr>
        <w:lastRenderedPageBreak/>
        <w:t>Deuda Pública Perfil de Vencimientos de Capital e Intereses</w:t>
      </w:r>
    </w:p>
    <w:p w14:paraId="2CD396B6" w14:textId="77777777" w:rsidR="004E4051" w:rsidRPr="004E4051" w:rsidRDefault="004E4051" w:rsidP="004E4051">
      <w:pPr>
        <w:spacing w:after="0" w:line="240" w:lineRule="auto"/>
        <w:jc w:val="both"/>
        <w:rPr>
          <w:rFonts w:ascii="Montserrat" w:hAnsi="Montserrat" w:cs="Arial"/>
          <w:spacing w:val="-1"/>
          <w:sz w:val="18"/>
          <w:szCs w:val="18"/>
        </w:rPr>
      </w:pPr>
    </w:p>
    <w:tbl>
      <w:tblPr>
        <w:tblW w:w="13325" w:type="dxa"/>
        <w:jc w:val="center"/>
        <w:tblLayout w:type="fixed"/>
        <w:tblCellMar>
          <w:left w:w="70" w:type="dxa"/>
          <w:right w:w="70" w:type="dxa"/>
        </w:tblCellMar>
        <w:tblLook w:val="04A0" w:firstRow="1" w:lastRow="0" w:firstColumn="1" w:lastColumn="0" w:noHBand="0" w:noVBand="1"/>
      </w:tblPr>
      <w:tblGrid>
        <w:gridCol w:w="9"/>
        <w:gridCol w:w="12"/>
        <w:gridCol w:w="1558"/>
        <w:gridCol w:w="1560"/>
        <w:gridCol w:w="1559"/>
        <w:gridCol w:w="1561"/>
        <w:gridCol w:w="1518"/>
        <w:gridCol w:w="1417"/>
        <w:gridCol w:w="1418"/>
        <w:gridCol w:w="1459"/>
        <w:gridCol w:w="1254"/>
      </w:tblGrid>
      <w:tr w:rsidR="009C3C24" w:rsidRPr="006F0DF1" w14:paraId="3F51B0C5" w14:textId="77777777" w:rsidTr="000F0321">
        <w:trPr>
          <w:gridBefore w:val="2"/>
          <w:wBefore w:w="21" w:type="dxa"/>
          <w:trHeight w:val="430"/>
          <w:jc w:val="center"/>
        </w:trPr>
        <w:tc>
          <w:tcPr>
            <w:tcW w:w="13304" w:type="dxa"/>
            <w:gridSpan w:val="9"/>
            <w:tcBorders>
              <w:bottom w:val="single" w:sz="12" w:space="0" w:color="808080" w:themeColor="background1" w:themeShade="80"/>
            </w:tcBorders>
            <w:shd w:val="clear" w:color="auto" w:fill="FFFFFF" w:themeFill="background1"/>
            <w:vAlign w:val="center"/>
          </w:tcPr>
          <w:p w14:paraId="4C499E7B" w14:textId="77777777" w:rsidR="009C3C24" w:rsidRPr="00685332" w:rsidRDefault="009C3C24" w:rsidP="009173AE">
            <w:pPr>
              <w:spacing w:after="60" w:line="240" w:lineRule="exact"/>
              <w:ind w:firstLine="856"/>
              <w:jc w:val="center"/>
              <w:rPr>
                <w:rFonts w:ascii="Montserrat" w:hAnsi="Montserrat"/>
                <w:color w:val="FFFFFF"/>
                <w:spacing w:val="-1"/>
                <w:sz w:val="14"/>
                <w:szCs w:val="14"/>
                <w:lang w:val="es-ES_tradnl"/>
              </w:rPr>
            </w:pPr>
            <w:r w:rsidRPr="009D2BD9">
              <w:rPr>
                <w:rFonts w:ascii="Montserrat" w:hAnsi="Montserrat"/>
                <w:spacing w:val="-1"/>
                <w:sz w:val="16"/>
                <w:szCs w:val="16"/>
                <w:lang w:val="es-ES_tradnl"/>
              </w:rPr>
              <w:t>(Pesos)</w:t>
            </w:r>
          </w:p>
        </w:tc>
      </w:tr>
      <w:tr w:rsidR="0000412E" w:rsidRPr="0000412E" w14:paraId="1B09EACF" w14:textId="77777777" w:rsidTr="000F0321">
        <w:trPr>
          <w:gridBefore w:val="2"/>
          <w:wBefore w:w="21" w:type="dxa"/>
          <w:trHeight w:val="57"/>
          <w:jc w:val="center"/>
        </w:trPr>
        <w:tc>
          <w:tcPr>
            <w:tcW w:w="13304" w:type="dxa"/>
            <w:gridSpan w:val="9"/>
            <w:tcBorders>
              <w:top w:val="single" w:sz="12" w:space="0" w:color="808080" w:themeColor="background1" w:themeShade="80"/>
            </w:tcBorders>
            <w:shd w:val="clear" w:color="auto" w:fill="FFFFFF" w:themeFill="background1"/>
            <w:vAlign w:val="center"/>
          </w:tcPr>
          <w:p w14:paraId="3BF75879" w14:textId="77777777" w:rsidR="0000412E" w:rsidRPr="0000412E" w:rsidRDefault="0000412E" w:rsidP="0000412E">
            <w:pPr>
              <w:spacing w:after="0" w:line="240" w:lineRule="auto"/>
              <w:rPr>
                <w:sz w:val="4"/>
                <w:szCs w:val="4"/>
              </w:rPr>
            </w:pPr>
          </w:p>
        </w:tc>
      </w:tr>
      <w:tr w:rsidR="009C3C24" w:rsidRPr="006F0DF1" w14:paraId="6D2384A1" w14:textId="77777777" w:rsidTr="00112A60">
        <w:trPr>
          <w:gridBefore w:val="2"/>
          <w:wBefore w:w="21" w:type="dxa"/>
          <w:trHeight w:val="215"/>
          <w:jc w:val="center"/>
        </w:trPr>
        <w:tc>
          <w:tcPr>
            <w:tcW w:w="1558" w:type="dxa"/>
            <w:tcBorders>
              <w:left w:val="single" w:sz="8" w:space="0" w:color="BFBFBF"/>
              <w:bottom w:val="single" w:sz="8" w:space="0" w:color="BFBFBF"/>
              <w:right w:val="single" w:sz="8" w:space="0" w:color="FFFFFF" w:themeColor="background1"/>
            </w:tcBorders>
            <w:shd w:val="clear" w:color="auto" w:fill="D4C19C"/>
            <w:vAlign w:val="center"/>
            <w:hideMark/>
          </w:tcPr>
          <w:p w14:paraId="6681BA4C" w14:textId="77777777" w:rsidR="009C3C24" w:rsidRPr="006F0DF1" w:rsidRDefault="009C3C24" w:rsidP="002F797B">
            <w:pPr>
              <w:spacing w:after="0" w:line="240" w:lineRule="exact"/>
              <w:jc w:val="center"/>
              <w:rPr>
                <w:rFonts w:ascii="Montserrat" w:hAnsi="Montserrat"/>
                <w:b/>
                <w:color w:val="FFFFFF"/>
                <w:sz w:val="14"/>
                <w:szCs w:val="14"/>
                <w:lang w:val="es-ES_tradnl"/>
              </w:rPr>
            </w:pPr>
            <w:r w:rsidRPr="006F0DF1">
              <w:rPr>
                <w:rFonts w:ascii="Montserrat" w:hAnsi="Montserrat"/>
                <w:b/>
                <w:color w:val="FFFFFF"/>
                <w:sz w:val="14"/>
                <w:szCs w:val="14"/>
                <w:lang w:val="es-ES_tradnl"/>
              </w:rPr>
              <w:t>Concepto</w:t>
            </w:r>
          </w:p>
        </w:tc>
        <w:tc>
          <w:tcPr>
            <w:tcW w:w="1560" w:type="dxa"/>
            <w:vMerge w:val="restart"/>
            <w:tcBorders>
              <w:left w:val="single" w:sz="8" w:space="0" w:color="FFFFFF" w:themeColor="background1"/>
              <w:bottom w:val="single" w:sz="8" w:space="0" w:color="FFFFFF" w:themeColor="background1"/>
              <w:right w:val="single" w:sz="8" w:space="0" w:color="FFFFFF" w:themeColor="background1"/>
            </w:tcBorders>
            <w:shd w:val="clear" w:color="auto" w:fill="D4C19C"/>
            <w:vAlign w:val="center"/>
            <w:hideMark/>
          </w:tcPr>
          <w:p w14:paraId="19D4F12B" w14:textId="056DD3D9" w:rsidR="009C3C24" w:rsidRPr="006F0DF1" w:rsidRDefault="009C3C24" w:rsidP="002F797B">
            <w:pPr>
              <w:spacing w:after="0" w:line="240" w:lineRule="exact"/>
              <w:jc w:val="center"/>
              <w:rPr>
                <w:rFonts w:ascii="Montserrat" w:hAnsi="Montserrat"/>
                <w:b/>
                <w:color w:val="FFFFFF"/>
                <w:sz w:val="14"/>
                <w:szCs w:val="14"/>
                <w:lang w:val="es-ES_tradnl"/>
              </w:rPr>
            </w:pPr>
            <w:r w:rsidRPr="006F0DF1">
              <w:rPr>
                <w:rFonts w:ascii="Montserrat" w:hAnsi="Montserrat"/>
                <w:b/>
                <w:color w:val="FFFFFF"/>
                <w:sz w:val="14"/>
                <w:szCs w:val="14"/>
                <w:lang w:val="es-ES_tradnl"/>
              </w:rPr>
              <w:t>Saldo al 31 de diciembre de 201</w:t>
            </w:r>
            <w:r w:rsidR="000E07C8">
              <w:rPr>
                <w:rFonts w:ascii="Montserrat" w:hAnsi="Montserrat"/>
                <w:b/>
                <w:color w:val="FFFFFF"/>
                <w:sz w:val="14"/>
                <w:szCs w:val="14"/>
                <w:lang w:val="es-ES_tradnl"/>
              </w:rPr>
              <w:t>9</w:t>
            </w:r>
          </w:p>
        </w:tc>
        <w:tc>
          <w:tcPr>
            <w:tcW w:w="1559" w:type="dxa"/>
            <w:vMerge w:val="restart"/>
            <w:tcBorders>
              <w:left w:val="single" w:sz="8" w:space="0" w:color="FFFFFF" w:themeColor="background1"/>
              <w:bottom w:val="single" w:sz="8" w:space="0" w:color="FFFFFF" w:themeColor="background1"/>
              <w:right w:val="single" w:sz="8" w:space="0" w:color="FFFFFF" w:themeColor="background1"/>
            </w:tcBorders>
            <w:shd w:val="clear" w:color="auto" w:fill="D4C19C"/>
            <w:vAlign w:val="center"/>
            <w:hideMark/>
          </w:tcPr>
          <w:p w14:paraId="1934C641" w14:textId="77777777" w:rsidR="009C3C24" w:rsidRPr="006F0DF1" w:rsidRDefault="009C3C24" w:rsidP="002F797B">
            <w:pPr>
              <w:spacing w:after="0" w:line="240" w:lineRule="exact"/>
              <w:jc w:val="center"/>
              <w:rPr>
                <w:rFonts w:ascii="Montserrat" w:hAnsi="Montserrat"/>
                <w:b/>
                <w:color w:val="FFFFFF"/>
                <w:sz w:val="14"/>
                <w:szCs w:val="14"/>
                <w:lang w:val="es-ES_tradnl"/>
              </w:rPr>
            </w:pPr>
            <w:r w:rsidRPr="006F0DF1">
              <w:rPr>
                <w:rFonts w:ascii="Montserrat" w:hAnsi="Montserrat"/>
                <w:b/>
                <w:color w:val="FFFFFF"/>
                <w:sz w:val="14"/>
                <w:szCs w:val="14"/>
                <w:lang w:val="es-ES_tradnl"/>
              </w:rPr>
              <w:t>Monto Total,</w:t>
            </w:r>
          </w:p>
          <w:p w14:paraId="18A677F8" w14:textId="77777777" w:rsidR="009C3C24" w:rsidRPr="006F0DF1" w:rsidRDefault="009C3C24" w:rsidP="002F797B">
            <w:pPr>
              <w:spacing w:after="0" w:line="240" w:lineRule="exact"/>
              <w:jc w:val="center"/>
              <w:rPr>
                <w:rFonts w:ascii="Montserrat" w:hAnsi="Montserrat"/>
                <w:b/>
                <w:color w:val="FFFFFF"/>
                <w:sz w:val="14"/>
                <w:szCs w:val="14"/>
                <w:lang w:val="es-ES_tradnl"/>
              </w:rPr>
            </w:pPr>
            <w:r w:rsidRPr="006F0DF1">
              <w:rPr>
                <w:rFonts w:ascii="Montserrat" w:hAnsi="Montserrat"/>
                <w:b/>
                <w:color w:val="FFFFFF"/>
                <w:sz w:val="14"/>
                <w:szCs w:val="14"/>
                <w:lang w:val="es-ES_tradnl"/>
              </w:rPr>
              <w:t>Intereses, Estimados</w:t>
            </w:r>
          </w:p>
        </w:tc>
        <w:tc>
          <w:tcPr>
            <w:tcW w:w="8627" w:type="dxa"/>
            <w:gridSpan w:val="6"/>
            <w:tcBorders>
              <w:left w:val="single" w:sz="8" w:space="0" w:color="FFFFFF" w:themeColor="background1"/>
              <w:bottom w:val="single" w:sz="8" w:space="0" w:color="FFFFFF" w:themeColor="background1"/>
              <w:right w:val="single" w:sz="8" w:space="0" w:color="BFBFBF"/>
            </w:tcBorders>
            <w:shd w:val="clear" w:color="auto" w:fill="D4C19C"/>
            <w:noWrap/>
            <w:vAlign w:val="center"/>
            <w:hideMark/>
          </w:tcPr>
          <w:p w14:paraId="45551C17" w14:textId="77777777" w:rsidR="009C3C24" w:rsidRPr="006F0DF1" w:rsidRDefault="009C3C24" w:rsidP="002F797B">
            <w:pPr>
              <w:spacing w:after="0" w:line="240" w:lineRule="exact"/>
              <w:jc w:val="center"/>
              <w:rPr>
                <w:rFonts w:ascii="Montserrat" w:hAnsi="Montserrat"/>
                <w:b/>
                <w:bCs/>
                <w:color w:val="FFFFFF"/>
                <w:sz w:val="14"/>
                <w:szCs w:val="14"/>
                <w:lang w:val="es-ES_tradnl"/>
              </w:rPr>
            </w:pPr>
            <w:r w:rsidRPr="006F0DF1">
              <w:rPr>
                <w:rFonts w:ascii="Montserrat" w:hAnsi="Montserrat"/>
                <w:b/>
                <w:bCs/>
                <w:color w:val="FFFFFF"/>
                <w:sz w:val="14"/>
                <w:szCs w:val="14"/>
                <w:lang w:val="es-ES_tradnl"/>
              </w:rPr>
              <w:t>VENCIMIENTO</w:t>
            </w:r>
          </w:p>
        </w:tc>
      </w:tr>
      <w:tr w:rsidR="009C3C24" w:rsidRPr="006F0DF1" w14:paraId="071A98BF" w14:textId="77777777" w:rsidTr="00112A60">
        <w:trPr>
          <w:gridBefore w:val="1"/>
          <w:wBefore w:w="9" w:type="dxa"/>
          <w:trHeight w:val="215"/>
          <w:jc w:val="center"/>
        </w:trPr>
        <w:tc>
          <w:tcPr>
            <w:tcW w:w="1570" w:type="dxa"/>
            <w:gridSpan w:val="2"/>
            <w:tcBorders>
              <w:left w:val="single" w:sz="8" w:space="0" w:color="BFBFBF"/>
              <w:bottom w:val="single" w:sz="8" w:space="0" w:color="BFBFBF"/>
              <w:right w:val="single" w:sz="8" w:space="0" w:color="FFFFFF" w:themeColor="background1"/>
            </w:tcBorders>
            <w:shd w:val="clear" w:color="auto" w:fill="D4C19C"/>
            <w:vAlign w:val="center"/>
            <w:hideMark/>
          </w:tcPr>
          <w:p w14:paraId="06A4125F" w14:textId="77777777" w:rsidR="009C3C24" w:rsidRPr="006F0DF1" w:rsidRDefault="009C3C24" w:rsidP="002F797B">
            <w:pPr>
              <w:spacing w:after="0" w:line="240" w:lineRule="exact"/>
              <w:jc w:val="center"/>
              <w:rPr>
                <w:rFonts w:ascii="Montserrat" w:hAnsi="Montserrat"/>
                <w:b/>
                <w:color w:val="FFFFFF"/>
                <w:sz w:val="14"/>
                <w:szCs w:val="14"/>
                <w:lang w:val="es-ES_tradnl"/>
              </w:rPr>
            </w:pPr>
          </w:p>
        </w:tc>
        <w:tc>
          <w:tcPr>
            <w:tcW w:w="1560" w:type="dxa"/>
            <w:vMerge/>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4C19C"/>
            <w:vAlign w:val="center"/>
            <w:hideMark/>
          </w:tcPr>
          <w:p w14:paraId="5F617FFB" w14:textId="77777777" w:rsidR="009C3C24" w:rsidRPr="006F0DF1" w:rsidRDefault="009C3C24" w:rsidP="002F797B">
            <w:pPr>
              <w:spacing w:after="0" w:line="240" w:lineRule="exact"/>
              <w:jc w:val="center"/>
              <w:rPr>
                <w:rFonts w:ascii="Montserrat" w:hAnsi="Montserrat"/>
                <w:b/>
                <w:color w:val="FFFFFF"/>
                <w:sz w:val="14"/>
                <w:szCs w:val="14"/>
                <w:lang w:val="es-ES_tradnl"/>
              </w:rPr>
            </w:pPr>
          </w:p>
        </w:tc>
        <w:tc>
          <w:tcPr>
            <w:tcW w:w="1559" w:type="dxa"/>
            <w:vMerge/>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4C19C"/>
            <w:vAlign w:val="center"/>
            <w:hideMark/>
          </w:tcPr>
          <w:p w14:paraId="3A77A63D" w14:textId="77777777" w:rsidR="009C3C24" w:rsidRPr="006F0DF1" w:rsidRDefault="009C3C24" w:rsidP="002F797B">
            <w:pPr>
              <w:spacing w:after="0" w:line="240" w:lineRule="exact"/>
              <w:jc w:val="center"/>
              <w:rPr>
                <w:rFonts w:ascii="Montserrat" w:hAnsi="Montserrat"/>
                <w:b/>
                <w:color w:val="FFFFFF"/>
                <w:sz w:val="14"/>
                <w:szCs w:val="14"/>
                <w:lang w:val="es-ES_tradnl"/>
              </w:rPr>
            </w:pPr>
          </w:p>
        </w:tc>
        <w:tc>
          <w:tcPr>
            <w:tcW w:w="3079" w:type="dxa"/>
            <w:gridSpan w:val="2"/>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4C19C"/>
            <w:noWrap/>
            <w:vAlign w:val="center"/>
            <w:hideMark/>
          </w:tcPr>
          <w:p w14:paraId="1B3134C6" w14:textId="7C455E68" w:rsidR="009C3C24" w:rsidRPr="006F0DF1" w:rsidRDefault="009C3C24" w:rsidP="002F797B">
            <w:pPr>
              <w:spacing w:after="0" w:line="240" w:lineRule="exact"/>
              <w:jc w:val="center"/>
              <w:rPr>
                <w:rFonts w:ascii="Montserrat" w:hAnsi="Montserrat"/>
                <w:b/>
                <w:color w:val="FFFFFF"/>
                <w:sz w:val="14"/>
                <w:szCs w:val="14"/>
                <w:lang w:val="es-ES_tradnl"/>
              </w:rPr>
            </w:pPr>
            <w:r>
              <w:rPr>
                <w:rFonts w:ascii="Montserrat" w:hAnsi="Montserrat"/>
                <w:b/>
                <w:color w:val="FFFFFF"/>
                <w:sz w:val="14"/>
                <w:szCs w:val="14"/>
                <w:lang w:val="es-ES_tradnl"/>
              </w:rPr>
              <w:t>20</w:t>
            </w:r>
            <w:r w:rsidR="00AC445B">
              <w:rPr>
                <w:rFonts w:ascii="Montserrat" w:hAnsi="Montserrat"/>
                <w:b/>
                <w:color w:val="FFFFFF"/>
                <w:sz w:val="14"/>
                <w:szCs w:val="14"/>
                <w:lang w:val="es-ES_tradnl"/>
              </w:rPr>
              <w:t>20</w:t>
            </w:r>
          </w:p>
        </w:tc>
        <w:tc>
          <w:tcPr>
            <w:tcW w:w="2835" w:type="dxa"/>
            <w:gridSpan w:val="2"/>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4C19C"/>
            <w:noWrap/>
            <w:vAlign w:val="center"/>
            <w:hideMark/>
          </w:tcPr>
          <w:p w14:paraId="49C255C3" w14:textId="1EE874C7" w:rsidR="009C3C24" w:rsidRPr="006F0DF1" w:rsidRDefault="009C3C24" w:rsidP="002F797B">
            <w:pPr>
              <w:spacing w:after="0" w:line="240" w:lineRule="exact"/>
              <w:jc w:val="center"/>
              <w:rPr>
                <w:rFonts w:ascii="Montserrat" w:hAnsi="Montserrat"/>
                <w:b/>
                <w:color w:val="FFFFFF"/>
                <w:sz w:val="14"/>
                <w:szCs w:val="14"/>
                <w:lang w:val="es-ES_tradnl"/>
              </w:rPr>
            </w:pPr>
            <w:r>
              <w:rPr>
                <w:rFonts w:ascii="Montserrat" w:hAnsi="Montserrat"/>
                <w:b/>
                <w:color w:val="FFFFFF"/>
                <w:sz w:val="14"/>
                <w:szCs w:val="14"/>
                <w:lang w:val="es-ES_tradnl"/>
              </w:rPr>
              <w:t>202</w:t>
            </w:r>
            <w:r w:rsidR="00AC445B">
              <w:rPr>
                <w:rFonts w:ascii="Montserrat" w:hAnsi="Montserrat"/>
                <w:b/>
                <w:color w:val="FFFFFF"/>
                <w:sz w:val="14"/>
                <w:szCs w:val="14"/>
                <w:lang w:val="es-ES_tradnl"/>
              </w:rPr>
              <w:t>1</w:t>
            </w:r>
          </w:p>
        </w:tc>
        <w:tc>
          <w:tcPr>
            <w:tcW w:w="2713" w:type="dxa"/>
            <w:gridSpan w:val="2"/>
            <w:tcBorders>
              <w:top w:val="single" w:sz="8" w:space="0" w:color="FFFFFF" w:themeColor="background1"/>
              <w:left w:val="single" w:sz="8" w:space="0" w:color="FFFFFF" w:themeColor="background1"/>
              <w:bottom w:val="single" w:sz="8" w:space="0" w:color="FFFFFF" w:themeColor="background1"/>
              <w:right w:val="single" w:sz="8" w:space="0" w:color="BFBFBF"/>
            </w:tcBorders>
            <w:shd w:val="clear" w:color="auto" w:fill="D4C19C"/>
          </w:tcPr>
          <w:p w14:paraId="3F60FEC5" w14:textId="391CC9BF" w:rsidR="009C3C24" w:rsidRPr="006F0DF1" w:rsidRDefault="009C3C24" w:rsidP="002F797B">
            <w:pPr>
              <w:spacing w:after="0" w:line="240" w:lineRule="exact"/>
              <w:jc w:val="center"/>
              <w:rPr>
                <w:rFonts w:ascii="Montserrat" w:hAnsi="Montserrat"/>
                <w:b/>
                <w:color w:val="FFFFFF"/>
                <w:sz w:val="14"/>
                <w:szCs w:val="14"/>
                <w:lang w:val="es-ES_tradnl"/>
              </w:rPr>
            </w:pPr>
            <w:r>
              <w:rPr>
                <w:rFonts w:ascii="Montserrat" w:hAnsi="Montserrat"/>
                <w:b/>
                <w:color w:val="FFFFFF"/>
                <w:sz w:val="14"/>
                <w:szCs w:val="14"/>
                <w:lang w:val="es-ES_tradnl"/>
              </w:rPr>
              <w:t>202</w:t>
            </w:r>
            <w:r w:rsidR="00AC445B">
              <w:rPr>
                <w:rFonts w:ascii="Montserrat" w:hAnsi="Montserrat"/>
                <w:b/>
                <w:color w:val="FFFFFF"/>
                <w:sz w:val="14"/>
                <w:szCs w:val="14"/>
                <w:lang w:val="es-ES_tradnl"/>
              </w:rPr>
              <w:t>2</w:t>
            </w:r>
          </w:p>
        </w:tc>
      </w:tr>
      <w:tr w:rsidR="009C3C24" w:rsidRPr="006F0DF1" w14:paraId="3E72D832" w14:textId="77777777" w:rsidTr="00112A60">
        <w:trPr>
          <w:trHeight w:val="215"/>
          <w:jc w:val="center"/>
        </w:trPr>
        <w:tc>
          <w:tcPr>
            <w:tcW w:w="1579" w:type="dxa"/>
            <w:gridSpan w:val="3"/>
            <w:tcBorders>
              <w:top w:val="single" w:sz="8" w:space="0" w:color="BFBFBF"/>
              <w:left w:val="single" w:sz="8" w:space="0" w:color="BFBFBF"/>
              <w:bottom w:val="single" w:sz="8" w:space="0" w:color="BFBFBF"/>
              <w:right w:val="single" w:sz="8" w:space="0" w:color="FFFFFF" w:themeColor="background1"/>
            </w:tcBorders>
            <w:shd w:val="clear" w:color="auto" w:fill="D4C19C"/>
            <w:vAlign w:val="center"/>
            <w:hideMark/>
          </w:tcPr>
          <w:p w14:paraId="22628E50" w14:textId="77777777" w:rsidR="009C3C24" w:rsidRPr="006F0DF1" w:rsidRDefault="009C3C24" w:rsidP="002F797B">
            <w:pPr>
              <w:spacing w:after="0" w:line="240" w:lineRule="exact"/>
              <w:jc w:val="center"/>
              <w:rPr>
                <w:rFonts w:ascii="Montserrat" w:hAnsi="Montserrat"/>
                <w:b/>
                <w:color w:val="FFFFFF"/>
                <w:sz w:val="14"/>
                <w:szCs w:val="14"/>
                <w:lang w:val="es-ES_tradnl"/>
              </w:rPr>
            </w:pPr>
          </w:p>
        </w:tc>
        <w:tc>
          <w:tcPr>
            <w:tcW w:w="1560" w:type="dxa"/>
            <w:vMerge/>
            <w:tcBorders>
              <w:top w:val="single" w:sz="8" w:space="0" w:color="FFFFFF" w:themeColor="background1"/>
              <w:left w:val="single" w:sz="8" w:space="0" w:color="FFFFFF" w:themeColor="background1"/>
              <w:bottom w:val="double" w:sz="12" w:space="0" w:color="808080" w:themeColor="background1" w:themeShade="80"/>
              <w:right w:val="single" w:sz="8" w:space="0" w:color="FFFFFF" w:themeColor="background1"/>
            </w:tcBorders>
            <w:shd w:val="clear" w:color="auto" w:fill="D4C19C"/>
            <w:vAlign w:val="center"/>
            <w:hideMark/>
          </w:tcPr>
          <w:p w14:paraId="39FA4C02" w14:textId="77777777" w:rsidR="009C3C24" w:rsidRPr="006F0DF1" w:rsidRDefault="009C3C24" w:rsidP="002F797B">
            <w:pPr>
              <w:spacing w:after="0" w:line="240" w:lineRule="exact"/>
              <w:jc w:val="center"/>
              <w:rPr>
                <w:rFonts w:ascii="Montserrat" w:hAnsi="Montserrat"/>
                <w:b/>
                <w:color w:val="FFFFFF"/>
                <w:sz w:val="14"/>
                <w:szCs w:val="14"/>
                <w:lang w:val="es-ES_tradnl"/>
              </w:rPr>
            </w:pPr>
          </w:p>
        </w:tc>
        <w:tc>
          <w:tcPr>
            <w:tcW w:w="1559" w:type="dxa"/>
            <w:vMerge/>
            <w:tcBorders>
              <w:top w:val="single" w:sz="8" w:space="0" w:color="FFFFFF" w:themeColor="background1"/>
              <w:left w:val="single" w:sz="8" w:space="0" w:color="FFFFFF" w:themeColor="background1"/>
              <w:bottom w:val="double" w:sz="12" w:space="0" w:color="808080" w:themeColor="background1" w:themeShade="80"/>
              <w:right w:val="single" w:sz="8" w:space="0" w:color="FFFFFF" w:themeColor="background1"/>
            </w:tcBorders>
            <w:shd w:val="clear" w:color="auto" w:fill="D4C19C"/>
            <w:vAlign w:val="center"/>
            <w:hideMark/>
          </w:tcPr>
          <w:p w14:paraId="5242C45D" w14:textId="77777777" w:rsidR="009C3C24" w:rsidRPr="006F0DF1" w:rsidRDefault="009C3C24" w:rsidP="002F797B">
            <w:pPr>
              <w:spacing w:after="0" w:line="240" w:lineRule="exact"/>
              <w:jc w:val="center"/>
              <w:rPr>
                <w:rFonts w:ascii="Montserrat" w:hAnsi="Montserrat"/>
                <w:b/>
                <w:color w:val="FFFFFF"/>
                <w:sz w:val="14"/>
                <w:szCs w:val="14"/>
                <w:lang w:val="es-ES_tradnl"/>
              </w:rPr>
            </w:pPr>
          </w:p>
        </w:tc>
        <w:tc>
          <w:tcPr>
            <w:tcW w:w="1561" w:type="dxa"/>
            <w:tcBorders>
              <w:top w:val="single" w:sz="8" w:space="0" w:color="FFFFFF" w:themeColor="background1"/>
              <w:left w:val="single" w:sz="8" w:space="0" w:color="FFFFFF" w:themeColor="background1"/>
              <w:bottom w:val="double" w:sz="12" w:space="0" w:color="808080" w:themeColor="background1" w:themeShade="80"/>
              <w:right w:val="single" w:sz="8" w:space="0" w:color="FFFFFF" w:themeColor="background1"/>
            </w:tcBorders>
            <w:shd w:val="clear" w:color="auto" w:fill="D4C19C"/>
            <w:noWrap/>
            <w:vAlign w:val="center"/>
            <w:hideMark/>
          </w:tcPr>
          <w:p w14:paraId="6674033E" w14:textId="77777777" w:rsidR="009C3C24" w:rsidRPr="006F0DF1" w:rsidRDefault="009C3C24" w:rsidP="002F797B">
            <w:pPr>
              <w:spacing w:after="0" w:line="240" w:lineRule="exact"/>
              <w:jc w:val="center"/>
              <w:rPr>
                <w:rFonts w:ascii="Montserrat" w:hAnsi="Montserrat"/>
                <w:b/>
                <w:color w:val="FFFFFF"/>
                <w:sz w:val="14"/>
                <w:szCs w:val="14"/>
                <w:lang w:val="es-ES_tradnl"/>
              </w:rPr>
            </w:pPr>
            <w:r w:rsidRPr="006F0DF1">
              <w:rPr>
                <w:rFonts w:ascii="Montserrat" w:hAnsi="Montserrat"/>
                <w:b/>
                <w:color w:val="FFFFFF"/>
                <w:sz w:val="14"/>
                <w:szCs w:val="14"/>
                <w:lang w:val="es-ES_tradnl"/>
              </w:rPr>
              <w:t>Capital</w:t>
            </w:r>
          </w:p>
        </w:tc>
        <w:tc>
          <w:tcPr>
            <w:tcW w:w="1518" w:type="dxa"/>
            <w:tcBorders>
              <w:top w:val="single" w:sz="8" w:space="0" w:color="FFFFFF" w:themeColor="background1"/>
              <w:left w:val="single" w:sz="8" w:space="0" w:color="FFFFFF" w:themeColor="background1"/>
              <w:bottom w:val="double" w:sz="12" w:space="0" w:color="808080" w:themeColor="background1" w:themeShade="80"/>
              <w:right w:val="single" w:sz="8" w:space="0" w:color="FFFFFF" w:themeColor="background1"/>
            </w:tcBorders>
            <w:shd w:val="clear" w:color="auto" w:fill="D4C19C"/>
            <w:noWrap/>
            <w:vAlign w:val="center"/>
            <w:hideMark/>
          </w:tcPr>
          <w:p w14:paraId="0BAD4B1A" w14:textId="77777777" w:rsidR="009C3C24" w:rsidRPr="006F0DF1" w:rsidRDefault="009C3C24" w:rsidP="002F797B">
            <w:pPr>
              <w:spacing w:after="0" w:line="240" w:lineRule="exact"/>
              <w:jc w:val="center"/>
              <w:rPr>
                <w:rFonts w:ascii="Montserrat" w:hAnsi="Montserrat"/>
                <w:b/>
                <w:color w:val="FFFFFF"/>
                <w:sz w:val="14"/>
                <w:szCs w:val="14"/>
                <w:lang w:val="es-ES_tradnl"/>
              </w:rPr>
            </w:pPr>
            <w:r w:rsidRPr="006F0DF1">
              <w:rPr>
                <w:rFonts w:ascii="Montserrat" w:hAnsi="Montserrat"/>
                <w:b/>
                <w:color w:val="FFFFFF"/>
                <w:sz w:val="14"/>
                <w:szCs w:val="14"/>
                <w:lang w:val="es-ES_tradnl"/>
              </w:rPr>
              <w:t>Intereses</w:t>
            </w:r>
          </w:p>
        </w:tc>
        <w:tc>
          <w:tcPr>
            <w:tcW w:w="1417" w:type="dxa"/>
            <w:tcBorders>
              <w:top w:val="single" w:sz="8" w:space="0" w:color="FFFFFF" w:themeColor="background1"/>
              <w:left w:val="single" w:sz="8" w:space="0" w:color="FFFFFF" w:themeColor="background1"/>
              <w:bottom w:val="double" w:sz="12" w:space="0" w:color="808080" w:themeColor="background1" w:themeShade="80"/>
              <w:right w:val="single" w:sz="8" w:space="0" w:color="FFFFFF" w:themeColor="background1"/>
            </w:tcBorders>
            <w:shd w:val="clear" w:color="auto" w:fill="D4C19C"/>
            <w:noWrap/>
            <w:vAlign w:val="center"/>
            <w:hideMark/>
          </w:tcPr>
          <w:p w14:paraId="1226D54D" w14:textId="77777777" w:rsidR="009C3C24" w:rsidRPr="006F0DF1" w:rsidRDefault="009C3C24" w:rsidP="002F797B">
            <w:pPr>
              <w:spacing w:after="0" w:line="240" w:lineRule="exact"/>
              <w:jc w:val="center"/>
              <w:rPr>
                <w:rFonts w:ascii="Montserrat" w:hAnsi="Montserrat"/>
                <w:b/>
                <w:color w:val="FFFFFF"/>
                <w:sz w:val="14"/>
                <w:szCs w:val="14"/>
                <w:lang w:val="es-ES_tradnl"/>
              </w:rPr>
            </w:pPr>
            <w:r w:rsidRPr="006F0DF1">
              <w:rPr>
                <w:rFonts w:ascii="Montserrat" w:hAnsi="Montserrat"/>
                <w:b/>
                <w:color w:val="FFFFFF"/>
                <w:sz w:val="14"/>
                <w:szCs w:val="14"/>
                <w:lang w:val="es-ES_tradnl"/>
              </w:rPr>
              <w:t>Capital</w:t>
            </w:r>
          </w:p>
        </w:tc>
        <w:tc>
          <w:tcPr>
            <w:tcW w:w="1418" w:type="dxa"/>
            <w:tcBorders>
              <w:top w:val="single" w:sz="8" w:space="0" w:color="FFFFFF" w:themeColor="background1"/>
              <w:left w:val="single" w:sz="8" w:space="0" w:color="FFFFFF" w:themeColor="background1"/>
              <w:bottom w:val="double" w:sz="12" w:space="0" w:color="808080" w:themeColor="background1" w:themeShade="80"/>
              <w:right w:val="single" w:sz="8" w:space="0" w:color="FFFFFF" w:themeColor="background1"/>
            </w:tcBorders>
            <w:shd w:val="clear" w:color="auto" w:fill="D4C19C"/>
            <w:noWrap/>
            <w:vAlign w:val="center"/>
            <w:hideMark/>
          </w:tcPr>
          <w:p w14:paraId="76D1AEEE" w14:textId="77777777" w:rsidR="009C3C24" w:rsidRPr="006F0DF1" w:rsidRDefault="009C3C24" w:rsidP="002F797B">
            <w:pPr>
              <w:spacing w:after="0" w:line="240" w:lineRule="exact"/>
              <w:jc w:val="center"/>
              <w:rPr>
                <w:rFonts w:ascii="Montserrat" w:hAnsi="Montserrat"/>
                <w:b/>
                <w:color w:val="FFFFFF"/>
                <w:sz w:val="14"/>
                <w:szCs w:val="14"/>
                <w:lang w:val="es-ES_tradnl"/>
              </w:rPr>
            </w:pPr>
            <w:r w:rsidRPr="006F0DF1">
              <w:rPr>
                <w:rFonts w:ascii="Montserrat" w:hAnsi="Montserrat"/>
                <w:b/>
                <w:color w:val="FFFFFF"/>
                <w:sz w:val="14"/>
                <w:szCs w:val="14"/>
                <w:lang w:val="es-ES_tradnl"/>
              </w:rPr>
              <w:t>Intereses</w:t>
            </w:r>
          </w:p>
        </w:tc>
        <w:tc>
          <w:tcPr>
            <w:tcW w:w="1459" w:type="dxa"/>
            <w:tcBorders>
              <w:top w:val="single" w:sz="8" w:space="0" w:color="FFFFFF" w:themeColor="background1"/>
              <w:left w:val="single" w:sz="8" w:space="0" w:color="FFFFFF" w:themeColor="background1"/>
              <w:bottom w:val="double" w:sz="12" w:space="0" w:color="808080" w:themeColor="background1" w:themeShade="80"/>
              <w:right w:val="single" w:sz="8" w:space="0" w:color="FFFFFF" w:themeColor="background1"/>
            </w:tcBorders>
            <w:shd w:val="clear" w:color="auto" w:fill="D4C19C"/>
            <w:vAlign w:val="center"/>
          </w:tcPr>
          <w:p w14:paraId="6530D6FF" w14:textId="77777777" w:rsidR="009C3C24" w:rsidRPr="006F0DF1" w:rsidRDefault="009C3C24" w:rsidP="002F797B">
            <w:pPr>
              <w:spacing w:after="0" w:line="240" w:lineRule="exact"/>
              <w:jc w:val="center"/>
              <w:rPr>
                <w:rFonts w:ascii="Montserrat" w:hAnsi="Montserrat"/>
                <w:b/>
                <w:color w:val="FFFFFF"/>
                <w:sz w:val="14"/>
                <w:szCs w:val="14"/>
                <w:lang w:val="es-ES_tradnl"/>
              </w:rPr>
            </w:pPr>
            <w:r w:rsidRPr="006F0DF1">
              <w:rPr>
                <w:rFonts w:ascii="Montserrat" w:hAnsi="Montserrat"/>
                <w:b/>
                <w:color w:val="FFFFFF"/>
                <w:sz w:val="14"/>
                <w:szCs w:val="14"/>
                <w:lang w:val="es-ES_tradnl"/>
              </w:rPr>
              <w:t>Capital</w:t>
            </w:r>
          </w:p>
        </w:tc>
        <w:tc>
          <w:tcPr>
            <w:tcW w:w="1254" w:type="dxa"/>
            <w:tcBorders>
              <w:top w:val="single" w:sz="8" w:space="0" w:color="FFFFFF" w:themeColor="background1"/>
              <w:left w:val="single" w:sz="8" w:space="0" w:color="FFFFFF" w:themeColor="background1"/>
              <w:bottom w:val="double" w:sz="12" w:space="0" w:color="808080" w:themeColor="background1" w:themeShade="80"/>
              <w:right w:val="single" w:sz="8" w:space="0" w:color="BFBFBF"/>
            </w:tcBorders>
            <w:shd w:val="clear" w:color="auto" w:fill="D4C19C"/>
            <w:vAlign w:val="center"/>
          </w:tcPr>
          <w:p w14:paraId="1DB4DC44" w14:textId="77777777" w:rsidR="009C3C24" w:rsidRPr="006F0DF1" w:rsidRDefault="009C3C24" w:rsidP="002F797B">
            <w:pPr>
              <w:spacing w:after="0" w:line="240" w:lineRule="exact"/>
              <w:jc w:val="center"/>
              <w:rPr>
                <w:rFonts w:ascii="Montserrat" w:hAnsi="Montserrat"/>
                <w:b/>
                <w:color w:val="FFFFFF"/>
                <w:sz w:val="14"/>
                <w:szCs w:val="14"/>
                <w:lang w:val="es-ES_tradnl"/>
              </w:rPr>
            </w:pPr>
            <w:r w:rsidRPr="006F0DF1">
              <w:rPr>
                <w:rFonts w:ascii="Montserrat" w:hAnsi="Montserrat"/>
                <w:b/>
                <w:color w:val="FFFFFF"/>
                <w:sz w:val="14"/>
                <w:szCs w:val="14"/>
                <w:lang w:val="es-ES_tradnl"/>
              </w:rPr>
              <w:t>Intereses</w:t>
            </w:r>
          </w:p>
        </w:tc>
      </w:tr>
      <w:tr w:rsidR="000E07C8" w:rsidRPr="006F0DF1" w14:paraId="60BF4A74" w14:textId="77777777" w:rsidTr="0023764E">
        <w:trPr>
          <w:gridBefore w:val="2"/>
          <w:wBefore w:w="21" w:type="dxa"/>
          <w:trHeight w:val="215"/>
          <w:jc w:val="center"/>
        </w:trPr>
        <w:tc>
          <w:tcPr>
            <w:tcW w:w="1558" w:type="dxa"/>
            <w:tcBorders>
              <w:top w:val="double" w:sz="12" w:space="0" w:color="808080" w:themeColor="background1" w:themeShade="80"/>
            </w:tcBorders>
            <w:shd w:val="clear" w:color="auto" w:fill="F2F2F2" w:themeFill="background1" w:themeFillShade="F2"/>
            <w:noWrap/>
            <w:vAlign w:val="bottom"/>
            <w:hideMark/>
          </w:tcPr>
          <w:p w14:paraId="56DCD88B" w14:textId="77777777" w:rsidR="000E07C8" w:rsidRPr="006F0DF1" w:rsidRDefault="000E07C8" w:rsidP="000E07C8">
            <w:pPr>
              <w:spacing w:after="0" w:line="240" w:lineRule="exact"/>
              <w:rPr>
                <w:rFonts w:ascii="Montserrat" w:hAnsi="Montserrat"/>
                <w:b/>
                <w:bCs/>
                <w:sz w:val="14"/>
                <w:szCs w:val="14"/>
                <w:lang w:val="es-ES_tradnl"/>
              </w:rPr>
            </w:pPr>
            <w:r w:rsidRPr="006F0DF1">
              <w:rPr>
                <w:rFonts w:ascii="Montserrat" w:hAnsi="Montserrat"/>
                <w:b/>
                <w:bCs/>
                <w:sz w:val="14"/>
                <w:szCs w:val="14"/>
                <w:lang w:val="es-ES_tradnl"/>
              </w:rPr>
              <w:t>Total</w:t>
            </w:r>
          </w:p>
        </w:tc>
        <w:tc>
          <w:tcPr>
            <w:tcW w:w="1560" w:type="dxa"/>
            <w:tcBorders>
              <w:top w:val="double" w:sz="12" w:space="0" w:color="808080" w:themeColor="background1" w:themeShade="80"/>
            </w:tcBorders>
            <w:shd w:val="clear" w:color="auto" w:fill="F2F2F2" w:themeFill="background1" w:themeFillShade="F2"/>
            <w:noWrap/>
            <w:vAlign w:val="bottom"/>
          </w:tcPr>
          <w:p w14:paraId="716C394A" w14:textId="6164DF02" w:rsidR="000E07C8" w:rsidRPr="000F0321" w:rsidRDefault="000E07C8" w:rsidP="000E07C8">
            <w:pPr>
              <w:spacing w:after="0" w:line="240" w:lineRule="exact"/>
              <w:jc w:val="right"/>
              <w:rPr>
                <w:rFonts w:ascii="Montserrat" w:hAnsi="Montserrat"/>
                <w:b/>
                <w:sz w:val="13"/>
                <w:szCs w:val="13"/>
                <w:lang w:val="es-ES_tradnl"/>
              </w:rPr>
            </w:pPr>
            <w:r>
              <w:rPr>
                <w:rFonts w:ascii="Montserrat" w:eastAsia="Times New Roman" w:hAnsi="Montserrat" w:cs="Calibri"/>
                <w:b/>
                <w:bCs/>
                <w:sz w:val="13"/>
                <w:szCs w:val="13"/>
                <w:lang w:eastAsia="es-MX"/>
              </w:rPr>
              <w:t xml:space="preserve">       8,831,870,930,135</w:t>
            </w:r>
          </w:p>
        </w:tc>
        <w:tc>
          <w:tcPr>
            <w:tcW w:w="1559" w:type="dxa"/>
            <w:tcBorders>
              <w:top w:val="double" w:sz="12" w:space="0" w:color="808080" w:themeColor="background1" w:themeShade="80"/>
            </w:tcBorders>
            <w:shd w:val="clear" w:color="auto" w:fill="F2F2F2" w:themeFill="background1" w:themeFillShade="F2"/>
            <w:noWrap/>
            <w:vAlign w:val="bottom"/>
          </w:tcPr>
          <w:p w14:paraId="5FDEC231" w14:textId="75CC3762" w:rsidR="000E07C8" w:rsidRPr="000F0321" w:rsidRDefault="000E07C8" w:rsidP="000E07C8">
            <w:pPr>
              <w:spacing w:after="0" w:line="240" w:lineRule="exact"/>
              <w:jc w:val="right"/>
              <w:rPr>
                <w:rFonts w:ascii="Montserrat" w:hAnsi="Montserrat"/>
                <w:b/>
                <w:sz w:val="13"/>
                <w:szCs w:val="13"/>
                <w:lang w:val="es-ES_tradnl"/>
              </w:rPr>
            </w:pPr>
            <w:r w:rsidRPr="000E07C8">
              <w:rPr>
                <w:rFonts w:ascii="Montserrat" w:eastAsia="Times New Roman" w:hAnsi="Montserrat" w:cs="Calibri"/>
                <w:b/>
                <w:bCs/>
                <w:sz w:val="13"/>
                <w:szCs w:val="13"/>
                <w:lang w:eastAsia="es-MX"/>
              </w:rPr>
              <w:t xml:space="preserve">          5,742,247,0</w:t>
            </w:r>
            <w:r>
              <w:rPr>
                <w:rFonts w:ascii="Montserrat" w:eastAsia="Times New Roman" w:hAnsi="Montserrat" w:cs="Calibri"/>
                <w:b/>
                <w:bCs/>
                <w:sz w:val="13"/>
                <w:szCs w:val="13"/>
                <w:lang w:eastAsia="es-MX"/>
              </w:rPr>
              <w:t>56,156</w:t>
            </w:r>
          </w:p>
        </w:tc>
        <w:tc>
          <w:tcPr>
            <w:tcW w:w="1561" w:type="dxa"/>
            <w:tcBorders>
              <w:top w:val="double" w:sz="12" w:space="0" w:color="808080" w:themeColor="background1" w:themeShade="80"/>
            </w:tcBorders>
            <w:shd w:val="clear" w:color="auto" w:fill="F2F2F2" w:themeFill="background1" w:themeFillShade="F2"/>
            <w:noWrap/>
            <w:vAlign w:val="bottom"/>
          </w:tcPr>
          <w:p w14:paraId="7FCCCACE" w14:textId="36759B85" w:rsidR="000E07C8" w:rsidRPr="000F0321" w:rsidRDefault="000E07C8" w:rsidP="000E07C8">
            <w:pPr>
              <w:tabs>
                <w:tab w:val="left" w:pos="1186"/>
              </w:tabs>
              <w:spacing w:after="0" w:line="240" w:lineRule="exact"/>
              <w:jc w:val="right"/>
              <w:rPr>
                <w:rFonts w:ascii="Montserrat" w:hAnsi="Montserrat"/>
                <w:b/>
                <w:sz w:val="13"/>
                <w:szCs w:val="13"/>
                <w:lang w:val="es-ES_tradnl"/>
              </w:rPr>
            </w:pPr>
            <w:r>
              <w:rPr>
                <w:rFonts w:ascii="Montserrat" w:eastAsia="Times New Roman" w:hAnsi="Montserrat" w:cs="Calibri"/>
                <w:b/>
                <w:bCs/>
                <w:sz w:val="13"/>
                <w:szCs w:val="13"/>
                <w:lang w:eastAsia="es-MX"/>
              </w:rPr>
              <w:t xml:space="preserve">   1,440,689,023,303</w:t>
            </w:r>
          </w:p>
        </w:tc>
        <w:tc>
          <w:tcPr>
            <w:tcW w:w="1518" w:type="dxa"/>
            <w:tcBorders>
              <w:top w:val="double" w:sz="12" w:space="0" w:color="808080" w:themeColor="background1" w:themeShade="80"/>
            </w:tcBorders>
            <w:shd w:val="clear" w:color="auto" w:fill="F2F2F2" w:themeFill="background1" w:themeFillShade="F2"/>
            <w:noWrap/>
            <w:vAlign w:val="bottom"/>
          </w:tcPr>
          <w:p w14:paraId="6E8D4E73" w14:textId="58DC0CF7" w:rsidR="000E07C8" w:rsidRPr="000F0321" w:rsidRDefault="000E07C8" w:rsidP="000E07C8">
            <w:pPr>
              <w:spacing w:after="0" w:line="240" w:lineRule="exact"/>
              <w:jc w:val="right"/>
              <w:rPr>
                <w:rFonts w:ascii="Montserrat" w:hAnsi="Montserrat"/>
                <w:b/>
                <w:sz w:val="13"/>
                <w:szCs w:val="13"/>
                <w:lang w:val="es-ES_tradnl"/>
              </w:rPr>
            </w:pPr>
            <w:r>
              <w:rPr>
                <w:rFonts w:ascii="Montserrat" w:eastAsia="Times New Roman" w:hAnsi="Montserrat" w:cs="Calibri"/>
                <w:b/>
                <w:bCs/>
                <w:sz w:val="13"/>
                <w:szCs w:val="13"/>
                <w:lang w:eastAsia="es-MX"/>
              </w:rPr>
              <w:t xml:space="preserve">     458,064,158,746</w:t>
            </w:r>
          </w:p>
        </w:tc>
        <w:tc>
          <w:tcPr>
            <w:tcW w:w="1417" w:type="dxa"/>
            <w:tcBorders>
              <w:top w:val="double" w:sz="12" w:space="0" w:color="808080" w:themeColor="background1" w:themeShade="80"/>
            </w:tcBorders>
            <w:shd w:val="clear" w:color="auto" w:fill="F2F2F2" w:themeFill="background1" w:themeFillShade="F2"/>
            <w:noWrap/>
            <w:vAlign w:val="bottom"/>
          </w:tcPr>
          <w:p w14:paraId="3E07774E" w14:textId="0CEA3CCB" w:rsidR="000E07C8" w:rsidRPr="000F0321" w:rsidRDefault="000E07C8" w:rsidP="000E07C8">
            <w:pPr>
              <w:spacing w:after="0" w:line="240" w:lineRule="exact"/>
              <w:jc w:val="right"/>
              <w:rPr>
                <w:rFonts w:ascii="Montserrat" w:hAnsi="Montserrat"/>
                <w:b/>
                <w:sz w:val="13"/>
                <w:szCs w:val="13"/>
                <w:lang w:val="es-ES_tradnl"/>
              </w:rPr>
            </w:pPr>
            <w:r>
              <w:rPr>
                <w:rFonts w:ascii="Montserrat" w:eastAsia="Times New Roman" w:hAnsi="Montserrat" w:cs="Calibri"/>
                <w:b/>
                <w:bCs/>
                <w:sz w:val="13"/>
                <w:szCs w:val="13"/>
                <w:lang w:eastAsia="es-MX"/>
              </w:rPr>
              <w:t xml:space="preserve">     674,217,368,837</w:t>
            </w:r>
          </w:p>
        </w:tc>
        <w:tc>
          <w:tcPr>
            <w:tcW w:w="1418" w:type="dxa"/>
            <w:tcBorders>
              <w:top w:val="double" w:sz="12" w:space="0" w:color="808080" w:themeColor="background1" w:themeShade="80"/>
            </w:tcBorders>
            <w:shd w:val="clear" w:color="auto" w:fill="F2F2F2" w:themeFill="background1" w:themeFillShade="F2"/>
            <w:noWrap/>
            <w:vAlign w:val="bottom"/>
          </w:tcPr>
          <w:p w14:paraId="3F78C9F9" w14:textId="112B0227" w:rsidR="000E07C8" w:rsidRPr="000F0321" w:rsidRDefault="000E07C8" w:rsidP="000E07C8">
            <w:pPr>
              <w:spacing w:after="0" w:line="240" w:lineRule="exact"/>
              <w:jc w:val="right"/>
              <w:rPr>
                <w:rFonts w:ascii="Montserrat" w:hAnsi="Montserrat"/>
                <w:b/>
                <w:sz w:val="13"/>
                <w:szCs w:val="13"/>
                <w:lang w:val="es-ES_tradnl"/>
              </w:rPr>
            </w:pPr>
            <w:r>
              <w:rPr>
                <w:rFonts w:ascii="Montserrat" w:eastAsia="Times New Roman" w:hAnsi="Montserrat" w:cs="Calibri"/>
                <w:b/>
                <w:bCs/>
                <w:sz w:val="13"/>
                <w:szCs w:val="13"/>
                <w:lang w:eastAsia="es-MX"/>
              </w:rPr>
              <w:t xml:space="preserve">   394,210,288,116</w:t>
            </w:r>
          </w:p>
        </w:tc>
        <w:tc>
          <w:tcPr>
            <w:tcW w:w="1459" w:type="dxa"/>
            <w:tcBorders>
              <w:top w:val="double" w:sz="12" w:space="0" w:color="808080" w:themeColor="background1" w:themeShade="80"/>
            </w:tcBorders>
            <w:shd w:val="clear" w:color="auto" w:fill="F2F2F2" w:themeFill="background1" w:themeFillShade="F2"/>
            <w:vAlign w:val="bottom"/>
          </w:tcPr>
          <w:p w14:paraId="17E918BF" w14:textId="6CE1E42B" w:rsidR="000E07C8" w:rsidRPr="000F0321" w:rsidRDefault="000E07C8" w:rsidP="000E07C8">
            <w:pPr>
              <w:spacing w:after="0" w:line="240" w:lineRule="exact"/>
              <w:jc w:val="right"/>
              <w:rPr>
                <w:rFonts w:ascii="Montserrat" w:hAnsi="Montserrat"/>
                <w:b/>
                <w:sz w:val="13"/>
                <w:szCs w:val="13"/>
                <w:lang w:val="es-ES_tradnl"/>
              </w:rPr>
            </w:pPr>
            <w:r>
              <w:rPr>
                <w:rFonts w:ascii="Montserrat" w:eastAsia="Times New Roman" w:hAnsi="Montserrat" w:cs="Calibri"/>
                <w:b/>
                <w:bCs/>
                <w:sz w:val="13"/>
                <w:szCs w:val="13"/>
                <w:lang w:eastAsia="es-MX"/>
              </w:rPr>
              <w:t xml:space="preserve">   833,029,189,340</w:t>
            </w:r>
          </w:p>
        </w:tc>
        <w:tc>
          <w:tcPr>
            <w:tcW w:w="1254" w:type="dxa"/>
            <w:tcBorders>
              <w:top w:val="double" w:sz="12" w:space="0" w:color="808080" w:themeColor="background1" w:themeShade="80"/>
            </w:tcBorders>
            <w:shd w:val="clear" w:color="auto" w:fill="F2F2F2" w:themeFill="background1" w:themeFillShade="F2"/>
            <w:vAlign w:val="bottom"/>
          </w:tcPr>
          <w:p w14:paraId="64670F35" w14:textId="30FB39C3" w:rsidR="000E07C8" w:rsidRPr="000F0321" w:rsidRDefault="000E07C8" w:rsidP="000E07C8">
            <w:pPr>
              <w:spacing w:after="0" w:line="240" w:lineRule="exact"/>
              <w:jc w:val="right"/>
              <w:rPr>
                <w:rFonts w:ascii="Montserrat" w:hAnsi="Montserrat"/>
                <w:b/>
                <w:sz w:val="13"/>
                <w:szCs w:val="13"/>
                <w:lang w:val="es-ES_tradnl"/>
              </w:rPr>
            </w:pPr>
            <w:r>
              <w:rPr>
                <w:rFonts w:ascii="Montserrat" w:eastAsia="Times New Roman" w:hAnsi="Montserrat" w:cs="Calibri"/>
                <w:b/>
                <w:bCs/>
                <w:sz w:val="13"/>
                <w:szCs w:val="13"/>
                <w:lang w:eastAsia="es-MX"/>
              </w:rPr>
              <w:t xml:space="preserve">   353,351,379,528</w:t>
            </w:r>
          </w:p>
        </w:tc>
      </w:tr>
      <w:tr w:rsidR="000E07C8" w:rsidRPr="006F0DF1" w14:paraId="5D5CE8B1" w14:textId="77777777" w:rsidTr="0023764E">
        <w:trPr>
          <w:gridBefore w:val="2"/>
          <w:wBefore w:w="21" w:type="dxa"/>
          <w:trHeight w:val="215"/>
          <w:jc w:val="center"/>
        </w:trPr>
        <w:tc>
          <w:tcPr>
            <w:tcW w:w="1558" w:type="dxa"/>
            <w:shd w:val="clear" w:color="auto" w:fill="F2F2F2" w:themeFill="background1" w:themeFillShade="F2"/>
            <w:noWrap/>
            <w:vAlign w:val="bottom"/>
            <w:hideMark/>
          </w:tcPr>
          <w:p w14:paraId="25983B0E" w14:textId="77777777" w:rsidR="000E07C8" w:rsidRPr="006F0DF1" w:rsidRDefault="000E07C8" w:rsidP="000E07C8">
            <w:pPr>
              <w:spacing w:after="0" w:line="240" w:lineRule="exact"/>
              <w:rPr>
                <w:rFonts w:ascii="Montserrat" w:hAnsi="Montserrat"/>
                <w:b/>
                <w:bCs/>
                <w:sz w:val="14"/>
                <w:szCs w:val="14"/>
                <w:lang w:val="es-ES_tradnl"/>
              </w:rPr>
            </w:pPr>
            <w:r w:rsidRPr="006F0DF1">
              <w:rPr>
                <w:rFonts w:ascii="Montserrat" w:hAnsi="Montserrat"/>
                <w:b/>
                <w:bCs/>
                <w:sz w:val="14"/>
                <w:szCs w:val="14"/>
                <w:lang w:val="es-ES_tradnl"/>
              </w:rPr>
              <w:t>Deuda Interna</w:t>
            </w:r>
          </w:p>
        </w:tc>
        <w:tc>
          <w:tcPr>
            <w:tcW w:w="1560" w:type="dxa"/>
            <w:shd w:val="clear" w:color="auto" w:fill="F2F2F2" w:themeFill="background1" w:themeFillShade="F2"/>
            <w:noWrap/>
            <w:vAlign w:val="bottom"/>
          </w:tcPr>
          <w:p w14:paraId="5C1E45AD" w14:textId="30E3B64C" w:rsidR="000E07C8" w:rsidRPr="000F0321" w:rsidRDefault="000E07C8" w:rsidP="000E07C8">
            <w:pPr>
              <w:spacing w:after="0"/>
              <w:jc w:val="right"/>
              <w:rPr>
                <w:rFonts w:ascii="Montserrat" w:hAnsi="Montserrat"/>
                <w:b/>
                <w:sz w:val="13"/>
                <w:szCs w:val="13"/>
                <w:lang w:val="es-ES_tradnl"/>
              </w:rPr>
            </w:pPr>
            <w:r w:rsidRPr="000F0321">
              <w:rPr>
                <w:rFonts w:ascii="Montserrat" w:eastAsia="Times New Roman" w:hAnsi="Montserrat" w:cs="Calibri"/>
                <w:b/>
                <w:sz w:val="13"/>
                <w:szCs w:val="13"/>
                <w:lang w:eastAsia="es-MX"/>
              </w:rPr>
              <w:t xml:space="preserve">       6,955,385,123,880 </w:t>
            </w:r>
          </w:p>
        </w:tc>
        <w:tc>
          <w:tcPr>
            <w:tcW w:w="1559" w:type="dxa"/>
            <w:shd w:val="clear" w:color="auto" w:fill="F2F2F2" w:themeFill="background1" w:themeFillShade="F2"/>
            <w:noWrap/>
            <w:vAlign w:val="bottom"/>
          </w:tcPr>
          <w:p w14:paraId="1063E387" w14:textId="2AD54DE3" w:rsidR="000E07C8" w:rsidRPr="000F0321" w:rsidRDefault="000E07C8" w:rsidP="000E07C8">
            <w:pPr>
              <w:spacing w:after="0"/>
              <w:jc w:val="right"/>
              <w:rPr>
                <w:rFonts w:ascii="Montserrat" w:hAnsi="Montserrat"/>
                <w:b/>
                <w:sz w:val="13"/>
                <w:szCs w:val="13"/>
                <w:lang w:val="es-ES_tradnl"/>
              </w:rPr>
            </w:pPr>
            <w:r w:rsidRPr="000F0321">
              <w:rPr>
                <w:rFonts w:ascii="Montserrat" w:eastAsia="Times New Roman" w:hAnsi="Montserrat" w:cs="Calibri"/>
                <w:b/>
                <w:sz w:val="13"/>
                <w:szCs w:val="13"/>
                <w:lang w:eastAsia="es-MX"/>
              </w:rPr>
              <w:t xml:space="preserve">          4,261,966,230,369 </w:t>
            </w:r>
          </w:p>
        </w:tc>
        <w:tc>
          <w:tcPr>
            <w:tcW w:w="1561" w:type="dxa"/>
            <w:shd w:val="clear" w:color="auto" w:fill="F2F2F2" w:themeFill="background1" w:themeFillShade="F2"/>
            <w:noWrap/>
            <w:vAlign w:val="bottom"/>
          </w:tcPr>
          <w:p w14:paraId="631C782D" w14:textId="5419D3DB" w:rsidR="000E07C8" w:rsidRPr="000F0321" w:rsidRDefault="000E07C8" w:rsidP="000E07C8">
            <w:pPr>
              <w:spacing w:after="0"/>
              <w:jc w:val="right"/>
              <w:rPr>
                <w:rFonts w:ascii="Montserrat" w:hAnsi="Montserrat"/>
                <w:b/>
                <w:sz w:val="13"/>
                <w:szCs w:val="13"/>
                <w:lang w:val="es-ES_tradnl"/>
              </w:rPr>
            </w:pPr>
            <w:r w:rsidRPr="000F0321">
              <w:rPr>
                <w:rFonts w:ascii="Montserrat" w:eastAsia="Times New Roman" w:hAnsi="Montserrat" w:cs="Calibri"/>
                <w:b/>
                <w:sz w:val="13"/>
                <w:szCs w:val="13"/>
                <w:lang w:eastAsia="es-MX"/>
              </w:rPr>
              <w:t xml:space="preserve">   1,341,489,527,447 </w:t>
            </w:r>
          </w:p>
        </w:tc>
        <w:tc>
          <w:tcPr>
            <w:tcW w:w="1518" w:type="dxa"/>
            <w:shd w:val="clear" w:color="auto" w:fill="F2F2F2" w:themeFill="background1" w:themeFillShade="F2"/>
            <w:noWrap/>
            <w:vAlign w:val="bottom"/>
          </w:tcPr>
          <w:p w14:paraId="563B30C9" w14:textId="7DE162F4" w:rsidR="000E07C8" w:rsidRPr="000F0321" w:rsidRDefault="000E07C8" w:rsidP="000E07C8">
            <w:pPr>
              <w:spacing w:after="0"/>
              <w:jc w:val="right"/>
              <w:rPr>
                <w:rFonts w:ascii="Montserrat" w:hAnsi="Montserrat"/>
                <w:b/>
                <w:sz w:val="13"/>
                <w:szCs w:val="13"/>
                <w:lang w:val="es-ES_tradnl"/>
              </w:rPr>
            </w:pPr>
            <w:r w:rsidRPr="000F0321">
              <w:rPr>
                <w:rFonts w:ascii="Montserrat" w:eastAsia="Times New Roman" w:hAnsi="Montserrat" w:cs="Calibri"/>
                <w:b/>
                <w:sz w:val="13"/>
                <w:szCs w:val="13"/>
                <w:lang w:eastAsia="es-MX"/>
              </w:rPr>
              <w:t xml:space="preserve">     387,637,675,845 </w:t>
            </w:r>
          </w:p>
        </w:tc>
        <w:tc>
          <w:tcPr>
            <w:tcW w:w="1417" w:type="dxa"/>
            <w:shd w:val="clear" w:color="auto" w:fill="F2F2F2" w:themeFill="background1" w:themeFillShade="F2"/>
            <w:noWrap/>
            <w:vAlign w:val="bottom"/>
          </w:tcPr>
          <w:p w14:paraId="37CB7213" w14:textId="4A9E2825" w:rsidR="000E07C8" w:rsidRPr="000F0321" w:rsidRDefault="000E07C8" w:rsidP="000E07C8">
            <w:pPr>
              <w:spacing w:after="0"/>
              <w:jc w:val="right"/>
              <w:rPr>
                <w:rFonts w:ascii="Montserrat" w:hAnsi="Montserrat"/>
                <w:b/>
                <w:sz w:val="13"/>
                <w:szCs w:val="13"/>
                <w:lang w:val="es-ES_tradnl"/>
              </w:rPr>
            </w:pPr>
            <w:r w:rsidRPr="000F0321">
              <w:rPr>
                <w:rFonts w:ascii="Montserrat" w:eastAsia="Times New Roman" w:hAnsi="Montserrat" w:cs="Calibri"/>
                <w:b/>
                <w:sz w:val="13"/>
                <w:szCs w:val="13"/>
                <w:lang w:eastAsia="es-MX"/>
              </w:rPr>
              <w:t xml:space="preserve">     612,773,246,025 </w:t>
            </w:r>
          </w:p>
        </w:tc>
        <w:tc>
          <w:tcPr>
            <w:tcW w:w="1418" w:type="dxa"/>
            <w:shd w:val="clear" w:color="auto" w:fill="F2F2F2" w:themeFill="background1" w:themeFillShade="F2"/>
            <w:noWrap/>
            <w:vAlign w:val="bottom"/>
          </w:tcPr>
          <w:p w14:paraId="12E421B1" w14:textId="3076F6DF" w:rsidR="000E07C8" w:rsidRPr="000F0321" w:rsidRDefault="000E07C8" w:rsidP="000E07C8">
            <w:pPr>
              <w:spacing w:after="0"/>
              <w:jc w:val="right"/>
              <w:rPr>
                <w:rFonts w:ascii="Montserrat" w:hAnsi="Montserrat"/>
                <w:b/>
                <w:sz w:val="13"/>
                <w:szCs w:val="13"/>
                <w:lang w:val="es-ES_tradnl"/>
              </w:rPr>
            </w:pPr>
            <w:r w:rsidRPr="000F0321">
              <w:rPr>
                <w:rFonts w:ascii="Montserrat" w:eastAsia="Times New Roman" w:hAnsi="Montserrat" w:cs="Calibri"/>
                <w:b/>
                <w:sz w:val="13"/>
                <w:szCs w:val="13"/>
                <w:lang w:eastAsia="es-MX"/>
              </w:rPr>
              <w:t xml:space="preserve">   322,407,631,820 </w:t>
            </w:r>
          </w:p>
        </w:tc>
        <w:tc>
          <w:tcPr>
            <w:tcW w:w="1459" w:type="dxa"/>
            <w:shd w:val="clear" w:color="auto" w:fill="F2F2F2" w:themeFill="background1" w:themeFillShade="F2"/>
            <w:vAlign w:val="bottom"/>
          </w:tcPr>
          <w:p w14:paraId="54ED2E29" w14:textId="5EE9A446" w:rsidR="000E07C8" w:rsidRPr="000F0321" w:rsidRDefault="000E07C8" w:rsidP="000E07C8">
            <w:pPr>
              <w:spacing w:after="0"/>
              <w:jc w:val="right"/>
              <w:rPr>
                <w:rFonts w:ascii="Montserrat" w:hAnsi="Montserrat"/>
                <w:b/>
                <w:sz w:val="13"/>
                <w:szCs w:val="13"/>
                <w:lang w:val="es-ES_tradnl"/>
              </w:rPr>
            </w:pPr>
            <w:r w:rsidRPr="000F0321">
              <w:rPr>
                <w:rFonts w:ascii="Montserrat" w:eastAsia="Times New Roman" w:hAnsi="Montserrat" w:cs="Calibri"/>
                <w:b/>
                <w:sz w:val="13"/>
                <w:szCs w:val="13"/>
                <w:lang w:eastAsia="es-MX"/>
              </w:rPr>
              <w:t xml:space="preserve">   725,550,321,976 </w:t>
            </w:r>
          </w:p>
        </w:tc>
        <w:tc>
          <w:tcPr>
            <w:tcW w:w="1254" w:type="dxa"/>
            <w:shd w:val="clear" w:color="auto" w:fill="F2F2F2" w:themeFill="background1" w:themeFillShade="F2"/>
            <w:vAlign w:val="bottom"/>
          </w:tcPr>
          <w:p w14:paraId="2A10B0D7" w14:textId="444FF469" w:rsidR="000E07C8" w:rsidRPr="000F0321" w:rsidRDefault="000E07C8" w:rsidP="000E07C8">
            <w:pPr>
              <w:spacing w:after="0"/>
              <w:jc w:val="right"/>
              <w:rPr>
                <w:rFonts w:ascii="Montserrat" w:hAnsi="Montserrat"/>
                <w:b/>
                <w:sz w:val="13"/>
                <w:szCs w:val="13"/>
                <w:lang w:val="es-ES_tradnl"/>
              </w:rPr>
            </w:pPr>
            <w:r w:rsidRPr="000F0321">
              <w:rPr>
                <w:rFonts w:ascii="Montserrat" w:eastAsia="Times New Roman" w:hAnsi="Montserrat" w:cs="Calibri"/>
                <w:b/>
                <w:sz w:val="13"/>
                <w:szCs w:val="13"/>
                <w:lang w:eastAsia="es-MX"/>
              </w:rPr>
              <w:t xml:space="preserve">   283,967,491,421 </w:t>
            </w:r>
          </w:p>
        </w:tc>
      </w:tr>
      <w:tr w:rsidR="000E07C8" w:rsidRPr="006F0DF1" w14:paraId="1329DF28" w14:textId="77777777" w:rsidTr="0023764E">
        <w:trPr>
          <w:gridBefore w:val="2"/>
          <w:wBefore w:w="21" w:type="dxa"/>
          <w:trHeight w:val="215"/>
          <w:jc w:val="center"/>
        </w:trPr>
        <w:tc>
          <w:tcPr>
            <w:tcW w:w="1558" w:type="dxa"/>
            <w:shd w:val="clear" w:color="auto" w:fill="F2F2F2" w:themeFill="background1" w:themeFillShade="F2"/>
            <w:noWrap/>
            <w:vAlign w:val="bottom"/>
            <w:hideMark/>
          </w:tcPr>
          <w:p w14:paraId="5057BE2B" w14:textId="77777777" w:rsidR="000E07C8" w:rsidRPr="006F0DF1" w:rsidRDefault="000E07C8" w:rsidP="000E07C8">
            <w:pPr>
              <w:spacing w:after="0" w:line="240" w:lineRule="exact"/>
              <w:rPr>
                <w:rFonts w:ascii="Montserrat" w:hAnsi="Montserrat"/>
                <w:b/>
                <w:bCs/>
                <w:sz w:val="14"/>
                <w:szCs w:val="14"/>
                <w:lang w:val="es-ES_tradnl"/>
              </w:rPr>
            </w:pPr>
            <w:r w:rsidRPr="006F0DF1">
              <w:rPr>
                <w:rFonts w:ascii="Montserrat" w:hAnsi="Montserrat"/>
                <w:b/>
                <w:bCs/>
                <w:sz w:val="14"/>
                <w:szCs w:val="14"/>
                <w:lang w:val="es-ES_tradnl"/>
              </w:rPr>
              <w:t>Valores Gubernamentales</w:t>
            </w:r>
          </w:p>
        </w:tc>
        <w:tc>
          <w:tcPr>
            <w:tcW w:w="1560" w:type="dxa"/>
            <w:shd w:val="clear" w:color="auto" w:fill="F2F2F2" w:themeFill="background1" w:themeFillShade="F2"/>
            <w:noWrap/>
            <w:vAlign w:val="bottom"/>
          </w:tcPr>
          <w:p w14:paraId="512758BA" w14:textId="4A6037F6" w:rsidR="000E07C8" w:rsidRPr="000F0321" w:rsidRDefault="000E07C8" w:rsidP="000E07C8">
            <w:pPr>
              <w:spacing w:after="0"/>
              <w:jc w:val="right"/>
              <w:rPr>
                <w:rFonts w:ascii="Montserrat" w:hAnsi="Montserrat"/>
                <w:b/>
                <w:sz w:val="13"/>
                <w:szCs w:val="13"/>
                <w:lang w:val="es-ES_tradnl"/>
              </w:rPr>
            </w:pPr>
            <w:r w:rsidRPr="000F0321">
              <w:rPr>
                <w:rFonts w:ascii="Montserrat" w:eastAsia="Times New Roman" w:hAnsi="Montserrat" w:cs="Calibri"/>
                <w:b/>
                <w:sz w:val="13"/>
                <w:szCs w:val="13"/>
                <w:lang w:eastAsia="es-MX"/>
              </w:rPr>
              <w:t xml:space="preserve">       6,399,573,194,327 </w:t>
            </w:r>
          </w:p>
        </w:tc>
        <w:tc>
          <w:tcPr>
            <w:tcW w:w="1559" w:type="dxa"/>
            <w:shd w:val="clear" w:color="auto" w:fill="F2F2F2" w:themeFill="background1" w:themeFillShade="F2"/>
            <w:noWrap/>
            <w:vAlign w:val="bottom"/>
          </w:tcPr>
          <w:p w14:paraId="6D83C0FE" w14:textId="684FADB5" w:rsidR="000E07C8" w:rsidRPr="000F0321" w:rsidRDefault="000E07C8" w:rsidP="000E07C8">
            <w:pPr>
              <w:spacing w:after="0"/>
              <w:jc w:val="right"/>
              <w:rPr>
                <w:rFonts w:ascii="Montserrat" w:hAnsi="Montserrat"/>
                <w:b/>
                <w:sz w:val="13"/>
                <w:szCs w:val="13"/>
                <w:lang w:val="es-ES_tradnl"/>
              </w:rPr>
            </w:pPr>
            <w:r w:rsidRPr="000F0321">
              <w:rPr>
                <w:rFonts w:ascii="Montserrat" w:eastAsia="Times New Roman" w:hAnsi="Montserrat" w:cs="Calibri"/>
                <w:b/>
                <w:sz w:val="13"/>
                <w:szCs w:val="13"/>
                <w:lang w:eastAsia="es-MX"/>
              </w:rPr>
              <w:t xml:space="preserve">          3,190,613,685,245 </w:t>
            </w:r>
          </w:p>
        </w:tc>
        <w:tc>
          <w:tcPr>
            <w:tcW w:w="1561" w:type="dxa"/>
            <w:shd w:val="clear" w:color="auto" w:fill="F2F2F2" w:themeFill="background1" w:themeFillShade="F2"/>
            <w:noWrap/>
            <w:vAlign w:val="bottom"/>
          </w:tcPr>
          <w:p w14:paraId="728FBFEA" w14:textId="53C7F4AF" w:rsidR="000E07C8" w:rsidRPr="000F0321" w:rsidRDefault="000E07C8" w:rsidP="000E07C8">
            <w:pPr>
              <w:spacing w:after="0"/>
              <w:jc w:val="right"/>
              <w:rPr>
                <w:rFonts w:ascii="Montserrat" w:hAnsi="Montserrat"/>
                <w:b/>
                <w:sz w:val="13"/>
                <w:szCs w:val="13"/>
                <w:lang w:val="es-ES_tradnl"/>
              </w:rPr>
            </w:pPr>
            <w:r w:rsidRPr="000F0321">
              <w:rPr>
                <w:rFonts w:ascii="Montserrat" w:eastAsia="Times New Roman" w:hAnsi="Montserrat" w:cs="Calibri"/>
                <w:b/>
                <w:sz w:val="13"/>
                <w:szCs w:val="13"/>
                <w:lang w:eastAsia="es-MX"/>
              </w:rPr>
              <w:t xml:space="preserve">   1,307,129,542,917 </w:t>
            </w:r>
          </w:p>
        </w:tc>
        <w:tc>
          <w:tcPr>
            <w:tcW w:w="1518" w:type="dxa"/>
            <w:shd w:val="clear" w:color="auto" w:fill="F2F2F2" w:themeFill="background1" w:themeFillShade="F2"/>
            <w:noWrap/>
            <w:vAlign w:val="bottom"/>
          </w:tcPr>
          <w:p w14:paraId="0FC266BA" w14:textId="3902C80C" w:rsidR="000E07C8" w:rsidRPr="000F0321" w:rsidRDefault="000E07C8" w:rsidP="000E07C8">
            <w:pPr>
              <w:spacing w:after="0"/>
              <w:jc w:val="right"/>
              <w:rPr>
                <w:rFonts w:ascii="Montserrat" w:hAnsi="Montserrat"/>
                <w:b/>
                <w:sz w:val="13"/>
                <w:szCs w:val="13"/>
                <w:lang w:val="es-ES_tradnl"/>
              </w:rPr>
            </w:pPr>
            <w:r w:rsidRPr="000F0321">
              <w:rPr>
                <w:rFonts w:ascii="Montserrat" w:eastAsia="Times New Roman" w:hAnsi="Montserrat" w:cs="Calibri"/>
                <w:b/>
                <w:sz w:val="13"/>
                <w:szCs w:val="13"/>
                <w:lang w:eastAsia="es-MX"/>
              </w:rPr>
              <w:t xml:space="preserve">     382,055,365,700 </w:t>
            </w:r>
          </w:p>
        </w:tc>
        <w:tc>
          <w:tcPr>
            <w:tcW w:w="1417" w:type="dxa"/>
            <w:shd w:val="clear" w:color="auto" w:fill="F2F2F2" w:themeFill="background1" w:themeFillShade="F2"/>
            <w:noWrap/>
            <w:vAlign w:val="bottom"/>
          </w:tcPr>
          <w:p w14:paraId="2FEBA4A5" w14:textId="3AC15278" w:rsidR="000E07C8" w:rsidRPr="000F0321" w:rsidRDefault="000E07C8" w:rsidP="000E07C8">
            <w:pPr>
              <w:spacing w:after="0"/>
              <w:jc w:val="right"/>
              <w:rPr>
                <w:rFonts w:ascii="Montserrat" w:hAnsi="Montserrat"/>
                <w:b/>
                <w:sz w:val="13"/>
                <w:szCs w:val="13"/>
                <w:lang w:val="es-ES_tradnl"/>
              </w:rPr>
            </w:pPr>
            <w:r w:rsidRPr="000F0321">
              <w:rPr>
                <w:rFonts w:ascii="Montserrat" w:eastAsia="Times New Roman" w:hAnsi="Montserrat" w:cs="Calibri"/>
                <w:b/>
                <w:sz w:val="13"/>
                <w:szCs w:val="13"/>
                <w:lang w:eastAsia="es-MX"/>
              </w:rPr>
              <w:t xml:space="preserve">     588,435,403,034 </w:t>
            </w:r>
          </w:p>
        </w:tc>
        <w:tc>
          <w:tcPr>
            <w:tcW w:w="1418" w:type="dxa"/>
            <w:shd w:val="clear" w:color="auto" w:fill="F2F2F2" w:themeFill="background1" w:themeFillShade="F2"/>
            <w:noWrap/>
            <w:vAlign w:val="bottom"/>
          </w:tcPr>
          <w:p w14:paraId="7E1814D2" w14:textId="2585A4D4" w:rsidR="000E07C8" w:rsidRPr="000F0321" w:rsidRDefault="000E07C8" w:rsidP="000E07C8">
            <w:pPr>
              <w:spacing w:after="0"/>
              <w:jc w:val="right"/>
              <w:rPr>
                <w:rFonts w:ascii="Montserrat" w:hAnsi="Montserrat"/>
                <w:b/>
                <w:sz w:val="13"/>
                <w:szCs w:val="13"/>
                <w:lang w:val="es-ES_tradnl"/>
              </w:rPr>
            </w:pPr>
            <w:r w:rsidRPr="000F0321">
              <w:rPr>
                <w:rFonts w:ascii="Montserrat" w:eastAsia="Times New Roman" w:hAnsi="Montserrat" w:cs="Calibri"/>
                <w:b/>
                <w:sz w:val="13"/>
                <w:szCs w:val="13"/>
                <w:lang w:eastAsia="es-MX"/>
              </w:rPr>
              <w:t xml:space="preserve">   316,268,472,184 </w:t>
            </w:r>
          </w:p>
        </w:tc>
        <w:tc>
          <w:tcPr>
            <w:tcW w:w="1459" w:type="dxa"/>
            <w:shd w:val="clear" w:color="auto" w:fill="F2F2F2" w:themeFill="background1" w:themeFillShade="F2"/>
            <w:vAlign w:val="bottom"/>
          </w:tcPr>
          <w:p w14:paraId="7CE3B60B" w14:textId="13112DB0" w:rsidR="000E07C8" w:rsidRPr="000F0321" w:rsidRDefault="000E07C8" w:rsidP="000E07C8">
            <w:pPr>
              <w:spacing w:after="0"/>
              <w:jc w:val="right"/>
              <w:rPr>
                <w:rFonts w:ascii="Montserrat" w:hAnsi="Montserrat"/>
                <w:b/>
                <w:sz w:val="13"/>
                <w:szCs w:val="13"/>
                <w:lang w:val="es-ES_tradnl"/>
              </w:rPr>
            </w:pPr>
            <w:r w:rsidRPr="000F0321">
              <w:rPr>
                <w:rFonts w:ascii="Montserrat" w:eastAsia="Times New Roman" w:hAnsi="Montserrat" w:cs="Calibri"/>
                <w:b/>
                <w:sz w:val="13"/>
                <w:szCs w:val="13"/>
                <w:lang w:eastAsia="es-MX"/>
              </w:rPr>
              <w:t xml:space="preserve">   700,776,354,986 </w:t>
            </w:r>
          </w:p>
        </w:tc>
        <w:tc>
          <w:tcPr>
            <w:tcW w:w="1254" w:type="dxa"/>
            <w:shd w:val="clear" w:color="auto" w:fill="F2F2F2" w:themeFill="background1" w:themeFillShade="F2"/>
            <w:vAlign w:val="bottom"/>
          </w:tcPr>
          <w:p w14:paraId="46CBCAA4" w14:textId="004B9F5F" w:rsidR="000E07C8" w:rsidRPr="000F0321" w:rsidRDefault="000E07C8" w:rsidP="000E07C8">
            <w:pPr>
              <w:spacing w:after="0"/>
              <w:jc w:val="right"/>
              <w:rPr>
                <w:rFonts w:ascii="Montserrat" w:hAnsi="Montserrat"/>
                <w:b/>
                <w:sz w:val="13"/>
                <w:szCs w:val="13"/>
                <w:lang w:val="es-ES_tradnl"/>
              </w:rPr>
            </w:pPr>
            <w:r w:rsidRPr="000F0321">
              <w:rPr>
                <w:rFonts w:ascii="Montserrat" w:eastAsia="Times New Roman" w:hAnsi="Montserrat" w:cs="Calibri"/>
                <w:b/>
                <w:sz w:val="13"/>
                <w:szCs w:val="13"/>
                <w:lang w:eastAsia="es-MX"/>
              </w:rPr>
              <w:t xml:space="preserve">   276,780,584,298 </w:t>
            </w:r>
          </w:p>
        </w:tc>
      </w:tr>
      <w:tr w:rsidR="000E07C8" w:rsidRPr="006F0DF1" w14:paraId="370ABE3A" w14:textId="77777777" w:rsidTr="0023764E">
        <w:trPr>
          <w:gridBefore w:val="2"/>
          <w:wBefore w:w="21" w:type="dxa"/>
          <w:trHeight w:val="215"/>
          <w:jc w:val="center"/>
        </w:trPr>
        <w:tc>
          <w:tcPr>
            <w:tcW w:w="1558" w:type="dxa"/>
            <w:shd w:val="clear" w:color="auto" w:fill="F2F2F2" w:themeFill="background1" w:themeFillShade="F2"/>
            <w:noWrap/>
            <w:vAlign w:val="bottom"/>
            <w:hideMark/>
          </w:tcPr>
          <w:p w14:paraId="4862B262" w14:textId="77777777" w:rsidR="000E07C8" w:rsidRPr="006F0DF1" w:rsidRDefault="000E07C8" w:rsidP="000E07C8">
            <w:pPr>
              <w:spacing w:after="0" w:line="240" w:lineRule="exact"/>
              <w:ind w:left="192"/>
              <w:rPr>
                <w:rFonts w:ascii="Montserrat" w:hAnsi="Montserrat"/>
                <w:sz w:val="14"/>
                <w:szCs w:val="14"/>
                <w:lang w:val="es-ES_tradnl"/>
              </w:rPr>
            </w:pPr>
            <w:r w:rsidRPr="006F0DF1">
              <w:rPr>
                <w:rFonts w:ascii="Montserrat" w:hAnsi="Montserrat"/>
                <w:sz w:val="14"/>
                <w:szCs w:val="14"/>
                <w:lang w:val="es-ES_tradnl"/>
              </w:rPr>
              <w:t>Cetes</w:t>
            </w:r>
          </w:p>
        </w:tc>
        <w:tc>
          <w:tcPr>
            <w:tcW w:w="1560" w:type="dxa"/>
            <w:shd w:val="clear" w:color="auto" w:fill="F2F2F2" w:themeFill="background1" w:themeFillShade="F2"/>
            <w:noWrap/>
            <w:vAlign w:val="bottom"/>
          </w:tcPr>
          <w:p w14:paraId="0D6243EE" w14:textId="702DB3E2" w:rsidR="000E07C8" w:rsidRPr="005210C6" w:rsidRDefault="000E07C8" w:rsidP="000E07C8">
            <w:pPr>
              <w:spacing w:after="0" w:line="240" w:lineRule="exact"/>
              <w:ind w:right="57"/>
              <w:jc w:val="right"/>
              <w:rPr>
                <w:rFonts w:ascii="Montserrat" w:hAnsi="Montserrat"/>
                <w:sz w:val="14"/>
                <w:szCs w:val="14"/>
                <w:lang w:val="es-ES_tradnl"/>
              </w:rPr>
            </w:pPr>
            <w:r w:rsidRPr="009B0B86">
              <w:rPr>
                <w:rFonts w:ascii="Montserrat" w:eastAsia="Times New Roman" w:hAnsi="Montserrat" w:cs="Calibri"/>
                <w:sz w:val="13"/>
                <w:szCs w:val="13"/>
                <w:lang w:eastAsia="es-MX"/>
              </w:rPr>
              <w:t xml:space="preserve">        802,558,303,005 </w:t>
            </w:r>
          </w:p>
        </w:tc>
        <w:tc>
          <w:tcPr>
            <w:tcW w:w="1559" w:type="dxa"/>
            <w:shd w:val="clear" w:color="auto" w:fill="F2F2F2" w:themeFill="background1" w:themeFillShade="F2"/>
            <w:noWrap/>
            <w:vAlign w:val="bottom"/>
          </w:tcPr>
          <w:p w14:paraId="0DD4AB46" w14:textId="245AE409" w:rsidR="000E07C8" w:rsidRPr="005210C6" w:rsidRDefault="000E07C8" w:rsidP="000E07C8">
            <w:pPr>
              <w:spacing w:after="0" w:line="240" w:lineRule="exact"/>
              <w:ind w:right="57"/>
              <w:jc w:val="right"/>
              <w:rPr>
                <w:rFonts w:ascii="Montserrat" w:hAnsi="Montserrat"/>
                <w:sz w:val="14"/>
                <w:szCs w:val="14"/>
                <w:lang w:val="es-ES_tradnl"/>
              </w:rPr>
            </w:pPr>
            <w:r w:rsidRPr="009B0B86">
              <w:rPr>
                <w:rFonts w:ascii="Montserrat" w:eastAsia="Times New Roman" w:hAnsi="Montserrat" w:cs="Calibri"/>
                <w:sz w:val="13"/>
                <w:szCs w:val="13"/>
                <w:lang w:eastAsia="es-MX"/>
              </w:rPr>
              <w:t xml:space="preserve">            33,134,447,676 </w:t>
            </w:r>
          </w:p>
        </w:tc>
        <w:tc>
          <w:tcPr>
            <w:tcW w:w="1561" w:type="dxa"/>
            <w:shd w:val="clear" w:color="auto" w:fill="F2F2F2" w:themeFill="background1" w:themeFillShade="F2"/>
            <w:noWrap/>
            <w:vAlign w:val="bottom"/>
          </w:tcPr>
          <w:p w14:paraId="32BB5D8B" w14:textId="4DEAE398" w:rsidR="000E07C8" w:rsidRPr="005210C6" w:rsidRDefault="000E07C8" w:rsidP="000E07C8">
            <w:pPr>
              <w:spacing w:after="0" w:line="240" w:lineRule="exact"/>
              <w:ind w:right="57"/>
              <w:jc w:val="right"/>
              <w:rPr>
                <w:rFonts w:ascii="Montserrat" w:hAnsi="Montserrat"/>
                <w:sz w:val="14"/>
                <w:szCs w:val="14"/>
                <w:lang w:val="es-ES_tradnl"/>
              </w:rPr>
            </w:pPr>
            <w:r w:rsidRPr="009B0B86">
              <w:rPr>
                <w:rFonts w:ascii="Montserrat" w:eastAsia="Times New Roman" w:hAnsi="Montserrat" w:cs="Calibri"/>
                <w:sz w:val="13"/>
                <w:szCs w:val="13"/>
                <w:lang w:eastAsia="es-MX"/>
              </w:rPr>
              <w:t xml:space="preserve">      802,558,303,005 </w:t>
            </w:r>
          </w:p>
        </w:tc>
        <w:tc>
          <w:tcPr>
            <w:tcW w:w="1518" w:type="dxa"/>
            <w:shd w:val="clear" w:color="auto" w:fill="F2F2F2" w:themeFill="background1" w:themeFillShade="F2"/>
            <w:noWrap/>
            <w:vAlign w:val="bottom"/>
          </w:tcPr>
          <w:p w14:paraId="5900716A" w14:textId="472A0C25" w:rsidR="000E07C8" w:rsidRPr="005210C6" w:rsidRDefault="000E07C8" w:rsidP="000E07C8">
            <w:pPr>
              <w:spacing w:after="0" w:line="240" w:lineRule="exact"/>
              <w:ind w:right="57"/>
              <w:jc w:val="right"/>
              <w:rPr>
                <w:rFonts w:ascii="Montserrat" w:hAnsi="Montserrat"/>
                <w:sz w:val="14"/>
                <w:szCs w:val="14"/>
                <w:lang w:val="es-ES_tradnl"/>
              </w:rPr>
            </w:pPr>
            <w:r w:rsidRPr="009B0B86">
              <w:rPr>
                <w:rFonts w:ascii="Montserrat" w:eastAsia="Times New Roman" w:hAnsi="Montserrat" w:cs="Calibri"/>
                <w:sz w:val="13"/>
                <w:szCs w:val="13"/>
                <w:lang w:eastAsia="es-MX"/>
              </w:rPr>
              <w:t xml:space="preserve">       33,134,447,676 </w:t>
            </w:r>
          </w:p>
        </w:tc>
        <w:tc>
          <w:tcPr>
            <w:tcW w:w="1417" w:type="dxa"/>
            <w:shd w:val="clear" w:color="auto" w:fill="F2F2F2" w:themeFill="background1" w:themeFillShade="F2"/>
            <w:noWrap/>
            <w:vAlign w:val="bottom"/>
          </w:tcPr>
          <w:p w14:paraId="010BDA23" w14:textId="3320BDAF" w:rsidR="000E07C8" w:rsidRPr="005210C6" w:rsidRDefault="000E07C8">
            <w:pPr>
              <w:spacing w:after="0" w:line="240" w:lineRule="exact"/>
              <w:ind w:right="57"/>
              <w:jc w:val="right"/>
              <w:rPr>
                <w:rFonts w:ascii="Montserrat" w:hAnsi="Montserrat"/>
                <w:sz w:val="14"/>
                <w:szCs w:val="14"/>
                <w:lang w:val="es-ES_tradnl"/>
              </w:rPr>
            </w:pPr>
            <w:r w:rsidRPr="009B0B86">
              <w:rPr>
                <w:rFonts w:ascii="Montserrat" w:eastAsia="Times New Roman" w:hAnsi="Montserrat" w:cs="Calibri"/>
                <w:sz w:val="13"/>
                <w:szCs w:val="13"/>
                <w:lang w:eastAsia="es-MX"/>
              </w:rPr>
              <w:t xml:space="preserve">                                </w:t>
            </w:r>
            <w:r w:rsidR="00C17F65">
              <w:rPr>
                <w:rFonts w:ascii="Montserrat" w:eastAsia="Times New Roman" w:hAnsi="Montserrat" w:cs="Calibri"/>
                <w:sz w:val="13"/>
                <w:szCs w:val="13"/>
                <w:lang w:eastAsia="es-MX"/>
              </w:rPr>
              <w:t>0</w:t>
            </w:r>
            <w:r w:rsidRPr="009B0B86">
              <w:rPr>
                <w:rFonts w:ascii="Montserrat" w:eastAsia="Times New Roman" w:hAnsi="Montserrat" w:cs="Calibri"/>
                <w:sz w:val="13"/>
                <w:szCs w:val="13"/>
                <w:lang w:eastAsia="es-MX"/>
              </w:rPr>
              <w:t xml:space="preserve">   </w:t>
            </w:r>
          </w:p>
        </w:tc>
        <w:tc>
          <w:tcPr>
            <w:tcW w:w="1418" w:type="dxa"/>
            <w:shd w:val="clear" w:color="auto" w:fill="F2F2F2" w:themeFill="background1" w:themeFillShade="F2"/>
            <w:noWrap/>
            <w:vAlign w:val="bottom"/>
          </w:tcPr>
          <w:p w14:paraId="3EBC1009" w14:textId="0A19BF0A" w:rsidR="000E07C8" w:rsidRPr="005210C6" w:rsidRDefault="000E07C8">
            <w:pPr>
              <w:spacing w:after="0" w:line="240" w:lineRule="exact"/>
              <w:ind w:right="57"/>
              <w:jc w:val="right"/>
              <w:rPr>
                <w:rFonts w:ascii="Montserrat" w:hAnsi="Montserrat"/>
                <w:sz w:val="14"/>
                <w:szCs w:val="14"/>
                <w:lang w:val="es-ES_tradnl"/>
              </w:rPr>
            </w:pPr>
            <w:r w:rsidRPr="009B0B86">
              <w:rPr>
                <w:rFonts w:ascii="Montserrat" w:eastAsia="Times New Roman" w:hAnsi="Montserrat" w:cs="Calibri"/>
                <w:sz w:val="13"/>
                <w:szCs w:val="13"/>
                <w:lang w:eastAsia="es-MX"/>
              </w:rPr>
              <w:t xml:space="preserve">                               </w:t>
            </w:r>
            <w:r w:rsidR="00C17F65">
              <w:rPr>
                <w:rFonts w:ascii="Montserrat" w:eastAsia="Times New Roman" w:hAnsi="Montserrat" w:cs="Calibri"/>
                <w:sz w:val="13"/>
                <w:szCs w:val="13"/>
                <w:lang w:eastAsia="es-MX"/>
              </w:rPr>
              <w:t>0</w:t>
            </w:r>
            <w:r w:rsidRPr="009B0B86">
              <w:rPr>
                <w:rFonts w:ascii="Montserrat" w:eastAsia="Times New Roman" w:hAnsi="Montserrat" w:cs="Calibri"/>
                <w:sz w:val="13"/>
                <w:szCs w:val="13"/>
                <w:lang w:eastAsia="es-MX"/>
              </w:rPr>
              <w:t xml:space="preserve">  </w:t>
            </w:r>
          </w:p>
        </w:tc>
        <w:tc>
          <w:tcPr>
            <w:tcW w:w="1459" w:type="dxa"/>
            <w:shd w:val="clear" w:color="auto" w:fill="F2F2F2" w:themeFill="background1" w:themeFillShade="F2"/>
            <w:vAlign w:val="bottom"/>
          </w:tcPr>
          <w:p w14:paraId="4FC00043" w14:textId="18C29BA8" w:rsidR="000E07C8" w:rsidRPr="005210C6" w:rsidRDefault="00C17F65" w:rsidP="000E07C8">
            <w:pPr>
              <w:spacing w:after="0" w:line="240" w:lineRule="exact"/>
              <w:ind w:right="57"/>
              <w:jc w:val="right"/>
              <w:rPr>
                <w:rFonts w:ascii="Montserrat" w:hAnsi="Montserrat"/>
                <w:sz w:val="14"/>
                <w:szCs w:val="14"/>
                <w:lang w:val="es-ES_tradnl"/>
              </w:rPr>
            </w:pPr>
            <w:r>
              <w:rPr>
                <w:rFonts w:ascii="Montserrat" w:eastAsia="Times New Roman" w:hAnsi="Montserrat" w:cs="Calibri"/>
                <w:sz w:val="13"/>
                <w:szCs w:val="13"/>
                <w:lang w:eastAsia="es-MX"/>
              </w:rPr>
              <w:t>0</w:t>
            </w:r>
            <w:r w:rsidR="000E07C8" w:rsidRPr="009B0B86">
              <w:rPr>
                <w:rFonts w:ascii="Montserrat" w:eastAsia="Times New Roman" w:hAnsi="Montserrat" w:cs="Calibri"/>
                <w:sz w:val="13"/>
                <w:szCs w:val="13"/>
                <w:lang w:eastAsia="es-MX"/>
              </w:rPr>
              <w:t xml:space="preserve">   </w:t>
            </w:r>
          </w:p>
        </w:tc>
        <w:tc>
          <w:tcPr>
            <w:tcW w:w="1254" w:type="dxa"/>
            <w:shd w:val="clear" w:color="auto" w:fill="F2F2F2" w:themeFill="background1" w:themeFillShade="F2"/>
            <w:vAlign w:val="bottom"/>
          </w:tcPr>
          <w:p w14:paraId="13D6EB3A" w14:textId="7CDA3845" w:rsidR="000E07C8" w:rsidRPr="005210C6" w:rsidRDefault="00C17F65" w:rsidP="000E07C8">
            <w:pPr>
              <w:spacing w:after="0" w:line="240" w:lineRule="exact"/>
              <w:ind w:right="57"/>
              <w:jc w:val="right"/>
              <w:rPr>
                <w:rFonts w:ascii="Montserrat" w:hAnsi="Montserrat"/>
                <w:sz w:val="14"/>
                <w:szCs w:val="14"/>
                <w:lang w:val="es-ES_tradnl"/>
              </w:rPr>
            </w:pPr>
            <w:r>
              <w:rPr>
                <w:rFonts w:ascii="Montserrat" w:eastAsia="Times New Roman" w:hAnsi="Montserrat" w:cs="Calibri"/>
                <w:sz w:val="13"/>
                <w:szCs w:val="13"/>
                <w:lang w:eastAsia="es-MX"/>
              </w:rPr>
              <w:t>0</w:t>
            </w:r>
            <w:r w:rsidR="000E07C8" w:rsidRPr="009B0B86">
              <w:rPr>
                <w:rFonts w:ascii="Montserrat" w:eastAsia="Times New Roman" w:hAnsi="Montserrat" w:cs="Calibri"/>
                <w:sz w:val="13"/>
                <w:szCs w:val="13"/>
                <w:lang w:eastAsia="es-MX"/>
              </w:rPr>
              <w:t xml:space="preserve">   </w:t>
            </w:r>
          </w:p>
        </w:tc>
      </w:tr>
      <w:tr w:rsidR="000E07C8" w:rsidRPr="006F0DF1" w14:paraId="778DB3D2" w14:textId="77777777" w:rsidTr="0023764E">
        <w:trPr>
          <w:gridBefore w:val="2"/>
          <w:wBefore w:w="21" w:type="dxa"/>
          <w:trHeight w:val="215"/>
          <w:jc w:val="center"/>
        </w:trPr>
        <w:tc>
          <w:tcPr>
            <w:tcW w:w="1558" w:type="dxa"/>
            <w:shd w:val="clear" w:color="auto" w:fill="F2F2F2" w:themeFill="background1" w:themeFillShade="F2"/>
            <w:noWrap/>
            <w:vAlign w:val="bottom"/>
            <w:hideMark/>
          </w:tcPr>
          <w:p w14:paraId="32308CB7" w14:textId="77777777" w:rsidR="000E07C8" w:rsidRPr="006F0DF1" w:rsidRDefault="000E07C8" w:rsidP="000E07C8">
            <w:pPr>
              <w:spacing w:after="0" w:line="240" w:lineRule="exact"/>
              <w:ind w:left="192"/>
              <w:rPr>
                <w:rFonts w:ascii="Montserrat" w:hAnsi="Montserrat"/>
                <w:sz w:val="14"/>
                <w:szCs w:val="14"/>
                <w:lang w:val="es-ES_tradnl"/>
              </w:rPr>
            </w:pPr>
            <w:r w:rsidRPr="006F0DF1">
              <w:rPr>
                <w:rFonts w:ascii="Montserrat" w:hAnsi="Montserrat"/>
                <w:sz w:val="14"/>
                <w:szCs w:val="14"/>
                <w:lang w:val="es-ES_tradnl"/>
              </w:rPr>
              <w:t>Bondes</w:t>
            </w:r>
          </w:p>
        </w:tc>
        <w:tc>
          <w:tcPr>
            <w:tcW w:w="1560" w:type="dxa"/>
            <w:shd w:val="clear" w:color="auto" w:fill="F2F2F2" w:themeFill="background1" w:themeFillShade="F2"/>
            <w:noWrap/>
            <w:vAlign w:val="bottom"/>
          </w:tcPr>
          <w:p w14:paraId="0B931390" w14:textId="5AADB0C4" w:rsidR="000E07C8" w:rsidRPr="005210C6" w:rsidRDefault="000E07C8" w:rsidP="000E07C8">
            <w:pPr>
              <w:spacing w:after="0" w:line="240" w:lineRule="exact"/>
              <w:ind w:right="57"/>
              <w:jc w:val="right"/>
              <w:rPr>
                <w:rFonts w:ascii="Montserrat" w:hAnsi="Montserrat"/>
                <w:sz w:val="14"/>
                <w:szCs w:val="14"/>
                <w:lang w:val="es-ES_tradnl"/>
              </w:rPr>
            </w:pPr>
            <w:r w:rsidRPr="009B0B86">
              <w:rPr>
                <w:rFonts w:ascii="Montserrat" w:eastAsia="Times New Roman" w:hAnsi="Montserrat" w:cs="Calibri"/>
                <w:sz w:val="13"/>
                <w:szCs w:val="13"/>
                <w:lang w:eastAsia="es-MX"/>
              </w:rPr>
              <w:t xml:space="preserve">       642,088,857,001 </w:t>
            </w:r>
          </w:p>
        </w:tc>
        <w:tc>
          <w:tcPr>
            <w:tcW w:w="1559" w:type="dxa"/>
            <w:shd w:val="clear" w:color="auto" w:fill="F2F2F2" w:themeFill="background1" w:themeFillShade="F2"/>
            <w:noWrap/>
            <w:vAlign w:val="bottom"/>
          </w:tcPr>
          <w:p w14:paraId="24622EF1" w14:textId="5463393A" w:rsidR="000E07C8" w:rsidRPr="005210C6" w:rsidRDefault="000E07C8" w:rsidP="000E07C8">
            <w:pPr>
              <w:spacing w:after="0" w:line="240" w:lineRule="exact"/>
              <w:ind w:right="57"/>
              <w:jc w:val="right"/>
              <w:rPr>
                <w:rFonts w:ascii="Montserrat" w:hAnsi="Montserrat"/>
                <w:sz w:val="14"/>
                <w:szCs w:val="14"/>
                <w:lang w:val="es-ES_tradnl"/>
              </w:rPr>
            </w:pPr>
            <w:r w:rsidRPr="009B0B86">
              <w:rPr>
                <w:rFonts w:ascii="Montserrat" w:eastAsia="Times New Roman" w:hAnsi="Montserrat" w:cs="Calibri"/>
                <w:sz w:val="13"/>
                <w:szCs w:val="13"/>
                <w:lang w:eastAsia="es-MX"/>
              </w:rPr>
              <w:t xml:space="preserve">         123,129,671,344 </w:t>
            </w:r>
          </w:p>
        </w:tc>
        <w:tc>
          <w:tcPr>
            <w:tcW w:w="1561" w:type="dxa"/>
            <w:shd w:val="clear" w:color="auto" w:fill="F2F2F2" w:themeFill="background1" w:themeFillShade="F2"/>
            <w:noWrap/>
            <w:vAlign w:val="bottom"/>
          </w:tcPr>
          <w:p w14:paraId="65AF8CCB" w14:textId="7D9740BB" w:rsidR="000E07C8" w:rsidRPr="005210C6" w:rsidRDefault="000E07C8" w:rsidP="000E07C8">
            <w:pPr>
              <w:spacing w:after="0" w:line="240" w:lineRule="exact"/>
              <w:ind w:right="57"/>
              <w:jc w:val="right"/>
              <w:rPr>
                <w:rFonts w:ascii="Montserrat" w:hAnsi="Montserrat"/>
                <w:sz w:val="14"/>
                <w:szCs w:val="14"/>
                <w:lang w:val="es-ES_tradnl"/>
              </w:rPr>
            </w:pPr>
            <w:r w:rsidRPr="009B0B86">
              <w:rPr>
                <w:rFonts w:ascii="Montserrat" w:eastAsia="Times New Roman" w:hAnsi="Montserrat" w:cs="Calibri"/>
                <w:sz w:val="13"/>
                <w:szCs w:val="13"/>
                <w:lang w:eastAsia="es-MX"/>
              </w:rPr>
              <w:t xml:space="preserve">      114,134,434,800 </w:t>
            </w:r>
          </w:p>
        </w:tc>
        <w:tc>
          <w:tcPr>
            <w:tcW w:w="1518" w:type="dxa"/>
            <w:shd w:val="clear" w:color="auto" w:fill="F2F2F2" w:themeFill="background1" w:themeFillShade="F2"/>
            <w:noWrap/>
            <w:vAlign w:val="bottom"/>
          </w:tcPr>
          <w:p w14:paraId="1AB93F42" w14:textId="2E9B3DE5" w:rsidR="000E07C8" w:rsidRPr="005210C6" w:rsidRDefault="000E07C8" w:rsidP="000E07C8">
            <w:pPr>
              <w:spacing w:after="0" w:line="240" w:lineRule="exact"/>
              <w:ind w:right="57"/>
              <w:jc w:val="right"/>
              <w:rPr>
                <w:rFonts w:ascii="Montserrat" w:hAnsi="Montserrat"/>
                <w:sz w:val="14"/>
                <w:szCs w:val="14"/>
                <w:lang w:val="es-ES_tradnl"/>
              </w:rPr>
            </w:pPr>
            <w:r w:rsidRPr="009B0B86">
              <w:rPr>
                <w:rFonts w:ascii="Montserrat" w:eastAsia="Times New Roman" w:hAnsi="Montserrat" w:cs="Calibri"/>
                <w:sz w:val="13"/>
                <w:szCs w:val="13"/>
                <w:lang w:eastAsia="es-MX"/>
              </w:rPr>
              <w:t xml:space="preserve">       40,890,654,936 </w:t>
            </w:r>
          </w:p>
        </w:tc>
        <w:tc>
          <w:tcPr>
            <w:tcW w:w="1417" w:type="dxa"/>
            <w:shd w:val="clear" w:color="auto" w:fill="F2F2F2" w:themeFill="background1" w:themeFillShade="F2"/>
            <w:noWrap/>
            <w:vAlign w:val="bottom"/>
          </w:tcPr>
          <w:p w14:paraId="4FBC95F3" w14:textId="14A24CB1" w:rsidR="000E07C8" w:rsidRPr="005210C6" w:rsidRDefault="000E07C8" w:rsidP="000E07C8">
            <w:pPr>
              <w:spacing w:after="0" w:line="240" w:lineRule="exact"/>
              <w:ind w:right="57"/>
              <w:jc w:val="right"/>
              <w:rPr>
                <w:rFonts w:ascii="Montserrat" w:hAnsi="Montserrat"/>
                <w:sz w:val="14"/>
                <w:szCs w:val="14"/>
                <w:lang w:val="es-ES_tradnl"/>
              </w:rPr>
            </w:pPr>
            <w:r w:rsidRPr="009B0B86">
              <w:rPr>
                <w:rFonts w:ascii="Montserrat" w:eastAsia="Times New Roman" w:hAnsi="Montserrat" w:cs="Calibri"/>
                <w:sz w:val="13"/>
                <w:szCs w:val="13"/>
                <w:lang w:eastAsia="es-MX"/>
              </w:rPr>
              <w:t xml:space="preserve">     111,233,935,700 </w:t>
            </w:r>
          </w:p>
        </w:tc>
        <w:tc>
          <w:tcPr>
            <w:tcW w:w="1418" w:type="dxa"/>
            <w:shd w:val="clear" w:color="auto" w:fill="F2F2F2" w:themeFill="background1" w:themeFillShade="F2"/>
            <w:noWrap/>
            <w:vAlign w:val="bottom"/>
          </w:tcPr>
          <w:p w14:paraId="10D1765A" w14:textId="3164D541" w:rsidR="000E07C8" w:rsidRPr="005210C6" w:rsidRDefault="000E07C8" w:rsidP="000E07C8">
            <w:pPr>
              <w:spacing w:after="0" w:line="240" w:lineRule="exact"/>
              <w:ind w:right="57"/>
              <w:jc w:val="right"/>
              <w:rPr>
                <w:rFonts w:ascii="Montserrat" w:hAnsi="Montserrat"/>
                <w:sz w:val="14"/>
                <w:szCs w:val="14"/>
                <w:lang w:val="es-ES_tradnl"/>
              </w:rPr>
            </w:pPr>
            <w:r w:rsidRPr="009B0B86">
              <w:rPr>
                <w:rFonts w:ascii="Montserrat" w:eastAsia="Times New Roman" w:hAnsi="Montserrat" w:cs="Calibri"/>
                <w:sz w:val="13"/>
                <w:szCs w:val="13"/>
                <w:lang w:eastAsia="es-MX"/>
              </w:rPr>
              <w:t xml:space="preserve">     29,988,674,089 </w:t>
            </w:r>
          </w:p>
        </w:tc>
        <w:tc>
          <w:tcPr>
            <w:tcW w:w="1459" w:type="dxa"/>
            <w:shd w:val="clear" w:color="auto" w:fill="F2F2F2" w:themeFill="background1" w:themeFillShade="F2"/>
            <w:vAlign w:val="bottom"/>
          </w:tcPr>
          <w:p w14:paraId="4EB623D3" w14:textId="0455E5E0" w:rsidR="000E07C8" w:rsidRPr="005210C6" w:rsidRDefault="000E07C8" w:rsidP="000E07C8">
            <w:pPr>
              <w:spacing w:after="0" w:line="240" w:lineRule="exact"/>
              <w:ind w:right="57"/>
              <w:jc w:val="right"/>
              <w:rPr>
                <w:rFonts w:ascii="Montserrat" w:hAnsi="Montserrat"/>
                <w:sz w:val="14"/>
                <w:szCs w:val="14"/>
                <w:lang w:val="es-ES_tradnl"/>
              </w:rPr>
            </w:pPr>
            <w:r w:rsidRPr="009B0B86">
              <w:rPr>
                <w:rFonts w:ascii="Montserrat" w:eastAsia="Times New Roman" w:hAnsi="Montserrat" w:cs="Calibri"/>
                <w:sz w:val="13"/>
                <w:szCs w:val="13"/>
                <w:lang w:eastAsia="es-MX"/>
              </w:rPr>
              <w:t xml:space="preserve">   123,568,417,900 </w:t>
            </w:r>
          </w:p>
        </w:tc>
        <w:tc>
          <w:tcPr>
            <w:tcW w:w="1254" w:type="dxa"/>
            <w:shd w:val="clear" w:color="auto" w:fill="F2F2F2" w:themeFill="background1" w:themeFillShade="F2"/>
            <w:vAlign w:val="bottom"/>
          </w:tcPr>
          <w:p w14:paraId="3C893A48" w14:textId="6E606BE2" w:rsidR="000E07C8" w:rsidRPr="005210C6" w:rsidRDefault="000E07C8" w:rsidP="000E07C8">
            <w:pPr>
              <w:spacing w:after="0" w:line="240" w:lineRule="exact"/>
              <w:ind w:right="57"/>
              <w:jc w:val="right"/>
              <w:rPr>
                <w:rFonts w:ascii="Montserrat" w:hAnsi="Montserrat"/>
                <w:sz w:val="14"/>
                <w:szCs w:val="14"/>
                <w:lang w:val="es-ES_tradnl"/>
              </w:rPr>
            </w:pPr>
            <w:r w:rsidRPr="009B0B86">
              <w:rPr>
                <w:rFonts w:ascii="Montserrat" w:eastAsia="Times New Roman" w:hAnsi="Montserrat" w:cs="Calibri"/>
                <w:sz w:val="13"/>
                <w:szCs w:val="13"/>
                <w:lang w:eastAsia="es-MX"/>
              </w:rPr>
              <w:t xml:space="preserve"> 27,868,930,779 </w:t>
            </w:r>
          </w:p>
        </w:tc>
      </w:tr>
      <w:tr w:rsidR="000E07C8" w:rsidRPr="006F0DF1" w14:paraId="31DE10F4" w14:textId="77777777" w:rsidTr="0023764E">
        <w:trPr>
          <w:gridBefore w:val="2"/>
          <w:wBefore w:w="21" w:type="dxa"/>
          <w:trHeight w:val="215"/>
          <w:jc w:val="center"/>
        </w:trPr>
        <w:tc>
          <w:tcPr>
            <w:tcW w:w="1558" w:type="dxa"/>
            <w:shd w:val="clear" w:color="auto" w:fill="F2F2F2" w:themeFill="background1" w:themeFillShade="F2"/>
            <w:noWrap/>
            <w:vAlign w:val="bottom"/>
            <w:hideMark/>
          </w:tcPr>
          <w:p w14:paraId="12386D10" w14:textId="77777777" w:rsidR="000E07C8" w:rsidRPr="006F0DF1" w:rsidRDefault="000E07C8" w:rsidP="000E07C8">
            <w:pPr>
              <w:spacing w:after="0" w:line="240" w:lineRule="exact"/>
              <w:ind w:left="192"/>
              <w:rPr>
                <w:rFonts w:ascii="Montserrat" w:hAnsi="Montserrat"/>
                <w:sz w:val="14"/>
                <w:szCs w:val="14"/>
                <w:lang w:val="es-ES_tradnl"/>
              </w:rPr>
            </w:pPr>
            <w:r w:rsidRPr="006F0DF1">
              <w:rPr>
                <w:rFonts w:ascii="Montserrat" w:hAnsi="Montserrat"/>
                <w:sz w:val="14"/>
                <w:szCs w:val="14"/>
                <w:lang w:val="es-ES_tradnl"/>
              </w:rPr>
              <w:t>Bono Tasa Fija</w:t>
            </w:r>
          </w:p>
        </w:tc>
        <w:tc>
          <w:tcPr>
            <w:tcW w:w="1560" w:type="dxa"/>
            <w:shd w:val="clear" w:color="auto" w:fill="F2F2F2" w:themeFill="background1" w:themeFillShade="F2"/>
            <w:noWrap/>
            <w:vAlign w:val="bottom"/>
          </w:tcPr>
          <w:p w14:paraId="19BCB656" w14:textId="0417AF12" w:rsidR="000E07C8" w:rsidRPr="005210C6" w:rsidRDefault="000E07C8" w:rsidP="000E07C8">
            <w:pPr>
              <w:spacing w:after="0" w:line="240" w:lineRule="exact"/>
              <w:ind w:right="57"/>
              <w:jc w:val="right"/>
              <w:rPr>
                <w:rFonts w:ascii="Montserrat" w:hAnsi="Montserrat"/>
                <w:sz w:val="14"/>
                <w:szCs w:val="14"/>
                <w:lang w:val="es-ES_tradnl"/>
              </w:rPr>
            </w:pPr>
            <w:r w:rsidRPr="009B0B86">
              <w:rPr>
                <w:rFonts w:ascii="Montserrat" w:eastAsia="Times New Roman" w:hAnsi="Montserrat" w:cs="Calibri"/>
                <w:sz w:val="13"/>
                <w:szCs w:val="13"/>
                <w:lang w:eastAsia="es-MX"/>
              </w:rPr>
              <w:t xml:space="preserve">       3,209,129,140,500 </w:t>
            </w:r>
          </w:p>
        </w:tc>
        <w:tc>
          <w:tcPr>
            <w:tcW w:w="1559" w:type="dxa"/>
            <w:shd w:val="clear" w:color="auto" w:fill="F2F2F2" w:themeFill="background1" w:themeFillShade="F2"/>
            <w:noWrap/>
            <w:vAlign w:val="bottom"/>
          </w:tcPr>
          <w:p w14:paraId="77ABCB91" w14:textId="1BA403A8" w:rsidR="000E07C8" w:rsidRPr="005210C6" w:rsidRDefault="000E07C8" w:rsidP="000E07C8">
            <w:pPr>
              <w:spacing w:after="0" w:line="240" w:lineRule="exact"/>
              <w:ind w:right="57"/>
              <w:jc w:val="right"/>
              <w:rPr>
                <w:rFonts w:ascii="Montserrat" w:hAnsi="Montserrat"/>
                <w:sz w:val="14"/>
                <w:szCs w:val="14"/>
                <w:lang w:val="es-ES_tradnl"/>
              </w:rPr>
            </w:pPr>
            <w:r w:rsidRPr="009B0B86">
              <w:rPr>
                <w:rFonts w:ascii="Montserrat" w:eastAsia="Times New Roman" w:hAnsi="Montserrat" w:cs="Calibri"/>
                <w:sz w:val="13"/>
                <w:szCs w:val="13"/>
                <w:lang w:eastAsia="es-MX"/>
              </w:rPr>
              <w:t xml:space="preserve">        2,138,015,201,993 </w:t>
            </w:r>
          </w:p>
        </w:tc>
        <w:tc>
          <w:tcPr>
            <w:tcW w:w="1561" w:type="dxa"/>
            <w:shd w:val="clear" w:color="auto" w:fill="F2F2F2" w:themeFill="background1" w:themeFillShade="F2"/>
            <w:noWrap/>
            <w:vAlign w:val="bottom"/>
          </w:tcPr>
          <w:p w14:paraId="14AD8113" w14:textId="7E2D0DC2" w:rsidR="000E07C8" w:rsidRPr="005210C6" w:rsidRDefault="000E07C8" w:rsidP="000E07C8">
            <w:pPr>
              <w:spacing w:after="0" w:line="240" w:lineRule="exact"/>
              <w:ind w:right="57"/>
              <w:jc w:val="right"/>
              <w:rPr>
                <w:rFonts w:ascii="Montserrat" w:hAnsi="Montserrat"/>
                <w:sz w:val="14"/>
                <w:szCs w:val="14"/>
                <w:lang w:val="es-ES_tradnl"/>
              </w:rPr>
            </w:pPr>
            <w:r w:rsidRPr="009B0B86">
              <w:rPr>
                <w:rFonts w:ascii="Montserrat" w:eastAsia="Times New Roman" w:hAnsi="Montserrat" w:cs="Calibri"/>
                <w:sz w:val="13"/>
                <w:szCs w:val="13"/>
                <w:lang w:eastAsia="es-MX"/>
              </w:rPr>
              <w:t xml:space="preserve">      202,707,339,400 </w:t>
            </w:r>
          </w:p>
        </w:tc>
        <w:tc>
          <w:tcPr>
            <w:tcW w:w="1518" w:type="dxa"/>
            <w:shd w:val="clear" w:color="auto" w:fill="F2F2F2" w:themeFill="background1" w:themeFillShade="F2"/>
            <w:noWrap/>
            <w:vAlign w:val="bottom"/>
          </w:tcPr>
          <w:p w14:paraId="5F3D7211" w14:textId="2175C17E" w:rsidR="000E07C8" w:rsidRPr="005210C6" w:rsidRDefault="000E07C8" w:rsidP="000E07C8">
            <w:pPr>
              <w:spacing w:after="0" w:line="240" w:lineRule="exact"/>
              <w:ind w:right="57"/>
              <w:jc w:val="right"/>
              <w:rPr>
                <w:rFonts w:ascii="Montserrat" w:hAnsi="Montserrat"/>
                <w:sz w:val="14"/>
                <w:szCs w:val="14"/>
                <w:lang w:val="es-ES_tradnl"/>
              </w:rPr>
            </w:pPr>
            <w:r w:rsidRPr="009B0B86">
              <w:rPr>
                <w:rFonts w:ascii="Montserrat" w:eastAsia="Times New Roman" w:hAnsi="Montserrat" w:cs="Calibri"/>
                <w:sz w:val="13"/>
                <w:szCs w:val="13"/>
                <w:lang w:eastAsia="es-MX"/>
              </w:rPr>
              <w:t xml:space="preserve">     244,168,722,814 </w:t>
            </w:r>
          </w:p>
        </w:tc>
        <w:tc>
          <w:tcPr>
            <w:tcW w:w="1417" w:type="dxa"/>
            <w:shd w:val="clear" w:color="auto" w:fill="F2F2F2" w:themeFill="background1" w:themeFillShade="F2"/>
            <w:noWrap/>
            <w:vAlign w:val="bottom"/>
          </w:tcPr>
          <w:p w14:paraId="534DF0E8" w14:textId="3D8CB58C" w:rsidR="000E07C8" w:rsidRPr="005210C6" w:rsidRDefault="000E07C8" w:rsidP="000E07C8">
            <w:pPr>
              <w:spacing w:after="0" w:line="240" w:lineRule="exact"/>
              <w:ind w:right="57"/>
              <w:jc w:val="right"/>
              <w:rPr>
                <w:rFonts w:ascii="Montserrat" w:hAnsi="Montserrat"/>
                <w:sz w:val="14"/>
                <w:szCs w:val="14"/>
                <w:lang w:val="es-ES_tradnl"/>
              </w:rPr>
            </w:pPr>
            <w:r w:rsidRPr="009B0B86">
              <w:rPr>
                <w:rFonts w:ascii="Montserrat" w:eastAsia="Times New Roman" w:hAnsi="Montserrat" w:cs="Calibri"/>
                <w:sz w:val="13"/>
                <w:szCs w:val="13"/>
                <w:lang w:eastAsia="es-MX"/>
              </w:rPr>
              <w:t xml:space="preserve">     477,122,361,100 </w:t>
            </w:r>
          </w:p>
        </w:tc>
        <w:tc>
          <w:tcPr>
            <w:tcW w:w="1418" w:type="dxa"/>
            <w:shd w:val="clear" w:color="auto" w:fill="F2F2F2" w:themeFill="background1" w:themeFillShade="F2"/>
            <w:noWrap/>
            <w:vAlign w:val="bottom"/>
          </w:tcPr>
          <w:p w14:paraId="701FE259" w14:textId="5A1D8D3B" w:rsidR="000E07C8" w:rsidRPr="005210C6" w:rsidRDefault="000E07C8" w:rsidP="000E07C8">
            <w:pPr>
              <w:spacing w:after="0" w:line="240" w:lineRule="exact"/>
              <w:ind w:right="57"/>
              <w:jc w:val="right"/>
              <w:rPr>
                <w:rFonts w:ascii="Montserrat" w:hAnsi="Montserrat"/>
                <w:sz w:val="14"/>
                <w:szCs w:val="14"/>
                <w:lang w:val="es-ES_tradnl"/>
              </w:rPr>
            </w:pPr>
            <w:r w:rsidRPr="009B0B86">
              <w:rPr>
                <w:rFonts w:ascii="Montserrat" w:eastAsia="Times New Roman" w:hAnsi="Montserrat" w:cs="Calibri"/>
                <w:sz w:val="13"/>
                <w:szCs w:val="13"/>
                <w:lang w:eastAsia="es-MX"/>
              </w:rPr>
              <w:t xml:space="preserve">   227,334,627,141 </w:t>
            </w:r>
          </w:p>
        </w:tc>
        <w:tc>
          <w:tcPr>
            <w:tcW w:w="1459" w:type="dxa"/>
            <w:shd w:val="clear" w:color="auto" w:fill="F2F2F2" w:themeFill="background1" w:themeFillShade="F2"/>
            <w:vAlign w:val="bottom"/>
          </w:tcPr>
          <w:p w14:paraId="123B6A05" w14:textId="3ABFF450" w:rsidR="000E07C8" w:rsidRPr="005210C6" w:rsidRDefault="000E07C8" w:rsidP="000E07C8">
            <w:pPr>
              <w:spacing w:after="0" w:line="240" w:lineRule="exact"/>
              <w:ind w:right="57"/>
              <w:jc w:val="right"/>
              <w:rPr>
                <w:rFonts w:ascii="Montserrat" w:hAnsi="Montserrat"/>
                <w:sz w:val="14"/>
                <w:szCs w:val="14"/>
                <w:lang w:val="es-ES_tradnl"/>
              </w:rPr>
            </w:pPr>
            <w:r w:rsidRPr="009B0B86">
              <w:rPr>
                <w:rFonts w:ascii="Montserrat" w:eastAsia="Times New Roman" w:hAnsi="Montserrat" w:cs="Calibri"/>
                <w:sz w:val="13"/>
                <w:szCs w:val="13"/>
                <w:lang w:eastAsia="es-MX"/>
              </w:rPr>
              <w:t xml:space="preserve">   282,601,935,100 </w:t>
            </w:r>
          </w:p>
        </w:tc>
        <w:tc>
          <w:tcPr>
            <w:tcW w:w="1254" w:type="dxa"/>
            <w:shd w:val="clear" w:color="auto" w:fill="F2F2F2" w:themeFill="background1" w:themeFillShade="F2"/>
            <w:vAlign w:val="bottom"/>
          </w:tcPr>
          <w:p w14:paraId="0C5EF4B2" w14:textId="710C7FC5" w:rsidR="000E07C8" w:rsidRPr="005210C6" w:rsidRDefault="000E07C8" w:rsidP="000E07C8">
            <w:pPr>
              <w:spacing w:after="0" w:line="240" w:lineRule="exact"/>
              <w:ind w:right="57"/>
              <w:jc w:val="right"/>
              <w:rPr>
                <w:rFonts w:ascii="Montserrat" w:hAnsi="Montserrat"/>
                <w:sz w:val="14"/>
                <w:szCs w:val="14"/>
                <w:lang w:val="es-ES_tradnl"/>
              </w:rPr>
            </w:pPr>
            <w:r w:rsidRPr="009B0B86">
              <w:rPr>
                <w:rFonts w:ascii="Montserrat" w:eastAsia="Times New Roman" w:hAnsi="Montserrat" w:cs="Calibri"/>
                <w:sz w:val="13"/>
                <w:szCs w:val="13"/>
                <w:lang w:eastAsia="es-MX"/>
              </w:rPr>
              <w:t xml:space="preserve"> 192,942,428,923 </w:t>
            </w:r>
          </w:p>
        </w:tc>
      </w:tr>
      <w:tr w:rsidR="000E07C8" w:rsidRPr="006F0DF1" w14:paraId="5D96E76A" w14:textId="77777777" w:rsidTr="0023764E">
        <w:trPr>
          <w:gridBefore w:val="2"/>
          <w:wBefore w:w="21" w:type="dxa"/>
          <w:trHeight w:val="215"/>
          <w:jc w:val="center"/>
        </w:trPr>
        <w:tc>
          <w:tcPr>
            <w:tcW w:w="1558" w:type="dxa"/>
            <w:shd w:val="clear" w:color="auto" w:fill="F2F2F2" w:themeFill="background1" w:themeFillShade="F2"/>
            <w:noWrap/>
            <w:vAlign w:val="bottom"/>
            <w:hideMark/>
          </w:tcPr>
          <w:p w14:paraId="2F3D34A3" w14:textId="77777777" w:rsidR="000E07C8" w:rsidRPr="006F0DF1" w:rsidRDefault="000E07C8" w:rsidP="000E07C8">
            <w:pPr>
              <w:spacing w:after="0" w:line="240" w:lineRule="exact"/>
              <w:ind w:left="192"/>
              <w:rPr>
                <w:rFonts w:ascii="Montserrat" w:hAnsi="Montserrat"/>
                <w:sz w:val="14"/>
                <w:szCs w:val="14"/>
                <w:lang w:val="es-ES_tradnl"/>
              </w:rPr>
            </w:pPr>
            <w:r w:rsidRPr="006F0DF1">
              <w:rPr>
                <w:rFonts w:ascii="Montserrat" w:hAnsi="Montserrat"/>
                <w:sz w:val="14"/>
                <w:szCs w:val="14"/>
                <w:lang w:val="es-ES_tradnl"/>
              </w:rPr>
              <w:t>Udibonos</w:t>
            </w:r>
          </w:p>
        </w:tc>
        <w:tc>
          <w:tcPr>
            <w:tcW w:w="1560" w:type="dxa"/>
            <w:shd w:val="clear" w:color="auto" w:fill="F2F2F2" w:themeFill="background1" w:themeFillShade="F2"/>
            <w:noWrap/>
            <w:vAlign w:val="bottom"/>
          </w:tcPr>
          <w:p w14:paraId="5A191C71" w14:textId="078E9930" w:rsidR="000E07C8" w:rsidRPr="005210C6" w:rsidRDefault="000E07C8" w:rsidP="000E07C8">
            <w:pPr>
              <w:spacing w:after="0" w:line="240" w:lineRule="exact"/>
              <w:ind w:right="57"/>
              <w:jc w:val="right"/>
              <w:rPr>
                <w:rFonts w:ascii="Montserrat" w:hAnsi="Montserrat"/>
                <w:sz w:val="14"/>
                <w:szCs w:val="14"/>
                <w:lang w:val="es-ES_tradnl"/>
              </w:rPr>
            </w:pPr>
            <w:r w:rsidRPr="009B0B86">
              <w:rPr>
                <w:rFonts w:ascii="Montserrat" w:eastAsia="Times New Roman" w:hAnsi="Montserrat" w:cs="Calibri"/>
                <w:sz w:val="13"/>
                <w:szCs w:val="13"/>
                <w:lang w:eastAsia="es-MX"/>
              </w:rPr>
              <w:t xml:space="preserve">       1,737,764,006,996 </w:t>
            </w:r>
          </w:p>
        </w:tc>
        <w:tc>
          <w:tcPr>
            <w:tcW w:w="1559" w:type="dxa"/>
            <w:shd w:val="clear" w:color="auto" w:fill="F2F2F2" w:themeFill="background1" w:themeFillShade="F2"/>
            <w:noWrap/>
            <w:vAlign w:val="bottom"/>
          </w:tcPr>
          <w:p w14:paraId="106502FB" w14:textId="04977A38" w:rsidR="000E07C8" w:rsidRPr="005210C6" w:rsidRDefault="000E07C8" w:rsidP="000E07C8">
            <w:pPr>
              <w:spacing w:after="0" w:line="240" w:lineRule="exact"/>
              <w:ind w:right="57"/>
              <w:jc w:val="right"/>
              <w:rPr>
                <w:rFonts w:ascii="Montserrat" w:hAnsi="Montserrat"/>
                <w:sz w:val="14"/>
                <w:szCs w:val="14"/>
                <w:lang w:val="es-ES_tradnl"/>
              </w:rPr>
            </w:pPr>
            <w:r w:rsidRPr="009B0B86">
              <w:rPr>
                <w:rFonts w:ascii="Montserrat" w:eastAsia="Times New Roman" w:hAnsi="Montserrat" w:cs="Calibri"/>
                <w:sz w:val="13"/>
                <w:szCs w:val="13"/>
                <w:lang w:eastAsia="es-MX"/>
              </w:rPr>
              <w:t xml:space="preserve">         883,550,897,847 </w:t>
            </w:r>
          </w:p>
        </w:tc>
        <w:tc>
          <w:tcPr>
            <w:tcW w:w="1561" w:type="dxa"/>
            <w:shd w:val="clear" w:color="auto" w:fill="F2F2F2" w:themeFill="background1" w:themeFillShade="F2"/>
            <w:noWrap/>
            <w:vAlign w:val="bottom"/>
          </w:tcPr>
          <w:p w14:paraId="0E300831" w14:textId="4238572A" w:rsidR="000E07C8" w:rsidRPr="005210C6" w:rsidRDefault="000E07C8" w:rsidP="000E07C8">
            <w:pPr>
              <w:spacing w:after="0" w:line="240" w:lineRule="exact"/>
              <w:ind w:right="57"/>
              <w:jc w:val="right"/>
              <w:rPr>
                <w:rFonts w:ascii="Montserrat" w:hAnsi="Montserrat"/>
                <w:sz w:val="14"/>
                <w:szCs w:val="14"/>
                <w:lang w:val="es-ES_tradnl"/>
              </w:rPr>
            </w:pPr>
            <w:r w:rsidRPr="009B0B86">
              <w:rPr>
                <w:rFonts w:ascii="Montserrat" w:eastAsia="Times New Roman" w:hAnsi="Montserrat" w:cs="Calibri"/>
                <w:sz w:val="13"/>
                <w:szCs w:val="13"/>
                <w:lang w:eastAsia="es-MX"/>
              </w:rPr>
              <w:t xml:space="preserve">      187,648,213,228 </w:t>
            </w:r>
          </w:p>
        </w:tc>
        <w:tc>
          <w:tcPr>
            <w:tcW w:w="1518" w:type="dxa"/>
            <w:shd w:val="clear" w:color="auto" w:fill="F2F2F2" w:themeFill="background1" w:themeFillShade="F2"/>
            <w:noWrap/>
            <w:vAlign w:val="bottom"/>
          </w:tcPr>
          <w:p w14:paraId="63B6EB55" w14:textId="0674AF2B" w:rsidR="000E07C8" w:rsidRPr="005210C6" w:rsidRDefault="000E07C8" w:rsidP="000E07C8">
            <w:pPr>
              <w:spacing w:after="0" w:line="240" w:lineRule="exact"/>
              <w:ind w:right="57"/>
              <w:jc w:val="right"/>
              <w:rPr>
                <w:rFonts w:ascii="Montserrat" w:hAnsi="Montserrat"/>
                <w:sz w:val="14"/>
                <w:szCs w:val="14"/>
                <w:lang w:val="es-ES_tradnl"/>
              </w:rPr>
            </w:pPr>
            <w:r w:rsidRPr="009B0B86">
              <w:rPr>
                <w:rFonts w:ascii="Montserrat" w:eastAsia="Times New Roman" w:hAnsi="Montserrat" w:cs="Calibri"/>
                <w:sz w:val="13"/>
                <w:szCs w:val="13"/>
                <w:lang w:eastAsia="es-MX"/>
              </w:rPr>
              <w:t xml:space="preserve">       63,852,239,934 </w:t>
            </w:r>
          </w:p>
        </w:tc>
        <w:tc>
          <w:tcPr>
            <w:tcW w:w="1417" w:type="dxa"/>
            <w:shd w:val="clear" w:color="auto" w:fill="F2F2F2" w:themeFill="background1" w:themeFillShade="F2"/>
            <w:noWrap/>
            <w:vAlign w:val="bottom"/>
          </w:tcPr>
          <w:p w14:paraId="7B6F0A2C" w14:textId="4570ADFB" w:rsidR="000E07C8" w:rsidRPr="005210C6" w:rsidRDefault="000E07C8">
            <w:pPr>
              <w:spacing w:after="0" w:line="240" w:lineRule="exact"/>
              <w:ind w:right="57"/>
              <w:jc w:val="right"/>
              <w:rPr>
                <w:rFonts w:ascii="Montserrat" w:hAnsi="Montserrat"/>
                <w:sz w:val="14"/>
                <w:szCs w:val="14"/>
                <w:lang w:val="es-ES_tradnl"/>
              </w:rPr>
            </w:pPr>
            <w:r w:rsidRPr="009B0B86">
              <w:rPr>
                <w:rFonts w:ascii="Montserrat" w:eastAsia="Times New Roman" w:hAnsi="Montserrat" w:cs="Calibri"/>
                <w:sz w:val="13"/>
                <w:szCs w:val="13"/>
                <w:lang w:eastAsia="es-MX"/>
              </w:rPr>
              <w:t xml:space="preserve">                              </w:t>
            </w:r>
            <w:r w:rsidR="00C17F65">
              <w:rPr>
                <w:rFonts w:ascii="Montserrat" w:eastAsia="Times New Roman" w:hAnsi="Montserrat" w:cs="Calibri"/>
                <w:sz w:val="13"/>
                <w:szCs w:val="13"/>
                <w:lang w:eastAsia="es-MX"/>
              </w:rPr>
              <w:t>0</w:t>
            </w:r>
            <w:r w:rsidRPr="009B0B86">
              <w:rPr>
                <w:rFonts w:ascii="Montserrat" w:eastAsia="Times New Roman" w:hAnsi="Montserrat" w:cs="Calibri"/>
                <w:sz w:val="13"/>
                <w:szCs w:val="13"/>
                <w:lang w:eastAsia="es-MX"/>
              </w:rPr>
              <w:t xml:space="preserve">   </w:t>
            </w:r>
          </w:p>
        </w:tc>
        <w:tc>
          <w:tcPr>
            <w:tcW w:w="1418" w:type="dxa"/>
            <w:shd w:val="clear" w:color="auto" w:fill="F2F2F2" w:themeFill="background1" w:themeFillShade="F2"/>
            <w:noWrap/>
            <w:vAlign w:val="bottom"/>
          </w:tcPr>
          <w:p w14:paraId="6DE62235" w14:textId="0ECF5A37" w:rsidR="000E07C8" w:rsidRPr="005210C6" w:rsidRDefault="000E07C8" w:rsidP="000E07C8">
            <w:pPr>
              <w:spacing w:after="0" w:line="240" w:lineRule="exact"/>
              <w:ind w:right="57"/>
              <w:jc w:val="right"/>
              <w:rPr>
                <w:rFonts w:ascii="Montserrat" w:hAnsi="Montserrat"/>
                <w:sz w:val="14"/>
                <w:szCs w:val="14"/>
                <w:lang w:val="es-ES_tradnl"/>
              </w:rPr>
            </w:pPr>
            <w:r w:rsidRPr="009B0B86">
              <w:rPr>
                <w:rFonts w:ascii="Montserrat" w:eastAsia="Times New Roman" w:hAnsi="Montserrat" w:cs="Calibri"/>
                <w:sz w:val="13"/>
                <w:szCs w:val="13"/>
                <w:lang w:eastAsia="es-MX"/>
              </w:rPr>
              <w:t xml:space="preserve">     58,933,972,457 </w:t>
            </w:r>
          </w:p>
        </w:tc>
        <w:tc>
          <w:tcPr>
            <w:tcW w:w="1459" w:type="dxa"/>
            <w:shd w:val="clear" w:color="auto" w:fill="F2F2F2" w:themeFill="background1" w:themeFillShade="F2"/>
            <w:vAlign w:val="bottom"/>
          </w:tcPr>
          <w:p w14:paraId="30BB3E92" w14:textId="43C4B643" w:rsidR="000E07C8" w:rsidRPr="005210C6" w:rsidRDefault="000E07C8" w:rsidP="000E07C8">
            <w:pPr>
              <w:spacing w:after="0" w:line="240" w:lineRule="exact"/>
              <w:ind w:right="57"/>
              <w:jc w:val="right"/>
              <w:rPr>
                <w:rFonts w:ascii="Montserrat" w:hAnsi="Montserrat"/>
                <w:sz w:val="14"/>
                <w:szCs w:val="14"/>
                <w:lang w:val="es-ES_tradnl"/>
              </w:rPr>
            </w:pPr>
            <w:r w:rsidRPr="009B0B86">
              <w:rPr>
                <w:rFonts w:ascii="Montserrat" w:eastAsia="Times New Roman" w:hAnsi="Montserrat" w:cs="Calibri"/>
                <w:sz w:val="13"/>
                <w:szCs w:val="13"/>
                <w:lang w:eastAsia="es-MX"/>
              </w:rPr>
              <w:t xml:space="preserve">   294,528,964,477 </w:t>
            </w:r>
          </w:p>
        </w:tc>
        <w:tc>
          <w:tcPr>
            <w:tcW w:w="1254" w:type="dxa"/>
            <w:shd w:val="clear" w:color="auto" w:fill="F2F2F2" w:themeFill="background1" w:themeFillShade="F2"/>
            <w:vAlign w:val="bottom"/>
          </w:tcPr>
          <w:p w14:paraId="1A5C2F7F" w14:textId="6C9110B6" w:rsidR="000E07C8" w:rsidRPr="005210C6" w:rsidRDefault="000E07C8" w:rsidP="000E07C8">
            <w:pPr>
              <w:spacing w:after="0" w:line="240" w:lineRule="exact"/>
              <w:ind w:right="57"/>
              <w:jc w:val="right"/>
              <w:rPr>
                <w:rFonts w:ascii="Montserrat" w:hAnsi="Montserrat"/>
                <w:sz w:val="14"/>
                <w:szCs w:val="14"/>
                <w:lang w:val="es-ES_tradnl"/>
              </w:rPr>
            </w:pPr>
            <w:r w:rsidRPr="009B0B86">
              <w:rPr>
                <w:rFonts w:ascii="Montserrat" w:eastAsia="Times New Roman" w:hAnsi="Montserrat" w:cs="Calibri"/>
                <w:sz w:val="13"/>
                <w:szCs w:val="13"/>
                <w:lang w:eastAsia="es-MX"/>
              </w:rPr>
              <w:t xml:space="preserve">     55,955,957,371 </w:t>
            </w:r>
          </w:p>
        </w:tc>
      </w:tr>
      <w:tr w:rsidR="000E07C8" w:rsidRPr="006F0DF1" w14:paraId="02C97D35" w14:textId="77777777" w:rsidTr="000F0321">
        <w:trPr>
          <w:gridBefore w:val="2"/>
          <w:wBefore w:w="21" w:type="dxa"/>
          <w:trHeight w:val="240"/>
          <w:jc w:val="center"/>
        </w:trPr>
        <w:tc>
          <w:tcPr>
            <w:tcW w:w="1558" w:type="dxa"/>
            <w:shd w:val="clear" w:color="auto" w:fill="F2F2F2" w:themeFill="background1" w:themeFillShade="F2"/>
            <w:noWrap/>
            <w:vAlign w:val="bottom"/>
            <w:hideMark/>
          </w:tcPr>
          <w:p w14:paraId="0138A3E7" w14:textId="77777777" w:rsidR="000E07C8" w:rsidRPr="006F0DF1" w:rsidRDefault="000E07C8" w:rsidP="000E07C8">
            <w:pPr>
              <w:spacing w:after="0" w:line="240" w:lineRule="exact"/>
              <w:ind w:left="192"/>
              <w:rPr>
                <w:rFonts w:ascii="Montserrat" w:hAnsi="Montserrat"/>
                <w:sz w:val="14"/>
                <w:szCs w:val="14"/>
                <w:lang w:val="es-ES_tradnl"/>
              </w:rPr>
            </w:pPr>
            <w:r>
              <w:rPr>
                <w:rFonts w:ascii="Montserrat" w:hAnsi="Montserrat"/>
                <w:sz w:val="14"/>
                <w:szCs w:val="14"/>
                <w:lang w:val="es-ES_tradnl"/>
              </w:rPr>
              <w:t xml:space="preserve">Udibonos </w:t>
            </w:r>
            <w:r w:rsidRPr="006F0DF1">
              <w:rPr>
                <w:rFonts w:ascii="Montserrat" w:hAnsi="Montserrat"/>
                <w:sz w:val="14"/>
                <w:szCs w:val="14"/>
                <w:lang w:val="es-ES_tradnl"/>
              </w:rPr>
              <w:t>Segregado</w:t>
            </w:r>
          </w:p>
        </w:tc>
        <w:tc>
          <w:tcPr>
            <w:tcW w:w="1560" w:type="dxa"/>
            <w:shd w:val="clear" w:color="auto" w:fill="F2F2F2" w:themeFill="background1" w:themeFillShade="F2"/>
            <w:noWrap/>
            <w:vAlign w:val="center"/>
          </w:tcPr>
          <w:p w14:paraId="74F498F3" w14:textId="143B174C" w:rsidR="000E07C8" w:rsidRPr="005210C6" w:rsidRDefault="000E07C8" w:rsidP="000E07C8">
            <w:pPr>
              <w:spacing w:after="0" w:line="240" w:lineRule="exact"/>
              <w:ind w:right="57"/>
              <w:jc w:val="right"/>
              <w:rPr>
                <w:rFonts w:ascii="Montserrat" w:hAnsi="Montserrat"/>
                <w:sz w:val="14"/>
                <w:szCs w:val="14"/>
                <w:lang w:val="es-ES_tradnl"/>
              </w:rPr>
            </w:pPr>
            <w:r w:rsidRPr="009B0B86">
              <w:rPr>
                <w:rFonts w:ascii="Montserrat" w:eastAsia="Times New Roman" w:hAnsi="Montserrat" w:cs="Calibri"/>
                <w:sz w:val="13"/>
                <w:szCs w:val="13"/>
                <w:lang w:eastAsia="es-MX"/>
              </w:rPr>
              <w:t xml:space="preserve">            8,032,886,825 </w:t>
            </w:r>
          </w:p>
        </w:tc>
        <w:tc>
          <w:tcPr>
            <w:tcW w:w="1559" w:type="dxa"/>
            <w:shd w:val="clear" w:color="auto" w:fill="F2F2F2" w:themeFill="background1" w:themeFillShade="F2"/>
            <w:noWrap/>
            <w:vAlign w:val="center"/>
          </w:tcPr>
          <w:p w14:paraId="669C9FC8" w14:textId="39F977C8" w:rsidR="000E07C8" w:rsidRPr="005210C6" w:rsidRDefault="000E07C8" w:rsidP="000E07C8">
            <w:pPr>
              <w:spacing w:after="0" w:line="240" w:lineRule="exact"/>
              <w:ind w:right="57"/>
              <w:jc w:val="right"/>
              <w:rPr>
                <w:rFonts w:ascii="Montserrat" w:hAnsi="Montserrat"/>
                <w:sz w:val="14"/>
                <w:szCs w:val="14"/>
                <w:lang w:val="es-ES_tradnl"/>
              </w:rPr>
            </w:pPr>
            <w:r w:rsidRPr="009B0B86">
              <w:rPr>
                <w:rFonts w:ascii="Montserrat" w:eastAsia="Times New Roman" w:hAnsi="Montserrat" w:cs="Calibri"/>
                <w:sz w:val="13"/>
                <w:szCs w:val="13"/>
                <w:lang w:eastAsia="es-MX"/>
              </w:rPr>
              <w:t xml:space="preserve">            12,783,466,385 </w:t>
            </w:r>
          </w:p>
        </w:tc>
        <w:tc>
          <w:tcPr>
            <w:tcW w:w="1561" w:type="dxa"/>
            <w:shd w:val="clear" w:color="auto" w:fill="F2F2F2" w:themeFill="background1" w:themeFillShade="F2"/>
            <w:noWrap/>
            <w:vAlign w:val="center"/>
          </w:tcPr>
          <w:p w14:paraId="21AAAAA1" w14:textId="3274FDD6" w:rsidR="000E07C8" w:rsidRPr="005210C6" w:rsidRDefault="000E07C8" w:rsidP="000E07C8">
            <w:pPr>
              <w:spacing w:after="0" w:line="240" w:lineRule="exact"/>
              <w:ind w:right="57"/>
              <w:jc w:val="right"/>
              <w:rPr>
                <w:rFonts w:ascii="Montserrat" w:hAnsi="Montserrat"/>
                <w:sz w:val="14"/>
                <w:szCs w:val="14"/>
                <w:lang w:val="es-ES_tradnl"/>
              </w:rPr>
            </w:pPr>
            <w:r w:rsidRPr="009B0B86">
              <w:rPr>
                <w:rFonts w:ascii="Montserrat" w:eastAsia="Times New Roman" w:hAnsi="Montserrat" w:cs="Calibri"/>
                <w:sz w:val="13"/>
                <w:szCs w:val="13"/>
                <w:lang w:eastAsia="es-MX"/>
              </w:rPr>
              <w:t xml:space="preserve">                 81,252,484 </w:t>
            </w:r>
          </w:p>
        </w:tc>
        <w:tc>
          <w:tcPr>
            <w:tcW w:w="1518" w:type="dxa"/>
            <w:shd w:val="clear" w:color="auto" w:fill="F2F2F2" w:themeFill="background1" w:themeFillShade="F2"/>
            <w:noWrap/>
            <w:vAlign w:val="center"/>
          </w:tcPr>
          <w:p w14:paraId="2B609657" w14:textId="4D3ACDD6" w:rsidR="000E07C8" w:rsidRPr="005210C6" w:rsidRDefault="000E07C8" w:rsidP="000E07C8">
            <w:pPr>
              <w:spacing w:after="0" w:line="240" w:lineRule="exact"/>
              <w:ind w:right="57"/>
              <w:jc w:val="right"/>
              <w:rPr>
                <w:rFonts w:ascii="Montserrat" w:hAnsi="Montserrat"/>
                <w:sz w:val="14"/>
                <w:szCs w:val="14"/>
                <w:lang w:val="es-ES_tradnl"/>
              </w:rPr>
            </w:pPr>
            <w:r w:rsidRPr="009B0B86">
              <w:rPr>
                <w:rFonts w:ascii="Montserrat" w:eastAsia="Times New Roman" w:hAnsi="Montserrat" w:cs="Calibri"/>
                <w:sz w:val="13"/>
                <w:szCs w:val="13"/>
                <w:lang w:eastAsia="es-MX"/>
              </w:rPr>
              <w:t xml:space="preserve">                 9,300,340 </w:t>
            </w:r>
          </w:p>
        </w:tc>
        <w:tc>
          <w:tcPr>
            <w:tcW w:w="1417" w:type="dxa"/>
            <w:shd w:val="clear" w:color="auto" w:fill="F2F2F2" w:themeFill="background1" w:themeFillShade="F2"/>
            <w:noWrap/>
            <w:vAlign w:val="center"/>
          </w:tcPr>
          <w:p w14:paraId="337455C2" w14:textId="63F77570" w:rsidR="000E07C8" w:rsidRPr="005210C6" w:rsidRDefault="000E07C8" w:rsidP="000E07C8">
            <w:pPr>
              <w:spacing w:after="0" w:line="240" w:lineRule="exact"/>
              <w:ind w:right="57"/>
              <w:jc w:val="right"/>
              <w:rPr>
                <w:rFonts w:ascii="Montserrat" w:hAnsi="Montserrat"/>
                <w:sz w:val="14"/>
                <w:szCs w:val="14"/>
                <w:lang w:val="es-ES_tradnl"/>
              </w:rPr>
            </w:pPr>
            <w:r w:rsidRPr="009B0B86">
              <w:rPr>
                <w:rFonts w:ascii="Montserrat" w:eastAsia="Times New Roman" w:hAnsi="Montserrat" w:cs="Calibri"/>
                <w:sz w:val="13"/>
                <w:szCs w:val="13"/>
                <w:lang w:eastAsia="es-MX"/>
              </w:rPr>
              <w:t xml:space="preserve">               79,106,234 </w:t>
            </w:r>
          </w:p>
        </w:tc>
        <w:tc>
          <w:tcPr>
            <w:tcW w:w="1418" w:type="dxa"/>
            <w:shd w:val="clear" w:color="auto" w:fill="F2F2F2" w:themeFill="background1" w:themeFillShade="F2"/>
            <w:noWrap/>
            <w:vAlign w:val="center"/>
          </w:tcPr>
          <w:p w14:paraId="110AB844" w14:textId="27613CB4" w:rsidR="000E07C8" w:rsidRPr="005210C6" w:rsidRDefault="000E07C8" w:rsidP="000E07C8">
            <w:pPr>
              <w:spacing w:after="0" w:line="240" w:lineRule="exact"/>
              <w:ind w:right="57"/>
              <w:jc w:val="right"/>
              <w:rPr>
                <w:rFonts w:ascii="Montserrat" w:hAnsi="Montserrat"/>
                <w:sz w:val="14"/>
                <w:szCs w:val="14"/>
                <w:lang w:val="es-ES_tradnl"/>
              </w:rPr>
            </w:pPr>
            <w:r w:rsidRPr="009B0B86">
              <w:rPr>
                <w:rFonts w:ascii="Montserrat" w:eastAsia="Times New Roman" w:hAnsi="Montserrat" w:cs="Calibri"/>
                <w:sz w:val="13"/>
                <w:szCs w:val="13"/>
                <w:lang w:eastAsia="es-MX"/>
              </w:rPr>
              <w:t xml:space="preserve">             11,198,497 </w:t>
            </w:r>
          </w:p>
        </w:tc>
        <w:tc>
          <w:tcPr>
            <w:tcW w:w="1459" w:type="dxa"/>
            <w:shd w:val="clear" w:color="auto" w:fill="F2F2F2" w:themeFill="background1" w:themeFillShade="F2"/>
            <w:vAlign w:val="center"/>
          </w:tcPr>
          <w:p w14:paraId="634BB270" w14:textId="58629843" w:rsidR="000E07C8" w:rsidRPr="005210C6" w:rsidRDefault="000E07C8" w:rsidP="000E07C8">
            <w:pPr>
              <w:spacing w:after="0" w:line="240" w:lineRule="exact"/>
              <w:ind w:right="57"/>
              <w:jc w:val="right"/>
              <w:rPr>
                <w:rFonts w:ascii="Montserrat" w:hAnsi="Montserrat"/>
                <w:sz w:val="14"/>
                <w:szCs w:val="14"/>
                <w:lang w:val="es-ES_tradnl"/>
              </w:rPr>
            </w:pPr>
            <w:r w:rsidRPr="009B0B86">
              <w:rPr>
                <w:rFonts w:ascii="Montserrat" w:eastAsia="Times New Roman" w:hAnsi="Montserrat" w:cs="Calibri"/>
                <w:sz w:val="13"/>
                <w:szCs w:val="13"/>
                <w:lang w:eastAsia="es-MX"/>
              </w:rPr>
              <w:t xml:space="preserve">             77,037,509 </w:t>
            </w:r>
          </w:p>
        </w:tc>
        <w:tc>
          <w:tcPr>
            <w:tcW w:w="1254" w:type="dxa"/>
            <w:shd w:val="clear" w:color="auto" w:fill="F2F2F2" w:themeFill="background1" w:themeFillShade="F2"/>
            <w:vAlign w:val="center"/>
          </w:tcPr>
          <w:p w14:paraId="6A095331" w14:textId="59781822" w:rsidR="000E07C8" w:rsidRPr="005210C6" w:rsidRDefault="000E07C8" w:rsidP="000E07C8">
            <w:pPr>
              <w:spacing w:after="0" w:line="240" w:lineRule="exact"/>
              <w:ind w:right="57"/>
              <w:jc w:val="right"/>
              <w:rPr>
                <w:rFonts w:ascii="Montserrat" w:hAnsi="Montserrat"/>
                <w:sz w:val="14"/>
                <w:szCs w:val="14"/>
                <w:lang w:val="es-ES_tradnl"/>
              </w:rPr>
            </w:pPr>
            <w:r w:rsidRPr="009B0B86">
              <w:rPr>
                <w:rFonts w:ascii="Montserrat" w:eastAsia="Times New Roman" w:hAnsi="Montserrat" w:cs="Calibri"/>
                <w:sz w:val="13"/>
                <w:szCs w:val="13"/>
                <w:lang w:eastAsia="es-MX"/>
              </w:rPr>
              <w:t xml:space="preserve">          13,267,225 </w:t>
            </w:r>
          </w:p>
        </w:tc>
      </w:tr>
      <w:tr w:rsidR="00C17F65" w:rsidRPr="006F0DF1" w14:paraId="53E09ED1" w14:textId="77777777" w:rsidTr="000F0321">
        <w:trPr>
          <w:gridBefore w:val="2"/>
          <w:wBefore w:w="21" w:type="dxa"/>
          <w:trHeight w:val="240"/>
          <w:jc w:val="center"/>
        </w:trPr>
        <w:tc>
          <w:tcPr>
            <w:tcW w:w="1558" w:type="dxa"/>
            <w:shd w:val="clear" w:color="auto" w:fill="F2F2F2" w:themeFill="background1" w:themeFillShade="F2"/>
            <w:noWrap/>
            <w:vAlign w:val="bottom"/>
            <w:hideMark/>
          </w:tcPr>
          <w:p w14:paraId="06D51E25" w14:textId="77777777" w:rsidR="00C17F65" w:rsidRPr="006F0DF1" w:rsidRDefault="00C17F65" w:rsidP="00C17F65">
            <w:pPr>
              <w:spacing w:after="0" w:line="240" w:lineRule="exact"/>
              <w:rPr>
                <w:rFonts w:ascii="Montserrat" w:hAnsi="Montserrat"/>
                <w:b/>
                <w:bCs/>
                <w:sz w:val="14"/>
                <w:szCs w:val="14"/>
                <w:lang w:val="es-ES_tradnl"/>
              </w:rPr>
            </w:pPr>
            <w:r w:rsidRPr="006F0DF1">
              <w:rPr>
                <w:rFonts w:ascii="Montserrat" w:hAnsi="Montserrat"/>
                <w:b/>
                <w:bCs/>
                <w:sz w:val="14"/>
                <w:szCs w:val="14"/>
                <w:lang w:val="es-ES_tradnl"/>
              </w:rPr>
              <w:t>Bca de Fomento y Desarrollo</w:t>
            </w:r>
          </w:p>
        </w:tc>
        <w:tc>
          <w:tcPr>
            <w:tcW w:w="1560" w:type="dxa"/>
            <w:shd w:val="clear" w:color="auto" w:fill="F2F2F2" w:themeFill="background1" w:themeFillShade="F2"/>
            <w:noWrap/>
            <w:vAlign w:val="center"/>
          </w:tcPr>
          <w:p w14:paraId="38F21449" w14:textId="6F42A95D" w:rsidR="00C17F65" w:rsidRPr="00C17F65" w:rsidRDefault="00C17F65" w:rsidP="00C17F65">
            <w:pPr>
              <w:spacing w:after="0"/>
              <w:jc w:val="right"/>
              <w:rPr>
                <w:rFonts w:ascii="Montserrat" w:hAnsi="Montserrat"/>
                <w:b/>
                <w:sz w:val="14"/>
                <w:szCs w:val="14"/>
                <w:lang w:val="es-ES_tradnl"/>
              </w:rPr>
            </w:pPr>
            <w:r w:rsidRPr="000F0321">
              <w:rPr>
                <w:rFonts w:ascii="Montserrat" w:eastAsia="Times New Roman" w:hAnsi="Montserrat" w:cs="Calibri"/>
                <w:b/>
                <w:sz w:val="13"/>
                <w:szCs w:val="13"/>
                <w:lang w:eastAsia="es-MX"/>
              </w:rPr>
              <w:t xml:space="preserve">           18,782,995,974 </w:t>
            </w:r>
          </w:p>
        </w:tc>
        <w:tc>
          <w:tcPr>
            <w:tcW w:w="1559" w:type="dxa"/>
            <w:shd w:val="clear" w:color="auto" w:fill="F2F2F2" w:themeFill="background1" w:themeFillShade="F2"/>
            <w:noWrap/>
            <w:vAlign w:val="center"/>
          </w:tcPr>
          <w:p w14:paraId="3A0110BF" w14:textId="6B684CE5" w:rsidR="00C17F65" w:rsidRPr="00C17F65" w:rsidRDefault="00C17F65" w:rsidP="00C17F65">
            <w:pPr>
              <w:spacing w:after="0"/>
              <w:jc w:val="right"/>
              <w:rPr>
                <w:rFonts w:ascii="Montserrat" w:hAnsi="Montserrat"/>
                <w:b/>
                <w:sz w:val="14"/>
                <w:szCs w:val="14"/>
                <w:lang w:val="es-ES_tradnl"/>
              </w:rPr>
            </w:pPr>
            <w:r w:rsidRPr="000F0321">
              <w:rPr>
                <w:rFonts w:ascii="Montserrat" w:eastAsia="Times New Roman" w:hAnsi="Montserrat" w:cs="Calibri"/>
                <w:b/>
                <w:sz w:val="13"/>
                <w:szCs w:val="13"/>
                <w:lang w:eastAsia="es-MX"/>
              </w:rPr>
              <w:t xml:space="preserve">           7,906,004,208 </w:t>
            </w:r>
          </w:p>
        </w:tc>
        <w:tc>
          <w:tcPr>
            <w:tcW w:w="1561" w:type="dxa"/>
            <w:shd w:val="clear" w:color="auto" w:fill="F2F2F2" w:themeFill="background1" w:themeFillShade="F2"/>
            <w:noWrap/>
            <w:vAlign w:val="center"/>
          </w:tcPr>
          <w:p w14:paraId="55EC50F1" w14:textId="1B5ACDA0" w:rsidR="00C17F65" w:rsidRPr="00C17F65" w:rsidRDefault="00C17F65" w:rsidP="00C17F65">
            <w:pPr>
              <w:spacing w:after="0"/>
              <w:jc w:val="right"/>
              <w:rPr>
                <w:rFonts w:ascii="Montserrat" w:hAnsi="Montserrat"/>
                <w:b/>
                <w:sz w:val="14"/>
                <w:szCs w:val="14"/>
                <w:lang w:val="es-ES_tradnl"/>
              </w:rPr>
            </w:pPr>
            <w:r w:rsidRPr="000F0321">
              <w:rPr>
                <w:rFonts w:ascii="Montserrat" w:eastAsia="Times New Roman" w:hAnsi="Montserrat" w:cs="Calibri"/>
                <w:b/>
                <w:sz w:val="13"/>
                <w:szCs w:val="13"/>
                <w:lang w:eastAsia="es-MX"/>
              </w:rPr>
              <w:t xml:space="preserve">           1,613,475,890 </w:t>
            </w:r>
          </w:p>
        </w:tc>
        <w:tc>
          <w:tcPr>
            <w:tcW w:w="1518" w:type="dxa"/>
            <w:shd w:val="clear" w:color="auto" w:fill="F2F2F2" w:themeFill="background1" w:themeFillShade="F2"/>
            <w:noWrap/>
            <w:vAlign w:val="center"/>
          </w:tcPr>
          <w:p w14:paraId="65EA1A6B" w14:textId="058F4447" w:rsidR="00C17F65" w:rsidRPr="00C17F65" w:rsidRDefault="00C17F65" w:rsidP="00C17F65">
            <w:pPr>
              <w:spacing w:after="0"/>
              <w:jc w:val="right"/>
              <w:rPr>
                <w:rFonts w:ascii="Montserrat" w:hAnsi="Montserrat"/>
                <w:b/>
                <w:sz w:val="14"/>
                <w:szCs w:val="14"/>
                <w:lang w:val="es-ES_tradnl"/>
              </w:rPr>
            </w:pPr>
            <w:r w:rsidRPr="000F0321">
              <w:rPr>
                <w:rFonts w:ascii="Montserrat" w:eastAsia="Times New Roman" w:hAnsi="Montserrat" w:cs="Calibri"/>
                <w:b/>
                <w:sz w:val="13"/>
                <w:szCs w:val="13"/>
                <w:lang w:eastAsia="es-MX"/>
              </w:rPr>
              <w:t xml:space="preserve">             742,112,543 </w:t>
            </w:r>
          </w:p>
        </w:tc>
        <w:tc>
          <w:tcPr>
            <w:tcW w:w="1417" w:type="dxa"/>
            <w:shd w:val="clear" w:color="auto" w:fill="F2F2F2" w:themeFill="background1" w:themeFillShade="F2"/>
            <w:noWrap/>
            <w:vAlign w:val="center"/>
          </w:tcPr>
          <w:p w14:paraId="61047826" w14:textId="643B0067" w:rsidR="00C17F65" w:rsidRPr="00C17F65" w:rsidRDefault="00C17F65" w:rsidP="00C17F65">
            <w:pPr>
              <w:spacing w:after="0"/>
              <w:jc w:val="right"/>
              <w:rPr>
                <w:rFonts w:ascii="Montserrat" w:hAnsi="Montserrat"/>
                <w:b/>
                <w:sz w:val="14"/>
                <w:szCs w:val="14"/>
                <w:lang w:val="es-ES_tradnl"/>
              </w:rPr>
            </w:pPr>
            <w:r w:rsidRPr="000F0321">
              <w:rPr>
                <w:rFonts w:ascii="Montserrat" w:eastAsia="Times New Roman" w:hAnsi="Montserrat" w:cs="Calibri"/>
                <w:b/>
                <w:sz w:val="13"/>
                <w:szCs w:val="13"/>
                <w:lang w:eastAsia="es-MX"/>
              </w:rPr>
              <w:t xml:space="preserve">          804,384,066 </w:t>
            </w:r>
          </w:p>
        </w:tc>
        <w:tc>
          <w:tcPr>
            <w:tcW w:w="1418" w:type="dxa"/>
            <w:shd w:val="clear" w:color="auto" w:fill="F2F2F2" w:themeFill="background1" w:themeFillShade="F2"/>
            <w:noWrap/>
            <w:vAlign w:val="center"/>
          </w:tcPr>
          <w:p w14:paraId="03823E9F" w14:textId="468B5A7E" w:rsidR="00C17F65" w:rsidRPr="00C17F65" w:rsidRDefault="00C17F65" w:rsidP="00C17F65">
            <w:pPr>
              <w:spacing w:after="0"/>
              <w:jc w:val="right"/>
              <w:rPr>
                <w:rFonts w:ascii="Montserrat" w:hAnsi="Montserrat"/>
                <w:b/>
                <w:sz w:val="14"/>
                <w:szCs w:val="14"/>
                <w:lang w:val="es-ES_tradnl"/>
              </w:rPr>
            </w:pPr>
            <w:r w:rsidRPr="000F0321">
              <w:rPr>
                <w:rFonts w:ascii="Montserrat" w:eastAsia="Times New Roman" w:hAnsi="Montserrat" w:cs="Calibri"/>
                <w:b/>
                <w:sz w:val="13"/>
                <w:szCs w:val="13"/>
                <w:lang w:eastAsia="es-MX"/>
              </w:rPr>
              <w:t xml:space="preserve">           694,285,669 </w:t>
            </w:r>
          </w:p>
        </w:tc>
        <w:tc>
          <w:tcPr>
            <w:tcW w:w="1459" w:type="dxa"/>
            <w:shd w:val="clear" w:color="auto" w:fill="F2F2F2" w:themeFill="background1" w:themeFillShade="F2"/>
            <w:vAlign w:val="center"/>
          </w:tcPr>
          <w:p w14:paraId="36A9140F" w14:textId="6B1B5CE7" w:rsidR="00C17F65" w:rsidRPr="00C17F65" w:rsidRDefault="00C17F65" w:rsidP="00C17F65">
            <w:pPr>
              <w:spacing w:after="0"/>
              <w:jc w:val="right"/>
              <w:rPr>
                <w:rFonts w:ascii="Montserrat" w:hAnsi="Montserrat"/>
                <w:b/>
                <w:sz w:val="14"/>
                <w:szCs w:val="14"/>
                <w:lang w:val="es-ES_tradnl"/>
              </w:rPr>
            </w:pPr>
            <w:r w:rsidRPr="000F0321">
              <w:rPr>
                <w:rFonts w:ascii="Montserrat" w:eastAsia="Times New Roman" w:hAnsi="Montserrat" w:cs="Calibri"/>
                <w:b/>
                <w:sz w:val="13"/>
                <w:szCs w:val="13"/>
                <w:lang w:eastAsia="es-MX"/>
              </w:rPr>
              <w:t xml:space="preserve">           801,410,002 </w:t>
            </w:r>
          </w:p>
        </w:tc>
        <w:tc>
          <w:tcPr>
            <w:tcW w:w="1254" w:type="dxa"/>
            <w:shd w:val="clear" w:color="auto" w:fill="F2F2F2" w:themeFill="background1" w:themeFillShade="F2"/>
            <w:vAlign w:val="center"/>
          </w:tcPr>
          <w:p w14:paraId="0F734311" w14:textId="13C7EE8D" w:rsidR="00C17F65" w:rsidRPr="00C17F65" w:rsidRDefault="00C17F65" w:rsidP="00C17F65">
            <w:pPr>
              <w:spacing w:after="0"/>
              <w:jc w:val="right"/>
              <w:rPr>
                <w:rFonts w:ascii="Montserrat" w:hAnsi="Montserrat"/>
                <w:b/>
                <w:sz w:val="14"/>
                <w:szCs w:val="14"/>
                <w:lang w:val="es-ES_tradnl"/>
              </w:rPr>
            </w:pPr>
            <w:r w:rsidRPr="000F0321">
              <w:rPr>
                <w:rFonts w:ascii="Montserrat" w:eastAsia="Times New Roman" w:hAnsi="Montserrat" w:cs="Calibri"/>
                <w:b/>
                <w:sz w:val="13"/>
                <w:szCs w:val="13"/>
                <w:lang w:eastAsia="es-MX"/>
              </w:rPr>
              <w:t xml:space="preserve">           656,111,825 </w:t>
            </w:r>
          </w:p>
        </w:tc>
      </w:tr>
      <w:tr w:rsidR="00C17F65" w:rsidRPr="006F0DF1" w14:paraId="0DE5D9DA" w14:textId="77777777" w:rsidTr="0023764E">
        <w:trPr>
          <w:gridBefore w:val="2"/>
          <w:wBefore w:w="21" w:type="dxa"/>
          <w:trHeight w:val="240"/>
          <w:jc w:val="center"/>
        </w:trPr>
        <w:tc>
          <w:tcPr>
            <w:tcW w:w="1558" w:type="dxa"/>
            <w:shd w:val="clear" w:color="auto" w:fill="F2F2F2" w:themeFill="background1" w:themeFillShade="F2"/>
            <w:noWrap/>
            <w:vAlign w:val="bottom"/>
            <w:hideMark/>
          </w:tcPr>
          <w:p w14:paraId="6B39A83E" w14:textId="77777777" w:rsidR="00C17F65" w:rsidRPr="006F0DF1" w:rsidRDefault="00C17F65" w:rsidP="00C17F65">
            <w:pPr>
              <w:spacing w:after="0" w:line="240" w:lineRule="exact"/>
              <w:ind w:left="192"/>
              <w:rPr>
                <w:rFonts w:ascii="Montserrat" w:hAnsi="Montserrat"/>
                <w:sz w:val="14"/>
                <w:szCs w:val="14"/>
                <w:lang w:val="es-ES_tradnl"/>
              </w:rPr>
            </w:pPr>
            <w:r w:rsidRPr="006F0DF1">
              <w:rPr>
                <w:rFonts w:ascii="Montserrat" w:hAnsi="Montserrat"/>
                <w:sz w:val="14"/>
                <w:szCs w:val="14"/>
                <w:lang w:val="es-ES_tradnl"/>
              </w:rPr>
              <w:t>Nafin</w:t>
            </w:r>
          </w:p>
        </w:tc>
        <w:tc>
          <w:tcPr>
            <w:tcW w:w="1560" w:type="dxa"/>
            <w:shd w:val="clear" w:color="auto" w:fill="F2F2F2" w:themeFill="background1" w:themeFillShade="F2"/>
            <w:noWrap/>
            <w:vAlign w:val="bottom"/>
          </w:tcPr>
          <w:p w14:paraId="1DF83714" w14:textId="78174899" w:rsidR="00C17F65" w:rsidRPr="005210C6" w:rsidRDefault="00C17F65" w:rsidP="00C17F65">
            <w:pPr>
              <w:spacing w:after="0" w:line="240" w:lineRule="exact"/>
              <w:ind w:right="57"/>
              <w:jc w:val="right"/>
              <w:rPr>
                <w:rFonts w:ascii="Montserrat" w:hAnsi="Montserrat"/>
                <w:sz w:val="14"/>
                <w:szCs w:val="14"/>
                <w:lang w:val="es-ES_tradnl"/>
              </w:rPr>
            </w:pPr>
            <w:r w:rsidRPr="009B0B86">
              <w:rPr>
                <w:rFonts w:ascii="Montserrat" w:eastAsia="Times New Roman" w:hAnsi="Montserrat" w:cs="Calibri"/>
                <w:sz w:val="13"/>
                <w:szCs w:val="13"/>
                <w:lang w:eastAsia="es-MX"/>
              </w:rPr>
              <w:t xml:space="preserve">               7,817,884,350 </w:t>
            </w:r>
          </w:p>
        </w:tc>
        <w:tc>
          <w:tcPr>
            <w:tcW w:w="1559" w:type="dxa"/>
            <w:shd w:val="clear" w:color="auto" w:fill="F2F2F2" w:themeFill="background1" w:themeFillShade="F2"/>
            <w:noWrap/>
            <w:vAlign w:val="bottom"/>
          </w:tcPr>
          <w:p w14:paraId="5665CB1D" w14:textId="30490A52" w:rsidR="00C17F65" w:rsidRPr="005210C6" w:rsidRDefault="00C17F65" w:rsidP="00C17F65">
            <w:pPr>
              <w:spacing w:after="0" w:line="240" w:lineRule="exact"/>
              <w:ind w:right="57"/>
              <w:jc w:val="right"/>
              <w:rPr>
                <w:rFonts w:ascii="Montserrat" w:hAnsi="Montserrat"/>
                <w:sz w:val="14"/>
                <w:szCs w:val="14"/>
                <w:lang w:val="es-ES_tradnl"/>
              </w:rPr>
            </w:pPr>
            <w:r w:rsidRPr="009B0B86">
              <w:rPr>
                <w:rFonts w:ascii="Montserrat" w:eastAsia="Times New Roman" w:hAnsi="Montserrat" w:cs="Calibri"/>
                <w:sz w:val="13"/>
                <w:szCs w:val="13"/>
                <w:lang w:eastAsia="es-MX"/>
              </w:rPr>
              <w:t xml:space="preserve">              1,647,867,665 </w:t>
            </w:r>
          </w:p>
        </w:tc>
        <w:tc>
          <w:tcPr>
            <w:tcW w:w="1561" w:type="dxa"/>
            <w:shd w:val="clear" w:color="auto" w:fill="F2F2F2" w:themeFill="background1" w:themeFillShade="F2"/>
            <w:noWrap/>
            <w:vAlign w:val="bottom"/>
          </w:tcPr>
          <w:p w14:paraId="1A2DF101" w14:textId="7D1DC5A0" w:rsidR="00C17F65" w:rsidRPr="005210C6" w:rsidRDefault="00C17F65" w:rsidP="00C17F65">
            <w:pPr>
              <w:spacing w:after="0" w:line="240" w:lineRule="exact"/>
              <w:ind w:right="57"/>
              <w:jc w:val="right"/>
              <w:rPr>
                <w:rFonts w:ascii="Montserrat" w:hAnsi="Montserrat"/>
                <w:sz w:val="14"/>
                <w:szCs w:val="14"/>
                <w:lang w:val="es-ES_tradnl"/>
              </w:rPr>
            </w:pPr>
            <w:r w:rsidRPr="009B0B86">
              <w:rPr>
                <w:rFonts w:ascii="Montserrat" w:eastAsia="Times New Roman" w:hAnsi="Montserrat" w:cs="Calibri"/>
                <w:sz w:val="13"/>
                <w:szCs w:val="13"/>
                <w:lang w:eastAsia="es-MX"/>
              </w:rPr>
              <w:t xml:space="preserve">           1,587,616,140 </w:t>
            </w:r>
          </w:p>
        </w:tc>
        <w:tc>
          <w:tcPr>
            <w:tcW w:w="1518" w:type="dxa"/>
            <w:shd w:val="clear" w:color="auto" w:fill="F2F2F2" w:themeFill="background1" w:themeFillShade="F2"/>
            <w:noWrap/>
            <w:vAlign w:val="bottom"/>
          </w:tcPr>
          <w:p w14:paraId="6F836231" w14:textId="7A338328" w:rsidR="00C17F65" w:rsidRPr="005210C6" w:rsidRDefault="00C17F65" w:rsidP="00C17F65">
            <w:pPr>
              <w:spacing w:after="0" w:line="240" w:lineRule="exact"/>
              <w:ind w:right="57"/>
              <w:jc w:val="right"/>
              <w:rPr>
                <w:rFonts w:ascii="Montserrat" w:hAnsi="Montserrat"/>
                <w:sz w:val="14"/>
                <w:szCs w:val="14"/>
                <w:lang w:val="es-ES_tradnl"/>
              </w:rPr>
            </w:pPr>
            <w:r w:rsidRPr="009B0B86">
              <w:rPr>
                <w:rFonts w:ascii="Montserrat" w:eastAsia="Times New Roman" w:hAnsi="Montserrat" w:cs="Calibri"/>
                <w:sz w:val="13"/>
                <w:szCs w:val="13"/>
                <w:lang w:eastAsia="es-MX"/>
              </w:rPr>
              <w:t xml:space="preserve">             328,862,080 </w:t>
            </w:r>
          </w:p>
        </w:tc>
        <w:tc>
          <w:tcPr>
            <w:tcW w:w="1417" w:type="dxa"/>
            <w:shd w:val="clear" w:color="auto" w:fill="F2F2F2" w:themeFill="background1" w:themeFillShade="F2"/>
            <w:noWrap/>
            <w:vAlign w:val="bottom"/>
          </w:tcPr>
          <w:p w14:paraId="1E5ADFCC" w14:textId="253B9570" w:rsidR="00C17F65" w:rsidRPr="005210C6" w:rsidRDefault="00C17F65" w:rsidP="00C17F65">
            <w:pPr>
              <w:spacing w:after="0" w:line="240" w:lineRule="exact"/>
              <w:ind w:right="57"/>
              <w:jc w:val="right"/>
              <w:rPr>
                <w:rFonts w:ascii="Montserrat" w:hAnsi="Montserrat"/>
                <w:sz w:val="14"/>
                <w:szCs w:val="14"/>
                <w:lang w:val="es-ES_tradnl"/>
              </w:rPr>
            </w:pPr>
            <w:r w:rsidRPr="009B0B86">
              <w:rPr>
                <w:rFonts w:ascii="Montserrat" w:eastAsia="Times New Roman" w:hAnsi="Montserrat" w:cs="Calibri"/>
                <w:sz w:val="13"/>
                <w:szCs w:val="13"/>
                <w:lang w:eastAsia="es-MX"/>
              </w:rPr>
              <w:t xml:space="preserve">             781,339,872 </w:t>
            </w:r>
          </w:p>
        </w:tc>
        <w:tc>
          <w:tcPr>
            <w:tcW w:w="1418" w:type="dxa"/>
            <w:shd w:val="clear" w:color="auto" w:fill="F2F2F2" w:themeFill="background1" w:themeFillShade="F2"/>
            <w:noWrap/>
            <w:vAlign w:val="bottom"/>
          </w:tcPr>
          <w:p w14:paraId="1F486177" w14:textId="79E09F8F" w:rsidR="00C17F65" w:rsidRPr="005210C6" w:rsidRDefault="00C17F65" w:rsidP="00C17F65">
            <w:pPr>
              <w:spacing w:after="0" w:line="240" w:lineRule="exact"/>
              <w:ind w:right="57"/>
              <w:jc w:val="right"/>
              <w:rPr>
                <w:rFonts w:ascii="Montserrat" w:hAnsi="Montserrat"/>
                <w:sz w:val="14"/>
                <w:szCs w:val="14"/>
                <w:lang w:val="es-ES_tradnl"/>
              </w:rPr>
            </w:pPr>
            <w:r w:rsidRPr="009B0B86">
              <w:rPr>
                <w:rFonts w:ascii="Montserrat" w:eastAsia="Times New Roman" w:hAnsi="Montserrat" w:cs="Calibri"/>
                <w:sz w:val="13"/>
                <w:szCs w:val="13"/>
                <w:lang w:eastAsia="es-MX"/>
              </w:rPr>
              <w:t xml:space="preserve">           282,152,063 </w:t>
            </w:r>
          </w:p>
        </w:tc>
        <w:tc>
          <w:tcPr>
            <w:tcW w:w="1459" w:type="dxa"/>
            <w:shd w:val="clear" w:color="auto" w:fill="F2F2F2" w:themeFill="background1" w:themeFillShade="F2"/>
            <w:vAlign w:val="bottom"/>
          </w:tcPr>
          <w:p w14:paraId="36CFC93B" w14:textId="395621CB" w:rsidR="00C17F65" w:rsidRPr="005210C6" w:rsidRDefault="00C17F65" w:rsidP="00C17F65">
            <w:pPr>
              <w:spacing w:after="0" w:line="240" w:lineRule="exact"/>
              <w:ind w:right="57"/>
              <w:jc w:val="right"/>
              <w:rPr>
                <w:rFonts w:ascii="Montserrat" w:hAnsi="Montserrat"/>
                <w:sz w:val="14"/>
                <w:szCs w:val="14"/>
                <w:lang w:val="es-ES_tradnl"/>
              </w:rPr>
            </w:pPr>
            <w:r w:rsidRPr="009B0B86">
              <w:rPr>
                <w:rFonts w:ascii="Montserrat" w:eastAsia="Times New Roman" w:hAnsi="Montserrat" w:cs="Calibri"/>
                <w:sz w:val="13"/>
                <w:szCs w:val="13"/>
                <w:lang w:eastAsia="es-MX"/>
              </w:rPr>
              <w:t xml:space="preserve">           781,339,872 </w:t>
            </w:r>
          </w:p>
        </w:tc>
        <w:tc>
          <w:tcPr>
            <w:tcW w:w="1254" w:type="dxa"/>
            <w:shd w:val="clear" w:color="auto" w:fill="F2F2F2" w:themeFill="background1" w:themeFillShade="F2"/>
            <w:vAlign w:val="bottom"/>
          </w:tcPr>
          <w:p w14:paraId="5C679C59" w14:textId="385B3181" w:rsidR="00C17F65" w:rsidRPr="005210C6" w:rsidRDefault="00C17F65" w:rsidP="00C17F65">
            <w:pPr>
              <w:spacing w:after="0" w:line="240" w:lineRule="exact"/>
              <w:ind w:right="57"/>
              <w:jc w:val="right"/>
              <w:rPr>
                <w:rFonts w:ascii="Montserrat" w:hAnsi="Montserrat"/>
                <w:sz w:val="14"/>
                <w:szCs w:val="14"/>
                <w:lang w:val="es-ES_tradnl"/>
              </w:rPr>
            </w:pPr>
            <w:r w:rsidRPr="009B0B86">
              <w:rPr>
                <w:rFonts w:ascii="Montserrat" w:eastAsia="Times New Roman" w:hAnsi="Montserrat" w:cs="Calibri"/>
                <w:sz w:val="13"/>
                <w:szCs w:val="13"/>
                <w:lang w:eastAsia="es-MX"/>
              </w:rPr>
              <w:t xml:space="preserve">        245,021,056 </w:t>
            </w:r>
          </w:p>
        </w:tc>
      </w:tr>
      <w:tr w:rsidR="00C17F65" w:rsidRPr="006F0DF1" w14:paraId="2ED095B2" w14:textId="77777777" w:rsidTr="0023764E">
        <w:trPr>
          <w:gridBefore w:val="2"/>
          <w:wBefore w:w="21" w:type="dxa"/>
          <w:trHeight w:val="240"/>
          <w:jc w:val="center"/>
        </w:trPr>
        <w:tc>
          <w:tcPr>
            <w:tcW w:w="1558" w:type="dxa"/>
            <w:shd w:val="clear" w:color="auto" w:fill="F2F2F2" w:themeFill="background1" w:themeFillShade="F2"/>
            <w:noWrap/>
            <w:vAlign w:val="bottom"/>
            <w:hideMark/>
          </w:tcPr>
          <w:p w14:paraId="45E339AA" w14:textId="77777777" w:rsidR="00C17F65" w:rsidRPr="006F0DF1" w:rsidRDefault="00C17F65" w:rsidP="00C17F65">
            <w:pPr>
              <w:spacing w:after="0" w:line="240" w:lineRule="exact"/>
              <w:ind w:left="192"/>
              <w:rPr>
                <w:rFonts w:ascii="Montserrat" w:hAnsi="Montserrat"/>
                <w:sz w:val="14"/>
                <w:szCs w:val="14"/>
                <w:lang w:val="es-ES_tradnl"/>
              </w:rPr>
            </w:pPr>
            <w:r w:rsidRPr="006F0DF1">
              <w:rPr>
                <w:rFonts w:ascii="Montserrat" w:hAnsi="Montserrat"/>
                <w:sz w:val="14"/>
                <w:szCs w:val="14"/>
                <w:lang w:val="es-ES_tradnl"/>
              </w:rPr>
              <w:t>Banobras</w:t>
            </w:r>
          </w:p>
        </w:tc>
        <w:tc>
          <w:tcPr>
            <w:tcW w:w="1560" w:type="dxa"/>
            <w:shd w:val="clear" w:color="auto" w:fill="F2F2F2" w:themeFill="background1" w:themeFillShade="F2"/>
            <w:noWrap/>
            <w:vAlign w:val="bottom"/>
          </w:tcPr>
          <w:p w14:paraId="392814D0" w14:textId="1D86E3A7" w:rsidR="00C17F65" w:rsidRPr="005210C6" w:rsidRDefault="00C17F65" w:rsidP="00C17F65">
            <w:pPr>
              <w:spacing w:after="0" w:line="240" w:lineRule="exact"/>
              <w:ind w:right="57"/>
              <w:jc w:val="right"/>
              <w:rPr>
                <w:rFonts w:ascii="Montserrat" w:hAnsi="Montserrat"/>
                <w:sz w:val="14"/>
                <w:szCs w:val="14"/>
                <w:lang w:val="es-ES_tradnl"/>
              </w:rPr>
            </w:pPr>
            <w:r w:rsidRPr="009B0B86">
              <w:rPr>
                <w:rFonts w:ascii="Montserrat" w:eastAsia="Times New Roman" w:hAnsi="Montserrat" w:cs="Calibri"/>
                <w:sz w:val="13"/>
                <w:szCs w:val="13"/>
                <w:lang w:eastAsia="es-MX"/>
              </w:rPr>
              <w:t xml:space="preserve">             10,074,654,184 </w:t>
            </w:r>
          </w:p>
        </w:tc>
        <w:tc>
          <w:tcPr>
            <w:tcW w:w="1559" w:type="dxa"/>
            <w:shd w:val="clear" w:color="auto" w:fill="F2F2F2" w:themeFill="background1" w:themeFillShade="F2"/>
            <w:noWrap/>
            <w:vAlign w:val="bottom"/>
          </w:tcPr>
          <w:p w14:paraId="51B3322C" w14:textId="5AD84393" w:rsidR="00C17F65" w:rsidRPr="005210C6" w:rsidRDefault="00C17F65" w:rsidP="00C17F65">
            <w:pPr>
              <w:spacing w:after="0" w:line="240" w:lineRule="exact"/>
              <w:ind w:right="57"/>
              <w:jc w:val="right"/>
              <w:rPr>
                <w:rFonts w:ascii="Montserrat" w:hAnsi="Montserrat"/>
                <w:sz w:val="14"/>
                <w:szCs w:val="14"/>
                <w:lang w:val="es-ES_tradnl"/>
              </w:rPr>
            </w:pPr>
            <w:r w:rsidRPr="009B0B86">
              <w:rPr>
                <w:rFonts w:ascii="Montserrat" w:eastAsia="Times New Roman" w:hAnsi="Montserrat" w:cs="Calibri"/>
                <w:sz w:val="13"/>
                <w:szCs w:val="13"/>
                <w:lang w:eastAsia="es-MX"/>
              </w:rPr>
              <w:t xml:space="preserve">              5,230,491,062 </w:t>
            </w:r>
          </w:p>
        </w:tc>
        <w:tc>
          <w:tcPr>
            <w:tcW w:w="1561" w:type="dxa"/>
            <w:shd w:val="clear" w:color="auto" w:fill="F2F2F2" w:themeFill="background1" w:themeFillShade="F2"/>
            <w:noWrap/>
            <w:vAlign w:val="bottom"/>
          </w:tcPr>
          <w:p w14:paraId="6298AE2E" w14:textId="35A54A4D" w:rsidR="00C17F65" w:rsidRPr="005210C6" w:rsidRDefault="00C17F65" w:rsidP="00C17F65">
            <w:pPr>
              <w:spacing w:after="0" w:line="240" w:lineRule="exact"/>
              <w:ind w:right="57"/>
              <w:jc w:val="right"/>
              <w:rPr>
                <w:rFonts w:ascii="Montserrat" w:hAnsi="Montserrat"/>
                <w:sz w:val="14"/>
                <w:szCs w:val="14"/>
                <w:lang w:val="es-ES_tradnl"/>
              </w:rPr>
            </w:pPr>
            <w:r w:rsidRPr="009B0B86">
              <w:rPr>
                <w:rFonts w:ascii="Montserrat" w:eastAsia="Times New Roman" w:hAnsi="Montserrat" w:cs="Calibri"/>
                <w:sz w:val="13"/>
                <w:szCs w:val="13"/>
                <w:lang w:eastAsia="es-MX"/>
              </w:rPr>
              <w:t xml:space="preserve">                                  -   </w:t>
            </w:r>
          </w:p>
        </w:tc>
        <w:tc>
          <w:tcPr>
            <w:tcW w:w="1518" w:type="dxa"/>
            <w:shd w:val="clear" w:color="auto" w:fill="F2F2F2" w:themeFill="background1" w:themeFillShade="F2"/>
            <w:noWrap/>
            <w:vAlign w:val="bottom"/>
          </w:tcPr>
          <w:p w14:paraId="165EFFA4" w14:textId="21203508" w:rsidR="00C17F65" w:rsidRPr="005210C6" w:rsidRDefault="00C17F65" w:rsidP="00C17F65">
            <w:pPr>
              <w:spacing w:after="0" w:line="240" w:lineRule="exact"/>
              <w:ind w:right="57"/>
              <w:jc w:val="right"/>
              <w:rPr>
                <w:rFonts w:ascii="Montserrat" w:hAnsi="Montserrat"/>
                <w:sz w:val="14"/>
                <w:szCs w:val="14"/>
                <w:lang w:val="es-ES_tradnl"/>
              </w:rPr>
            </w:pPr>
            <w:r w:rsidRPr="009B0B86">
              <w:rPr>
                <w:rFonts w:ascii="Montserrat" w:eastAsia="Times New Roman" w:hAnsi="Montserrat" w:cs="Calibri"/>
                <w:sz w:val="13"/>
                <w:szCs w:val="13"/>
                <w:lang w:eastAsia="es-MX"/>
              </w:rPr>
              <w:t xml:space="preserve">             373,606,504 </w:t>
            </w:r>
          </w:p>
        </w:tc>
        <w:tc>
          <w:tcPr>
            <w:tcW w:w="1417" w:type="dxa"/>
            <w:shd w:val="clear" w:color="auto" w:fill="F2F2F2" w:themeFill="background1" w:themeFillShade="F2"/>
            <w:noWrap/>
            <w:vAlign w:val="bottom"/>
          </w:tcPr>
          <w:p w14:paraId="558203C1" w14:textId="6B9F2B33" w:rsidR="00C17F65" w:rsidRPr="005210C6" w:rsidRDefault="009635EF" w:rsidP="00C17F65">
            <w:pPr>
              <w:spacing w:after="0" w:line="240" w:lineRule="exact"/>
              <w:ind w:right="57"/>
              <w:jc w:val="right"/>
              <w:rPr>
                <w:rFonts w:ascii="Montserrat" w:hAnsi="Montserrat"/>
                <w:sz w:val="14"/>
                <w:szCs w:val="14"/>
                <w:lang w:val="es-ES_tradnl"/>
              </w:rPr>
            </w:pPr>
            <w:r>
              <w:rPr>
                <w:rFonts w:ascii="Montserrat" w:eastAsia="Times New Roman" w:hAnsi="Montserrat" w:cs="Calibri"/>
                <w:sz w:val="13"/>
                <w:szCs w:val="13"/>
                <w:lang w:eastAsia="es-MX"/>
              </w:rPr>
              <w:t>0</w:t>
            </w:r>
            <w:r w:rsidR="00C17F65" w:rsidRPr="009B0B86">
              <w:rPr>
                <w:rFonts w:ascii="Montserrat" w:eastAsia="Times New Roman" w:hAnsi="Montserrat" w:cs="Calibri"/>
                <w:sz w:val="13"/>
                <w:szCs w:val="13"/>
                <w:lang w:eastAsia="es-MX"/>
              </w:rPr>
              <w:t xml:space="preserve">   </w:t>
            </w:r>
          </w:p>
        </w:tc>
        <w:tc>
          <w:tcPr>
            <w:tcW w:w="1418" w:type="dxa"/>
            <w:shd w:val="clear" w:color="auto" w:fill="F2F2F2" w:themeFill="background1" w:themeFillShade="F2"/>
            <w:noWrap/>
            <w:vAlign w:val="bottom"/>
          </w:tcPr>
          <w:p w14:paraId="77D6E065" w14:textId="544945AD" w:rsidR="00C17F65" w:rsidRPr="005210C6" w:rsidRDefault="00C17F65" w:rsidP="00C17F65">
            <w:pPr>
              <w:spacing w:after="0" w:line="240" w:lineRule="exact"/>
              <w:ind w:right="57"/>
              <w:jc w:val="right"/>
              <w:rPr>
                <w:rFonts w:ascii="Montserrat" w:hAnsi="Montserrat"/>
                <w:sz w:val="14"/>
                <w:szCs w:val="14"/>
                <w:lang w:val="es-ES_tradnl"/>
              </w:rPr>
            </w:pPr>
            <w:r w:rsidRPr="009B0B86">
              <w:rPr>
                <w:rFonts w:ascii="Montserrat" w:eastAsia="Times New Roman" w:hAnsi="Montserrat" w:cs="Calibri"/>
                <w:sz w:val="13"/>
                <w:szCs w:val="13"/>
                <w:lang w:eastAsia="es-MX"/>
              </w:rPr>
              <w:t xml:space="preserve">           373,606,504 </w:t>
            </w:r>
          </w:p>
        </w:tc>
        <w:tc>
          <w:tcPr>
            <w:tcW w:w="1459" w:type="dxa"/>
            <w:shd w:val="clear" w:color="auto" w:fill="F2F2F2" w:themeFill="background1" w:themeFillShade="F2"/>
            <w:vAlign w:val="bottom"/>
          </w:tcPr>
          <w:p w14:paraId="096B885E" w14:textId="1A02EB52" w:rsidR="00C17F65" w:rsidRPr="005210C6" w:rsidRDefault="009635EF" w:rsidP="00C17F65">
            <w:pPr>
              <w:spacing w:after="0" w:line="240" w:lineRule="exact"/>
              <w:ind w:right="57"/>
              <w:jc w:val="right"/>
              <w:rPr>
                <w:rFonts w:ascii="Montserrat" w:hAnsi="Montserrat"/>
                <w:sz w:val="14"/>
                <w:szCs w:val="14"/>
                <w:lang w:val="es-ES_tradnl"/>
              </w:rPr>
            </w:pPr>
            <w:r>
              <w:rPr>
                <w:rFonts w:ascii="Montserrat" w:eastAsia="Times New Roman" w:hAnsi="Montserrat" w:cs="Calibri"/>
                <w:sz w:val="13"/>
                <w:szCs w:val="13"/>
                <w:lang w:eastAsia="es-MX"/>
              </w:rPr>
              <w:t>0</w:t>
            </w:r>
            <w:r w:rsidR="00C17F65" w:rsidRPr="009B0B86">
              <w:rPr>
                <w:rFonts w:ascii="Montserrat" w:eastAsia="Times New Roman" w:hAnsi="Montserrat" w:cs="Calibri"/>
                <w:sz w:val="13"/>
                <w:szCs w:val="13"/>
                <w:lang w:eastAsia="es-MX"/>
              </w:rPr>
              <w:t xml:space="preserve">   </w:t>
            </w:r>
          </w:p>
        </w:tc>
        <w:tc>
          <w:tcPr>
            <w:tcW w:w="1254" w:type="dxa"/>
            <w:shd w:val="clear" w:color="auto" w:fill="F2F2F2" w:themeFill="background1" w:themeFillShade="F2"/>
            <w:vAlign w:val="bottom"/>
          </w:tcPr>
          <w:p w14:paraId="7D5B336B" w14:textId="7D0A6AB9" w:rsidR="00C17F65" w:rsidRPr="005210C6" w:rsidRDefault="00C17F65" w:rsidP="00C17F65">
            <w:pPr>
              <w:spacing w:after="0" w:line="240" w:lineRule="exact"/>
              <w:ind w:right="57"/>
              <w:jc w:val="right"/>
              <w:rPr>
                <w:rFonts w:ascii="Montserrat" w:hAnsi="Montserrat"/>
                <w:sz w:val="14"/>
                <w:szCs w:val="14"/>
                <w:lang w:val="es-ES_tradnl"/>
              </w:rPr>
            </w:pPr>
            <w:r w:rsidRPr="009B0B86">
              <w:rPr>
                <w:rFonts w:ascii="Montserrat" w:eastAsia="Times New Roman" w:hAnsi="Montserrat" w:cs="Calibri"/>
                <w:sz w:val="13"/>
                <w:szCs w:val="13"/>
                <w:lang w:eastAsia="es-MX"/>
              </w:rPr>
              <w:t xml:space="preserve">        373,606,504 </w:t>
            </w:r>
          </w:p>
        </w:tc>
      </w:tr>
      <w:tr w:rsidR="00C17F65" w:rsidRPr="006F0DF1" w14:paraId="6CFB181D" w14:textId="77777777" w:rsidTr="0023764E">
        <w:trPr>
          <w:gridBefore w:val="2"/>
          <w:wBefore w:w="21" w:type="dxa"/>
          <w:trHeight w:val="240"/>
          <w:jc w:val="center"/>
        </w:trPr>
        <w:tc>
          <w:tcPr>
            <w:tcW w:w="1558" w:type="dxa"/>
            <w:shd w:val="clear" w:color="auto" w:fill="F2F2F2" w:themeFill="background1" w:themeFillShade="F2"/>
            <w:noWrap/>
            <w:vAlign w:val="bottom"/>
            <w:hideMark/>
          </w:tcPr>
          <w:p w14:paraId="130B9107" w14:textId="10440270" w:rsidR="00C17F65" w:rsidRPr="006F0DF1" w:rsidRDefault="006448DE" w:rsidP="00C17F65">
            <w:pPr>
              <w:spacing w:after="0" w:line="240" w:lineRule="exact"/>
              <w:ind w:left="192"/>
              <w:rPr>
                <w:rFonts w:ascii="Montserrat" w:hAnsi="Montserrat"/>
                <w:sz w:val="14"/>
                <w:szCs w:val="14"/>
                <w:lang w:val="es-ES_tradnl"/>
              </w:rPr>
            </w:pPr>
            <w:r>
              <w:rPr>
                <w:rFonts w:ascii="Montserrat" w:hAnsi="Montserrat"/>
                <w:sz w:val="14"/>
                <w:szCs w:val="14"/>
                <w:lang w:val="es-ES_tradnl"/>
              </w:rPr>
              <w:t>OINC</w:t>
            </w:r>
          </w:p>
        </w:tc>
        <w:tc>
          <w:tcPr>
            <w:tcW w:w="1560" w:type="dxa"/>
            <w:shd w:val="clear" w:color="auto" w:fill="F2F2F2" w:themeFill="background1" w:themeFillShade="F2"/>
            <w:noWrap/>
            <w:vAlign w:val="bottom"/>
          </w:tcPr>
          <w:p w14:paraId="3DC77855" w14:textId="13AD356B" w:rsidR="00C17F65" w:rsidRPr="005210C6" w:rsidRDefault="00C17F65" w:rsidP="00C17F65">
            <w:pPr>
              <w:spacing w:after="0" w:line="240" w:lineRule="exact"/>
              <w:ind w:right="57"/>
              <w:jc w:val="right"/>
              <w:rPr>
                <w:rFonts w:ascii="Montserrat" w:hAnsi="Montserrat"/>
                <w:sz w:val="14"/>
                <w:szCs w:val="14"/>
                <w:lang w:val="es-ES_tradnl"/>
              </w:rPr>
            </w:pPr>
            <w:r w:rsidRPr="009B0B86">
              <w:rPr>
                <w:rFonts w:ascii="Montserrat" w:eastAsia="Times New Roman" w:hAnsi="Montserrat" w:cs="Calibri"/>
                <w:sz w:val="13"/>
                <w:szCs w:val="13"/>
                <w:lang w:eastAsia="es-MX"/>
              </w:rPr>
              <w:t xml:space="preserve">               890,457,440 </w:t>
            </w:r>
          </w:p>
        </w:tc>
        <w:tc>
          <w:tcPr>
            <w:tcW w:w="1559" w:type="dxa"/>
            <w:shd w:val="clear" w:color="auto" w:fill="F2F2F2" w:themeFill="background1" w:themeFillShade="F2"/>
            <w:noWrap/>
            <w:vAlign w:val="bottom"/>
          </w:tcPr>
          <w:p w14:paraId="286036F6" w14:textId="76E7073C" w:rsidR="00C17F65" w:rsidRPr="005210C6" w:rsidRDefault="00C17F65" w:rsidP="00C17F65">
            <w:pPr>
              <w:spacing w:after="0" w:line="240" w:lineRule="exact"/>
              <w:ind w:right="57"/>
              <w:jc w:val="right"/>
              <w:rPr>
                <w:rFonts w:ascii="Montserrat" w:hAnsi="Montserrat"/>
                <w:sz w:val="14"/>
                <w:szCs w:val="14"/>
                <w:lang w:val="es-ES_tradnl"/>
              </w:rPr>
            </w:pPr>
            <w:r w:rsidRPr="009B0B86">
              <w:rPr>
                <w:rFonts w:ascii="Montserrat" w:eastAsia="Times New Roman" w:hAnsi="Montserrat" w:cs="Calibri"/>
                <w:sz w:val="13"/>
                <w:szCs w:val="13"/>
                <w:lang w:eastAsia="es-MX"/>
              </w:rPr>
              <w:t xml:space="preserve">              1,027,645,481 </w:t>
            </w:r>
          </w:p>
        </w:tc>
        <w:tc>
          <w:tcPr>
            <w:tcW w:w="1561" w:type="dxa"/>
            <w:shd w:val="clear" w:color="auto" w:fill="F2F2F2" w:themeFill="background1" w:themeFillShade="F2"/>
            <w:noWrap/>
            <w:vAlign w:val="bottom"/>
          </w:tcPr>
          <w:p w14:paraId="0E294C4B" w14:textId="180D7FF0" w:rsidR="00C17F65" w:rsidRPr="005210C6" w:rsidRDefault="00C17F65" w:rsidP="00C17F65">
            <w:pPr>
              <w:spacing w:after="0" w:line="240" w:lineRule="exact"/>
              <w:ind w:right="57"/>
              <w:jc w:val="right"/>
              <w:rPr>
                <w:rFonts w:ascii="Montserrat" w:hAnsi="Montserrat"/>
                <w:sz w:val="14"/>
                <w:szCs w:val="14"/>
                <w:lang w:val="es-ES_tradnl"/>
              </w:rPr>
            </w:pPr>
            <w:r w:rsidRPr="009B0B86">
              <w:rPr>
                <w:rFonts w:ascii="Montserrat" w:eastAsia="Times New Roman" w:hAnsi="Montserrat" w:cs="Calibri"/>
                <w:sz w:val="13"/>
                <w:szCs w:val="13"/>
                <w:lang w:eastAsia="es-MX"/>
              </w:rPr>
              <w:t xml:space="preserve">                 25,859,750 </w:t>
            </w:r>
          </w:p>
        </w:tc>
        <w:tc>
          <w:tcPr>
            <w:tcW w:w="1518" w:type="dxa"/>
            <w:shd w:val="clear" w:color="auto" w:fill="F2F2F2" w:themeFill="background1" w:themeFillShade="F2"/>
            <w:noWrap/>
            <w:vAlign w:val="bottom"/>
          </w:tcPr>
          <w:p w14:paraId="61609350" w14:textId="58F1C678" w:rsidR="00C17F65" w:rsidRPr="005210C6" w:rsidRDefault="00C17F65" w:rsidP="00C17F65">
            <w:pPr>
              <w:spacing w:after="0" w:line="240" w:lineRule="exact"/>
              <w:ind w:right="57"/>
              <w:jc w:val="right"/>
              <w:rPr>
                <w:rFonts w:ascii="Montserrat" w:hAnsi="Montserrat"/>
                <w:sz w:val="14"/>
                <w:szCs w:val="14"/>
                <w:lang w:val="es-ES_tradnl"/>
              </w:rPr>
            </w:pPr>
            <w:r w:rsidRPr="009B0B86">
              <w:rPr>
                <w:rFonts w:ascii="Montserrat" w:eastAsia="Times New Roman" w:hAnsi="Montserrat" w:cs="Calibri"/>
                <w:sz w:val="13"/>
                <w:szCs w:val="13"/>
                <w:lang w:eastAsia="es-MX"/>
              </w:rPr>
              <w:t xml:space="preserve">               39,643,959 </w:t>
            </w:r>
          </w:p>
        </w:tc>
        <w:tc>
          <w:tcPr>
            <w:tcW w:w="1417" w:type="dxa"/>
            <w:shd w:val="clear" w:color="auto" w:fill="F2F2F2" w:themeFill="background1" w:themeFillShade="F2"/>
            <w:noWrap/>
            <w:vAlign w:val="bottom"/>
          </w:tcPr>
          <w:p w14:paraId="51005B7F" w14:textId="4E57D0D8" w:rsidR="00C17F65" w:rsidRPr="005210C6" w:rsidRDefault="00C17F65" w:rsidP="00C17F65">
            <w:pPr>
              <w:spacing w:after="0" w:line="240" w:lineRule="exact"/>
              <w:ind w:right="57"/>
              <w:jc w:val="right"/>
              <w:rPr>
                <w:rFonts w:ascii="Montserrat" w:hAnsi="Montserrat"/>
                <w:sz w:val="14"/>
                <w:szCs w:val="14"/>
                <w:lang w:val="es-ES_tradnl"/>
              </w:rPr>
            </w:pPr>
            <w:r w:rsidRPr="009B0B86">
              <w:rPr>
                <w:rFonts w:ascii="Montserrat" w:eastAsia="Times New Roman" w:hAnsi="Montserrat" w:cs="Calibri"/>
                <w:sz w:val="13"/>
                <w:szCs w:val="13"/>
                <w:lang w:eastAsia="es-MX"/>
              </w:rPr>
              <w:t xml:space="preserve">               23,044,194 </w:t>
            </w:r>
          </w:p>
        </w:tc>
        <w:tc>
          <w:tcPr>
            <w:tcW w:w="1418" w:type="dxa"/>
            <w:shd w:val="clear" w:color="auto" w:fill="F2F2F2" w:themeFill="background1" w:themeFillShade="F2"/>
            <w:noWrap/>
            <w:vAlign w:val="bottom"/>
          </w:tcPr>
          <w:p w14:paraId="15C30582" w14:textId="19F3D3D9" w:rsidR="00C17F65" w:rsidRPr="005210C6" w:rsidRDefault="00C17F65" w:rsidP="00C17F65">
            <w:pPr>
              <w:spacing w:after="0" w:line="240" w:lineRule="exact"/>
              <w:ind w:right="57"/>
              <w:jc w:val="right"/>
              <w:rPr>
                <w:rFonts w:ascii="Montserrat" w:hAnsi="Montserrat"/>
                <w:sz w:val="14"/>
                <w:szCs w:val="14"/>
                <w:lang w:val="es-ES_tradnl"/>
              </w:rPr>
            </w:pPr>
            <w:r w:rsidRPr="009B0B86">
              <w:rPr>
                <w:rFonts w:ascii="Montserrat" w:eastAsia="Times New Roman" w:hAnsi="Montserrat" w:cs="Calibri"/>
                <w:sz w:val="13"/>
                <w:szCs w:val="13"/>
                <w:lang w:eastAsia="es-MX"/>
              </w:rPr>
              <w:t xml:space="preserve">             38,527,102 </w:t>
            </w:r>
          </w:p>
        </w:tc>
        <w:tc>
          <w:tcPr>
            <w:tcW w:w="1459" w:type="dxa"/>
            <w:shd w:val="clear" w:color="auto" w:fill="F2F2F2" w:themeFill="background1" w:themeFillShade="F2"/>
            <w:vAlign w:val="bottom"/>
          </w:tcPr>
          <w:p w14:paraId="75B7150E" w14:textId="3A12FC75" w:rsidR="00C17F65" w:rsidRPr="005210C6" w:rsidRDefault="00C17F65" w:rsidP="00C17F65">
            <w:pPr>
              <w:spacing w:after="0" w:line="240" w:lineRule="exact"/>
              <w:ind w:right="57"/>
              <w:jc w:val="right"/>
              <w:rPr>
                <w:rFonts w:ascii="Montserrat" w:hAnsi="Montserrat"/>
                <w:sz w:val="14"/>
                <w:szCs w:val="14"/>
                <w:lang w:val="es-ES_tradnl"/>
              </w:rPr>
            </w:pPr>
            <w:r w:rsidRPr="009B0B86">
              <w:rPr>
                <w:rFonts w:ascii="Montserrat" w:eastAsia="Times New Roman" w:hAnsi="Montserrat" w:cs="Calibri"/>
                <w:sz w:val="13"/>
                <w:szCs w:val="13"/>
                <w:lang w:eastAsia="es-MX"/>
              </w:rPr>
              <w:t xml:space="preserve">             20,070,130 </w:t>
            </w:r>
          </w:p>
        </w:tc>
        <w:tc>
          <w:tcPr>
            <w:tcW w:w="1254" w:type="dxa"/>
            <w:shd w:val="clear" w:color="auto" w:fill="F2F2F2" w:themeFill="background1" w:themeFillShade="F2"/>
            <w:vAlign w:val="bottom"/>
          </w:tcPr>
          <w:p w14:paraId="0BAFA935" w14:textId="15731C5F" w:rsidR="00C17F65" w:rsidRPr="005210C6" w:rsidRDefault="00C17F65" w:rsidP="00C17F65">
            <w:pPr>
              <w:spacing w:after="0" w:line="240" w:lineRule="exact"/>
              <w:ind w:right="57"/>
              <w:jc w:val="right"/>
              <w:rPr>
                <w:rFonts w:ascii="Montserrat" w:hAnsi="Montserrat"/>
                <w:sz w:val="14"/>
                <w:szCs w:val="14"/>
                <w:lang w:val="es-ES_tradnl"/>
              </w:rPr>
            </w:pPr>
            <w:r w:rsidRPr="009B0B86">
              <w:rPr>
                <w:rFonts w:ascii="Montserrat" w:eastAsia="Times New Roman" w:hAnsi="Montserrat" w:cs="Calibri"/>
                <w:sz w:val="13"/>
                <w:szCs w:val="13"/>
                <w:lang w:eastAsia="es-MX"/>
              </w:rPr>
              <w:t xml:space="preserve">          37,484,265 </w:t>
            </w:r>
          </w:p>
        </w:tc>
      </w:tr>
      <w:tr w:rsidR="00C17F65" w:rsidRPr="006F0DF1" w14:paraId="3030C2FA" w14:textId="77777777" w:rsidTr="000F0321">
        <w:trPr>
          <w:gridBefore w:val="2"/>
          <w:wBefore w:w="21" w:type="dxa"/>
          <w:trHeight w:val="240"/>
          <w:jc w:val="center"/>
        </w:trPr>
        <w:tc>
          <w:tcPr>
            <w:tcW w:w="1558" w:type="dxa"/>
            <w:shd w:val="clear" w:color="auto" w:fill="F2F2F2" w:themeFill="background1" w:themeFillShade="F2"/>
            <w:noWrap/>
            <w:vAlign w:val="bottom"/>
          </w:tcPr>
          <w:p w14:paraId="77D903C6" w14:textId="77777777" w:rsidR="00C17F65" w:rsidRPr="006F0DF1" w:rsidRDefault="00C17F65" w:rsidP="00C17F65">
            <w:pPr>
              <w:spacing w:after="0" w:line="240" w:lineRule="exact"/>
              <w:rPr>
                <w:rFonts w:ascii="Montserrat" w:hAnsi="Montserrat"/>
                <w:b/>
                <w:bCs/>
                <w:sz w:val="14"/>
                <w:szCs w:val="14"/>
                <w:lang w:val="es-ES_tradnl"/>
              </w:rPr>
            </w:pPr>
            <w:r w:rsidRPr="006F0DF1">
              <w:rPr>
                <w:rFonts w:ascii="Montserrat" w:hAnsi="Montserrat"/>
                <w:b/>
                <w:bCs/>
                <w:sz w:val="14"/>
                <w:szCs w:val="14"/>
                <w:lang w:val="es-ES_tradnl"/>
              </w:rPr>
              <w:t>Empresas Productivas</w:t>
            </w:r>
          </w:p>
        </w:tc>
        <w:tc>
          <w:tcPr>
            <w:tcW w:w="1560" w:type="dxa"/>
            <w:shd w:val="clear" w:color="auto" w:fill="F2F2F2" w:themeFill="background1" w:themeFillShade="F2"/>
            <w:noWrap/>
            <w:vAlign w:val="center"/>
          </w:tcPr>
          <w:p w14:paraId="5B72AADB" w14:textId="7C142F04" w:rsidR="00C17F65" w:rsidRPr="00C17F65" w:rsidRDefault="00C17F65" w:rsidP="00C17F65">
            <w:pPr>
              <w:spacing w:after="0"/>
              <w:jc w:val="right"/>
              <w:rPr>
                <w:rFonts w:ascii="Montserrat" w:hAnsi="Montserrat"/>
                <w:b/>
                <w:sz w:val="14"/>
                <w:szCs w:val="14"/>
                <w:lang w:val="es-ES_tradnl"/>
              </w:rPr>
            </w:pPr>
            <w:r w:rsidRPr="000F0321">
              <w:rPr>
                <w:rFonts w:ascii="Montserrat" w:eastAsia="Times New Roman" w:hAnsi="Montserrat" w:cs="Calibri"/>
                <w:b/>
                <w:sz w:val="13"/>
                <w:szCs w:val="13"/>
                <w:lang w:eastAsia="es-MX"/>
              </w:rPr>
              <w:t xml:space="preserve">       260,494,604,978 </w:t>
            </w:r>
          </w:p>
        </w:tc>
        <w:tc>
          <w:tcPr>
            <w:tcW w:w="1559" w:type="dxa"/>
            <w:shd w:val="clear" w:color="auto" w:fill="F2F2F2" w:themeFill="background1" w:themeFillShade="F2"/>
            <w:noWrap/>
            <w:vAlign w:val="center"/>
          </w:tcPr>
          <w:p w14:paraId="59116B00" w14:textId="2D5CA9BC" w:rsidR="00C17F65" w:rsidRPr="00C17F65" w:rsidRDefault="00C17F65" w:rsidP="00C17F65">
            <w:pPr>
              <w:spacing w:after="0"/>
              <w:jc w:val="right"/>
              <w:rPr>
                <w:rFonts w:ascii="Montserrat" w:hAnsi="Montserrat"/>
                <w:b/>
                <w:sz w:val="14"/>
                <w:szCs w:val="14"/>
                <w:lang w:val="es-ES_tradnl"/>
              </w:rPr>
            </w:pPr>
            <w:r w:rsidRPr="000F0321">
              <w:rPr>
                <w:rFonts w:ascii="Montserrat" w:eastAsia="Times New Roman" w:hAnsi="Montserrat" w:cs="Calibri"/>
                <w:b/>
                <w:sz w:val="13"/>
                <w:szCs w:val="13"/>
                <w:lang w:eastAsia="es-MX"/>
              </w:rPr>
              <w:t xml:space="preserve">      1,048,554,107,982 </w:t>
            </w:r>
          </w:p>
        </w:tc>
        <w:tc>
          <w:tcPr>
            <w:tcW w:w="1561" w:type="dxa"/>
            <w:shd w:val="clear" w:color="auto" w:fill="F2F2F2" w:themeFill="background1" w:themeFillShade="F2"/>
            <w:noWrap/>
            <w:vAlign w:val="center"/>
          </w:tcPr>
          <w:p w14:paraId="0C42B7DE" w14:textId="56E85FBF" w:rsidR="00C17F65" w:rsidRPr="00C17F65" w:rsidRDefault="00C17F65" w:rsidP="00C17F65">
            <w:pPr>
              <w:spacing w:after="0"/>
              <w:jc w:val="right"/>
              <w:rPr>
                <w:rFonts w:ascii="Montserrat" w:hAnsi="Montserrat"/>
                <w:b/>
                <w:sz w:val="14"/>
                <w:szCs w:val="14"/>
                <w:lang w:val="es-ES_tradnl"/>
              </w:rPr>
            </w:pPr>
            <w:r w:rsidRPr="000F0321">
              <w:rPr>
                <w:rFonts w:ascii="Montserrat" w:eastAsia="Times New Roman" w:hAnsi="Montserrat" w:cs="Calibri"/>
                <w:b/>
                <w:sz w:val="13"/>
                <w:szCs w:val="13"/>
                <w:lang w:eastAsia="es-MX"/>
              </w:rPr>
              <w:t xml:space="preserve">           5,816,828,740 </w:t>
            </w:r>
          </w:p>
        </w:tc>
        <w:tc>
          <w:tcPr>
            <w:tcW w:w="1518" w:type="dxa"/>
            <w:shd w:val="clear" w:color="auto" w:fill="F2F2F2" w:themeFill="background1" w:themeFillShade="F2"/>
            <w:noWrap/>
            <w:vAlign w:val="center"/>
          </w:tcPr>
          <w:p w14:paraId="76948375" w14:textId="2BAE030C" w:rsidR="00C17F65" w:rsidRPr="00C17F65" w:rsidRDefault="00C17F65" w:rsidP="00C17F65">
            <w:pPr>
              <w:spacing w:after="0"/>
              <w:jc w:val="right"/>
              <w:rPr>
                <w:rFonts w:ascii="Montserrat" w:hAnsi="Montserrat"/>
                <w:b/>
                <w:sz w:val="14"/>
                <w:szCs w:val="14"/>
                <w:lang w:val="es-ES_tradnl"/>
              </w:rPr>
            </w:pPr>
            <w:r w:rsidRPr="000F0321">
              <w:rPr>
                <w:rFonts w:ascii="Montserrat" w:eastAsia="Times New Roman" w:hAnsi="Montserrat" w:cs="Calibri"/>
                <w:b/>
                <w:sz w:val="13"/>
                <w:szCs w:val="13"/>
                <w:lang w:eastAsia="es-MX"/>
              </w:rPr>
              <w:t xml:space="preserve">         1,429,647,973 </w:t>
            </w:r>
          </w:p>
        </w:tc>
        <w:tc>
          <w:tcPr>
            <w:tcW w:w="1417" w:type="dxa"/>
            <w:shd w:val="clear" w:color="auto" w:fill="F2F2F2" w:themeFill="background1" w:themeFillShade="F2"/>
            <w:noWrap/>
            <w:vAlign w:val="center"/>
          </w:tcPr>
          <w:p w14:paraId="3A84081B" w14:textId="4DB7A2F9" w:rsidR="00C17F65" w:rsidRPr="00C17F65" w:rsidRDefault="00C17F65" w:rsidP="00C17F65">
            <w:pPr>
              <w:spacing w:after="0"/>
              <w:jc w:val="right"/>
              <w:rPr>
                <w:rFonts w:ascii="Montserrat" w:hAnsi="Montserrat"/>
                <w:b/>
                <w:sz w:val="14"/>
                <w:szCs w:val="14"/>
                <w:lang w:val="es-ES_tradnl"/>
              </w:rPr>
            </w:pPr>
            <w:r w:rsidRPr="000F0321">
              <w:rPr>
                <w:rFonts w:ascii="Montserrat" w:eastAsia="Times New Roman" w:hAnsi="Montserrat" w:cs="Calibri"/>
                <w:b/>
                <w:sz w:val="13"/>
                <w:szCs w:val="13"/>
                <w:lang w:eastAsia="es-MX"/>
              </w:rPr>
              <w:t xml:space="preserve">         7,228,214,508 </w:t>
            </w:r>
          </w:p>
        </w:tc>
        <w:tc>
          <w:tcPr>
            <w:tcW w:w="1418" w:type="dxa"/>
            <w:shd w:val="clear" w:color="auto" w:fill="F2F2F2" w:themeFill="background1" w:themeFillShade="F2"/>
            <w:noWrap/>
            <w:vAlign w:val="center"/>
          </w:tcPr>
          <w:p w14:paraId="7637BD29" w14:textId="18F40C77" w:rsidR="00C17F65" w:rsidRPr="00C17F65" w:rsidRDefault="00C17F65" w:rsidP="00C17F65">
            <w:pPr>
              <w:spacing w:after="0"/>
              <w:jc w:val="right"/>
              <w:rPr>
                <w:rFonts w:ascii="Montserrat" w:hAnsi="Montserrat"/>
                <w:b/>
                <w:sz w:val="14"/>
                <w:szCs w:val="14"/>
                <w:lang w:val="es-ES_tradnl"/>
              </w:rPr>
            </w:pPr>
            <w:r w:rsidRPr="000F0321">
              <w:rPr>
                <w:rFonts w:ascii="Montserrat" w:eastAsia="Times New Roman" w:hAnsi="Montserrat" w:cs="Calibri"/>
                <w:b/>
                <w:sz w:val="13"/>
                <w:szCs w:val="13"/>
                <w:lang w:eastAsia="es-MX"/>
              </w:rPr>
              <w:t xml:space="preserve">        2,411,923,660 </w:t>
            </w:r>
          </w:p>
        </w:tc>
        <w:tc>
          <w:tcPr>
            <w:tcW w:w="1459" w:type="dxa"/>
            <w:shd w:val="clear" w:color="auto" w:fill="F2F2F2" w:themeFill="background1" w:themeFillShade="F2"/>
            <w:vAlign w:val="center"/>
          </w:tcPr>
          <w:p w14:paraId="5360C76D" w14:textId="658EFB2F" w:rsidR="00C17F65" w:rsidRPr="00C17F65" w:rsidRDefault="00C17F65" w:rsidP="00C17F65">
            <w:pPr>
              <w:spacing w:after="0"/>
              <w:jc w:val="right"/>
              <w:rPr>
                <w:rFonts w:ascii="Montserrat" w:hAnsi="Montserrat"/>
                <w:b/>
                <w:sz w:val="14"/>
                <w:szCs w:val="14"/>
                <w:lang w:val="es-ES_tradnl"/>
              </w:rPr>
            </w:pPr>
            <w:r w:rsidRPr="000F0321">
              <w:rPr>
                <w:rFonts w:ascii="Montserrat" w:eastAsia="Times New Roman" w:hAnsi="Montserrat" w:cs="Calibri"/>
                <w:b/>
                <w:sz w:val="13"/>
                <w:szCs w:val="13"/>
                <w:lang w:eastAsia="es-MX"/>
              </w:rPr>
              <w:t xml:space="preserve">        8,343,752,764 </w:t>
            </w:r>
          </w:p>
        </w:tc>
        <w:tc>
          <w:tcPr>
            <w:tcW w:w="1254" w:type="dxa"/>
            <w:shd w:val="clear" w:color="auto" w:fill="F2F2F2" w:themeFill="background1" w:themeFillShade="F2"/>
            <w:vAlign w:val="center"/>
          </w:tcPr>
          <w:p w14:paraId="42CF926A" w14:textId="39471EA1" w:rsidR="00C17F65" w:rsidRPr="00C17F65" w:rsidRDefault="00C17F65" w:rsidP="00C17F65">
            <w:pPr>
              <w:spacing w:after="0"/>
              <w:jc w:val="right"/>
              <w:rPr>
                <w:rFonts w:ascii="Montserrat" w:hAnsi="Montserrat"/>
                <w:b/>
                <w:sz w:val="14"/>
                <w:szCs w:val="14"/>
                <w:lang w:val="es-ES_tradnl"/>
              </w:rPr>
            </w:pPr>
            <w:r w:rsidRPr="000F0321">
              <w:rPr>
                <w:rFonts w:ascii="Montserrat" w:eastAsia="Times New Roman" w:hAnsi="Montserrat" w:cs="Calibri"/>
                <w:b/>
                <w:sz w:val="13"/>
                <w:szCs w:val="13"/>
                <w:lang w:eastAsia="es-MX"/>
              </w:rPr>
              <w:t xml:space="preserve">    3,606,164,645 </w:t>
            </w:r>
          </w:p>
        </w:tc>
      </w:tr>
      <w:tr w:rsidR="00C17F65" w:rsidRPr="006F0DF1" w14:paraId="04276107" w14:textId="77777777" w:rsidTr="0023764E">
        <w:trPr>
          <w:gridBefore w:val="2"/>
          <w:wBefore w:w="21" w:type="dxa"/>
          <w:trHeight w:val="240"/>
          <w:jc w:val="center"/>
        </w:trPr>
        <w:tc>
          <w:tcPr>
            <w:tcW w:w="1558" w:type="dxa"/>
            <w:shd w:val="clear" w:color="auto" w:fill="F2F2F2" w:themeFill="background1" w:themeFillShade="F2"/>
            <w:noWrap/>
            <w:vAlign w:val="bottom"/>
          </w:tcPr>
          <w:p w14:paraId="59B4BBD3" w14:textId="77777777" w:rsidR="00C17F65" w:rsidRPr="006F0DF1" w:rsidRDefault="00C17F65" w:rsidP="00C17F65">
            <w:pPr>
              <w:spacing w:after="0" w:line="240" w:lineRule="exact"/>
              <w:ind w:left="192"/>
              <w:rPr>
                <w:rFonts w:ascii="Montserrat" w:hAnsi="Montserrat"/>
                <w:sz w:val="14"/>
                <w:szCs w:val="14"/>
                <w:lang w:val="es-ES_tradnl"/>
              </w:rPr>
            </w:pPr>
            <w:r w:rsidRPr="006F0DF1">
              <w:rPr>
                <w:rFonts w:ascii="Montserrat" w:hAnsi="Montserrat"/>
                <w:sz w:val="14"/>
                <w:szCs w:val="14"/>
                <w:lang w:val="es-ES_tradnl"/>
              </w:rPr>
              <w:t>PEMEX</w:t>
            </w:r>
          </w:p>
        </w:tc>
        <w:tc>
          <w:tcPr>
            <w:tcW w:w="1560" w:type="dxa"/>
            <w:shd w:val="clear" w:color="auto" w:fill="F2F2F2" w:themeFill="background1" w:themeFillShade="F2"/>
            <w:noWrap/>
            <w:vAlign w:val="bottom"/>
          </w:tcPr>
          <w:p w14:paraId="059660AD" w14:textId="786ED72F" w:rsidR="00C17F65" w:rsidRPr="005210C6" w:rsidRDefault="00C17F65" w:rsidP="00C17F65">
            <w:pPr>
              <w:spacing w:after="0" w:line="240" w:lineRule="exact"/>
              <w:ind w:right="57"/>
              <w:jc w:val="right"/>
              <w:rPr>
                <w:rFonts w:ascii="Montserrat" w:hAnsi="Montserrat"/>
                <w:sz w:val="14"/>
                <w:szCs w:val="14"/>
                <w:lang w:val="es-ES_tradnl"/>
              </w:rPr>
            </w:pPr>
            <w:r w:rsidRPr="009B0B86">
              <w:rPr>
                <w:rFonts w:ascii="Montserrat" w:eastAsia="Times New Roman" w:hAnsi="Montserrat" w:cs="Calibri"/>
                <w:sz w:val="13"/>
                <w:szCs w:val="13"/>
                <w:lang w:eastAsia="es-MX"/>
              </w:rPr>
              <w:t xml:space="preserve">           101,501,642,916 </w:t>
            </w:r>
          </w:p>
        </w:tc>
        <w:tc>
          <w:tcPr>
            <w:tcW w:w="1559" w:type="dxa"/>
            <w:shd w:val="clear" w:color="auto" w:fill="F2F2F2" w:themeFill="background1" w:themeFillShade="F2"/>
            <w:noWrap/>
            <w:vAlign w:val="bottom"/>
          </w:tcPr>
          <w:p w14:paraId="75078A36" w14:textId="4F4217F7" w:rsidR="00C17F65" w:rsidRPr="005210C6" w:rsidRDefault="00C17F65" w:rsidP="00C17F65">
            <w:pPr>
              <w:spacing w:after="0" w:line="240" w:lineRule="exact"/>
              <w:ind w:right="57"/>
              <w:jc w:val="right"/>
              <w:rPr>
                <w:rFonts w:ascii="Montserrat" w:hAnsi="Montserrat"/>
                <w:sz w:val="14"/>
                <w:szCs w:val="14"/>
                <w:lang w:val="es-ES_tradnl"/>
              </w:rPr>
            </w:pPr>
            <w:r w:rsidRPr="009B0B86">
              <w:rPr>
                <w:rFonts w:ascii="Montserrat" w:eastAsia="Times New Roman" w:hAnsi="Montserrat" w:cs="Calibri"/>
                <w:sz w:val="13"/>
                <w:szCs w:val="13"/>
                <w:lang w:eastAsia="es-MX"/>
              </w:rPr>
              <w:t xml:space="preserve">          132,927,666,098 </w:t>
            </w:r>
          </w:p>
        </w:tc>
        <w:tc>
          <w:tcPr>
            <w:tcW w:w="1561" w:type="dxa"/>
            <w:shd w:val="clear" w:color="auto" w:fill="F2F2F2" w:themeFill="background1" w:themeFillShade="F2"/>
            <w:noWrap/>
            <w:vAlign w:val="bottom"/>
          </w:tcPr>
          <w:p w14:paraId="3D4E30C1" w14:textId="359E3C2B" w:rsidR="00C17F65" w:rsidRPr="005210C6" w:rsidRDefault="00C17F65" w:rsidP="00C17F65">
            <w:pPr>
              <w:spacing w:after="0" w:line="240" w:lineRule="exact"/>
              <w:ind w:right="57"/>
              <w:jc w:val="right"/>
              <w:rPr>
                <w:rFonts w:ascii="Montserrat" w:hAnsi="Montserrat"/>
                <w:sz w:val="14"/>
                <w:szCs w:val="14"/>
                <w:lang w:val="es-ES_tradnl"/>
              </w:rPr>
            </w:pPr>
            <w:r w:rsidRPr="009B0B86">
              <w:rPr>
                <w:rFonts w:ascii="Montserrat" w:eastAsia="Times New Roman" w:hAnsi="Montserrat" w:cs="Calibri"/>
                <w:sz w:val="13"/>
                <w:szCs w:val="13"/>
                <w:lang w:eastAsia="es-MX"/>
              </w:rPr>
              <w:t xml:space="preserve">           4,080,544,255 </w:t>
            </w:r>
          </w:p>
        </w:tc>
        <w:tc>
          <w:tcPr>
            <w:tcW w:w="1518" w:type="dxa"/>
            <w:shd w:val="clear" w:color="auto" w:fill="F2F2F2" w:themeFill="background1" w:themeFillShade="F2"/>
            <w:noWrap/>
            <w:vAlign w:val="bottom"/>
          </w:tcPr>
          <w:p w14:paraId="7BB12EC2" w14:textId="12770482" w:rsidR="00C17F65" w:rsidRPr="005210C6" w:rsidRDefault="00C17F65" w:rsidP="00C17F65">
            <w:pPr>
              <w:spacing w:after="0" w:line="240" w:lineRule="exact"/>
              <w:ind w:right="57"/>
              <w:jc w:val="right"/>
              <w:rPr>
                <w:rFonts w:ascii="Montserrat" w:hAnsi="Montserrat"/>
                <w:sz w:val="14"/>
                <w:szCs w:val="14"/>
                <w:lang w:val="es-ES_tradnl"/>
              </w:rPr>
            </w:pPr>
            <w:r w:rsidRPr="009B0B86">
              <w:rPr>
                <w:rFonts w:ascii="Montserrat" w:eastAsia="Times New Roman" w:hAnsi="Montserrat" w:cs="Calibri"/>
                <w:sz w:val="13"/>
                <w:szCs w:val="13"/>
                <w:lang w:eastAsia="es-MX"/>
              </w:rPr>
              <w:t xml:space="preserve">             903,125,742 </w:t>
            </w:r>
          </w:p>
        </w:tc>
        <w:tc>
          <w:tcPr>
            <w:tcW w:w="1417" w:type="dxa"/>
            <w:shd w:val="clear" w:color="auto" w:fill="F2F2F2" w:themeFill="background1" w:themeFillShade="F2"/>
            <w:noWrap/>
            <w:vAlign w:val="bottom"/>
          </w:tcPr>
          <w:p w14:paraId="575BAFBA" w14:textId="7AF49C41" w:rsidR="00C17F65" w:rsidRPr="005210C6" w:rsidRDefault="00C17F65" w:rsidP="00C17F65">
            <w:pPr>
              <w:spacing w:after="0" w:line="240" w:lineRule="exact"/>
              <w:ind w:right="57"/>
              <w:jc w:val="right"/>
              <w:rPr>
                <w:rFonts w:ascii="Montserrat" w:hAnsi="Montserrat"/>
                <w:sz w:val="14"/>
                <w:szCs w:val="14"/>
                <w:lang w:val="es-ES_tradnl"/>
              </w:rPr>
            </w:pPr>
            <w:r w:rsidRPr="009B0B86">
              <w:rPr>
                <w:rFonts w:ascii="Montserrat" w:eastAsia="Times New Roman" w:hAnsi="Montserrat" w:cs="Calibri"/>
                <w:sz w:val="13"/>
                <w:szCs w:val="13"/>
                <w:lang w:eastAsia="es-MX"/>
              </w:rPr>
              <w:t xml:space="preserve">         4,821,576,725 </w:t>
            </w:r>
          </w:p>
        </w:tc>
        <w:tc>
          <w:tcPr>
            <w:tcW w:w="1418" w:type="dxa"/>
            <w:shd w:val="clear" w:color="auto" w:fill="F2F2F2" w:themeFill="background1" w:themeFillShade="F2"/>
            <w:noWrap/>
            <w:vAlign w:val="bottom"/>
          </w:tcPr>
          <w:p w14:paraId="73715818" w14:textId="151B7030" w:rsidR="00C17F65" w:rsidRPr="005210C6" w:rsidRDefault="00C17F65" w:rsidP="00C17F65">
            <w:pPr>
              <w:spacing w:after="0" w:line="240" w:lineRule="exact"/>
              <w:ind w:right="57"/>
              <w:jc w:val="right"/>
              <w:rPr>
                <w:rFonts w:ascii="Montserrat" w:hAnsi="Montserrat"/>
                <w:sz w:val="14"/>
                <w:szCs w:val="14"/>
                <w:lang w:val="es-ES_tradnl"/>
              </w:rPr>
            </w:pPr>
            <w:r w:rsidRPr="009B0B86">
              <w:rPr>
                <w:rFonts w:ascii="Montserrat" w:eastAsia="Times New Roman" w:hAnsi="Montserrat" w:cs="Calibri"/>
                <w:sz w:val="13"/>
                <w:szCs w:val="13"/>
                <w:lang w:eastAsia="es-MX"/>
              </w:rPr>
              <w:t xml:space="preserve">        1,441,169,759 </w:t>
            </w:r>
          </w:p>
        </w:tc>
        <w:tc>
          <w:tcPr>
            <w:tcW w:w="1459" w:type="dxa"/>
            <w:shd w:val="clear" w:color="auto" w:fill="F2F2F2" w:themeFill="background1" w:themeFillShade="F2"/>
            <w:vAlign w:val="bottom"/>
          </w:tcPr>
          <w:p w14:paraId="5E4D95A4" w14:textId="58AB9D9B" w:rsidR="00C17F65" w:rsidRPr="005210C6" w:rsidRDefault="00C17F65" w:rsidP="00C17F65">
            <w:pPr>
              <w:spacing w:after="0" w:line="240" w:lineRule="exact"/>
              <w:ind w:right="57"/>
              <w:jc w:val="right"/>
              <w:rPr>
                <w:rFonts w:ascii="Montserrat" w:hAnsi="Montserrat"/>
                <w:sz w:val="14"/>
                <w:szCs w:val="14"/>
                <w:lang w:val="es-ES_tradnl"/>
              </w:rPr>
            </w:pPr>
            <w:r w:rsidRPr="009B0B86">
              <w:rPr>
                <w:rFonts w:ascii="Montserrat" w:eastAsia="Times New Roman" w:hAnsi="Montserrat" w:cs="Calibri"/>
                <w:sz w:val="13"/>
                <w:szCs w:val="13"/>
                <w:lang w:eastAsia="es-MX"/>
              </w:rPr>
              <w:t xml:space="preserve">        5,329,869,137 </w:t>
            </w:r>
          </w:p>
        </w:tc>
        <w:tc>
          <w:tcPr>
            <w:tcW w:w="1254" w:type="dxa"/>
            <w:shd w:val="clear" w:color="auto" w:fill="F2F2F2" w:themeFill="background1" w:themeFillShade="F2"/>
            <w:vAlign w:val="bottom"/>
          </w:tcPr>
          <w:p w14:paraId="61729768" w14:textId="4ACA17AD" w:rsidR="00C17F65" w:rsidRPr="005210C6" w:rsidRDefault="00C17F65" w:rsidP="00C17F65">
            <w:pPr>
              <w:spacing w:after="0" w:line="240" w:lineRule="exact"/>
              <w:ind w:right="57"/>
              <w:jc w:val="right"/>
              <w:rPr>
                <w:rFonts w:ascii="Montserrat" w:hAnsi="Montserrat"/>
                <w:sz w:val="14"/>
                <w:szCs w:val="14"/>
                <w:lang w:val="es-ES_tradnl"/>
              </w:rPr>
            </w:pPr>
            <w:r w:rsidRPr="009B0B86">
              <w:rPr>
                <w:rFonts w:ascii="Montserrat" w:eastAsia="Times New Roman" w:hAnsi="Montserrat" w:cs="Calibri"/>
                <w:sz w:val="13"/>
                <w:szCs w:val="13"/>
                <w:lang w:eastAsia="es-MX"/>
              </w:rPr>
              <w:t xml:space="preserve">     2,053,194,943 </w:t>
            </w:r>
          </w:p>
        </w:tc>
      </w:tr>
      <w:tr w:rsidR="00C17F65" w:rsidRPr="006F0DF1" w14:paraId="2DC34DB4" w14:textId="77777777" w:rsidTr="0023764E">
        <w:trPr>
          <w:gridBefore w:val="2"/>
          <w:wBefore w:w="21" w:type="dxa"/>
          <w:trHeight w:val="240"/>
          <w:jc w:val="center"/>
        </w:trPr>
        <w:tc>
          <w:tcPr>
            <w:tcW w:w="1558" w:type="dxa"/>
            <w:shd w:val="clear" w:color="auto" w:fill="F2F2F2" w:themeFill="background1" w:themeFillShade="F2"/>
            <w:noWrap/>
            <w:vAlign w:val="bottom"/>
          </w:tcPr>
          <w:p w14:paraId="75C200C3" w14:textId="77777777" w:rsidR="00C17F65" w:rsidRPr="006F0DF1" w:rsidRDefault="00C17F65" w:rsidP="00C17F65">
            <w:pPr>
              <w:spacing w:after="0" w:line="240" w:lineRule="exact"/>
              <w:ind w:left="192"/>
              <w:rPr>
                <w:rFonts w:ascii="Montserrat" w:hAnsi="Montserrat"/>
                <w:sz w:val="14"/>
                <w:szCs w:val="14"/>
                <w:lang w:val="es-ES_tradnl"/>
              </w:rPr>
            </w:pPr>
            <w:r w:rsidRPr="006F0DF1">
              <w:rPr>
                <w:rFonts w:ascii="Montserrat" w:hAnsi="Montserrat"/>
                <w:sz w:val="14"/>
                <w:szCs w:val="14"/>
                <w:lang w:val="es-ES_tradnl"/>
              </w:rPr>
              <w:t>CFE</w:t>
            </w:r>
          </w:p>
        </w:tc>
        <w:tc>
          <w:tcPr>
            <w:tcW w:w="1560" w:type="dxa"/>
            <w:shd w:val="clear" w:color="auto" w:fill="F2F2F2" w:themeFill="background1" w:themeFillShade="F2"/>
            <w:noWrap/>
            <w:vAlign w:val="bottom"/>
          </w:tcPr>
          <w:p w14:paraId="2EA43406" w14:textId="45FB35EB" w:rsidR="00C17F65" w:rsidRPr="005210C6" w:rsidRDefault="00C17F65" w:rsidP="00C17F65">
            <w:pPr>
              <w:spacing w:after="0" w:line="240" w:lineRule="exact"/>
              <w:ind w:right="57"/>
              <w:jc w:val="right"/>
              <w:rPr>
                <w:rFonts w:ascii="Montserrat" w:hAnsi="Montserrat"/>
                <w:sz w:val="14"/>
                <w:szCs w:val="14"/>
                <w:lang w:val="es-ES_tradnl"/>
              </w:rPr>
            </w:pPr>
            <w:r w:rsidRPr="009B0B86">
              <w:rPr>
                <w:rFonts w:ascii="Montserrat" w:eastAsia="Times New Roman" w:hAnsi="Montserrat" w:cs="Calibri"/>
                <w:sz w:val="13"/>
                <w:szCs w:val="13"/>
                <w:lang w:eastAsia="es-MX"/>
              </w:rPr>
              <w:t xml:space="preserve">        158,992,962,062 </w:t>
            </w:r>
          </w:p>
        </w:tc>
        <w:tc>
          <w:tcPr>
            <w:tcW w:w="1559" w:type="dxa"/>
            <w:shd w:val="clear" w:color="auto" w:fill="F2F2F2" w:themeFill="background1" w:themeFillShade="F2"/>
            <w:noWrap/>
            <w:vAlign w:val="bottom"/>
          </w:tcPr>
          <w:p w14:paraId="6C6C9555" w14:textId="51504BB1" w:rsidR="00C17F65" w:rsidRPr="005210C6" w:rsidRDefault="00C17F65" w:rsidP="00C17F65">
            <w:pPr>
              <w:spacing w:after="0" w:line="240" w:lineRule="exact"/>
              <w:ind w:right="57"/>
              <w:jc w:val="right"/>
              <w:rPr>
                <w:rFonts w:ascii="Montserrat" w:hAnsi="Montserrat"/>
                <w:sz w:val="14"/>
                <w:szCs w:val="14"/>
                <w:lang w:val="es-ES_tradnl"/>
              </w:rPr>
            </w:pPr>
            <w:r w:rsidRPr="009B0B86">
              <w:rPr>
                <w:rFonts w:ascii="Montserrat" w:eastAsia="Times New Roman" w:hAnsi="Montserrat" w:cs="Calibri"/>
                <w:sz w:val="13"/>
                <w:szCs w:val="13"/>
                <w:lang w:eastAsia="es-MX"/>
              </w:rPr>
              <w:t xml:space="preserve">          915,626,441,884 </w:t>
            </w:r>
          </w:p>
        </w:tc>
        <w:tc>
          <w:tcPr>
            <w:tcW w:w="1561" w:type="dxa"/>
            <w:shd w:val="clear" w:color="auto" w:fill="F2F2F2" w:themeFill="background1" w:themeFillShade="F2"/>
            <w:noWrap/>
            <w:vAlign w:val="bottom"/>
          </w:tcPr>
          <w:p w14:paraId="1CA9BED7" w14:textId="10749E8B" w:rsidR="00C17F65" w:rsidRPr="005210C6" w:rsidRDefault="00C17F65" w:rsidP="00C17F65">
            <w:pPr>
              <w:spacing w:after="0" w:line="240" w:lineRule="exact"/>
              <w:ind w:right="57"/>
              <w:jc w:val="right"/>
              <w:rPr>
                <w:rFonts w:ascii="Montserrat" w:hAnsi="Montserrat"/>
                <w:sz w:val="14"/>
                <w:szCs w:val="14"/>
                <w:lang w:val="es-ES_tradnl"/>
              </w:rPr>
            </w:pPr>
            <w:r w:rsidRPr="009B0B86">
              <w:rPr>
                <w:rFonts w:ascii="Montserrat" w:eastAsia="Times New Roman" w:hAnsi="Montserrat" w:cs="Calibri"/>
                <w:sz w:val="13"/>
                <w:szCs w:val="13"/>
                <w:lang w:eastAsia="es-MX"/>
              </w:rPr>
              <w:t xml:space="preserve">           1,736,284,485 </w:t>
            </w:r>
          </w:p>
        </w:tc>
        <w:tc>
          <w:tcPr>
            <w:tcW w:w="1518" w:type="dxa"/>
            <w:shd w:val="clear" w:color="auto" w:fill="F2F2F2" w:themeFill="background1" w:themeFillShade="F2"/>
            <w:noWrap/>
            <w:vAlign w:val="bottom"/>
          </w:tcPr>
          <w:p w14:paraId="370AF361" w14:textId="64F2FAC8" w:rsidR="00C17F65" w:rsidRPr="005210C6" w:rsidRDefault="00C17F65" w:rsidP="00C17F65">
            <w:pPr>
              <w:spacing w:after="0" w:line="240" w:lineRule="exact"/>
              <w:ind w:right="57"/>
              <w:jc w:val="right"/>
              <w:rPr>
                <w:rFonts w:ascii="Montserrat" w:hAnsi="Montserrat"/>
                <w:sz w:val="14"/>
                <w:szCs w:val="14"/>
                <w:lang w:val="es-ES_tradnl"/>
              </w:rPr>
            </w:pPr>
            <w:r w:rsidRPr="009B0B86">
              <w:rPr>
                <w:rFonts w:ascii="Montserrat" w:eastAsia="Times New Roman" w:hAnsi="Montserrat" w:cs="Calibri"/>
                <w:sz w:val="13"/>
                <w:szCs w:val="13"/>
                <w:lang w:eastAsia="es-MX"/>
              </w:rPr>
              <w:t xml:space="preserve">             526,522,231 </w:t>
            </w:r>
          </w:p>
        </w:tc>
        <w:tc>
          <w:tcPr>
            <w:tcW w:w="1417" w:type="dxa"/>
            <w:shd w:val="clear" w:color="auto" w:fill="F2F2F2" w:themeFill="background1" w:themeFillShade="F2"/>
            <w:noWrap/>
            <w:vAlign w:val="bottom"/>
          </w:tcPr>
          <w:p w14:paraId="3A27AFB3" w14:textId="588BC503" w:rsidR="00C17F65" w:rsidRPr="005210C6" w:rsidRDefault="00C17F65" w:rsidP="00C17F65">
            <w:pPr>
              <w:spacing w:after="0" w:line="240" w:lineRule="exact"/>
              <w:ind w:right="57"/>
              <w:jc w:val="right"/>
              <w:rPr>
                <w:rFonts w:ascii="Montserrat" w:hAnsi="Montserrat"/>
                <w:sz w:val="14"/>
                <w:szCs w:val="14"/>
                <w:lang w:val="es-ES_tradnl"/>
              </w:rPr>
            </w:pPr>
            <w:r w:rsidRPr="009B0B86">
              <w:rPr>
                <w:rFonts w:ascii="Montserrat" w:eastAsia="Times New Roman" w:hAnsi="Montserrat" w:cs="Calibri"/>
                <w:sz w:val="13"/>
                <w:szCs w:val="13"/>
                <w:lang w:eastAsia="es-MX"/>
              </w:rPr>
              <w:t xml:space="preserve">         2,406,637,783 </w:t>
            </w:r>
          </w:p>
        </w:tc>
        <w:tc>
          <w:tcPr>
            <w:tcW w:w="1418" w:type="dxa"/>
            <w:shd w:val="clear" w:color="auto" w:fill="F2F2F2" w:themeFill="background1" w:themeFillShade="F2"/>
            <w:noWrap/>
            <w:vAlign w:val="bottom"/>
          </w:tcPr>
          <w:p w14:paraId="1F8C293E" w14:textId="0511F5AF" w:rsidR="00C17F65" w:rsidRPr="005210C6" w:rsidRDefault="00C17F65" w:rsidP="00C17F65">
            <w:pPr>
              <w:spacing w:after="0" w:line="240" w:lineRule="exact"/>
              <w:ind w:right="57"/>
              <w:jc w:val="right"/>
              <w:rPr>
                <w:rFonts w:ascii="Montserrat" w:hAnsi="Montserrat"/>
                <w:sz w:val="14"/>
                <w:szCs w:val="14"/>
                <w:lang w:val="es-ES_tradnl"/>
              </w:rPr>
            </w:pPr>
            <w:r w:rsidRPr="009B0B86">
              <w:rPr>
                <w:rFonts w:ascii="Montserrat" w:eastAsia="Times New Roman" w:hAnsi="Montserrat" w:cs="Calibri"/>
                <w:sz w:val="13"/>
                <w:szCs w:val="13"/>
                <w:lang w:eastAsia="es-MX"/>
              </w:rPr>
              <w:t xml:space="preserve">           970,753,901 </w:t>
            </w:r>
          </w:p>
        </w:tc>
        <w:tc>
          <w:tcPr>
            <w:tcW w:w="1459" w:type="dxa"/>
            <w:shd w:val="clear" w:color="auto" w:fill="F2F2F2" w:themeFill="background1" w:themeFillShade="F2"/>
            <w:vAlign w:val="bottom"/>
          </w:tcPr>
          <w:p w14:paraId="5F16E060" w14:textId="1D0AFC24" w:rsidR="00C17F65" w:rsidRPr="005210C6" w:rsidRDefault="00C17F65" w:rsidP="00C17F65">
            <w:pPr>
              <w:spacing w:after="0" w:line="240" w:lineRule="exact"/>
              <w:ind w:right="57"/>
              <w:jc w:val="right"/>
              <w:rPr>
                <w:rFonts w:ascii="Montserrat" w:hAnsi="Montserrat"/>
                <w:sz w:val="14"/>
                <w:szCs w:val="14"/>
                <w:lang w:val="es-ES_tradnl"/>
              </w:rPr>
            </w:pPr>
            <w:r w:rsidRPr="009B0B86">
              <w:rPr>
                <w:rFonts w:ascii="Montserrat" w:eastAsia="Times New Roman" w:hAnsi="Montserrat" w:cs="Calibri"/>
                <w:sz w:val="13"/>
                <w:szCs w:val="13"/>
                <w:lang w:eastAsia="es-MX"/>
              </w:rPr>
              <w:t xml:space="preserve">        3,013,883,627 </w:t>
            </w:r>
          </w:p>
        </w:tc>
        <w:tc>
          <w:tcPr>
            <w:tcW w:w="1254" w:type="dxa"/>
            <w:shd w:val="clear" w:color="auto" w:fill="F2F2F2" w:themeFill="background1" w:themeFillShade="F2"/>
            <w:vAlign w:val="bottom"/>
          </w:tcPr>
          <w:p w14:paraId="0BAAAD34" w14:textId="4977A215" w:rsidR="00C17F65" w:rsidRPr="005210C6" w:rsidRDefault="00C17F65" w:rsidP="00C17F65">
            <w:pPr>
              <w:spacing w:after="0" w:line="240" w:lineRule="exact"/>
              <w:ind w:right="57"/>
              <w:jc w:val="right"/>
              <w:rPr>
                <w:rFonts w:ascii="Montserrat" w:hAnsi="Montserrat"/>
                <w:sz w:val="14"/>
                <w:szCs w:val="14"/>
                <w:lang w:val="es-ES_tradnl"/>
              </w:rPr>
            </w:pPr>
            <w:r w:rsidRPr="009B0B86">
              <w:rPr>
                <w:rFonts w:ascii="Montserrat" w:eastAsia="Times New Roman" w:hAnsi="Montserrat" w:cs="Calibri"/>
                <w:sz w:val="13"/>
                <w:szCs w:val="13"/>
                <w:lang w:eastAsia="es-MX"/>
              </w:rPr>
              <w:t xml:space="preserve">     1,552,969,702 </w:t>
            </w:r>
          </w:p>
        </w:tc>
      </w:tr>
      <w:tr w:rsidR="00C17F65" w:rsidRPr="006F0DF1" w14:paraId="5D0190F4" w14:textId="77777777" w:rsidTr="0023764E">
        <w:trPr>
          <w:gridBefore w:val="2"/>
          <w:wBefore w:w="21" w:type="dxa"/>
          <w:trHeight w:val="240"/>
          <w:jc w:val="center"/>
        </w:trPr>
        <w:tc>
          <w:tcPr>
            <w:tcW w:w="1558" w:type="dxa"/>
            <w:shd w:val="clear" w:color="auto" w:fill="F2F2F2" w:themeFill="background1" w:themeFillShade="F2"/>
            <w:noWrap/>
            <w:vAlign w:val="bottom"/>
            <w:hideMark/>
          </w:tcPr>
          <w:p w14:paraId="3888B381" w14:textId="77777777" w:rsidR="00C17F65" w:rsidRPr="006F0DF1" w:rsidRDefault="00C17F65" w:rsidP="00C17F65">
            <w:pPr>
              <w:spacing w:after="0" w:line="240" w:lineRule="exact"/>
              <w:rPr>
                <w:rFonts w:ascii="Montserrat" w:hAnsi="Montserrat"/>
                <w:b/>
                <w:bCs/>
                <w:sz w:val="14"/>
                <w:szCs w:val="14"/>
                <w:lang w:val="es-ES_tradnl"/>
              </w:rPr>
            </w:pPr>
            <w:r w:rsidRPr="006F0DF1">
              <w:rPr>
                <w:rFonts w:ascii="Montserrat" w:hAnsi="Montserrat"/>
                <w:b/>
                <w:bCs/>
                <w:sz w:val="14"/>
                <w:szCs w:val="14"/>
                <w:lang w:val="es-ES_tradnl"/>
              </w:rPr>
              <w:t>Otros</w:t>
            </w:r>
          </w:p>
        </w:tc>
        <w:tc>
          <w:tcPr>
            <w:tcW w:w="1560" w:type="dxa"/>
            <w:shd w:val="clear" w:color="auto" w:fill="F2F2F2" w:themeFill="background1" w:themeFillShade="F2"/>
            <w:noWrap/>
            <w:vAlign w:val="bottom"/>
          </w:tcPr>
          <w:p w14:paraId="6F5B2FC8" w14:textId="0D91D187" w:rsidR="00C17F65" w:rsidRPr="009635EF" w:rsidRDefault="00C17F65" w:rsidP="00C17F65">
            <w:pPr>
              <w:spacing w:after="0"/>
              <w:jc w:val="right"/>
              <w:rPr>
                <w:rFonts w:ascii="Montserrat" w:hAnsi="Montserrat"/>
                <w:b/>
                <w:sz w:val="14"/>
                <w:szCs w:val="14"/>
                <w:lang w:val="es-ES_tradnl"/>
              </w:rPr>
            </w:pPr>
            <w:r w:rsidRPr="000F0321">
              <w:rPr>
                <w:rFonts w:ascii="Montserrat" w:eastAsia="Times New Roman" w:hAnsi="Montserrat" w:cs="Calibri"/>
                <w:b/>
                <w:sz w:val="13"/>
                <w:szCs w:val="13"/>
                <w:lang w:eastAsia="es-MX"/>
              </w:rPr>
              <w:t xml:space="preserve">         276,534,328,601 </w:t>
            </w:r>
          </w:p>
        </w:tc>
        <w:tc>
          <w:tcPr>
            <w:tcW w:w="1559" w:type="dxa"/>
            <w:shd w:val="clear" w:color="auto" w:fill="F2F2F2" w:themeFill="background1" w:themeFillShade="F2"/>
            <w:noWrap/>
            <w:vAlign w:val="bottom"/>
          </w:tcPr>
          <w:p w14:paraId="1844F648" w14:textId="2E1FEFFA" w:rsidR="00C17F65" w:rsidRPr="009635EF" w:rsidRDefault="00C17F65" w:rsidP="00C17F65">
            <w:pPr>
              <w:spacing w:after="0"/>
              <w:jc w:val="right"/>
              <w:rPr>
                <w:rFonts w:ascii="Montserrat" w:hAnsi="Montserrat"/>
                <w:b/>
                <w:sz w:val="14"/>
                <w:szCs w:val="14"/>
                <w:lang w:val="es-ES_tradnl"/>
              </w:rPr>
            </w:pPr>
            <w:r w:rsidRPr="000F0321">
              <w:rPr>
                <w:rFonts w:ascii="Montserrat" w:eastAsia="Times New Roman" w:hAnsi="Montserrat" w:cs="Calibri"/>
                <w:b/>
                <w:sz w:val="13"/>
                <w:szCs w:val="13"/>
                <w:lang w:eastAsia="es-MX"/>
              </w:rPr>
              <w:t xml:space="preserve">           14,892,432,934 </w:t>
            </w:r>
          </w:p>
        </w:tc>
        <w:tc>
          <w:tcPr>
            <w:tcW w:w="1561" w:type="dxa"/>
            <w:shd w:val="clear" w:color="auto" w:fill="F2F2F2" w:themeFill="background1" w:themeFillShade="F2"/>
            <w:noWrap/>
            <w:vAlign w:val="bottom"/>
          </w:tcPr>
          <w:p w14:paraId="28A8EDEB" w14:textId="1A460BAF" w:rsidR="00C17F65" w:rsidRPr="009635EF" w:rsidRDefault="00C17F65" w:rsidP="00C17F65">
            <w:pPr>
              <w:spacing w:after="0"/>
              <w:jc w:val="right"/>
              <w:rPr>
                <w:rFonts w:ascii="Montserrat" w:hAnsi="Montserrat"/>
                <w:b/>
                <w:sz w:val="14"/>
                <w:szCs w:val="14"/>
                <w:lang w:val="es-ES_tradnl"/>
              </w:rPr>
            </w:pPr>
            <w:r w:rsidRPr="000F0321">
              <w:rPr>
                <w:rFonts w:ascii="Montserrat" w:eastAsia="Times New Roman" w:hAnsi="Montserrat" w:cs="Calibri"/>
                <w:b/>
                <w:sz w:val="13"/>
                <w:szCs w:val="13"/>
                <w:lang w:eastAsia="es-MX"/>
              </w:rPr>
              <w:t xml:space="preserve">         26,929,679,900 </w:t>
            </w:r>
          </w:p>
        </w:tc>
        <w:tc>
          <w:tcPr>
            <w:tcW w:w="1518" w:type="dxa"/>
            <w:shd w:val="clear" w:color="auto" w:fill="F2F2F2" w:themeFill="background1" w:themeFillShade="F2"/>
            <w:noWrap/>
            <w:vAlign w:val="bottom"/>
          </w:tcPr>
          <w:p w14:paraId="73BC07F7" w14:textId="0C3B0574" w:rsidR="00C17F65" w:rsidRPr="009635EF" w:rsidRDefault="00C17F65" w:rsidP="00C17F65">
            <w:pPr>
              <w:spacing w:after="0"/>
              <w:jc w:val="right"/>
              <w:rPr>
                <w:rFonts w:ascii="Montserrat" w:hAnsi="Montserrat"/>
                <w:b/>
                <w:sz w:val="14"/>
                <w:szCs w:val="14"/>
                <w:lang w:val="es-ES_tradnl"/>
              </w:rPr>
            </w:pPr>
            <w:r w:rsidRPr="000F0321">
              <w:rPr>
                <w:rFonts w:ascii="Montserrat" w:eastAsia="Times New Roman" w:hAnsi="Montserrat" w:cs="Calibri"/>
                <w:b/>
                <w:sz w:val="13"/>
                <w:szCs w:val="13"/>
                <w:lang w:eastAsia="es-MX"/>
              </w:rPr>
              <w:t xml:space="preserve">         3,410,549,629 </w:t>
            </w:r>
          </w:p>
        </w:tc>
        <w:tc>
          <w:tcPr>
            <w:tcW w:w="1417" w:type="dxa"/>
            <w:shd w:val="clear" w:color="auto" w:fill="F2F2F2" w:themeFill="background1" w:themeFillShade="F2"/>
            <w:noWrap/>
            <w:vAlign w:val="bottom"/>
          </w:tcPr>
          <w:p w14:paraId="0F8A8665" w14:textId="4F4CF48D" w:rsidR="00C17F65" w:rsidRPr="009635EF" w:rsidRDefault="00C17F65" w:rsidP="00C17F65">
            <w:pPr>
              <w:spacing w:after="0"/>
              <w:jc w:val="right"/>
              <w:rPr>
                <w:rFonts w:ascii="Montserrat" w:hAnsi="Montserrat"/>
                <w:b/>
                <w:sz w:val="14"/>
                <w:szCs w:val="14"/>
                <w:lang w:val="es-ES_tradnl"/>
              </w:rPr>
            </w:pPr>
            <w:r w:rsidRPr="000F0321">
              <w:rPr>
                <w:rFonts w:ascii="Montserrat" w:eastAsia="Times New Roman" w:hAnsi="Montserrat" w:cs="Calibri"/>
                <w:b/>
                <w:sz w:val="13"/>
                <w:szCs w:val="13"/>
                <w:lang w:eastAsia="es-MX"/>
              </w:rPr>
              <w:t xml:space="preserve">       16,305,244,417 </w:t>
            </w:r>
          </w:p>
        </w:tc>
        <w:tc>
          <w:tcPr>
            <w:tcW w:w="1418" w:type="dxa"/>
            <w:shd w:val="clear" w:color="auto" w:fill="F2F2F2" w:themeFill="background1" w:themeFillShade="F2"/>
            <w:noWrap/>
            <w:vAlign w:val="bottom"/>
          </w:tcPr>
          <w:p w14:paraId="50528750" w14:textId="564EB504" w:rsidR="00C17F65" w:rsidRPr="009635EF" w:rsidRDefault="00C17F65" w:rsidP="00C17F65">
            <w:pPr>
              <w:spacing w:after="0"/>
              <w:jc w:val="right"/>
              <w:rPr>
                <w:rFonts w:ascii="Montserrat" w:hAnsi="Montserrat"/>
                <w:b/>
                <w:sz w:val="14"/>
                <w:szCs w:val="14"/>
                <w:lang w:val="es-ES_tradnl"/>
              </w:rPr>
            </w:pPr>
            <w:r w:rsidRPr="000F0321">
              <w:rPr>
                <w:rFonts w:ascii="Montserrat" w:eastAsia="Times New Roman" w:hAnsi="Montserrat" w:cs="Calibri"/>
                <w:b/>
                <w:sz w:val="13"/>
                <w:szCs w:val="13"/>
                <w:lang w:eastAsia="es-MX"/>
              </w:rPr>
              <w:t xml:space="preserve">        3,032,950,307 </w:t>
            </w:r>
          </w:p>
        </w:tc>
        <w:tc>
          <w:tcPr>
            <w:tcW w:w="1459" w:type="dxa"/>
            <w:shd w:val="clear" w:color="auto" w:fill="F2F2F2" w:themeFill="background1" w:themeFillShade="F2"/>
            <w:vAlign w:val="bottom"/>
          </w:tcPr>
          <w:p w14:paraId="091DF1DD" w14:textId="24833498" w:rsidR="00C17F65" w:rsidRPr="009635EF" w:rsidRDefault="00C17F65" w:rsidP="00C17F65">
            <w:pPr>
              <w:spacing w:after="0"/>
              <w:jc w:val="right"/>
              <w:rPr>
                <w:rFonts w:ascii="Montserrat" w:hAnsi="Montserrat"/>
                <w:b/>
                <w:sz w:val="14"/>
                <w:szCs w:val="14"/>
                <w:lang w:val="es-ES_tradnl"/>
              </w:rPr>
            </w:pPr>
            <w:r w:rsidRPr="000F0321">
              <w:rPr>
                <w:rFonts w:ascii="Montserrat" w:eastAsia="Times New Roman" w:hAnsi="Montserrat" w:cs="Calibri"/>
                <w:b/>
                <w:sz w:val="13"/>
                <w:szCs w:val="13"/>
                <w:lang w:eastAsia="es-MX"/>
              </w:rPr>
              <w:t xml:space="preserve">     15,628,804,224 </w:t>
            </w:r>
          </w:p>
        </w:tc>
        <w:tc>
          <w:tcPr>
            <w:tcW w:w="1254" w:type="dxa"/>
            <w:shd w:val="clear" w:color="auto" w:fill="F2F2F2" w:themeFill="background1" w:themeFillShade="F2"/>
            <w:vAlign w:val="bottom"/>
          </w:tcPr>
          <w:p w14:paraId="5CD4710B" w14:textId="58857266" w:rsidR="00C17F65" w:rsidRPr="009635EF" w:rsidRDefault="00C17F65" w:rsidP="00C17F65">
            <w:pPr>
              <w:spacing w:after="0"/>
              <w:jc w:val="right"/>
              <w:rPr>
                <w:rFonts w:ascii="Montserrat" w:hAnsi="Montserrat"/>
                <w:b/>
                <w:sz w:val="14"/>
                <w:szCs w:val="14"/>
                <w:lang w:val="es-ES_tradnl"/>
              </w:rPr>
            </w:pPr>
            <w:r w:rsidRPr="000F0321">
              <w:rPr>
                <w:rFonts w:ascii="Montserrat" w:eastAsia="Times New Roman" w:hAnsi="Montserrat" w:cs="Calibri"/>
                <w:b/>
                <w:sz w:val="13"/>
                <w:szCs w:val="13"/>
                <w:lang w:eastAsia="es-MX"/>
              </w:rPr>
              <w:t xml:space="preserve">    2,924,630,653 </w:t>
            </w:r>
          </w:p>
        </w:tc>
      </w:tr>
      <w:tr w:rsidR="00C17F65" w:rsidRPr="006F0DF1" w14:paraId="7B221019" w14:textId="77777777" w:rsidTr="0023764E">
        <w:trPr>
          <w:gridBefore w:val="2"/>
          <w:wBefore w:w="21" w:type="dxa"/>
          <w:trHeight w:val="240"/>
          <w:jc w:val="center"/>
        </w:trPr>
        <w:tc>
          <w:tcPr>
            <w:tcW w:w="1558" w:type="dxa"/>
            <w:shd w:val="clear" w:color="auto" w:fill="F2F2F2" w:themeFill="background1" w:themeFillShade="F2"/>
            <w:noWrap/>
            <w:vAlign w:val="bottom"/>
            <w:hideMark/>
          </w:tcPr>
          <w:p w14:paraId="2022D84E" w14:textId="1B93C226" w:rsidR="00C17F65" w:rsidRPr="006F0DF1" w:rsidRDefault="006448DE" w:rsidP="00C17F65">
            <w:pPr>
              <w:spacing w:after="0" w:line="240" w:lineRule="exact"/>
              <w:ind w:left="192"/>
              <w:rPr>
                <w:rFonts w:ascii="Montserrat" w:hAnsi="Montserrat"/>
                <w:sz w:val="14"/>
                <w:szCs w:val="14"/>
                <w:lang w:val="es-ES_tradnl"/>
              </w:rPr>
            </w:pPr>
            <w:r>
              <w:rPr>
                <w:rFonts w:ascii="Montserrat" w:hAnsi="Montserrat"/>
                <w:sz w:val="14"/>
                <w:szCs w:val="14"/>
                <w:lang w:val="es-ES_tradnl"/>
              </w:rPr>
              <w:t>SAR</w:t>
            </w:r>
          </w:p>
        </w:tc>
        <w:tc>
          <w:tcPr>
            <w:tcW w:w="1560" w:type="dxa"/>
            <w:shd w:val="clear" w:color="auto" w:fill="F2F2F2" w:themeFill="background1" w:themeFillShade="F2"/>
            <w:noWrap/>
            <w:vAlign w:val="bottom"/>
          </w:tcPr>
          <w:p w14:paraId="73D0DEE2" w14:textId="1282A254" w:rsidR="00C17F65" w:rsidRPr="005210C6" w:rsidRDefault="00C17F65">
            <w:pPr>
              <w:spacing w:after="0" w:line="240" w:lineRule="exact"/>
              <w:ind w:right="57"/>
              <w:jc w:val="right"/>
              <w:rPr>
                <w:rFonts w:ascii="Montserrat" w:hAnsi="Montserrat"/>
                <w:sz w:val="14"/>
                <w:szCs w:val="14"/>
                <w:lang w:val="es-ES_tradnl"/>
              </w:rPr>
            </w:pPr>
            <w:r w:rsidRPr="009B0B86">
              <w:rPr>
                <w:rFonts w:ascii="Montserrat" w:eastAsia="Times New Roman" w:hAnsi="Montserrat" w:cs="Calibri"/>
                <w:sz w:val="13"/>
                <w:szCs w:val="13"/>
                <w:lang w:eastAsia="es-MX"/>
              </w:rPr>
              <w:t xml:space="preserve">           142,186,457447 </w:t>
            </w:r>
          </w:p>
        </w:tc>
        <w:tc>
          <w:tcPr>
            <w:tcW w:w="1559" w:type="dxa"/>
            <w:shd w:val="clear" w:color="auto" w:fill="F2F2F2" w:themeFill="background1" w:themeFillShade="F2"/>
            <w:noWrap/>
            <w:vAlign w:val="bottom"/>
          </w:tcPr>
          <w:p w14:paraId="2F0366EF" w14:textId="389A19E0" w:rsidR="00C17F65" w:rsidRPr="005210C6" w:rsidRDefault="00C17F65" w:rsidP="00C17F65">
            <w:pPr>
              <w:spacing w:after="0" w:line="240" w:lineRule="exact"/>
              <w:ind w:right="57"/>
              <w:jc w:val="right"/>
              <w:rPr>
                <w:rFonts w:ascii="Montserrat" w:hAnsi="Montserrat"/>
                <w:sz w:val="14"/>
                <w:szCs w:val="14"/>
                <w:lang w:val="es-ES_tradnl"/>
              </w:rPr>
            </w:pPr>
            <w:r w:rsidRPr="009B0B86">
              <w:rPr>
                <w:rFonts w:ascii="Montserrat" w:eastAsia="Times New Roman" w:hAnsi="Montserrat" w:cs="Calibri"/>
                <w:sz w:val="13"/>
                <w:szCs w:val="13"/>
                <w:lang w:eastAsia="es-MX"/>
              </w:rPr>
              <w:t xml:space="preserve">             14,623,153,266 </w:t>
            </w:r>
          </w:p>
        </w:tc>
        <w:tc>
          <w:tcPr>
            <w:tcW w:w="1561" w:type="dxa"/>
            <w:shd w:val="clear" w:color="auto" w:fill="F2F2F2" w:themeFill="background1" w:themeFillShade="F2"/>
            <w:noWrap/>
            <w:vAlign w:val="bottom"/>
          </w:tcPr>
          <w:p w14:paraId="3090A8C8" w14:textId="0ADF8A68" w:rsidR="00C17F65" w:rsidRPr="005210C6" w:rsidRDefault="00C17F65" w:rsidP="00C17F65">
            <w:pPr>
              <w:spacing w:after="0" w:line="240" w:lineRule="exact"/>
              <w:ind w:right="57"/>
              <w:jc w:val="right"/>
              <w:rPr>
                <w:rFonts w:ascii="Montserrat" w:hAnsi="Montserrat"/>
                <w:sz w:val="14"/>
                <w:szCs w:val="14"/>
                <w:lang w:val="es-ES_tradnl"/>
              </w:rPr>
            </w:pPr>
            <w:r w:rsidRPr="009B0B86">
              <w:rPr>
                <w:rFonts w:ascii="Montserrat" w:eastAsia="Times New Roman" w:hAnsi="Montserrat" w:cs="Calibri"/>
                <w:sz w:val="13"/>
                <w:szCs w:val="13"/>
                <w:lang w:eastAsia="es-MX"/>
              </w:rPr>
              <w:t xml:space="preserve">           4,739,548,581 </w:t>
            </w:r>
          </w:p>
        </w:tc>
        <w:tc>
          <w:tcPr>
            <w:tcW w:w="1518" w:type="dxa"/>
            <w:shd w:val="clear" w:color="auto" w:fill="F2F2F2" w:themeFill="background1" w:themeFillShade="F2"/>
            <w:noWrap/>
            <w:vAlign w:val="bottom"/>
          </w:tcPr>
          <w:p w14:paraId="38A7BED9" w14:textId="3CCD7E11" w:rsidR="00C17F65" w:rsidRPr="005210C6" w:rsidRDefault="00C17F65" w:rsidP="00C17F65">
            <w:pPr>
              <w:spacing w:after="0" w:line="240" w:lineRule="exact"/>
              <w:ind w:right="57"/>
              <w:jc w:val="right"/>
              <w:rPr>
                <w:rFonts w:ascii="Montserrat" w:hAnsi="Montserrat"/>
                <w:sz w:val="14"/>
                <w:szCs w:val="14"/>
                <w:lang w:val="es-ES_tradnl"/>
              </w:rPr>
            </w:pPr>
            <w:r w:rsidRPr="009B0B86">
              <w:rPr>
                <w:rFonts w:ascii="Montserrat" w:eastAsia="Times New Roman" w:hAnsi="Montserrat" w:cs="Calibri"/>
                <w:sz w:val="13"/>
                <w:szCs w:val="13"/>
                <w:lang w:eastAsia="es-MX"/>
              </w:rPr>
              <w:t xml:space="preserve">         3,141,269,961 </w:t>
            </w:r>
          </w:p>
        </w:tc>
        <w:tc>
          <w:tcPr>
            <w:tcW w:w="1417" w:type="dxa"/>
            <w:shd w:val="clear" w:color="auto" w:fill="F2F2F2" w:themeFill="background1" w:themeFillShade="F2"/>
            <w:noWrap/>
            <w:vAlign w:val="bottom"/>
          </w:tcPr>
          <w:p w14:paraId="16515B88" w14:textId="326A1430" w:rsidR="00C17F65" w:rsidRPr="005210C6" w:rsidRDefault="00C17F65" w:rsidP="00C17F65">
            <w:pPr>
              <w:spacing w:after="0" w:line="240" w:lineRule="exact"/>
              <w:ind w:right="57"/>
              <w:jc w:val="right"/>
              <w:rPr>
                <w:rFonts w:ascii="Montserrat" w:hAnsi="Montserrat"/>
                <w:sz w:val="14"/>
                <w:szCs w:val="14"/>
                <w:lang w:val="es-ES_tradnl"/>
              </w:rPr>
            </w:pPr>
            <w:r w:rsidRPr="009B0B86">
              <w:rPr>
                <w:rFonts w:ascii="Montserrat" w:eastAsia="Times New Roman" w:hAnsi="Montserrat" w:cs="Calibri"/>
                <w:sz w:val="13"/>
                <w:szCs w:val="13"/>
                <w:lang w:eastAsia="es-MX"/>
              </w:rPr>
              <w:t xml:space="preserve">         4,739,548,581 </w:t>
            </w:r>
          </w:p>
        </w:tc>
        <w:tc>
          <w:tcPr>
            <w:tcW w:w="1418" w:type="dxa"/>
            <w:shd w:val="clear" w:color="auto" w:fill="F2F2F2" w:themeFill="background1" w:themeFillShade="F2"/>
            <w:noWrap/>
            <w:vAlign w:val="bottom"/>
          </w:tcPr>
          <w:p w14:paraId="4A313BEF" w14:textId="2A955041" w:rsidR="00C17F65" w:rsidRPr="005210C6" w:rsidRDefault="00C17F65" w:rsidP="00C17F65">
            <w:pPr>
              <w:spacing w:after="0" w:line="240" w:lineRule="exact"/>
              <w:ind w:right="57"/>
              <w:jc w:val="right"/>
              <w:rPr>
                <w:rFonts w:ascii="Montserrat" w:hAnsi="Montserrat"/>
                <w:sz w:val="14"/>
                <w:szCs w:val="14"/>
                <w:lang w:val="es-ES_tradnl"/>
              </w:rPr>
            </w:pPr>
            <w:r w:rsidRPr="009B0B86">
              <w:rPr>
                <w:rFonts w:ascii="Montserrat" w:eastAsia="Times New Roman" w:hAnsi="Montserrat" w:cs="Calibri"/>
                <w:sz w:val="13"/>
                <w:szCs w:val="13"/>
                <w:lang w:eastAsia="es-MX"/>
              </w:rPr>
              <w:t xml:space="preserve">        3,032,950,307 </w:t>
            </w:r>
          </w:p>
        </w:tc>
        <w:tc>
          <w:tcPr>
            <w:tcW w:w="1459" w:type="dxa"/>
            <w:shd w:val="clear" w:color="auto" w:fill="F2F2F2" w:themeFill="background1" w:themeFillShade="F2"/>
            <w:vAlign w:val="bottom"/>
          </w:tcPr>
          <w:p w14:paraId="5DD51D42" w14:textId="3D3486C9" w:rsidR="00C17F65" w:rsidRPr="005210C6" w:rsidRDefault="00C17F65" w:rsidP="00C17F65">
            <w:pPr>
              <w:spacing w:after="0" w:line="240" w:lineRule="exact"/>
              <w:ind w:right="57"/>
              <w:jc w:val="right"/>
              <w:rPr>
                <w:rFonts w:ascii="Montserrat" w:hAnsi="Montserrat"/>
                <w:sz w:val="14"/>
                <w:szCs w:val="14"/>
                <w:lang w:val="es-ES_tradnl"/>
              </w:rPr>
            </w:pPr>
            <w:r w:rsidRPr="009B0B86">
              <w:rPr>
                <w:rFonts w:ascii="Montserrat" w:eastAsia="Times New Roman" w:hAnsi="Montserrat" w:cs="Calibri"/>
                <w:sz w:val="13"/>
                <w:szCs w:val="13"/>
                <w:lang w:eastAsia="es-MX"/>
              </w:rPr>
              <w:t xml:space="preserve">        4,739,548,581 </w:t>
            </w:r>
          </w:p>
        </w:tc>
        <w:tc>
          <w:tcPr>
            <w:tcW w:w="1254" w:type="dxa"/>
            <w:shd w:val="clear" w:color="auto" w:fill="F2F2F2" w:themeFill="background1" w:themeFillShade="F2"/>
            <w:vAlign w:val="bottom"/>
          </w:tcPr>
          <w:p w14:paraId="53D05A39" w14:textId="23239733" w:rsidR="00C17F65" w:rsidRPr="005210C6" w:rsidRDefault="00C17F65" w:rsidP="00C17F65">
            <w:pPr>
              <w:spacing w:after="0" w:line="240" w:lineRule="exact"/>
              <w:ind w:right="57"/>
              <w:jc w:val="right"/>
              <w:rPr>
                <w:rFonts w:ascii="Montserrat" w:hAnsi="Montserrat"/>
                <w:sz w:val="14"/>
                <w:szCs w:val="14"/>
                <w:lang w:val="es-ES_tradnl"/>
              </w:rPr>
            </w:pPr>
            <w:r w:rsidRPr="009B0B86">
              <w:rPr>
                <w:rFonts w:ascii="Montserrat" w:eastAsia="Times New Roman" w:hAnsi="Montserrat" w:cs="Calibri"/>
                <w:sz w:val="13"/>
                <w:szCs w:val="13"/>
                <w:lang w:eastAsia="es-MX"/>
              </w:rPr>
              <w:t xml:space="preserve">     2,924,630,653 </w:t>
            </w:r>
          </w:p>
        </w:tc>
      </w:tr>
      <w:tr w:rsidR="00C17F65" w:rsidRPr="006F0DF1" w14:paraId="083797AE" w14:textId="77777777" w:rsidTr="0023764E">
        <w:trPr>
          <w:gridBefore w:val="2"/>
          <w:wBefore w:w="21" w:type="dxa"/>
          <w:trHeight w:val="240"/>
          <w:jc w:val="center"/>
        </w:trPr>
        <w:tc>
          <w:tcPr>
            <w:tcW w:w="1558" w:type="dxa"/>
            <w:shd w:val="clear" w:color="auto" w:fill="F2F2F2" w:themeFill="background1" w:themeFillShade="F2"/>
            <w:noWrap/>
            <w:vAlign w:val="bottom"/>
          </w:tcPr>
          <w:p w14:paraId="64D095A7" w14:textId="77777777" w:rsidR="00C17F65" w:rsidRPr="006F0DF1" w:rsidRDefault="00C17F65" w:rsidP="00C17F65">
            <w:pPr>
              <w:spacing w:after="0" w:line="240" w:lineRule="exact"/>
              <w:ind w:left="192"/>
              <w:rPr>
                <w:rFonts w:ascii="Montserrat" w:hAnsi="Montserrat"/>
                <w:sz w:val="14"/>
                <w:szCs w:val="14"/>
                <w:lang w:val="es-ES_tradnl"/>
              </w:rPr>
            </w:pPr>
            <w:r w:rsidRPr="006F0DF1">
              <w:rPr>
                <w:rFonts w:ascii="Montserrat" w:hAnsi="Montserrat"/>
                <w:bCs/>
                <w:spacing w:val="-1"/>
                <w:sz w:val="14"/>
                <w:szCs w:val="14"/>
                <w:lang w:val="es-ES_tradnl"/>
              </w:rPr>
              <w:t>Nueva Ley ISSSTE</w:t>
            </w:r>
          </w:p>
        </w:tc>
        <w:tc>
          <w:tcPr>
            <w:tcW w:w="1560" w:type="dxa"/>
            <w:shd w:val="clear" w:color="auto" w:fill="F2F2F2" w:themeFill="background1" w:themeFillShade="F2"/>
            <w:noWrap/>
            <w:vAlign w:val="bottom"/>
          </w:tcPr>
          <w:p w14:paraId="310A0A33" w14:textId="276C52A0" w:rsidR="00C17F65" w:rsidRPr="005210C6" w:rsidRDefault="00C17F65" w:rsidP="00C17F65">
            <w:pPr>
              <w:spacing w:after="0" w:line="240" w:lineRule="exact"/>
              <w:ind w:right="57"/>
              <w:jc w:val="right"/>
              <w:rPr>
                <w:rFonts w:ascii="Montserrat" w:hAnsi="Montserrat"/>
                <w:sz w:val="14"/>
                <w:szCs w:val="14"/>
                <w:lang w:val="es-ES_tradnl"/>
              </w:rPr>
            </w:pPr>
            <w:r w:rsidRPr="009B0B86">
              <w:rPr>
                <w:rFonts w:ascii="Montserrat" w:eastAsia="Times New Roman" w:hAnsi="Montserrat" w:cs="Calibri"/>
                <w:sz w:val="13"/>
                <w:szCs w:val="13"/>
                <w:lang w:eastAsia="es-MX"/>
              </w:rPr>
              <w:t xml:space="preserve">           134,347,871,154 </w:t>
            </w:r>
          </w:p>
        </w:tc>
        <w:tc>
          <w:tcPr>
            <w:tcW w:w="1559" w:type="dxa"/>
            <w:shd w:val="clear" w:color="auto" w:fill="F2F2F2" w:themeFill="background1" w:themeFillShade="F2"/>
            <w:noWrap/>
            <w:vAlign w:val="bottom"/>
          </w:tcPr>
          <w:p w14:paraId="69361AE5" w14:textId="01AA8877" w:rsidR="00C17F65" w:rsidRPr="005210C6" w:rsidRDefault="00C17F65" w:rsidP="00C17F65">
            <w:pPr>
              <w:spacing w:after="0" w:line="240" w:lineRule="exact"/>
              <w:ind w:right="57"/>
              <w:jc w:val="right"/>
              <w:rPr>
                <w:rFonts w:ascii="Montserrat" w:hAnsi="Montserrat"/>
                <w:sz w:val="14"/>
                <w:szCs w:val="14"/>
                <w:lang w:val="es-ES_tradnl"/>
              </w:rPr>
            </w:pPr>
            <w:r w:rsidRPr="009B0B86">
              <w:rPr>
                <w:rFonts w:ascii="Montserrat" w:eastAsia="Times New Roman" w:hAnsi="Montserrat" w:cs="Calibri"/>
                <w:sz w:val="13"/>
                <w:szCs w:val="13"/>
                <w:lang w:eastAsia="es-MX"/>
              </w:rPr>
              <w:t xml:space="preserve">                 269,279,668 </w:t>
            </w:r>
          </w:p>
        </w:tc>
        <w:tc>
          <w:tcPr>
            <w:tcW w:w="1561" w:type="dxa"/>
            <w:shd w:val="clear" w:color="auto" w:fill="F2F2F2" w:themeFill="background1" w:themeFillShade="F2"/>
            <w:noWrap/>
            <w:vAlign w:val="bottom"/>
          </w:tcPr>
          <w:p w14:paraId="5BB2B142" w14:textId="0641E386" w:rsidR="00C17F65" w:rsidRPr="005210C6" w:rsidRDefault="00C17F65" w:rsidP="00C17F65">
            <w:pPr>
              <w:spacing w:after="0" w:line="240" w:lineRule="exact"/>
              <w:ind w:right="57"/>
              <w:jc w:val="right"/>
              <w:rPr>
                <w:rFonts w:ascii="Montserrat" w:hAnsi="Montserrat"/>
                <w:sz w:val="14"/>
                <w:szCs w:val="14"/>
                <w:lang w:val="es-ES_tradnl"/>
              </w:rPr>
            </w:pPr>
            <w:r w:rsidRPr="009B0B86">
              <w:rPr>
                <w:rFonts w:ascii="Montserrat" w:eastAsia="Times New Roman" w:hAnsi="Montserrat" w:cs="Calibri"/>
                <w:sz w:val="13"/>
                <w:szCs w:val="13"/>
                <w:lang w:eastAsia="es-MX"/>
              </w:rPr>
              <w:t xml:space="preserve">         22,190,131,319 </w:t>
            </w:r>
          </w:p>
        </w:tc>
        <w:tc>
          <w:tcPr>
            <w:tcW w:w="1518" w:type="dxa"/>
            <w:shd w:val="clear" w:color="auto" w:fill="F2F2F2" w:themeFill="background1" w:themeFillShade="F2"/>
            <w:noWrap/>
            <w:vAlign w:val="bottom"/>
          </w:tcPr>
          <w:p w14:paraId="71472AA8" w14:textId="28C23831" w:rsidR="00C17F65" w:rsidRPr="005210C6" w:rsidRDefault="00C17F65" w:rsidP="00C17F65">
            <w:pPr>
              <w:spacing w:after="0" w:line="240" w:lineRule="exact"/>
              <w:ind w:right="57"/>
              <w:jc w:val="right"/>
              <w:rPr>
                <w:rFonts w:ascii="Montserrat" w:hAnsi="Montserrat"/>
                <w:sz w:val="14"/>
                <w:szCs w:val="14"/>
                <w:lang w:val="es-ES_tradnl"/>
              </w:rPr>
            </w:pPr>
            <w:r w:rsidRPr="009B0B86">
              <w:rPr>
                <w:rFonts w:ascii="Montserrat" w:eastAsia="Times New Roman" w:hAnsi="Montserrat" w:cs="Calibri"/>
                <w:sz w:val="13"/>
                <w:szCs w:val="13"/>
                <w:lang w:eastAsia="es-MX"/>
              </w:rPr>
              <w:t xml:space="preserve">             269,279,668 </w:t>
            </w:r>
          </w:p>
        </w:tc>
        <w:tc>
          <w:tcPr>
            <w:tcW w:w="1417" w:type="dxa"/>
            <w:shd w:val="clear" w:color="auto" w:fill="F2F2F2" w:themeFill="background1" w:themeFillShade="F2"/>
            <w:noWrap/>
            <w:vAlign w:val="bottom"/>
          </w:tcPr>
          <w:p w14:paraId="523C6EA2" w14:textId="3DF27639" w:rsidR="00C17F65" w:rsidRPr="005210C6" w:rsidRDefault="00C17F65" w:rsidP="00C17F65">
            <w:pPr>
              <w:spacing w:after="0" w:line="240" w:lineRule="exact"/>
              <w:ind w:right="57"/>
              <w:jc w:val="right"/>
              <w:rPr>
                <w:rFonts w:ascii="Montserrat" w:hAnsi="Montserrat"/>
                <w:sz w:val="14"/>
                <w:szCs w:val="14"/>
                <w:lang w:val="es-ES_tradnl"/>
              </w:rPr>
            </w:pPr>
            <w:r w:rsidRPr="009B0B86">
              <w:rPr>
                <w:rFonts w:ascii="Montserrat" w:eastAsia="Times New Roman" w:hAnsi="Montserrat" w:cs="Calibri"/>
                <w:sz w:val="13"/>
                <w:szCs w:val="13"/>
                <w:lang w:eastAsia="es-MX"/>
              </w:rPr>
              <w:t xml:space="preserve">       11,565,695,836 </w:t>
            </w:r>
          </w:p>
        </w:tc>
        <w:tc>
          <w:tcPr>
            <w:tcW w:w="1418" w:type="dxa"/>
            <w:shd w:val="clear" w:color="auto" w:fill="F2F2F2" w:themeFill="background1" w:themeFillShade="F2"/>
            <w:noWrap/>
            <w:vAlign w:val="bottom"/>
          </w:tcPr>
          <w:p w14:paraId="736D2393" w14:textId="19AE4FC6" w:rsidR="00C17F65" w:rsidRPr="005210C6" w:rsidRDefault="009635EF" w:rsidP="00C17F65">
            <w:pPr>
              <w:spacing w:after="0" w:line="240" w:lineRule="exact"/>
              <w:ind w:right="57"/>
              <w:jc w:val="right"/>
              <w:rPr>
                <w:rFonts w:ascii="Montserrat" w:hAnsi="Montserrat"/>
                <w:sz w:val="14"/>
                <w:szCs w:val="14"/>
                <w:lang w:val="es-ES_tradnl"/>
              </w:rPr>
            </w:pPr>
            <w:r>
              <w:rPr>
                <w:rFonts w:ascii="Montserrat" w:eastAsia="Times New Roman" w:hAnsi="Montserrat" w:cs="Calibri"/>
                <w:sz w:val="13"/>
                <w:szCs w:val="13"/>
                <w:lang w:eastAsia="es-MX"/>
              </w:rPr>
              <w:t>0</w:t>
            </w:r>
            <w:r w:rsidR="00C17F65" w:rsidRPr="009B0B86">
              <w:rPr>
                <w:rFonts w:ascii="Montserrat" w:eastAsia="Times New Roman" w:hAnsi="Montserrat" w:cs="Calibri"/>
                <w:sz w:val="13"/>
                <w:szCs w:val="13"/>
                <w:lang w:eastAsia="es-MX"/>
              </w:rPr>
              <w:t xml:space="preserve">   </w:t>
            </w:r>
          </w:p>
        </w:tc>
        <w:tc>
          <w:tcPr>
            <w:tcW w:w="1459" w:type="dxa"/>
            <w:shd w:val="clear" w:color="auto" w:fill="F2F2F2" w:themeFill="background1" w:themeFillShade="F2"/>
            <w:vAlign w:val="bottom"/>
          </w:tcPr>
          <w:p w14:paraId="3CFABFBB" w14:textId="4F371FAB" w:rsidR="00C17F65" w:rsidRPr="005210C6" w:rsidRDefault="00C17F65" w:rsidP="00C17F65">
            <w:pPr>
              <w:spacing w:after="0" w:line="240" w:lineRule="exact"/>
              <w:ind w:right="57"/>
              <w:jc w:val="right"/>
              <w:rPr>
                <w:rFonts w:ascii="Montserrat" w:hAnsi="Montserrat"/>
                <w:sz w:val="14"/>
                <w:szCs w:val="14"/>
                <w:lang w:val="es-ES_tradnl"/>
              </w:rPr>
            </w:pPr>
            <w:r w:rsidRPr="009B0B86">
              <w:rPr>
                <w:rFonts w:ascii="Montserrat" w:eastAsia="Times New Roman" w:hAnsi="Montserrat" w:cs="Calibri"/>
                <w:sz w:val="13"/>
                <w:szCs w:val="13"/>
                <w:lang w:eastAsia="es-MX"/>
              </w:rPr>
              <w:t xml:space="preserve">     10,889,255,643 </w:t>
            </w:r>
          </w:p>
        </w:tc>
        <w:tc>
          <w:tcPr>
            <w:tcW w:w="1254" w:type="dxa"/>
            <w:shd w:val="clear" w:color="auto" w:fill="F2F2F2" w:themeFill="background1" w:themeFillShade="F2"/>
            <w:vAlign w:val="bottom"/>
          </w:tcPr>
          <w:p w14:paraId="7A9A3030" w14:textId="10C6BA91" w:rsidR="00C17F65" w:rsidRPr="005210C6" w:rsidRDefault="009635EF" w:rsidP="00C17F65">
            <w:pPr>
              <w:spacing w:after="0" w:line="240" w:lineRule="exact"/>
              <w:ind w:right="57"/>
              <w:jc w:val="right"/>
              <w:rPr>
                <w:rFonts w:ascii="Montserrat" w:hAnsi="Montserrat"/>
                <w:sz w:val="14"/>
                <w:szCs w:val="14"/>
                <w:lang w:val="es-ES_tradnl"/>
              </w:rPr>
            </w:pPr>
            <w:r>
              <w:rPr>
                <w:rFonts w:ascii="Montserrat" w:eastAsia="Times New Roman" w:hAnsi="Montserrat" w:cs="Calibri"/>
                <w:sz w:val="13"/>
                <w:szCs w:val="13"/>
                <w:lang w:eastAsia="es-MX"/>
              </w:rPr>
              <w:t>0</w:t>
            </w:r>
            <w:r w:rsidR="00C17F65" w:rsidRPr="009B0B86">
              <w:rPr>
                <w:rFonts w:ascii="Montserrat" w:eastAsia="Times New Roman" w:hAnsi="Montserrat" w:cs="Calibri"/>
                <w:sz w:val="13"/>
                <w:szCs w:val="13"/>
                <w:lang w:eastAsia="es-MX"/>
              </w:rPr>
              <w:t xml:space="preserve">   </w:t>
            </w:r>
          </w:p>
        </w:tc>
      </w:tr>
      <w:tr w:rsidR="009635EF" w:rsidRPr="006F0DF1" w14:paraId="17940821" w14:textId="77777777" w:rsidTr="0023764E">
        <w:trPr>
          <w:gridBefore w:val="2"/>
          <w:wBefore w:w="21" w:type="dxa"/>
          <w:trHeight w:val="216"/>
          <w:jc w:val="center"/>
        </w:trPr>
        <w:tc>
          <w:tcPr>
            <w:tcW w:w="1558" w:type="dxa"/>
            <w:shd w:val="clear" w:color="auto" w:fill="F2F2F2" w:themeFill="background1" w:themeFillShade="F2"/>
            <w:noWrap/>
            <w:vAlign w:val="bottom"/>
            <w:hideMark/>
          </w:tcPr>
          <w:p w14:paraId="57C29399" w14:textId="77777777" w:rsidR="009635EF" w:rsidRPr="006F0DF1" w:rsidRDefault="009635EF" w:rsidP="009635EF">
            <w:pPr>
              <w:spacing w:after="0" w:line="240" w:lineRule="exact"/>
              <w:rPr>
                <w:rFonts w:ascii="Montserrat" w:hAnsi="Montserrat"/>
                <w:b/>
                <w:bCs/>
                <w:sz w:val="14"/>
                <w:szCs w:val="14"/>
                <w:lang w:val="es-ES_tradnl"/>
              </w:rPr>
            </w:pPr>
            <w:r w:rsidRPr="006F0DF1">
              <w:rPr>
                <w:rFonts w:ascii="Montserrat" w:hAnsi="Montserrat"/>
                <w:b/>
                <w:bCs/>
                <w:sz w:val="14"/>
                <w:szCs w:val="14"/>
                <w:lang w:val="es-ES_tradnl"/>
              </w:rPr>
              <w:t>Deuda Externa</w:t>
            </w:r>
          </w:p>
        </w:tc>
        <w:tc>
          <w:tcPr>
            <w:tcW w:w="1560" w:type="dxa"/>
            <w:shd w:val="clear" w:color="auto" w:fill="F2F2F2" w:themeFill="background1" w:themeFillShade="F2"/>
            <w:noWrap/>
            <w:vAlign w:val="bottom"/>
          </w:tcPr>
          <w:p w14:paraId="5EA546EC" w14:textId="32EFFF2E" w:rsidR="009635EF" w:rsidRPr="009635EF" w:rsidRDefault="009635EF" w:rsidP="009635EF">
            <w:pPr>
              <w:spacing w:after="0"/>
              <w:jc w:val="right"/>
              <w:rPr>
                <w:rFonts w:ascii="Montserrat" w:hAnsi="Montserrat"/>
                <w:b/>
                <w:sz w:val="14"/>
                <w:szCs w:val="14"/>
                <w:lang w:val="es-ES_tradnl"/>
              </w:rPr>
            </w:pPr>
            <w:r w:rsidRPr="000F0321">
              <w:rPr>
                <w:rFonts w:ascii="Montserrat" w:eastAsia="Times New Roman" w:hAnsi="Montserrat" w:cs="Calibri"/>
                <w:b/>
                <w:sz w:val="13"/>
                <w:szCs w:val="13"/>
                <w:lang w:eastAsia="es-MX"/>
              </w:rPr>
              <w:t xml:space="preserve">     1,876,485,806,255 </w:t>
            </w:r>
          </w:p>
        </w:tc>
        <w:tc>
          <w:tcPr>
            <w:tcW w:w="1559" w:type="dxa"/>
            <w:shd w:val="clear" w:color="auto" w:fill="F2F2F2" w:themeFill="background1" w:themeFillShade="F2"/>
            <w:noWrap/>
            <w:vAlign w:val="bottom"/>
          </w:tcPr>
          <w:p w14:paraId="059EAC9F" w14:textId="3C1D4B86" w:rsidR="009635EF" w:rsidRPr="009635EF" w:rsidRDefault="009635EF" w:rsidP="009635EF">
            <w:pPr>
              <w:spacing w:after="0"/>
              <w:jc w:val="right"/>
              <w:rPr>
                <w:rFonts w:ascii="Montserrat" w:hAnsi="Montserrat"/>
                <w:b/>
                <w:sz w:val="14"/>
                <w:szCs w:val="14"/>
                <w:lang w:val="es-ES_tradnl"/>
              </w:rPr>
            </w:pPr>
            <w:r w:rsidRPr="000F0321">
              <w:rPr>
                <w:rFonts w:ascii="Montserrat" w:eastAsia="Times New Roman" w:hAnsi="Montserrat" w:cs="Calibri"/>
                <w:b/>
                <w:sz w:val="13"/>
                <w:szCs w:val="13"/>
                <w:lang w:eastAsia="es-MX"/>
              </w:rPr>
              <w:t xml:space="preserve">      1,480,280,825,787 </w:t>
            </w:r>
          </w:p>
        </w:tc>
        <w:tc>
          <w:tcPr>
            <w:tcW w:w="1561" w:type="dxa"/>
            <w:shd w:val="clear" w:color="auto" w:fill="F2F2F2" w:themeFill="background1" w:themeFillShade="F2"/>
            <w:noWrap/>
            <w:vAlign w:val="bottom"/>
          </w:tcPr>
          <w:p w14:paraId="3350FDEB" w14:textId="4AE715EA" w:rsidR="009635EF" w:rsidRPr="009635EF" w:rsidRDefault="009635EF" w:rsidP="009635EF">
            <w:pPr>
              <w:spacing w:after="0"/>
              <w:jc w:val="right"/>
              <w:rPr>
                <w:rFonts w:ascii="Montserrat" w:hAnsi="Montserrat"/>
                <w:b/>
                <w:sz w:val="14"/>
                <w:szCs w:val="14"/>
                <w:lang w:val="es-ES_tradnl"/>
              </w:rPr>
            </w:pPr>
            <w:r w:rsidRPr="000F0321">
              <w:rPr>
                <w:rFonts w:ascii="Montserrat" w:eastAsia="Times New Roman" w:hAnsi="Montserrat" w:cs="Calibri"/>
                <w:b/>
                <w:sz w:val="13"/>
                <w:szCs w:val="13"/>
                <w:lang w:eastAsia="es-MX"/>
              </w:rPr>
              <w:t xml:space="preserve">         99,199,495,856 </w:t>
            </w:r>
          </w:p>
        </w:tc>
        <w:tc>
          <w:tcPr>
            <w:tcW w:w="1518" w:type="dxa"/>
            <w:shd w:val="clear" w:color="auto" w:fill="F2F2F2" w:themeFill="background1" w:themeFillShade="F2"/>
            <w:noWrap/>
            <w:vAlign w:val="bottom"/>
          </w:tcPr>
          <w:p w14:paraId="4529F604" w14:textId="1E40A1BA" w:rsidR="009635EF" w:rsidRPr="009635EF" w:rsidRDefault="009635EF" w:rsidP="009635EF">
            <w:pPr>
              <w:spacing w:after="0"/>
              <w:jc w:val="right"/>
              <w:rPr>
                <w:rFonts w:ascii="Montserrat" w:hAnsi="Montserrat"/>
                <w:b/>
                <w:sz w:val="14"/>
                <w:szCs w:val="14"/>
                <w:lang w:val="es-ES_tradnl"/>
              </w:rPr>
            </w:pPr>
            <w:r w:rsidRPr="000F0321">
              <w:rPr>
                <w:rFonts w:ascii="Montserrat" w:eastAsia="Times New Roman" w:hAnsi="Montserrat" w:cs="Calibri"/>
                <w:b/>
                <w:sz w:val="13"/>
                <w:szCs w:val="13"/>
                <w:lang w:eastAsia="es-MX"/>
              </w:rPr>
              <w:t xml:space="preserve">       70,426,482,901 </w:t>
            </w:r>
          </w:p>
        </w:tc>
        <w:tc>
          <w:tcPr>
            <w:tcW w:w="1417" w:type="dxa"/>
            <w:shd w:val="clear" w:color="auto" w:fill="F2F2F2" w:themeFill="background1" w:themeFillShade="F2"/>
            <w:noWrap/>
            <w:vAlign w:val="bottom"/>
          </w:tcPr>
          <w:p w14:paraId="75CFC287" w14:textId="30892FBE" w:rsidR="009635EF" w:rsidRPr="009635EF" w:rsidRDefault="009635EF" w:rsidP="009635EF">
            <w:pPr>
              <w:spacing w:after="0"/>
              <w:jc w:val="right"/>
              <w:rPr>
                <w:rFonts w:ascii="Montserrat" w:hAnsi="Montserrat"/>
                <w:b/>
                <w:sz w:val="14"/>
                <w:szCs w:val="14"/>
                <w:lang w:val="es-ES_tradnl"/>
              </w:rPr>
            </w:pPr>
            <w:r w:rsidRPr="000F0321">
              <w:rPr>
                <w:rFonts w:ascii="Montserrat" w:eastAsia="Times New Roman" w:hAnsi="Montserrat" w:cs="Calibri"/>
                <w:b/>
                <w:sz w:val="13"/>
                <w:szCs w:val="13"/>
                <w:lang w:eastAsia="es-MX"/>
              </w:rPr>
              <w:t xml:space="preserve">       61,444,122,812 </w:t>
            </w:r>
          </w:p>
        </w:tc>
        <w:tc>
          <w:tcPr>
            <w:tcW w:w="1418" w:type="dxa"/>
            <w:shd w:val="clear" w:color="auto" w:fill="F2F2F2" w:themeFill="background1" w:themeFillShade="F2"/>
            <w:noWrap/>
            <w:vAlign w:val="bottom"/>
          </w:tcPr>
          <w:p w14:paraId="3E66B565" w14:textId="19F95754" w:rsidR="009635EF" w:rsidRPr="009635EF" w:rsidRDefault="009635EF" w:rsidP="009635EF">
            <w:pPr>
              <w:spacing w:after="0"/>
              <w:jc w:val="right"/>
              <w:rPr>
                <w:rFonts w:ascii="Montserrat" w:hAnsi="Montserrat"/>
                <w:b/>
                <w:sz w:val="14"/>
                <w:szCs w:val="14"/>
                <w:lang w:val="es-ES_tradnl"/>
              </w:rPr>
            </w:pPr>
            <w:r w:rsidRPr="000F0321">
              <w:rPr>
                <w:rFonts w:ascii="Montserrat" w:eastAsia="Times New Roman" w:hAnsi="Montserrat" w:cs="Calibri"/>
                <w:b/>
                <w:sz w:val="13"/>
                <w:szCs w:val="13"/>
                <w:lang w:eastAsia="es-MX"/>
              </w:rPr>
              <w:t xml:space="preserve">     71,802,656,296 </w:t>
            </w:r>
          </w:p>
        </w:tc>
        <w:tc>
          <w:tcPr>
            <w:tcW w:w="1459" w:type="dxa"/>
            <w:shd w:val="clear" w:color="auto" w:fill="F2F2F2" w:themeFill="background1" w:themeFillShade="F2"/>
            <w:vAlign w:val="bottom"/>
          </w:tcPr>
          <w:p w14:paraId="0549C361" w14:textId="0D97FA0D" w:rsidR="009635EF" w:rsidRPr="009635EF" w:rsidRDefault="009635EF" w:rsidP="009635EF">
            <w:pPr>
              <w:spacing w:after="0"/>
              <w:jc w:val="right"/>
              <w:rPr>
                <w:rFonts w:ascii="Montserrat" w:hAnsi="Montserrat"/>
                <w:b/>
                <w:sz w:val="14"/>
                <w:szCs w:val="14"/>
                <w:lang w:val="es-ES_tradnl"/>
              </w:rPr>
            </w:pPr>
            <w:r w:rsidRPr="000F0321">
              <w:rPr>
                <w:rFonts w:ascii="Montserrat" w:eastAsia="Times New Roman" w:hAnsi="Montserrat" w:cs="Calibri"/>
                <w:b/>
                <w:sz w:val="13"/>
                <w:szCs w:val="13"/>
                <w:lang w:eastAsia="es-MX"/>
              </w:rPr>
              <w:t xml:space="preserve">   107,478,867,364 </w:t>
            </w:r>
          </w:p>
        </w:tc>
        <w:tc>
          <w:tcPr>
            <w:tcW w:w="1254" w:type="dxa"/>
            <w:shd w:val="clear" w:color="auto" w:fill="F2F2F2" w:themeFill="background1" w:themeFillShade="F2"/>
            <w:vAlign w:val="bottom"/>
          </w:tcPr>
          <w:p w14:paraId="79D911FD" w14:textId="1A60719B" w:rsidR="009635EF" w:rsidRPr="009635EF" w:rsidRDefault="009635EF" w:rsidP="009635EF">
            <w:pPr>
              <w:spacing w:after="0"/>
              <w:jc w:val="right"/>
              <w:rPr>
                <w:rFonts w:ascii="Montserrat" w:hAnsi="Montserrat"/>
                <w:b/>
                <w:sz w:val="14"/>
                <w:szCs w:val="14"/>
                <w:lang w:val="es-ES_tradnl"/>
              </w:rPr>
            </w:pPr>
            <w:r w:rsidRPr="000F0321">
              <w:rPr>
                <w:rFonts w:ascii="Montserrat" w:eastAsia="Times New Roman" w:hAnsi="Montserrat" w:cs="Calibri"/>
                <w:b/>
                <w:sz w:val="13"/>
                <w:szCs w:val="13"/>
                <w:lang w:eastAsia="es-MX"/>
              </w:rPr>
              <w:t xml:space="preserve">   69,383,888,107 </w:t>
            </w:r>
          </w:p>
        </w:tc>
      </w:tr>
      <w:tr w:rsidR="009635EF" w:rsidRPr="006F0DF1" w14:paraId="1C34B7A1" w14:textId="77777777" w:rsidTr="0023764E">
        <w:trPr>
          <w:gridBefore w:val="2"/>
          <w:wBefore w:w="21" w:type="dxa"/>
          <w:trHeight w:val="240"/>
          <w:jc w:val="center"/>
        </w:trPr>
        <w:tc>
          <w:tcPr>
            <w:tcW w:w="1558" w:type="dxa"/>
            <w:shd w:val="clear" w:color="auto" w:fill="F2F2F2" w:themeFill="background1" w:themeFillShade="F2"/>
            <w:noWrap/>
            <w:vAlign w:val="bottom"/>
            <w:hideMark/>
          </w:tcPr>
          <w:p w14:paraId="25089F26" w14:textId="77777777" w:rsidR="009635EF" w:rsidRPr="006F0DF1" w:rsidRDefault="009635EF" w:rsidP="009635EF">
            <w:pPr>
              <w:spacing w:after="0" w:line="240" w:lineRule="exact"/>
              <w:jc w:val="right"/>
              <w:rPr>
                <w:rFonts w:ascii="Montserrat" w:hAnsi="Montserrat"/>
                <w:sz w:val="14"/>
                <w:szCs w:val="14"/>
                <w:lang w:val="es-ES_tradnl"/>
              </w:rPr>
            </w:pPr>
            <w:r w:rsidRPr="006F0DF1">
              <w:rPr>
                <w:rFonts w:ascii="Montserrat" w:hAnsi="Montserrat"/>
                <w:sz w:val="14"/>
                <w:szCs w:val="14"/>
                <w:lang w:val="es-ES_tradnl"/>
              </w:rPr>
              <w:t>Bonos</w:t>
            </w:r>
          </w:p>
        </w:tc>
        <w:tc>
          <w:tcPr>
            <w:tcW w:w="1560" w:type="dxa"/>
            <w:shd w:val="clear" w:color="auto" w:fill="F2F2F2" w:themeFill="background1" w:themeFillShade="F2"/>
            <w:noWrap/>
            <w:vAlign w:val="bottom"/>
          </w:tcPr>
          <w:p w14:paraId="56CE4161" w14:textId="00F31996" w:rsidR="009635EF" w:rsidRPr="005210C6" w:rsidRDefault="009635EF" w:rsidP="009635EF">
            <w:pPr>
              <w:spacing w:after="0" w:line="240" w:lineRule="exact"/>
              <w:ind w:right="57"/>
              <w:jc w:val="right"/>
              <w:rPr>
                <w:rFonts w:ascii="Montserrat" w:hAnsi="Montserrat"/>
                <w:sz w:val="14"/>
                <w:szCs w:val="14"/>
                <w:lang w:val="es-ES_tradnl"/>
              </w:rPr>
            </w:pPr>
            <w:r w:rsidRPr="009B0B86">
              <w:rPr>
                <w:rFonts w:ascii="Montserrat" w:eastAsia="Times New Roman" w:hAnsi="Montserrat" w:cs="Calibri"/>
                <w:sz w:val="13"/>
                <w:szCs w:val="13"/>
                <w:lang w:eastAsia="es-MX"/>
              </w:rPr>
              <w:t xml:space="preserve">       1,329,381,585,974 </w:t>
            </w:r>
          </w:p>
        </w:tc>
        <w:tc>
          <w:tcPr>
            <w:tcW w:w="1559" w:type="dxa"/>
            <w:shd w:val="clear" w:color="auto" w:fill="F2F2F2" w:themeFill="background1" w:themeFillShade="F2"/>
            <w:noWrap/>
            <w:vAlign w:val="bottom"/>
          </w:tcPr>
          <w:p w14:paraId="41AF1881" w14:textId="09292D8B" w:rsidR="009635EF" w:rsidRPr="005210C6" w:rsidRDefault="009635EF" w:rsidP="009635EF">
            <w:pPr>
              <w:spacing w:after="0" w:line="240" w:lineRule="exact"/>
              <w:ind w:right="57"/>
              <w:jc w:val="right"/>
              <w:rPr>
                <w:rFonts w:ascii="Montserrat" w:hAnsi="Montserrat"/>
                <w:sz w:val="14"/>
                <w:szCs w:val="14"/>
                <w:lang w:val="es-ES_tradnl"/>
              </w:rPr>
            </w:pPr>
            <w:r w:rsidRPr="009B0B86">
              <w:rPr>
                <w:rFonts w:ascii="Montserrat" w:eastAsia="Times New Roman" w:hAnsi="Montserrat" w:cs="Calibri"/>
                <w:sz w:val="13"/>
                <w:szCs w:val="13"/>
                <w:lang w:eastAsia="es-MX"/>
              </w:rPr>
              <w:t xml:space="preserve">       1,352,057,907,820 </w:t>
            </w:r>
          </w:p>
        </w:tc>
        <w:tc>
          <w:tcPr>
            <w:tcW w:w="1561" w:type="dxa"/>
            <w:shd w:val="clear" w:color="auto" w:fill="F2F2F2" w:themeFill="background1" w:themeFillShade="F2"/>
            <w:noWrap/>
            <w:vAlign w:val="bottom"/>
          </w:tcPr>
          <w:p w14:paraId="754BE6C6" w14:textId="0BC4DAC2" w:rsidR="009635EF" w:rsidRPr="005210C6" w:rsidRDefault="009635EF" w:rsidP="009635EF">
            <w:pPr>
              <w:spacing w:after="0" w:line="240" w:lineRule="exact"/>
              <w:ind w:right="57"/>
              <w:jc w:val="right"/>
              <w:rPr>
                <w:rFonts w:ascii="Montserrat" w:hAnsi="Montserrat"/>
                <w:sz w:val="14"/>
                <w:szCs w:val="14"/>
                <w:lang w:val="es-ES_tradnl"/>
              </w:rPr>
            </w:pPr>
            <w:r w:rsidRPr="009B0B86">
              <w:rPr>
                <w:rFonts w:ascii="Montserrat" w:eastAsia="Times New Roman" w:hAnsi="Montserrat" w:cs="Calibri"/>
                <w:sz w:val="13"/>
                <w:szCs w:val="13"/>
                <w:lang w:eastAsia="es-MX"/>
              </w:rPr>
              <w:t xml:space="preserve">         83,517,912,938 </w:t>
            </w:r>
          </w:p>
        </w:tc>
        <w:tc>
          <w:tcPr>
            <w:tcW w:w="1518" w:type="dxa"/>
            <w:shd w:val="clear" w:color="auto" w:fill="F2F2F2" w:themeFill="background1" w:themeFillShade="F2"/>
            <w:noWrap/>
            <w:vAlign w:val="bottom"/>
          </w:tcPr>
          <w:p w14:paraId="7BE138EE" w14:textId="1A08F85E" w:rsidR="009635EF" w:rsidRPr="005210C6" w:rsidRDefault="009635EF" w:rsidP="009635EF">
            <w:pPr>
              <w:spacing w:after="0" w:line="240" w:lineRule="exact"/>
              <w:ind w:right="57"/>
              <w:jc w:val="right"/>
              <w:rPr>
                <w:rFonts w:ascii="Montserrat" w:hAnsi="Montserrat"/>
                <w:sz w:val="14"/>
                <w:szCs w:val="14"/>
                <w:lang w:val="es-ES_tradnl"/>
              </w:rPr>
            </w:pPr>
            <w:r w:rsidRPr="009B0B86">
              <w:rPr>
                <w:rFonts w:ascii="Montserrat" w:eastAsia="Times New Roman" w:hAnsi="Montserrat" w:cs="Calibri"/>
                <w:sz w:val="13"/>
                <w:szCs w:val="13"/>
                <w:lang w:eastAsia="es-MX"/>
              </w:rPr>
              <w:t xml:space="preserve">       56,066,376,395 </w:t>
            </w:r>
          </w:p>
        </w:tc>
        <w:tc>
          <w:tcPr>
            <w:tcW w:w="1417" w:type="dxa"/>
            <w:shd w:val="clear" w:color="auto" w:fill="F2F2F2" w:themeFill="background1" w:themeFillShade="F2"/>
            <w:noWrap/>
            <w:vAlign w:val="bottom"/>
          </w:tcPr>
          <w:p w14:paraId="0A51FE2C" w14:textId="652CEC99" w:rsidR="009635EF" w:rsidRPr="005210C6" w:rsidRDefault="009635EF" w:rsidP="009635EF">
            <w:pPr>
              <w:spacing w:after="0" w:line="240" w:lineRule="exact"/>
              <w:ind w:right="57"/>
              <w:jc w:val="right"/>
              <w:rPr>
                <w:rFonts w:ascii="Montserrat" w:hAnsi="Montserrat"/>
                <w:sz w:val="14"/>
                <w:szCs w:val="14"/>
                <w:lang w:val="es-ES_tradnl"/>
              </w:rPr>
            </w:pPr>
            <w:r w:rsidRPr="009B0B86">
              <w:rPr>
                <w:rFonts w:ascii="Montserrat" w:eastAsia="Times New Roman" w:hAnsi="Montserrat" w:cs="Calibri"/>
                <w:sz w:val="13"/>
                <w:szCs w:val="13"/>
                <w:lang w:eastAsia="es-MX"/>
              </w:rPr>
              <w:t xml:space="preserve">         8,824,830,256 </w:t>
            </w:r>
          </w:p>
        </w:tc>
        <w:tc>
          <w:tcPr>
            <w:tcW w:w="1418" w:type="dxa"/>
            <w:shd w:val="clear" w:color="auto" w:fill="F2F2F2" w:themeFill="background1" w:themeFillShade="F2"/>
            <w:noWrap/>
            <w:vAlign w:val="bottom"/>
          </w:tcPr>
          <w:p w14:paraId="06908D45" w14:textId="077DA5DB" w:rsidR="009635EF" w:rsidRPr="005210C6" w:rsidRDefault="009635EF" w:rsidP="009635EF">
            <w:pPr>
              <w:spacing w:after="0" w:line="240" w:lineRule="exact"/>
              <w:ind w:right="57"/>
              <w:jc w:val="right"/>
              <w:rPr>
                <w:rFonts w:ascii="Montserrat" w:hAnsi="Montserrat"/>
                <w:sz w:val="14"/>
                <w:szCs w:val="14"/>
                <w:lang w:val="es-ES_tradnl"/>
              </w:rPr>
            </w:pPr>
            <w:r w:rsidRPr="009B0B86">
              <w:rPr>
                <w:rFonts w:ascii="Montserrat" w:eastAsia="Times New Roman" w:hAnsi="Montserrat" w:cs="Calibri"/>
                <w:sz w:val="13"/>
                <w:szCs w:val="13"/>
                <w:lang w:eastAsia="es-MX"/>
              </w:rPr>
              <w:t xml:space="preserve">     55,408,114,646 </w:t>
            </w:r>
          </w:p>
        </w:tc>
        <w:tc>
          <w:tcPr>
            <w:tcW w:w="1459" w:type="dxa"/>
            <w:shd w:val="clear" w:color="auto" w:fill="F2F2F2" w:themeFill="background1" w:themeFillShade="F2"/>
            <w:vAlign w:val="bottom"/>
          </w:tcPr>
          <w:p w14:paraId="728834C7" w14:textId="7A506C84" w:rsidR="009635EF" w:rsidRPr="005210C6" w:rsidRDefault="009635EF" w:rsidP="009635EF">
            <w:pPr>
              <w:spacing w:after="0" w:line="240" w:lineRule="exact"/>
              <w:ind w:right="57"/>
              <w:jc w:val="right"/>
              <w:rPr>
                <w:rFonts w:ascii="Montserrat" w:hAnsi="Montserrat"/>
                <w:sz w:val="14"/>
                <w:szCs w:val="14"/>
                <w:lang w:val="es-ES_tradnl"/>
              </w:rPr>
            </w:pPr>
            <w:r w:rsidRPr="009B0B86">
              <w:rPr>
                <w:rFonts w:ascii="Montserrat" w:eastAsia="Times New Roman" w:hAnsi="Montserrat" w:cs="Calibri"/>
                <w:sz w:val="13"/>
                <w:szCs w:val="13"/>
                <w:lang w:eastAsia="es-MX"/>
              </w:rPr>
              <w:t xml:space="preserve">     87,784,691,795 </w:t>
            </w:r>
          </w:p>
        </w:tc>
        <w:tc>
          <w:tcPr>
            <w:tcW w:w="1254" w:type="dxa"/>
            <w:shd w:val="clear" w:color="auto" w:fill="F2F2F2" w:themeFill="background1" w:themeFillShade="F2"/>
            <w:vAlign w:val="bottom"/>
          </w:tcPr>
          <w:p w14:paraId="6E5DB6A5" w14:textId="7A5FF95D" w:rsidR="009635EF" w:rsidRPr="005210C6" w:rsidRDefault="009635EF" w:rsidP="009635EF">
            <w:pPr>
              <w:spacing w:after="0" w:line="240" w:lineRule="exact"/>
              <w:ind w:right="57"/>
              <w:jc w:val="right"/>
              <w:rPr>
                <w:rFonts w:ascii="Montserrat" w:hAnsi="Montserrat"/>
                <w:sz w:val="14"/>
                <w:szCs w:val="14"/>
                <w:lang w:val="es-ES_tradnl"/>
              </w:rPr>
            </w:pPr>
            <w:r w:rsidRPr="009B0B86">
              <w:rPr>
                <w:rFonts w:ascii="Montserrat" w:eastAsia="Times New Roman" w:hAnsi="Montserrat" w:cs="Calibri"/>
                <w:sz w:val="13"/>
                <w:szCs w:val="13"/>
                <w:lang w:eastAsia="es-MX"/>
              </w:rPr>
              <w:t xml:space="preserve">   54,774,765,977 </w:t>
            </w:r>
          </w:p>
        </w:tc>
      </w:tr>
      <w:tr w:rsidR="009635EF" w:rsidRPr="006F0DF1" w14:paraId="0F41F8D3" w14:textId="77777777" w:rsidTr="0023764E">
        <w:trPr>
          <w:gridBefore w:val="2"/>
          <w:wBefore w:w="21" w:type="dxa"/>
          <w:trHeight w:val="240"/>
          <w:jc w:val="center"/>
        </w:trPr>
        <w:tc>
          <w:tcPr>
            <w:tcW w:w="1558" w:type="dxa"/>
            <w:shd w:val="clear" w:color="auto" w:fill="F2F2F2" w:themeFill="background1" w:themeFillShade="F2"/>
            <w:noWrap/>
            <w:vAlign w:val="bottom"/>
            <w:hideMark/>
          </w:tcPr>
          <w:p w14:paraId="2D754D51" w14:textId="77777777" w:rsidR="009635EF" w:rsidRPr="006F0DF1" w:rsidRDefault="009635EF" w:rsidP="009635EF">
            <w:pPr>
              <w:spacing w:after="0" w:line="240" w:lineRule="exact"/>
              <w:jc w:val="right"/>
              <w:rPr>
                <w:rFonts w:ascii="Montserrat" w:hAnsi="Montserrat"/>
                <w:sz w:val="14"/>
                <w:szCs w:val="14"/>
                <w:lang w:val="es-ES_tradnl"/>
              </w:rPr>
            </w:pPr>
            <w:r w:rsidRPr="006F0DF1">
              <w:rPr>
                <w:rFonts w:ascii="Montserrat" w:hAnsi="Montserrat"/>
                <w:sz w:val="14"/>
                <w:szCs w:val="14"/>
                <w:lang w:val="es-ES_tradnl"/>
              </w:rPr>
              <w:t>Bilaterales</w:t>
            </w:r>
          </w:p>
        </w:tc>
        <w:tc>
          <w:tcPr>
            <w:tcW w:w="1560" w:type="dxa"/>
            <w:shd w:val="clear" w:color="auto" w:fill="F2F2F2" w:themeFill="background1" w:themeFillShade="F2"/>
            <w:noWrap/>
            <w:vAlign w:val="bottom"/>
          </w:tcPr>
          <w:p w14:paraId="0823EE40" w14:textId="4EEE56E6" w:rsidR="009635EF" w:rsidRPr="005210C6" w:rsidRDefault="009635EF" w:rsidP="009635EF">
            <w:pPr>
              <w:spacing w:after="0" w:line="240" w:lineRule="exact"/>
              <w:ind w:right="57"/>
              <w:jc w:val="right"/>
              <w:rPr>
                <w:rFonts w:ascii="Montserrat" w:hAnsi="Montserrat"/>
                <w:sz w:val="14"/>
                <w:szCs w:val="14"/>
                <w:lang w:val="es-ES_tradnl"/>
              </w:rPr>
            </w:pPr>
            <w:r w:rsidRPr="009B0B86">
              <w:rPr>
                <w:rFonts w:ascii="Montserrat" w:eastAsia="Times New Roman" w:hAnsi="Montserrat" w:cs="Calibri"/>
                <w:sz w:val="13"/>
                <w:szCs w:val="13"/>
                <w:lang w:eastAsia="es-MX"/>
              </w:rPr>
              <w:t xml:space="preserve">             32,436,299,361 </w:t>
            </w:r>
          </w:p>
        </w:tc>
        <w:tc>
          <w:tcPr>
            <w:tcW w:w="1559" w:type="dxa"/>
            <w:shd w:val="clear" w:color="auto" w:fill="F2F2F2" w:themeFill="background1" w:themeFillShade="F2"/>
            <w:noWrap/>
            <w:vAlign w:val="bottom"/>
          </w:tcPr>
          <w:p w14:paraId="6577CE36" w14:textId="2888A7F9" w:rsidR="009635EF" w:rsidRPr="005210C6" w:rsidRDefault="009635EF" w:rsidP="009635EF">
            <w:pPr>
              <w:spacing w:after="0" w:line="240" w:lineRule="exact"/>
              <w:ind w:right="57"/>
              <w:jc w:val="right"/>
              <w:rPr>
                <w:rFonts w:ascii="Montserrat" w:hAnsi="Montserrat"/>
                <w:sz w:val="14"/>
                <w:szCs w:val="14"/>
                <w:lang w:val="es-ES_tradnl"/>
              </w:rPr>
            </w:pPr>
            <w:r w:rsidRPr="009B0B86">
              <w:rPr>
                <w:rFonts w:ascii="Montserrat" w:eastAsia="Times New Roman" w:hAnsi="Montserrat" w:cs="Calibri"/>
                <w:sz w:val="13"/>
                <w:szCs w:val="13"/>
                <w:lang w:eastAsia="es-MX"/>
              </w:rPr>
              <w:t xml:space="preserve">           16,425,645,886 </w:t>
            </w:r>
          </w:p>
        </w:tc>
        <w:tc>
          <w:tcPr>
            <w:tcW w:w="1561" w:type="dxa"/>
            <w:shd w:val="clear" w:color="auto" w:fill="F2F2F2" w:themeFill="background1" w:themeFillShade="F2"/>
            <w:noWrap/>
            <w:vAlign w:val="bottom"/>
          </w:tcPr>
          <w:p w14:paraId="402ED9F7" w14:textId="1DA0BCF2" w:rsidR="009635EF" w:rsidRPr="005210C6" w:rsidRDefault="009635EF" w:rsidP="009635EF">
            <w:pPr>
              <w:spacing w:after="0" w:line="240" w:lineRule="exact"/>
              <w:ind w:right="57"/>
              <w:jc w:val="right"/>
              <w:rPr>
                <w:rFonts w:ascii="Montserrat" w:hAnsi="Montserrat"/>
                <w:sz w:val="14"/>
                <w:szCs w:val="14"/>
                <w:lang w:val="es-ES_tradnl"/>
              </w:rPr>
            </w:pPr>
            <w:r w:rsidRPr="009B0B86">
              <w:rPr>
                <w:rFonts w:ascii="Montserrat" w:eastAsia="Times New Roman" w:hAnsi="Montserrat" w:cs="Calibri"/>
                <w:sz w:val="13"/>
                <w:szCs w:val="13"/>
                <w:lang w:eastAsia="es-MX"/>
              </w:rPr>
              <w:t xml:space="preserve">           3,791,415,858 </w:t>
            </w:r>
          </w:p>
        </w:tc>
        <w:tc>
          <w:tcPr>
            <w:tcW w:w="1518" w:type="dxa"/>
            <w:shd w:val="clear" w:color="auto" w:fill="F2F2F2" w:themeFill="background1" w:themeFillShade="F2"/>
            <w:noWrap/>
            <w:vAlign w:val="bottom"/>
          </w:tcPr>
          <w:p w14:paraId="606CA53B" w14:textId="3A7D6050" w:rsidR="009635EF" w:rsidRPr="005210C6" w:rsidRDefault="009635EF" w:rsidP="009635EF">
            <w:pPr>
              <w:spacing w:after="0" w:line="240" w:lineRule="exact"/>
              <w:ind w:right="57"/>
              <w:jc w:val="right"/>
              <w:rPr>
                <w:rFonts w:ascii="Montserrat" w:hAnsi="Montserrat"/>
                <w:sz w:val="14"/>
                <w:szCs w:val="14"/>
                <w:lang w:val="es-ES_tradnl"/>
              </w:rPr>
            </w:pPr>
            <w:r w:rsidRPr="009B0B86">
              <w:rPr>
                <w:rFonts w:ascii="Montserrat" w:eastAsia="Times New Roman" w:hAnsi="Montserrat" w:cs="Calibri"/>
                <w:sz w:val="13"/>
                <w:szCs w:val="13"/>
                <w:lang w:eastAsia="es-MX"/>
              </w:rPr>
              <w:t xml:space="preserve">             643,113,184 </w:t>
            </w:r>
          </w:p>
        </w:tc>
        <w:tc>
          <w:tcPr>
            <w:tcW w:w="1417" w:type="dxa"/>
            <w:shd w:val="clear" w:color="auto" w:fill="F2F2F2" w:themeFill="background1" w:themeFillShade="F2"/>
            <w:noWrap/>
            <w:vAlign w:val="bottom"/>
          </w:tcPr>
          <w:p w14:paraId="430BB3BB" w14:textId="76E4B314" w:rsidR="009635EF" w:rsidRPr="005210C6" w:rsidRDefault="009635EF" w:rsidP="009635EF">
            <w:pPr>
              <w:spacing w:after="0" w:line="240" w:lineRule="exact"/>
              <w:ind w:right="57"/>
              <w:jc w:val="right"/>
              <w:rPr>
                <w:rFonts w:ascii="Montserrat" w:hAnsi="Montserrat"/>
                <w:sz w:val="14"/>
                <w:szCs w:val="14"/>
                <w:lang w:val="es-ES_tradnl"/>
              </w:rPr>
            </w:pPr>
            <w:r w:rsidRPr="009B0B86">
              <w:rPr>
                <w:rFonts w:ascii="Montserrat" w:eastAsia="Times New Roman" w:hAnsi="Montserrat" w:cs="Calibri"/>
                <w:sz w:val="13"/>
                <w:szCs w:val="13"/>
                <w:lang w:eastAsia="es-MX"/>
              </w:rPr>
              <w:t xml:space="preserve">         3,723,801,723 </w:t>
            </w:r>
          </w:p>
        </w:tc>
        <w:tc>
          <w:tcPr>
            <w:tcW w:w="1418" w:type="dxa"/>
            <w:shd w:val="clear" w:color="auto" w:fill="F2F2F2" w:themeFill="background1" w:themeFillShade="F2"/>
            <w:noWrap/>
            <w:vAlign w:val="bottom"/>
          </w:tcPr>
          <w:p w14:paraId="32FAEAF8" w14:textId="3EB6F430" w:rsidR="009635EF" w:rsidRPr="005210C6" w:rsidRDefault="009635EF" w:rsidP="009635EF">
            <w:pPr>
              <w:spacing w:after="0" w:line="240" w:lineRule="exact"/>
              <w:ind w:right="57"/>
              <w:jc w:val="right"/>
              <w:rPr>
                <w:rFonts w:ascii="Montserrat" w:hAnsi="Montserrat"/>
                <w:sz w:val="14"/>
                <w:szCs w:val="14"/>
                <w:lang w:val="es-ES_tradnl"/>
              </w:rPr>
            </w:pPr>
            <w:r w:rsidRPr="009B0B86">
              <w:rPr>
                <w:rFonts w:ascii="Montserrat" w:eastAsia="Times New Roman" w:hAnsi="Montserrat" w:cs="Calibri"/>
                <w:sz w:val="13"/>
                <w:szCs w:val="13"/>
                <w:lang w:eastAsia="es-MX"/>
              </w:rPr>
              <w:t xml:space="preserve">        1,067,630,283 </w:t>
            </w:r>
          </w:p>
        </w:tc>
        <w:tc>
          <w:tcPr>
            <w:tcW w:w="1459" w:type="dxa"/>
            <w:shd w:val="clear" w:color="auto" w:fill="F2F2F2" w:themeFill="background1" w:themeFillShade="F2"/>
            <w:vAlign w:val="bottom"/>
          </w:tcPr>
          <w:p w14:paraId="5F15045C" w14:textId="0BC29AE6" w:rsidR="009635EF" w:rsidRPr="005210C6" w:rsidRDefault="009635EF" w:rsidP="009635EF">
            <w:pPr>
              <w:spacing w:after="0" w:line="240" w:lineRule="exact"/>
              <w:ind w:right="57"/>
              <w:jc w:val="right"/>
              <w:rPr>
                <w:rFonts w:ascii="Montserrat" w:hAnsi="Montserrat"/>
                <w:sz w:val="14"/>
                <w:szCs w:val="14"/>
                <w:lang w:val="es-ES_tradnl"/>
              </w:rPr>
            </w:pPr>
            <w:r w:rsidRPr="009B0B86">
              <w:rPr>
                <w:rFonts w:ascii="Montserrat" w:eastAsia="Times New Roman" w:hAnsi="Montserrat" w:cs="Calibri"/>
                <w:sz w:val="13"/>
                <w:szCs w:val="13"/>
                <w:lang w:eastAsia="es-MX"/>
              </w:rPr>
              <w:t xml:space="preserve">        3,591,748,934 </w:t>
            </w:r>
          </w:p>
        </w:tc>
        <w:tc>
          <w:tcPr>
            <w:tcW w:w="1254" w:type="dxa"/>
            <w:shd w:val="clear" w:color="auto" w:fill="F2F2F2" w:themeFill="background1" w:themeFillShade="F2"/>
            <w:vAlign w:val="bottom"/>
          </w:tcPr>
          <w:p w14:paraId="44551636" w14:textId="43BD2BA4" w:rsidR="009635EF" w:rsidRPr="005210C6" w:rsidRDefault="009635EF" w:rsidP="009635EF">
            <w:pPr>
              <w:spacing w:after="0" w:line="240" w:lineRule="exact"/>
              <w:ind w:right="57"/>
              <w:jc w:val="right"/>
              <w:rPr>
                <w:rFonts w:ascii="Montserrat" w:hAnsi="Montserrat"/>
                <w:sz w:val="14"/>
                <w:szCs w:val="14"/>
                <w:lang w:val="es-ES_tradnl"/>
              </w:rPr>
            </w:pPr>
            <w:r w:rsidRPr="009B0B86">
              <w:rPr>
                <w:rFonts w:ascii="Montserrat" w:eastAsia="Times New Roman" w:hAnsi="Montserrat" w:cs="Calibri"/>
                <w:sz w:val="13"/>
                <w:szCs w:val="13"/>
                <w:lang w:eastAsia="es-MX"/>
              </w:rPr>
              <w:t xml:space="preserve">           971,317,722 </w:t>
            </w:r>
          </w:p>
        </w:tc>
      </w:tr>
      <w:tr w:rsidR="009635EF" w:rsidRPr="006F0DF1" w14:paraId="464537F5" w14:textId="77777777" w:rsidTr="0023764E">
        <w:trPr>
          <w:gridBefore w:val="2"/>
          <w:wBefore w:w="21" w:type="dxa"/>
          <w:trHeight w:val="240"/>
          <w:jc w:val="center"/>
        </w:trPr>
        <w:tc>
          <w:tcPr>
            <w:tcW w:w="1558" w:type="dxa"/>
            <w:tcBorders>
              <w:bottom w:val="single" w:sz="12" w:space="0" w:color="808080" w:themeColor="background1" w:themeShade="80"/>
            </w:tcBorders>
            <w:shd w:val="clear" w:color="auto" w:fill="F2F2F2" w:themeFill="background1" w:themeFillShade="F2"/>
            <w:noWrap/>
            <w:vAlign w:val="bottom"/>
            <w:hideMark/>
          </w:tcPr>
          <w:p w14:paraId="70F37D02" w14:textId="40F28F8B" w:rsidR="009635EF" w:rsidRPr="006F0DF1" w:rsidRDefault="006448DE" w:rsidP="009635EF">
            <w:pPr>
              <w:spacing w:after="0" w:line="240" w:lineRule="exact"/>
              <w:jc w:val="right"/>
              <w:rPr>
                <w:rFonts w:ascii="Montserrat" w:hAnsi="Montserrat"/>
                <w:sz w:val="14"/>
                <w:szCs w:val="14"/>
                <w:lang w:val="es-ES_tradnl"/>
              </w:rPr>
            </w:pPr>
            <w:r>
              <w:rPr>
                <w:rFonts w:ascii="Montserrat" w:hAnsi="Montserrat"/>
                <w:sz w:val="14"/>
                <w:szCs w:val="14"/>
                <w:lang w:val="es-ES_tradnl"/>
              </w:rPr>
              <w:t>OFI'S</w:t>
            </w:r>
          </w:p>
        </w:tc>
        <w:tc>
          <w:tcPr>
            <w:tcW w:w="1560" w:type="dxa"/>
            <w:tcBorders>
              <w:bottom w:val="single" w:sz="12" w:space="0" w:color="808080" w:themeColor="background1" w:themeShade="80"/>
            </w:tcBorders>
            <w:shd w:val="clear" w:color="auto" w:fill="F2F2F2" w:themeFill="background1" w:themeFillShade="F2"/>
            <w:noWrap/>
            <w:vAlign w:val="bottom"/>
          </w:tcPr>
          <w:p w14:paraId="480FA512" w14:textId="4B40145C" w:rsidR="009635EF" w:rsidRPr="005210C6" w:rsidRDefault="009635EF" w:rsidP="009635EF">
            <w:pPr>
              <w:spacing w:after="0" w:line="240" w:lineRule="exact"/>
              <w:ind w:right="57"/>
              <w:jc w:val="right"/>
              <w:rPr>
                <w:rFonts w:ascii="Montserrat" w:hAnsi="Montserrat"/>
                <w:sz w:val="14"/>
                <w:szCs w:val="14"/>
                <w:lang w:val="es-ES_tradnl"/>
              </w:rPr>
            </w:pPr>
            <w:r w:rsidRPr="009B0B86">
              <w:rPr>
                <w:rFonts w:ascii="Montserrat" w:eastAsia="Times New Roman" w:hAnsi="Montserrat" w:cs="Calibri"/>
                <w:sz w:val="13"/>
                <w:szCs w:val="13"/>
                <w:lang w:eastAsia="es-MX"/>
              </w:rPr>
              <w:t xml:space="preserve">        514,667,920,920 </w:t>
            </w:r>
          </w:p>
        </w:tc>
        <w:tc>
          <w:tcPr>
            <w:tcW w:w="1559" w:type="dxa"/>
            <w:tcBorders>
              <w:bottom w:val="single" w:sz="12" w:space="0" w:color="808080" w:themeColor="background1" w:themeShade="80"/>
            </w:tcBorders>
            <w:shd w:val="clear" w:color="auto" w:fill="F2F2F2" w:themeFill="background1" w:themeFillShade="F2"/>
            <w:noWrap/>
            <w:vAlign w:val="bottom"/>
          </w:tcPr>
          <w:p w14:paraId="1B3C7A62" w14:textId="7459E8D5" w:rsidR="009635EF" w:rsidRPr="005210C6" w:rsidRDefault="009635EF" w:rsidP="009635EF">
            <w:pPr>
              <w:spacing w:after="0" w:line="240" w:lineRule="exact"/>
              <w:ind w:right="57"/>
              <w:jc w:val="right"/>
              <w:rPr>
                <w:rFonts w:ascii="Montserrat" w:hAnsi="Montserrat"/>
                <w:sz w:val="14"/>
                <w:szCs w:val="14"/>
                <w:lang w:val="es-ES_tradnl"/>
              </w:rPr>
            </w:pPr>
            <w:r w:rsidRPr="009B0B86">
              <w:rPr>
                <w:rFonts w:ascii="Montserrat" w:eastAsia="Times New Roman" w:hAnsi="Montserrat" w:cs="Calibri"/>
                <w:sz w:val="13"/>
                <w:szCs w:val="13"/>
                <w:lang w:eastAsia="es-MX"/>
              </w:rPr>
              <w:t xml:space="preserve">             111,797,272,081 </w:t>
            </w:r>
          </w:p>
        </w:tc>
        <w:tc>
          <w:tcPr>
            <w:tcW w:w="1561" w:type="dxa"/>
            <w:tcBorders>
              <w:bottom w:val="single" w:sz="12" w:space="0" w:color="808080" w:themeColor="background1" w:themeShade="80"/>
            </w:tcBorders>
            <w:shd w:val="clear" w:color="auto" w:fill="F2F2F2" w:themeFill="background1" w:themeFillShade="F2"/>
            <w:noWrap/>
            <w:vAlign w:val="bottom"/>
          </w:tcPr>
          <w:p w14:paraId="7A2FC914" w14:textId="3846244C" w:rsidR="009635EF" w:rsidRPr="005210C6" w:rsidRDefault="009635EF" w:rsidP="009635EF">
            <w:pPr>
              <w:spacing w:after="0" w:line="240" w:lineRule="exact"/>
              <w:ind w:right="57"/>
              <w:jc w:val="right"/>
              <w:rPr>
                <w:rFonts w:ascii="Montserrat" w:hAnsi="Montserrat"/>
                <w:sz w:val="14"/>
                <w:szCs w:val="14"/>
                <w:lang w:val="es-ES_tradnl"/>
              </w:rPr>
            </w:pPr>
            <w:r w:rsidRPr="009B0B86">
              <w:rPr>
                <w:rFonts w:ascii="Montserrat" w:eastAsia="Times New Roman" w:hAnsi="Montserrat" w:cs="Calibri"/>
                <w:sz w:val="13"/>
                <w:szCs w:val="13"/>
                <w:lang w:eastAsia="es-MX"/>
              </w:rPr>
              <w:t xml:space="preserve">         11,890,167,060 </w:t>
            </w:r>
          </w:p>
        </w:tc>
        <w:tc>
          <w:tcPr>
            <w:tcW w:w="1518" w:type="dxa"/>
            <w:tcBorders>
              <w:bottom w:val="single" w:sz="12" w:space="0" w:color="808080" w:themeColor="background1" w:themeShade="80"/>
            </w:tcBorders>
            <w:shd w:val="clear" w:color="auto" w:fill="F2F2F2" w:themeFill="background1" w:themeFillShade="F2"/>
            <w:noWrap/>
            <w:vAlign w:val="bottom"/>
          </w:tcPr>
          <w:p w14:paraId="16420F69" w14:textId="75EB4741" w:rsidR="009635EF" w:rsidRPr="005210C6" w:rsidRDefault="009635EF" w:rsidP="009635EF">
            <w:pPr>
              <w:spacing w:after="0" w:line="240" w:lineRule="exact"/>
              <w:ind w:right="57"/>
              <w:jc w:val="right"/>
              <w:rPr>
                <w:rFonts w:ascii="Montserrat" w:hAnsi="Montserrat"/>
                <w:sz w:val="14"/>
                <w:szCs w:val="14"/>
                <w:lang w:val="es-ES_tradnl"/>
              </w:rPr>
            </w:pPr>
            <w:r w:rsidRPr="009B0B86">
              <w:rPr>
                <w:rFonts w:ascii="Montserrat" w:eastAsia="Times New Roman" w:hAnsi="Montserrat" w:cs="Calibri"/>
                <w:sz w:val="13"/>
                <w:szCs w:val="13"/>
                <w:lang w:eastAsia="es-MX"/>
              </w:rPr>
              <w:t xml:space="preserve">       13,716,993,322 </w:t>
            </w:r>
          </w:p>
        </w:tc>
        <w:tc>
          <w:tcPr>
            <w:tcW w:w="1417" w:type="dxa"/>
            <w:tcBorders>
              <w:bottom w:val="single" w:sz="12" w:space="0" w:color="808080" w:themeColor="background1" w:themeShade="80"/>
            </w:tcBorders>
            <w:shd w:val="clear" w:color="auto" w:fill="F2F2F2" w:themeFill="background1" w:themeFillShade="F2"/>
            <w:noWrap/>
            <w:vAlign w:val="bottom"/>
          </w:tcPr>
          <w:p w14:paraId="7F55EE75" w14:textId="5E198C09" w:rsidR="009635EF" w:rsidRPr="005210C6" w:rsidRDefault="009635EF" w:rsidP="009635EF">
            <w:pPr>
              <w:spacing w:after="0" w:line="240" w:lineRule="exact"/>
              <w:ind w:right="57"/>
              <w:jc w:val="right"/>
              <w:rPr>
                <w:rFonts w:ascii="Montserrat" w:hAnsi="Montserrat"/>
                <w:sz w:val="14"/>
                <w:szCs w:val="14"/>
                <w:lang w:val="es-ES_tradnl"/>
              </w:rPr>
            </w:pPr>
            <w:r w:rsidRPr="009B0B86">
              <w:rPr>
                <w:rFonts w:ascii="Montserrat" w:eastAsia="Times New Roman" w:hAnsi="Montserrat" w:cs="Calibri"/>
                <w:sz w:val="13"/>
                <w:szCs w:val="13"/>
                <w:lang w:eastAsia="es-MX"/>
              </w:rPr>
              <w:t xml:space="preserve">       48,895,490,833 </w:t>
            </w:r>
          </w:p>
        </w:tc>
        <w:tc>
          <w:tcPr>
            <w:tcW w:w="1418" w:type="dxa"/>
            <w:tcBorders>
              <w:bottom w:val="single" w:sz="12" w:space="0" w:color="808080" w:themeColor="background1" w:themeShade="80"/>
            </w:tcBorders>
            <w:shd w:val="clear" w:color="auto" w:fill="F2F2F2" w:themeFill="background1" w:themeFillShade="F2"/>
            <w:noWrap/>
            <w:vAlign w:val="bottom"/>
          </w:tcPr>
          <w:p w14:paraId="1EA9EB01" w14:textId="151E2630" w:rsidR="009635EF" w:rsidRPr="005210C6" w:rsidRDefault="009635EF" w:rsidP="009635EF">
            <w:pPr>
              <w:spacing w:after="0" w:line="240" w:lineRule="exact"/>
              <w:ind w:right="57"/>
              <w:jc w:val="right"/>
              <w:rPr>
                <w:rFonts w:ascii="Montserrat" w:hAnsi="Montserrat"/>
                <w:sz w:val="14"/>
                <w:szCs w:val="14"/>
                <w:lang w:val="es-ES_tradnl"/>
              </w:rPr>
            </w:pPr>
            <w:r w:rsidRPr="009B0B86">
              <w:rPr>
                <w:rFonts w:ascii="Montserrat" w:eastAsia="Times New Roman" w:hAnsi="Montserrat" w:cs="Calibri"/>
                <w:sz w:val="13"/>
                <w:szCs w:val="13"/>
                <w:lang w:eastAsia="es-MX"/>
              </w:rPr>
              <w:t xml:space="preserve">     15,326,911,367 </w:t>
            </w:r>
          </w:p>
        </w:tc>
        <w:tc>
          <w:tcPr>
            <w:tcW w:w="1459" w:type="dxa"/>
            <w:tcBorders>
              <w:bottom w:val="single" w:sz="12" w:space="0" w:color="808080" w:themeColor="background1" w:themeShade="80"/>
            </w:tcBorders>
            <w:shd w:val="clear" w:color="auto" w:fill="F2F2F2" w:themeFill="background1" w:themeFillShade="F2"/>
            <w:vAlign w:val="bottom"/>
          </w:tcPr>
          <w:p w14:paraId="77A9396F" w14:textId="40ABCF03" w:rsidR="009635EF" w:rsidRPr="005210C6" w:rsidRDefault="009635EF" w:rsidP="009635EF">
            <w:pPr>
              <w:spacing w:after="0" w:line="240" w:lineRule="exact"/>
              <w:ind w:right="57"/>
              <w:jc w:val="right"/>
              <w:rPr>
                <w:rFonts w:ascii="Montserrat" w:hAnsi="Montserrat"/>
                <w:sz w:val="14"/>
                <w:szCs w:val="14"/>
                <w:lang w:val="es-ES_tradnl"/>
              </w:rPr>
            </w:pPr>
            <w:r w:rsidRPr="009B0B86">
              <w:rPr>
                <w:rFonts w:ascii="Montserrat" w:eastAsia="Times New Roman" w:hAnsi="Montserrat" w:cs="Calibri"/>
                <w:sz w:val="13"/>
                <w:szCs w:val="13"/>
                <w:lang w:eastAsia="es-MX"/>
              </w:rPr>
              <w:t xml:space="preserve">     16,102,426,635 </w:t>
            </w:r>
          </w:p>
        </w:tc>
        <w:tc>
          <w:tcPr>
            <w:tcW w:w="1254" w:type="dxa"/>
            <w:tcBorders>
              <w:bottom w:val="single" w:sz="12" w:space="0" w:color="808080" w:themeColor="background1" w:themeShade="80"/>
            </w:tcBorders>
            <w:shd w:val="clear" w:color="auto" w:fill="F2F2F2" w:themeFill="background1" w:themeFillShade="F2"/>
            <w:vAlign w:val="bottom"/>
          </w:tcPr>
          <w:p w14:paraId="320D60BE" w14:textId="1A317C2F" w:rsidR="009635EF" w:rsidRPr="005210C6" w:rsidRDefault="009635EF" w:rsidP="009635EF">
            <w:pPr>
              <w:spacing w:after="0" w:line="240" w:lineRule="exact"/>
              <w:ind w:right="57"/>
              <w:jc w:val="right"/>
              <w:rPr>
                <w:rFonts w:ascii="Montserrat" w:hAnsi="Montserrat"/>
                <w:sz w:val="14"/>
                <w:szCs w:val="14"/>
                <w:lang w:val="es-ES_tradnl"/>
              </w:rPr>
            </w:pPr>
            <w:r w:rsidRPr="009B0B86">
              <w:rPr>
                <w:rFonts w:ascii="Montserrat" w:eastAsia="Times New Roman" w:hAnsi="Montserrat" w:cs="Calibri"/>
                <w:sz w:val="13"/>
                <w:szCs w:val="13"/>
                <w:lang w:eastAsia="es-MX"/>
              </w:rPr>
              <w:t xml:space="preserve">   13,637,804,408 </w:t>
            </w:r>
          </w:p>
        </w:tc>
      </w:tr>
    </w:tbl>
    <w:p w14:paraId="68809129" w14:textId="77777777" w:rsidR="00186984" w:rsidRPr="004E4051" w:rsidRDefault="00186984" w:rsidP="004E4051">
      <w:pPr>
        <w:spacing w:after="0" w:line="240" w:lineRule="auto"/>
        <w:jc w:val="both"/>
        <w:rPr>
          <w:rFonts w:ascii="Montserrat" w:hAnsi="Montserrat" w:cs="Arial"/>
          <w:spacing w:val="-1"/>
          <w:sz w:val="18"/>
          <w:szCs w:val="18"/>
        </w:rPr>
      </w:pPr>
    </w:p>
    <w:p w14:paraId="274DC5F6" w14:textId="77777777" w:rsidR="00186984" w:rsidRDefault="00186984" w:rsidP="004E4051">
      <w:pPr>
        <w:spacing w:after="0" w:line="240" w:lineRule="auto"/>
        <w:jc w:val="both"/>
        <w:rPr>
          <w:rFonts w:ascii="Montserrat" w:hAnsi="Montserrat" w:cs="Arial"/>
          <w:spacing w:val="-1"/>
          <w:sz w:val="18"/>
          <w:szCs w:val="18"/>
        </w:rPr>
      </w:pPr>
    </w:p>
    <w:p w14:paraId="2D4FC982" w14:textId="77777777" w:rsidR="00F36D96" w:rsidRPr="004E4051" w:rsidRDefault="00F36D96" w:rsidP="004E4051">
      <w:pPr>
        <w:spacing w:after="0" w:line="240" w:lineRule="auto"/>
        <w:jc w:val="both"/>
        <w:rPr>
          <w:rFonts w:ascii="Montserrat" w:hAnsi="Montserrat" w:cs="Arial"/>
          <w:spacing w:val="-1"/>
          <w:sz w:val="18"/>
          <w:szCs w:val="18"/>
        </w:rPr>
      </w:pPr>
    </w:p>
    <w:p w14:paraId="6DB02FB4" w14:textId="77777777" w:rsidR="00186984" w:rsidRPr="004E4051" w:rsidRDefault="00186984" w:rsidP="004E4051">
      <w:pPr>
        <w:spacing w:after="0" w:line="240" w:lineRule="auto"/>
        <w:jc w:val="both"/>
        <w:rPr>
          <w:rFonts w:ascii="Montserrat" w:hAnsi="Montserrat" w:cs="Arial"/>
          <w:spacing w:val="-1"/>
          <w:sz w:val="18"/>
          <w:szCs w:val="18"/>
        </w:rPr>
      </w:pPr>
    </w:p>
    <w:p w14:paraId="27261D51" w14:textId="77777777" w:rsidR="004E4051" w:rsidRPr="004E4051" w:rsidRDefault="004E4051" w:rsidP="004E4051">
      <w:pPr>
        <w:spacing w:after="0" w:line="240" w:lineRule="auto"/>
        <w:jc w:val="both"/>
        <w:rPr>
          <w:rFonts w:ascii="Montserrat" w:hAnsi="Montserrat" w:cs="Arial"/>
          <w:spacing w:val="-1"/>
          <w:sz w:val="18"/>
          <w:szCs w:val="18"/>
        </w:rPr>
      </w:pPr>
    </w:p>
    <w:tbl>
      <w:tblPr>
        <w:tblW w:w="12279" w:type="dxa"/>
        <w:jc w:val="center"/>
        <w:tblLayout w:type="fixed"/>
        <w:tblCellMar>
          <w:left w:w="70" w:type="dxa"/>
          <w:right w:w="70" w:type="dxa"/>
        </w:tblCellMar>
        <w:tblLook w:val="04A0" w:firstRow="1" w:lastRow="0" w:firstColumn="1" w:lastColumn="0" w:noHBand="0" w:noVBand="1"/>
      </w:tblPr>
      <w:tblGrid>
        <w:gridCol w:w="2407"/>
        <w:gridCol w:w="1701"/>
        <w:gridCol w:w="1701"/>
        <w:gridCol w:w="1559"/>
        <w:gridCol w:w="1559"/>
        <w:gridCol w:w="1626"/>
        <w:gridCol w:w="34"/>
        <w:gridCol w:w="1692"/>
      </w:tblGrid>
      <w:tr w:rsidR="009C3C24" w:rsidRPr="006F0DF1" w14:paraId="2A3FE533" w14:textId="77777777" w:rsidTr="000F0321">
        <w:trPr>
          <w:trHeight w:val="450"/>
          <w:jc w:val="center"/>
        </w:trPr>
        <w:tc>
          <w:tcPr>
            <w:tcW w:w="12279" w:type="dxa"/>
            <w:gridSpan w:val="8"/>
            <w:tcBorders>
              <w:bottom w:val="single" w:sz="12" w:space="0" w:color="808080" w:themeColor="background1" w:themeShade="80"/>
            </w:tcBorders>
            <w:shd w:val="clear" w:color="auto" w:fill="FFFFFF" w:themeFill="background1"/>
            <w:vAlign w:val="center"/>
          </w:tcPr>
          <w:p w14:paraId="7C3F7A33" w14:textId="77777777" w:rsidR="009C3C24" w:rsidRPr="00685332" w:rsidRDefault="009C3C24" w:rsidP="009173AE">
            <w:pPr>
              <w:spacing w:after="60" w:line="240" w:lineRule="exact"/>
              <w:ind w:firstLine="856"/>
              <w:jc w:val="center"/>
              <w:rPr>
                <w:rFonts w:ascii="Montserrat" w:hAnsi="Montserrat"/>
                <w:color w:val="FFFFFF"/>
                <w:spacing w:val="-1"/>
                <w:sz w:val="16"/>
                <w:szCs w:val="16"/>
                <w:lang w:val="es-ES_tradnl"/>
              </w:rPr>
            </w:pPr>
            <w:r w:rsidRPr="00685332">
              <w:rPr>
                <w:rFonts w:ascii="Montserrat" w:hAnsi="Montserrat"/>
                <w:spacing w:val="-1"/>
                <w:sz w:val="16"/>
                <w:szCs w:val="16"/>
                <w:lang w:val="es-ES_tradnl"/>
              </w:rPr>
              <w:lastRenderedPageBreak/>
              <w:t>(Pesos)</w:t>
            </w:r>
          </w:p>
        </w:tc>
      </w:tr>
      <w:tr w:rsidR="0000412E" w:rsidRPr="0000412E" w14:paraId="2B606A28" w14:textId="77777777" w:rsidTr="000F0321">
        <w:trPr>
          <w:trHeight w:val="57"/>
          <w:jc w:val="center"/>
        </w:trPr>
        <w:tc>
          <w:tcPr>
            <w:tcW w:w="12279" w:type="dxa"/>
            <w:gridSpan w:val="8"/>
            <w:tcBorders>
              <w:top w:val="single" w:sz="12" w:space="0" w:color="808080" w:themeColor="background1" w:themeShade="80"/>
            </w:tcBorders>
            <w:shd w:val="clear" w:color="auto" w:fill="FFFFFF" w:themeFill="background1"/>
            <w:vAlign w:val="center"/>
          </w:tcPr>
          <w:p w14:paraId="704893F1" w14:textId="77777777" w:rsidR="0000412E" w:rsidRPr="0000412E" w:rsidRDefault="0000412E" w:rsidP="0000412E">
            <w:pPr>
              <w:spacing w:after="0" w:line="240" w:lineRule="auto"/>
              <w:rPr>
                <w:sz w:val="4"/>
                <w:szCs w:val="4"/>
              </w:rPr>
            </w:pPr>
          </w:p>
        </w:tc>
      </w:tr>
      <w:tr w:rsidR="009C3C24" w:rsidRPr="006F0DF1" w14:paraId="7B066362" w14:textId="77777777" w:rsidTr="00112A60">
        <w:trPr>
          <w:trHeight w:val="215"/>
          <w:jc w:val="center"/>
        </w:trPr>
        <w:tc>
          <w:tcPr>
            <w:tcW w:w="2407" w:type="dxa"/>
            <w:vMerge w:val="restart"/>
            <w:tcBorders>
              <w:bottom w:val="single" w:sz="8" w:space="0" w:color="FFFFFF" w:themeColor="background1"/>
              <w:right w:val="single" w:sz="8" w:space="0" w:color="FFFFFF" w:themeColor="background1"/>
            </w:tcBorders>
            <w:shd w:val="clear" w:color="auto" w:fill="D4C19C"/>
            <w:vAlign w:val="center"/>
            <w:hideMark/>
          </w:tcPr>
          <w:p w14:paraId="2CD53FB3" w14:textId="77777777" w:rsidR="006E27A7" w:rsidRPr="006F0DF1" w:rsidRDefault="006E27A7" w:rsidP="006E27A7">
            <w:pPr>
              <w:spacing w:after="0" w:line="240" w:lineRule="exact"/>
              <w:jc w:val="center"/>
              <w:rPr>
                <w:rFonts w:ascii="Montserrat" w:hAnsi="Montserrat"/>
                <w:b/>
                <w:color w:val="FFFFFF"/>
                <w:sz w:val="16"/>
                <w:szCs w:val="16"/>
                <w:lang w:val="es-ES_tradnl"/>
              </w:rPr>
            </w:pPr>
            <w:r w:rsidRPr="006F0DF1">
              <w:rPr>
                <w:rFonts w:ascii="Montserrat" w:hAnsi="Montserrat"/>
                <w:b/>
                <w:color w:val="FFFFFF"/>
                <w:sz w:val="16"/>
                <w:szCs w:val="16"/>
                <w:lang w:val="es-ES_tradnl"/>
              </w:rPr>
              <w:t>Con</w:t>
            </w:r>
            <w:r>
              <w:rPr>
                <w:rFonts w:ascii="Montserrat" w:hAnsi="Montserrat"/>
                <w:b/>
                <w:color w:val="FFFFFF"/>
                <w:sz w:val="16"/>
                <w:szCs w:val="16"/>
                <w:lang w:val="es-ES_tradnl"/>
              </w:rPr>
              <w:t>cepto</w:t>
            </w:r>
          </w:p>
        </w:tc>
        <w:tc>
          <w:tcPr>
            <w:tcW w:w="9872" w:type="dxa"/>
            <w:gridSpan w:val="7"/>
            <w:tcBorders>
              <w:left w:val="single" w:sz="8" w:space="0" w:color="FFFFFF" w:themeColor="background1"/>
              <w:bottom w:val="single" w:sz="8" w:space="0" w:color="FFFFFF" w:themeColor="background1"/>
              <w:right w:val="single" w:sz="8" w:space="0" w:color="FFFFFF" w:themeColor="background1"/>
            </w:tcBorders>
            <w:shd w:val="clear" w:color="auto" w:fill="D4C19C"/>
            <w:noWrap/>
            <w:vAlign w:val="center"/>
            <w:hideMark/>
          </w:tcPr>
          <w:p w14:paraId="0BF96E3A" w14:textId="77777777" w:rsidR="009C3C24" w:rsidRPr="00112A60" w:rsidRDefault="009C3C24" w:rsidP="002F797B">
            <w:pPr>
              <w:spacing w:after="0" w:line="240" w:lineRule="exact"/>
              <w:jc w:val="center"/>
              <w:rPr>
                <w:rFonts w:ascii="Montserrat" w:hAnsi="Montserrat"/>
                <w:b/>
                <w:bCs/>
                <w:color w:val="FFFFFF"/>
                <w:sz w:val="16"/>
                <w:szCs w:val="16"/>
                <w:lang w:val="es-ES_tradnl"/>
              </w:rPr>
            </w:pPr>
            <w:r w:rsidRPr="00112A60">
              <w:rPr>
                <w:rFonts w:ascii="Montserrat" w:hAnsi="Montserrat"/>
                <w:b/>
                <w:bCs/>
                <w:color w:val="FFFFFF"/>
                <w:sz w:val="16"/>
                <w:szCs w:val="16"/>
                <w:lang w:val="es-ES_tradnl"/>
              </w:rPr>
              <w:t>VENCIMIENTO</w:t>
            </w:r>
          </w:p>
        </w:tc>
      </w:tr>
      <w:tr w:rsidR="009C3C24" w:rsidRPr="006F0DF1" w14:paraId="63076F92" w14:textId="77777777" w:rsidTr="00112A60">
        <w:trPr>
          <w:trHeight w:val="215"/>
          <w:jc w:val="center"/>
        </w:trPr>
        <w:tc>
          <w:tcPr>
            <w:tcW w:w="2407" w:type="dxa"/>
            <w:vMerge/>
            <w:tcBorders>
              <w:top w:val="single" w:sz="8" w:space="0" w:color="FFFFFF" w:themeColor="background1"/>
              <w:bottom w:val="single" w:sz="8" w:space="0" w:color="FFFFFF" w:themeColor="background1"/>
              <w:right w:val="single" w:sz="8" w:space="0" w:color="FFFFFF" w:themeColor="background1"/>
            </w:tcBorders>
            <w:shd w:val="clear" w:color="auto" w:fill="D4C19C"/>
            <w:vAlign w:val="center"/>
            <w:hideMark/>
          </w:tcPr>
          <w:p w14:paraId="3F1FAF45" w14:textId="77777777" w:rsidR="009C3C24" w:rsidRPr="006F0DF1" w:rsidRDefault="009C3C24" w:rsidP="002F797B">
            <w:pPr>
              <w:spacing w:after="0" w:line="240" w:lineRule="exact"/>
              <w:jc w:val="center"/>
              <w:rPr>
                <w:rFonts w:ascii="Montserrat" w:hAnsi="Montserrat"/>
                <w:b/>
                <w:color w:val="FFFFFF"/>
                <w:sz w:val="16"/>
                <w:szCs w:val="16"/>
                <w:lang w:val="es-ES_tradnl"/>
              </w:rPr>
            </w:pPr>
          </w:p>
        </w:tc>
        <w:tc>
          <w:tcPr>
            <w:tcW w:w="3402" w:type="dxa"/>
            <w:gridSpan w:val="2"/>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4C19C"/>
          </w:tcPr>
          <w:p w14:paraId="3D93CFE5" w14:textId="2DF64172" w:rsidR="009C3C24" w:rsidRPr="006F0DF1" w:rsidRDefault="009C3C24" w:rsidP="002F797B">
            <w:pPr>
              <w:spacing w:after="0" w:line="240" w:lineRule="exact"/>
              <w:jc w:val="center"/>
              <w:rPr>
                <w:rFonts w:ascii="Montserrat" w:hAnsi="Montserrat"/>
                <w:b/>
                <w:color w:val="FFFFFF"/>
                <w:sz w:val="16"/>
                <w:szCs w:val="16"/>
                <w:lang w:val="es-ES_tradnl"/>
              </w:rPr>
            </w:pPr>
            <w:r>
              <w:rPr>
                <w:rFonts w:ascii="Montserrat" w:hAnsi="Montserrat"/>
                <w:b/>
                <w:color w:val="FFFFFF"/>
                <w:sz w:val="16"/>
                <w:szCs w:val="16"/>
                <w:lang w:val="es-ES_tradnl"/>
              </w:rPr>
              <w:t>202</w:t>
            </w:r>
            <w:r w:rsidR="00AC445B">
              <w:rPr>
                <w:rFonts w:ascii="Montserrat" w:hAnsi="Montserrat"/>
                <w:b/>
                <w:color w:val="FFFFFF"/>
                <w:sz w:val="16"/>
                <w:szCs w:val="16"/>
                <w:lang w:val="es-ES_tradnl"/>
              </w:rPr>
              <w:t>3</w:t>
            </w:r>
          </w:p>
        </w:tc>
        <w:tc>
          <w:tcPr>
            <w:tcW w:w="3118" w:type="dxa"/>
            <w:gridSpan w:val="2"/>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4C19C"/>
          </w:tcPr>
          <w:p w14:paraId="6A9B5842" w14:textId="5CC06A00" w:rsidR="009C3C24" w:rsidRPr="006F0DF1" w:rsidRDefault="009C3C24" w:rsidP="002F797B">
            <w:pPr>
              <w:spacing w:after="0" w:line="240" w:lineRule="exact"/>
              <w:jc w:val="center"/>
              <w:rPr>
                <w:rFonts w:ascii="Montserrat" w:hAnsi="Montserrat"/>
                <w:b/>
                <w:color w:val="FFFFFF"/>
                <w:sz w:val="16"/>
                <w:szCs w:val="16"/>
                <w:lang w:val="es-ES_tradnl"/>
              </w:rPr>
            </w:pPr>
            <w:r>
              <w:rPr>
                <w:rFonts w:ascii="Montserrat" w:hAnsi="Montserrat"/>
                <w:b/>
                <w:color w:val="FFFFFF"/>
                <w:sz w:val="16"/>
                <w:szCs w:val="16"/>
                <w:lang w:val="es-ES_tradnl"/>
              </w:rPr>
              <w:t>202</w:t>
            </w:r>
            <w:r w:rsidR="00AC445B">
              <w:rPr>
                <w:rFonts w:ascii="Montserrat" w:hAnsi="Montserrat"/>
                <w:b/>
                <w:color w:val="FFFFFF"/>
                <w:sz w:val="16"/>
                <w:szCs w:val="16"/>
                <w:lang w:val="es-ES_tradnl"/>
              </w:rPr>
              <w:t>4</w:t>
            </w:r>
          </w:p>
        </w:tc>
        <w:tc>
          <w:tcPr>
            <w:tcW w:w="3352" w:type="dxa"/>
            <w:gridSpan w:val="3"/>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4C19C"/>
            <w:vAlign w:val="center"/>
          </w:tcPr>
          <w:p w14:paraId="6495D489" w14:textId="77077D91" w:rsidR="009C3C24" w:rsidRPr="006F0DF1" w:rsidRDefault="00AC445B" w:rsidP="002F797B">
            <w:pPr>
              <w:spacing w:after="0" w:line="240" w:lineRule="exact"/>
              <w:jc w:val="center"/>
              <w:rPr>
                <w:rFonts w:ascii="Montserrat" w:hAnsi="Montserrat"/>
                <w:b/>
                <w:color w:val="FFFFFF"/>
                <w:sz w:val="16"/>
                <w:szCs w:val="16"/>
                <w:lang w:val="es-ES_tradnl"/>
              </w:rPr>
            </w:pPr>
            <w:r>
              <w:rPr>
                <w:rFonts w:ascii="Montserrat" w:hAnsi="Montserrat"/>
                <w:b/>
                <w:color w:val="FFFFFF"/>
                <w:sz w:val="16"/>
                <w:szCs w:val="16"/>
                <w:lang w:val="es-ES_tradnl"/>
              </w:rPr>
              <w:t>2025</w:t>
            </w:r>
            <w:r w:rsidR="009C3C24" w:rsidRPr="006F0DF1">
              <w:rPr>
                <w:rFonts w:ascii="Montserrat" w:hAnsi="Montserrat"/>
                <w:b/>
                <w:color w:val="FFFFFF"/>
                <w:sz w:val="16"/>
                <w:szCs w:val="16"/>
                <w:lang w:val="es-ES_tradnl"/>
              </w:rPr>
              <w:t xml:space="preserve"> o más</w:t>
            </w:r>
          </w:p>
        </w:tc>
      </w:tr>
      <w:tr w:rsidR="009C3C24" w:rsidRPr="006F0DF1" w14:paraId="52ECAEA5" w14:textId="77777777" w:rsidTr="0023764E">
        <w:trPr>
          <w:trHeight w:val="215"/>
          <w:jc w:val="center"/>
        </w:trPr>
        <w:tc>
          <w:tcPr>
            <w:tcW w:w="2407" w:type="dxa"/>
            <w:vMerge/>
            <w:tcBorders>
              <w:top w:val="single" w:sz="8" w:space="0" w:color="FFFFFF" w:themeColor="background1"/>
              <w:bottom w:val="double" w:sz="12" w:space="0" w:color="808080" w:themeColor="background1" w:themeShade="80"/>
              <w:right w:val="single" w:sz="8" w:space="0" w:color="FFFFFF" w:themeColor="background1"/>
            </w:tcBorders>
            <w:shd w:val="clear" w:color="auto" w:fill="D4C19C"/>
            <w:vAlign w:val="center"/>
            <w:hideMark/>
          </w:tcPr>
          <w:p w14:paraId="2F503225" w14:textId="77777777" w:rsidR="009C3C24" w:rsidRPr="006F0DF1" w:rsidRDefault="009C3C24" w:rsidP="002F797B">
            <w:pPr>
              <w:spacing w:after="0" w:line="240" w:lineRule="exact"/>
              <w:jc w:val="center"/>
              <w:rPr>
                <w:rFonts w:ascii="Montserrat" w:hAnsi="Montserrat"/>
                <w:b/>
                <w:color w:val="FFFFFF"/>
                <w:sz w:val="16"/>
                <w:szCs w:val="16"/>
                <w:lang w:val="es-ES_tradnl"/>
              </w:rPr>
            </w:pPr>
          </w:p>
        </w:tc>
        <w:tc>
          <w:tcPr>
            <w:tcW w:w="1701" w:type="dxa"/>
            <w:tcBorders>
              <w:top w:val="single" w:sz="8" w:space="0" w:color="FFFFFF" w:themeColor="background1"/>
              <w:left w:val="single" w:sz="8" w:space="0" w:color="FFFFFF" w:themeColor="background1"/>
              <w:bottom w:val="double" w:sz="12" w:space="0" w:color="808080" w:themeColor="background1" w:themeShade="80"/>
              <w:right w:val="single" w:sz="8" w:space="0" w:color="FFFFFF" w:themeColor="background1"/>
            </w:tcBorders>
            <w:shd w:val="clear" w:color="auto" w:fill="D4C19C"/>
            <w:vAlign w:val="center"/>
          </w:tcPr>
          <w:p w14:paraId="32A083D1" w14:textId="77777777" w:rsidR="009C3C24" w:rsidRPr="006F0DF1" w:rsidRDefault="009C3C24" w:rsidP="002F797B">
            <w:pPr>
              <w:spacing w:after="0" w:line="240" w:lineRule="exact"/>
              <w:jc w:val="center"/>
              <w:rPr>
                <w:rFonts w:ascii="Montserrat" w:hAnsi="Montserrat"/>
                <w:b/>
                <w:color w:val="FFFFFF"/>
                <w:sz w:val="16"/>
                <w:szCs w:val="16"/>
                <w:lang w:val="es-ES_tradnl"/>
              </w:rPr>
            </w:pPr>
            <w:r w:rsidRPr="006F0DF1">
              <w:rPr>
                <w:rFonts w:ascii="Montserrat" w:hAnsi="Montserrat"/>
                <w:b/>
                <w:color w:val="FFFFFF"/>
                <w:sz w:val="16"/>
                <w:szCs w:val="16"/>
                <w:lang w:val="es-ES_tradnl"/>
              </w:rPr>
              <w:t>Capital</w:t>
            </w:r>
          </w:p>
        </w:tc>
        <w:tc>
          <w:tcPr>
            <w:tcW w:w="1701" w:type="dxa"/>
            <w:tcBorders>
              <w:top w:val="single" w:sz="8" w:space="0" w:color="FFFFFF" w:themeColor="background1"/>
              <w:left w:val="single" w:sz="8" w:space="0" w:color="FFFFFF" w:themeColor="background1"/>
              <w:bottom w:val="double" w:sz="12" w:space="0" w:color="808080" w:themeColor="background1" w:themeShade="80"/>
              <w:right w:val="single" w:sz="8" w:space="0" w:color="FFFFFF" w:themeColor="background1"/>
            </w:tcBorders>
            <w:shd w:val="clear" w:color="auto" w:fill="D4C19C"/>
            <w:vAlign w:val="center"/>
          </w:tcPr>
          <w:p w14:paraId="52EDC29D" w14:textId="77777777" w:rsidR="009C3C24" w:rsidRPr="006F0DF1" w:rsidRDefault="009C3C24" w:rsidP="002F797B">
            <w:pPr>
              <w:spacing w:after="0" w:line="240" w:lineRule="exact"/>
              <w:jc w:val="center"/>
              <w:rPr>
                <w:rFonts w:ascii="Montserrat" w:hAnsi="Montserrat"/>
                <w:b/>
                <w:color w:val="FFFFFF"/>
                <w:sz w:val="16"/>
                <w:szCs w:val="16"/>
                <w:lang w:val="es-ES_tradnl"/>
              </w:rPr>
            </w:pPr>
            <w:r w:rsidRPr="006F0DF1">
              <w:rPr>
                <w:rFonts w:ascii="Montserrat" w:hAnsi="Montserrat"/>
                <w:b/>
                <w:color w:val="FFFFFF"/>
                <w:sz w:val="16"/>
                <w:szCs w:val="16"/>
                <w:lang w:val="es-ES_tradnl"/>
              </w:rPr>
              <w:t>Intereses</w:t>
            </w:r>
          </w:p>
        </w:tc>
        <w:tc>
          <w:tcPr>
            <w:tcW w:w="1559" w:type="dxa"/>
            <w:tcBorders>
              <w:top w:val="single" w:sz="8" w:space="0" w:color="FFFFFF" w:themeColor="background1"/>
              <w:left w:val="single" w:sz="8" w:space="0" w:color="FFFFFF" w:themeColor="background1"/>
              <w:bottom w:val="double" w:sz="12" w:space="0" w:color="808080" w:themeColor="background1" w:themeShade="80"/>
              <w:right w:val="single" w:sz="8" w:space="0" w:color="FFFFFF" w:themeColor="background1"/>
            </w:tcBorders>
            <w:shd w:val="clear" w:color="auto" w:fill="D4C19C"/>
            <w:vAlign w:val="center"/>
          </w:tcPr>
          <w:p w14:paraId="064FEB23" w14:textId="77777777" w:rsidR="009C3C24" w:rsidRPr="006F0DF1" w:rsidRDefault="009C3C24" w:rsidP="002F797B">
            <w:pPr>
              <w:spacing w:after="0" w:line="240" w:lineRule="exact"/>
              <w:jc w:val="center"/>
              <w:rPr>
                <w:rFonts w:ascii="Montserrat" w:hAnsi="Montserrat"/>
                <w:b/>
                <w:color w:val="FFFFFF"/>
                <w:sz w:val="16"/>
                <w:szCs w:val="16"/>
                <w:lang w:val="es-ES_tradnl"/>
              </w:rPr>
            </w:pPr>
            <w:r w:rsidRPr="006F0DF1">
              <w:rPr>
                <w:rFonts w:ascii="Montserrat" w:hAnsi="Montserrat"/>
                <w:b/>
                <w:color w:val="FFFFFF"/>
                <w:sz w:val="16"/>
                <w:szCs w:val="16"/>
                <w:lang w:val="es-ES_tradnl"/>
              </w:rPr>
              <w:t>Capital</w:t>
            </w:r>
          </w:p>
        </w:tc>
        <w:tc>
          <w:tcPr>
            <w:tcW w:w="1559" w:type="dxa"/>
            <w:tcBorders>
              <w:top w:val="single" w:sz="8" w:space="0" w:color="FFFFFF" w:themeColor="background1"/>
              <w:left w:val="single" w:sz="8" w:space="0" w:color="FFFFFF" w:themeColor="background1"/>
              <w:bottom w:val="double" w:sz="12" w:space="0" w:color="808080" w:themeColor="background1" w:themeShade="80"/>
              <w:right w:val="single" w:sz="8" w:space="0" w:color="FFFFFF" w:themeColor="background1"/>
            </w:tcBorders>
            <w:shd w:val="clear" w:color="auto" w:fill="D4C19C"/>
            <w:vAlign w:val="center"/>
          </w:tcPr>
          <w:p w14:paraId="42FC58FC" w14:textId="77777777" w:rsidR="009C3C24" w:rsidRPr="006F0DF1" w:rsidRDefault="009C3C24" w:rsidP="002F797B">
            <w:pPr>
              <w:spacing w:after="0" w:line="240" w:lineRule="exact"/>
              <w:jc w:val="center"/>
              <w:rPr>
                <w:rFonts w:ascii="Montserrat" w:hAnsi="Montserrat"/>
                <w:b/>
                <w:color w:val="FFFFFF"/>
                <w:sz w:val="16"/>
                <w:szCs w:val="16"/>
                <w:lang w:val="es-ES_tradnl"/>
              </w:rPr>
            </w:pPr>
            <w:r w:rsidRPr="006F0DF1">
              <w:rPr>
                <w:rFonts w:ascii="Montserrat" w:hAnsi="Montserrat"/>
                <w:b/>
                <w:color w:val="FFFFFF"/>
                <w:sz w:val="16"/>
                <w:szCs w:val="16"/>
                <w:lang w:val="es-ES_tradnl"/>
              </w:rPr>
              <w:t>Intereses</w:t>
            </w:r>
          </w:p>
        </w:tc>
        <w:tc>
          <w:tcPr>
            <w:tcW w:w="1660" w:type="dxa"/>
            <w:gridSpan w:val="2"/>
            <w:tcBorders>
              <w:top w:val="single" w:sz="8" w:space="0" w:color="FFFFFF" w:themeColor="background1"/>
              <w:left w:val="single" w:sz="8" w:space="0" w:color="FFFFFF" w:themeColor="background1"/>
              <w:bottom w:val="double" w:sz="12" w:space="0" w:color="808080" w:themeColor="background1" w:themeShade="80"/>
              <w:right w:val="single" w:sz="8" w:space="0" w:color="FFFFFF" w:themeColor="background1"/>
            </w:tcBorders>
            <w:shd w:val="clear" w:color="auto" w:fill="D4C19C"/>
            <w:vAlign w:val="center"/>
          </w:tcPr>
          <w:p w14:paraId="65EE8905" w14:textId="77777777" w:rsidR="009C3C24" w:rsidRPr="006F0DF1" w:rsidRDefault="009C3C24" w:rsidP="002F797B">
            <w:pPr>
              <w:spacing w:after="0" w:line="240" w:lineRule="exact"/>
              <w:jc w:val="center"/>
              <w:rPr>
                <w:rFonts w:ascii="Montserrat" w:hAnsi="Montserrat"/>
                <w:b/>
                <w:color w:val="FFFFFF"/>
                <w:sz w:val="16"/>
                <w:szCs w:val="16"/>
                <w:lang w:val="es-ES_tradnl"/>
              </w:rPr>
            </w:pPr>
            <w:r w:rsidRPr="006F0DF1">
              <w:rPr>
                <w:rFonts w:ascii="Montserrat" w:hAnsi="Montserrat"/>
                <w:b/>
                <w:color w:val="FFFFFF"/>
                <w:sz w:val="16"/>
                <w:szCs w:val="16"/>
                <w:lang w:val="es-ES_tradnl"/>
              </w:rPr>
              <w:t>Capital</w:t>
            </w:r>
          </w:p>
        </w:tc>
        <w:tc>
          <w:tcPr>
            <w:tcW w:w="1692" w:type="dxa"/>
            <w:tcBorders>
              <w:top w:val="single" w:sz="8" w:space="0" w:color="FFFFFF" w:themeColor="background1"/>
              <w:left w:val="single" w:sz="8" w:space="0" w:color="FFFFFF" w:themeColor="background1"/>
              <w:bottom w:val="double" w:sz="12" w:space="0" w:color="808080" w:themeColor="background1" w:themeShade="80"/>
              <w:right w:val="single" w:sz="8" w:space="0" w:color="FFFFFF" w:themeColor="background1"/>
            </w:tcBorders>
            <w:shd w:val="clear" w:color="auto" w:fill="D4C19C"/>
            <w:vAlign w:val="center"/>
          </w:tcPr>
          <w:p w14:paraId="0B0B7DFB" w14:textId="77777777" w:rsidR="009C3C24" w:rsidRPr="006F0DF1" w:rsidRDefault="009C3C24" w:rsidP="002F797B">
            <w:pPr>
              <w:spacing w:after="0" w:line="240" w:lineRule="exact"/>
              <w:jc w:val="center"/>
              <w:rPr>
                <w:rFonts w:ascii="Montserrat" w:hAnsi="Montserrat"/>
                <w:b/>
                <w:color w:val="FFFFFF"/>
                <w:sz w:val="16"/>
                <w:szCs w:val="16"/>
                <w:lang w:val="es-ES_tradnl"/>
              </w:rPr>
            </w:pPr>
            <w:r w:rsidRPr="006F0DF1">
              <w:rPr>
                <w:rFonts w:ascii="Montserrat" w:hAnsi="Montserrat"/>
                <w:b/>
                <w:color w:val="FFFFFF"/>
                <w:sz w:val="16"/>
                <w:szCs w:val="16"/>
                <w:lang w:val="es-ES_tradnl"/>
              </w:rPr>
              <w:t>Intereses</w:t>
            </w:r>
          </w:p>
        </w:tc>
      </w:tr>
      <w:tr w:rsidR="009635EF" w:rsidRPr="005210C6" w14:paraId="56FB426E" w14:textId="77777777" w:rsidTr="000F0321">
        <w:trPr>
          <w:trHeight w:val="240"/>
          <w:jc w:val="center"/>
        </w:trPr>
        <w:tc>
          <w:tcPr>
            <w:tcW w:w="2407" w:type="dxa"/>
            <w:tcBorders>
              <w:top w:val="double" w:sz="12" w:space="0" w:color="808080" w:themeColor="background1" w:themeShade="80"/>
            </w:tcBorders>
            <w:shd w:val="clear" w:color="auto" w:fill="F2F2F2" w:themeFill="background1" w:themeFillShade="F2"/>
            <w:noWrap/>
            <w:vAlign w:val="bottom"/>
            <w:hideMark/>
          </w:tcPr>
          <w:p w14:paraId="5CF4CD13" w14:textId="77777777" w:rsidR="009635EF" w:rsidRPr="006F0DF1" w:rsidRDefault="009635EF" w:rsidP="009635EF">
            <w:pPr>
              <w:spacing w:after="0" w:line="240" w:lineRule="exact"/>
              <w:jc w:val="right"/>
              <w:rPr>
                <w:rFonts w:ascii="Montserrat" w:hAnsi="Montserrat"/>
                <w:b/>
                <w:bCs/>
                <w:sz w:val="14"/>
                <w:szCs w:val="14"/>
                <w:lang w:val="es-ES_tradnl"/>
              </w:rPr>
            </w:pPr>
            <w:r w:rsidRPr="006F0DF1">
              <w:rPr>
                <w:rFonts w:ascii="Montserrat" w:hAnsi="Montserrat"/>
                <w:b/>
                <w:bCs/>
                <w:sz w:val="14"/>
                <w:szCs w:val="14"/>
                <w:lang w:val="es-ES_tradnl"/>
              </w:rPr>
              <w:t>Total</w:t>
            </w:r>
          </w:p>
        </w:tc>
        <w:tc>
          <w:tcPr>
            <w:tcW w:w="1701" w:type="dxa"/>
            <w:tcBorders>
              <w:top w:val="double" w:sz="12" w:space="0" w:color="808080" w:themeColor="background1" w:themeShade="80"/>
            </w:tcBorders>
            <w:shd w:val="clear" w:color="auto" w:fill="F2F2F2" w:themeFill="background1" w:themeFillShade="F2"/>
            <w:vAlign w:val="center"/>
          </w:tcPr>
          <w:p w14:paraId="366C49A3" w14:textId="00F60636" w:rsidR="009635EF" w:rsidRPr="005210C6" w:rsidRDefault="009635EF">
            <w:pPr>
              <w:spacing w:after="0" w:line="240" w:lineRule="exact"/>
              <w:jc w:val="right"/>
              <w:rPr>
                <w:rFonts w:ascii="Montserrat" w:hAnsi="Montserrat"/>
                <w:b/>
                <w:sz w:val="14"/>
                <w:szCs w:val="14"/>
                <w:lang w:val="es-ES_tradnl"/>
              </w:rPr>
            </w:pPr>
            <w:r w:rsidRPr="005511E3">
              <w:rPr>
                <w:rFonts w:ascii="Montserrat" w:eastAsia="Times New Roman" w:hAnsi="Montserrat" w:cs="Calibri"/>
                <w:b/>
                <w:bCs/>
                <w:sz w:val="13"/>
                <w:szCs w:val="13"/>
                <w:lang w:eastAsia="es-MX"/>
              </w:rPr>
              <w:t xml:space="preserve">   624,579,255,501 </w:t>
            </w:r>
          </w:p>
        </w:tc>
        <w:tc>
          <w:tcPr>
            <w:tcW w:w="1701" w:type="dxa"/>
            <w:tcBorders>
              <w:top w:val="double" w:sz="12" w:space="0" w:color="808080" w:themeColor="background1" w:themeShade="80"/>
            </w:tcBorders>
            <w:shd w:val="clear" w:color="auto" w:fill="F2F2F2" w:themeFill="background1" w:themeFillShade="F2"/>
            <w:vAlign w:val="center"/>
          </w:tcPr>
          <w:p w14:paraId="7351D617" w14:textId="7959012F" w:rsidR="009635EF" w:rsidRPr="005210C6" w:rsidRDefault="009635EF">
            <w:pPr>
              <w:spacing w:after="0" w:line="240" w:lineRule="exact"/>
              <w:jc w:val="right"/>
              <w:rPr>
                <w:rFonts w:ascii="Montserrat" w:hAnsi="Montserrat"/>
                <w:b/>
                <w:sz w:val="14"/>
                <w:szCs w:val="14"/>
                <w:lang w:val="es-ES_tradnl"/>
              </w:rPr>
            </w:pPr>
            <w:r w:rsidRPr="005511E3">
              <w:rPr>
                <w:rFonts w:ascii="Montserrat" w:eastAsia="Times New Roman" w:hAnsi="Montserrat" w:cs="Calibri"/>
                <w:b/>
                <w:bCs/>
                <w:sz w:val="13"/>
                <w:szCs w:val="13"/>
                <w:lang w:eastAsia="es-MX"/>
              </w:rPr>
              <w:t xml:space="preserve">   328,249,482,411 </w:t>
            </w:r>
          </w:p>
        </w:tc>
        <w:tc>
          <w:tcPr>
            <w:tcW w:w="1559" w:type="dxa"/>
            <w:tcBorders>
              <w:top w:val="double" w:sz="12" w:space="0" w:color="808080" w:themeColor="background1" w:themeShade="80"/>
            </w:tcBorders>
            <w:shd w:val="clear" w:color="auto" w:fill="F2F2F2" w:themeFill="background1" w:themeFillShade="F2"/>
            <w:vAlign w:val="center"/>
          </w:tcPr>
          <w:p w14:paraId="258F356E" w14:textId="668F516C" w:rsidR="009635EF" w:rsidRPr="005210C6" w:rsidRDefault="009635EF">
            <w:pPr>
              <w:spacing w:after="0" w:line="240" w:lineRule="exact"/>
              <w:jc w:val="right"/>
              <w:rPr>
                <w:rFonts w:ascii="Montserrat" w:hAnsi="Montserrat"/>
                <w:b/>
                <w:sz w:val="14"/>
                <w:szCs w:val="14"/>
                <w:lang w:val="es-ES_tradnl"/>
              </w:rPr>
            </w:pPr>
            <w:r w:rsidRPr="005511E3">
              <w:rPr>
                <w:rFonts w:ascii="Montserrat" w:eastAsia="Times New Roman" w:hAnsi="Montserrat" w:cs="Calibri"/>
                <w:b/>
                <w:bCs/>
                <w:sz w:val="13"/>
                <w:szCs w:val="13"/>
                <w:lang w:eastAsia="es-MX"/>
              </w:rPr>
              <w:t xml:space="preserve">   682,411,539,696 </w:t>
            </w:r>
          </w:p>
        </w:tc>
        <w:tc>
          <w:tcPr>
            <w:tcW w:w="1559" w:type="dxa"/>
            <w:tcBorders>
              <w:top w:val="double" w:sz="12" w:space="0" w:color="808080" w:themeColor="background1" w:themeShade="80"/>
            </w:tcBorders>
            <w:shd w:val="clear" w:color="auto" w:fill="F2F2F2" w:themeFill="background1" w:themeFillShade="F2"/>
            <w:vAlign w:val="center"/>
          </w:tcPr>
          <w:p w14:paraId="02018738" w14:textId="23339073" w:rsidR="009635EF" w:rsidRPr="005210C6" w:rsidRDefault="009635EF">
            <w:pPr>
              <w:spacing w:after="0" w:line="240" w:lineRule="exact"/>
              <w:jc w:val="right"/>
              <w:rPr>
                <w:rFonts w:ascii="Montserrat" w:hAnsi="Montserrat"/>
                <w:b/>
                <w:sz w:val="14"/>
                <w:szCs w:val="14"/>
                <w:lang w:val="es-ES_tradnl"/>
              </w:rPr>
            </w:pPr>
            <w:r w:rsidRPr="005511E3">
              <w:rPr>
                <w:rFonts w:ascii="Montserrat" w:eastAsia="Times New Roman" w:hAnsi="Montserrat" w:cs="Calibri"/>
                <w:b/>
                <w:bCs/>
                <w:sz w:val="13"/>
                <w:szCs w:val="13"/>
                <w:lang w:eastAsia="es-MX"/>
              </w:rPr>
              <w:t xml:space="preserve">   291,134,123,398 </w:t>
            </w:r>
          </w:p>
        </w:tc>
        <w:tc>
          <w:tcPr>
            <w:tcW w:w="1626" w:type="dxa"/>
            <w:tcBorders>
              <w:top w:val="double" w:sz="12" w:space="0" w:color="808080" w:themeColor="background1" w:themeShade="80"/>
            </w:tcBorders>
            <w:shd w:val="clear" w:color="auto" w:fill="F2F2F2" w:themeFill="background1" w:themeFillShade="F2"/>
            <w:vAlign w:val="center"/>
          </w:tcPr>
          <w:p w14:paraId="0FAD230C" w14:textId="0C395B0E" w:rsidR="009635EF" w:rsidRPr="005210C6" w:rsidRDefault="009635EF">
            <w:pPr>
              <w:spacing w:after="0" w:line="240" w:lineRule="exact"/>
              <w:jc w:val="right"/>
              <w:rPr>
                <w:rFonts w:ascii="Montserrat" w:hAnsi="Montserrat"/>
                <w:b/>
                <w:sz w:val="14"/>
                <w:szCs w:val="14"/>
                <w:lang w:val="es-ES_tradnl"/>
              </w:rPr>
            </w:pPr>
            <w:r w:rsidRPr="005511E3">
              <w:rPr>
                <w:rFonts w:ascii="Montserrat" w:eastAsia="Times New Roman" w:hAnsi="Montserrat" w:cs="Calibri"/>
                <w:b/>
                <w:bCs/>
                <w:sz w:val="13"/>
                <w:szCs w:val="13"/>
                <w:lang w:eastAsia="es-MX"/>
              </w:rPr>
              <w:t xml:space="preserve">    4,576,944,553,456 </w:t>
            </w:r>
          </w:p>
        </w:tc>
        <w:tc>
          <w:tcPr>
            <w:tcW w:w="1726" w:type="dxa"/>
            <w:gridSpan w:val="2"/>
            <w:tcBorders>
              <w:top w:val="double" w:sz="12" w:space="0" w:color="808080" w:themeColor="background1" w:themeShade="80"/>
            </w:tcBorders>
            <w:shd w:val="clear" w:color="auto" w:fill="F2F2F2" w:themeFill="background1" w:themeFillShade="F2"/>
            <w:vAlign w:val="center"/>
          </w:tcPr>
          <w:p w14:paraId="00264394" w14:textId="0F66E24F" w:rsidR="009635EF" w:rsidRPr="005210C6" w:rsidRDefault="009635EF">
            <w:pPr>
              <w:spacing w:after="0" w:line="240" w:lineRule="exact"/>
              <w:jc w:val="right"/>
              <w:rPr>
                <w:rFonts w:ascii="Montserrat" w:hAnsi="Montserrat"/>
                <w:b/>
                <w:sz w:val="14"/>
                <w:szCs w:val="14"/>
                <w:lang w:val="es-ES_tradnl"/>
              </w:rPr>
            </w:pPr>
            <w:r w:rsidRPr="005511E3">
              <w:rPr>
                <w:rFonts w:ascii="Montserrat" w:eastAsia="Times New Roman" w:hAnsi="Montserrat" w:cs="Calibri"/>
                <w:b/>
                <w:bCs/>
                <w:sz w:val="13"/>
                <w:szCs w:val="13"/>
                <w:lang w:eastAsia="es-MX"/>
              </w:rPr>
              <w:t xml:space="preserve">     3,917,237,623,956 </w:t>
            </w:r>
          </w:p>
        </w:tc>
      </w:tr>
      <w:tr w:rsidR="009635EF" w:rsidRPr="005210C6" w14:paraId="62972C6C" w14:textId="77777777" w:rsidTr="000F0321">
        <w:trPr>
          <w:trHeight w:val="255"/>
          <w:jc w:val="center"/>
        </w:trPr>
        <w:tc>
          <w:tcPr>
            <w:tcW w:w="2407" w:type="dxa"/>
            <w:shd w:val="clear" w:color="auto" w:fill="F2F2F2" w:themeFill="background1" w:themeFillShade="F2"/>
            <w:noWrap/>
            <w:vAlign w:val="bottom"/>
            <w:hideMark/>
          </w:tcPr>
          <w:p w14:paraId="0030629D" w14:textId="77777777" w:rsidR="009635EF" w:rsidRPr="006F0DF1" w:rsidRDefault="009635EF" w:rsidP="009635EF">
            <w:pPr>
              <w:spacing w:after="0" w:line="240" w:lineRule="exact"/>
              <w:jc w:val="right"/>
              <w:rPr>
                <w:rFonts w:ascii="Montserrat" w:hAnsi="Montserrat"/>
                <w:b/>
                <w:bCs/>
                <w:sz w:val="14"/>
                <w:szCs w:val="14"/>
                <w:lang w:val="es-ES_tradnl"/>
              </w:rPr>
            </w:pPr>
            <w:r w:rsidRPr="006F0DF1">
              <w:rPr>
                <w:rFonts w:ascii="Montserrat" w:hAnsi="Montserrat"/>
                <w:b/>
                <w:bCs/>
                <w:sz w:val="14"/>
                <w:szCs w:val="14"/>
                <w:lang w:val="es-ES_tradnl"/>
              </w:rPr>
              <w:t>Deuda Interna</w:t>
            </w:r>
          </w:p>
        </w:tc>
        <w:tc>
          <w:tcPr>
            <w:tcW w:w="1701" w:type="dxa"/>
            <w:shd w:val="clear" w:color="auto" w:fill="F2F2F2" w:themeFill="background1" w:themeFillShade="F2"/>
            <w:vAlign w:val="center"/>
          </w:tcPr>
          <w:p w14:paraId="5B43CB12" w14:textId="7904A958" w:rsidR="009635EF" w:rsidRPr="009D2BD9" w:rsidRDefault="009635EF">
            <w:pPr>
              <w:spacing w:after="0" w:line="240" w:lineRule="exact"/>
              <w:jc w:val="right"/>
              <w:rPr>
                <w:rFonts w:ascii="Montserrat" w:hAnsi="Montserrat"/>
                <w:b/>
                <w:sz w:val="14"/>
                <w:szCs w:val="14"/>
                <w:lang w:val="es-ES_tradnl"/>
              </w:rPr>
            </w:pPr>
            <w:r w:rsidRPr="000F0321">
              <w:rPr>
                <w:rFonts w:ascii="Montserrat" w:eastAsia="Times New Roman" w:hAnsi="Montserrat" w:cs="Calibri"/>
                <w:b/>
                <w:sz w:val="13"/>
                <w:szCs w:val="13"/>
                <w:lang w:eastAsia="es-MX"/>
              </w:rPr>
              <w:t xml:space="preserve">   481,952,818,477 </w:t>
            </w:r>
          </w:p>
        </w:tc>
        <w:tc>
          <w:tcPr>
            <w:tcW w:w="1701" w:type="dxa"/>
            <w:shd w:val="clear" w:color="auto" w:fill="F2F2F2" w:themeFill="background1" w:themeFillShade="F2"/>
            <w:vAlign w:val="center"/>
          </w:tcPr>
          <w:p w14:paraId="52D2478F" w14:textId="42E17B19" w:rsidR="009635EF" w:rsidRPr="009D2BD9" w:rsidRDefault="009635EF">
            <w:pPr>
              <w:spacing w:after="0" w:line="240" w:lineRule="exact"/>
              <w:jc w:val="right"/>
              <w:rPr>
                <w:rFonts w:ascii="Montserrat" w:hAnsi="Montserrat"/>
                <w:b/>
                <w:sz w:val="14"/>
                <w:szCs w:val="14"/>
                <w:lang w:val="es-ES_tradnl"/>
              </w:rPr>
            </w:pPr>
            <w:r w:rsidRPr="000F0321">
              <w:rPr>
                <w:rFonts w:ascii="Montserrat" w:eastAsia="Times New Roman" w:hAnsi="Montserrat" w:cs="Calibri"/>
                <w:b/>
                <w:sz w:val="13"/>
                <w:szCs w:val="13"/>
                <w:lang w:eastAsia="es-MX"/>
              </w:rPr>
              <w:t xml:space="preserve">   261,863,777,809 </w:t>
            </w:r>
          </w:p>
        </w:tc>
        <w:tc>
          <w:tcPr>
            <w:tcW w:w="1559" w:type="dxa"/>
            <w:shd w:val="clear" w:color="auto" w:fill="F2F2F2" w:themeFill="background1" w:themeFillShade="F2"/>
            <w:vAlign w:val="center"/>
          </w:tcPr>
          <w:p w14:paraId="68100EE4" w14:textId="5F3C37BC" w:rsidR="009635EF" w:rsidRPr="009D2BD9" w:rsidRDefault="009635EF">
            <w:pPr>
              <w:spacing w:after="0" w:line="240" w:lineRule="exact"/>
              <w:jc w:val="right"/>
              <w:rPr>
                <w:rFonts w:ascii="Montserrat" w:hAnsi="Montserrat"/>
                <w:b/>
                <w:sz w:val="14"/>
                <w:szCs w:val="14"/>
                <w:lang w:val="es-ES_tradnl"/>
              </w:rPr>
            </w:pPr>
            <w:r w:rsidRPr="000F0321">
              <w:rPr>
                <w:rFonts w:ascii="Montserrat" w:eastAsia="Times New Roman" w:hAnsi="Montserrat" w:cs="Calibri"/>
                <w:b/>
                <w:sz w:val="13"/>
                <w:szCs w:val="13"/>
                <w:lang w:eastAsia="es-MX"/>
              </w:rPr>
              <w:t xml:space="preserve">   596,233,386,727 </w:t>
            </w:r>
          </w:p>
        </w:tc>
        <w:tc>
          <w:tcPr>
            <w:tcW w:w="1559" w:type="dxa"/>
            <w:shd w:val="clear" w:color="auto" w:fill="F2F2F2" w:themeFill="background1" w:themeFillShade="F2"/>
            <w:vAlign w:val="center"/>
          </w:tcPr>
          <w:p w14:paraId="4B1827C7" w14:textId="24331658" w:rsidR="009635EF" w:rsidRPr="009D2BD9" w:rsidRDefault="009635EF">
            <w:pPr>
              <w:spacing w:after="0" w:line="240" w:lineRule="exact"/>
              <w:jc w:val="right"/>
              <w:rPr>
                <w:rFonts w:ascii="Montserrat" w:hAnsi="Montserrat"/>
                <w:b/>
                <w:sz w:val="14"/>
                <w:szCs w:val="14"/>
                <w:lang w:val="es-ES_tradnl"/>
              </w:rPr>
            </w:pPr>
            <w:r w:rsidRPr="000F0321">
              <w:rPr>
                <w:rFonts w:ascii="Montserrat" w:eastAsia="Times New Roman" w:hAnsi="Montserrat" w:cs="Calibri"/>
                <w:b/>
                <w:sz w:val="13"/>
                <w:szCs w:val="13"/>
                <w:lang w:eastAsia="es-MX"/>
              </w:rPr>
              <w:t xml:space="preserve">   229,343,733,719 </w:t>
            </w:r>
          </w:p>
        </w:tc>
        <w:tc>
          <w:tcPr>
            <w:tcW w:w="1626" w:type="dxa"/>
            <w:shd w:val="clear" w:color="auto" w:fill="F2F2F2" w:themeFill="background1" w:themeFillShade="F2"/>
            <w:vAlign w:val="center"/>
          </w:tcPr>
          <w:p w14:paraId="78BAED28" w14:textId="56ECE8C9" w:rsidR="009635EF" w:rsidRPr="009D2BD9" w:rsidRDefault="009635EF">
            <w:pPr>
              <w:spacing w:after="0" w:line="240" w:lineRule="exact"/>
              <w:jc w:val="right"/>
              <w:rPr>
                <w:rFonts w:ascii="Montserrat" w:hAnsi="Montserrat"/>
                <w:b/>
                <w:sz w:val="14"/>
                <w:szCs w:val="14"/>
                <w:lang w:val="es-ES_tradnl"/>
              </w:rPr>
            </w:pPr>
            <w:r w:rsidRPr="000F0321">
              <w:rPr>
                <w:rFonts w:ascii="Montserrat" w:eastAsia="Times New Roman" w:hAnsi="Montserrat" w:cs="Calibri"/>
                <w:b/>
                <w:sz w:val="13"/>
                <w:szCs w:val="13"/>
                <w:lang w:eastAsia="es-MX"/>
              </w:rPr>
              <w:t xml:space="preserve">    3,197,385,823,227 </w:t>
            </w:r>
          </w:p>
        </w:tc>
        <w:tc>
          <w:tcPr>
            <w:tcW w:w="1726" w:type="dxa"/>
            <w:gridSpan w:val="2"/>
            <w:shd w:val="clear" w:color="auto" w:fill="F2F2F2" w:themeFill="background1" w:themeFillShade="F2"/>
            <w:vAlign w:val="center"/>
          </w:tcPr>
          <w:p w14:paraId="36291F01" w14:textId="59AB5769" w:rsidR="009635EF" w:rsidRPr="009D2BD9" w:rsidRDefault="009635EF">
            <w:pPr>
              <w:spacing w:after="0" w:line="240" w:lineRule="exact"/>
              <w:jc w:val="right"/>
              <w:rPr>
                <w:rFonts w:ascii="Montserrat" w:hAnsi="Montserrat"/>
                <w:b/>
                <w:sz w:val="14"/>
                <w:szCs w:val="14"/>
                <w:lang w:val="es-ES_tradnl"/>
              </w:rPr>
            </w:pPr>
            <w:r w:rsidRPr="000F0321">
              <w:rPr>
                <w:rFonts w:ascii="Montserrat" w:eastAsia="Times New Roman" w:hAnsi="Montserrat" w:cs="Calibri"/>
                <w:b/>
                <w:sz w:val="13"/>
                <w:szCs w:val="13"/>
                <w:lang w:eastAsia="es-MX"/>
              </w:rPr>
              <w:t xml:space="preserve">     2,776,745,919,754 </w:t>
            </w:r>
          </w:p>
        </w:tc>
      </w:tr>
      <w:tr w:rsidR="009635EF" w:rsidRPr="005210C6" w14:paraId="272FD95F" w14:textId="77777777" w:rsidTr="000F0321">
        <w:trPr>
          <w:trHeight w:val="240"/>
          <w:jc w:val="center"/>
        </w:trPr>
        <w:tc>
          <w:tcPr>
            <w:tcW w:w="2407" w:type="dxa"/>
            <w:shd w:val="clear" w:color="auto" w:fill="F2F2F2" w:themeFill="background1" w:themeFillShade="F2"/>
            <w:noWrap/>
            <w:vAlign w:val="bottom"/>
            <w:hideMark/>
          </w:tcPr>
          <w:p w14:paraId="5C901AE0" w14:textId="77777777" w:rsidR="009635EF" w:rsidRPr="006F0DF1" w:rsidRDefault="009635EF" w:rsidP="009635EF">
            <w:pPr>
              <w:spacing w:after="0" w:line="240" w:lineRule="exact"/>
              <w:jc w:val="center"/>
              <w:rPr>
                <w:rFonts w:ascii="Montserrat" w:hAnsi="Montserrat"/>
                <w:b/>
                <w:bCs/>
                <w:sz w:val="14"/>
                <w:szCs w:val="14"/>
                <w:lang w:val="es-ES_tradnl"/>
              </w:rPr>
            </w:pPr>
            <w:r w:rsidRPr="006F0DF1">
              <w:rPr>
                <w:rFonts w:ascii="Montserrat" w:hAnsi="Montserrat"/>
                <w:b/>
                <w:bCs/>
                <w:sz w:val="14"/>
                <w:szCs w:val="14"/>
                <w:lang w:val="es-ES_tradnl"/>
              </w:rPr>
              <w:t>Valores Gubernamentales</w:t>
            </w:r>
          </w:p>
        </w:tc>
        <w:tc>
          <w:tcPr>
            <w:tcW w:w="1701" w:type="dxa"/>
            <w:shd w:val="clear" w:color="auto" w:fill="F2F2F2" w:themeFill="background1" w:themeFillShade="F2"/>
            <w:vAlign w:val="center"/>
          </w:tcPr>
          <w:p w14:paraId="1F63F5F1" w14:textId="1D4542AB" w:rsidR="009635EF" w:rsidRPr="009D2BD9" w:rsidRDefault="009635EF">
            <w:pPr>
              <w:spacing w:after="0" w:line="240" w:lineRule="exact"/>
              <w:jc w:val="right"/>
              <w:rPr>
                <w:rFonts w:ascii="Montserrat" w:hAnsi="Montserrat"/>
                <w:b/>
                <w:sz w:val="14"/>
                <w:szCs w:val="14"/>
                <w:lang w:val="es-ES_tradnl"/>
              </w:rPr>
            </w:pPr>
            <w:r w:rsidRPr="000F0321">
              <w:rPr>
                <w:rFonts w:ascii="Montserrat" w:eastAsia="Times New Roman" w:hAnsi="Montserrat" w:cs="Calibri"/>
                <w:b/>
                <w:sz w:val="13"/>
                <w:szCs w:val="13"/>
                <w:lang w:eastAsia="es-MX"/>
              </w:rPr>
              <w:t xml:space="preserve">   455,449,366,710 </w:t>
            </w:r>
          </w:p>
        </w:tc>
        <w:tc>
          <w:tcPr>
            <w:tcW w:w="1701" w:type="dxa"/>
            <w:shd w:val="clear" w:color="auto" w:fill="F2F2F2" w:themeFill="background1" w:themeFillShade="F2"/>
            <w:vAlign w:val="center"/>
          </w:tcPr>
          <w:p w14:paraId="58DEEDF9" w14:textId="051B66B4" w:rsidR="009635EF" w:rsidRPr="009D2BD9" w:rsidRDefault="009635EF">
            <w:pPr>
              <w:spacing w:after="0" w:line="240" w:lineRule="exact"/>
              <w:jc w:val="right"/>
              <w:rPr>
                <w:rFonts w:ascii="Montserrat" w:hAnsi="Montserrat"/>
                <w:b/>
                <w:sz w:val="14"/>
                <w:szCs w:val="14"/>
                <w:lang w:val="es-ES_tradnl"/>
              </w:rPr>
            </w:pPr>
            <w:r w:rsidRPr="000F0321">
              <w:rPr>
                <w:rFonts w:ascii="Montserrat" w:eastAsia="Times New Roman" w:hAnsi="Montserrat" w:cs="Calibri"/>
                <w:b/>
                <w:sz w:val="13"/>
                <w:szCs w:val="13"/>
                <w:lang w:eastAsia="es-MX"/>
              </w:rPr>
              <w:t xml:space="preserve">   253,324,482,822 </w:t>
            </w:r>
          </w:p>
        </w:tc>
        <w:tc>
          <w:tcPr>
            <w:tcW w:w="1559" w:type="dxa"/>
            <w:shd w:val="clear" w:color="auto" w:fill="F2F2F2" w:themeFill="background1" w:themeFillShade="F2"/>
            <w:vAlign w:val="center"/>
          </w:tcPr>
          <w:p w14:paraId="7B5C57F9" w14:textId="073FACEF" w:rsidR="009635EF" w:rsidRPr="009D2BD9" w:rsidRDefault="009635EF">
            <w:pPr>
              <w:spacing w:after="0" w:line="240" w:lineRule="exact"/>
              <w:jc w:val="right"/>
              <w:rPr>
                <w:rFonts w:ascii="Montserrat" w:hAnsi="Montserrat"/>
                <w:b/>
                <w:sz w:val="14"/>
                <w:szCs w:val="14"/>
                <w:lang w:val="es-ES_tradnl"/>
              </w:rPr>
            </w:pPr>
            <w:r w:rsidRPr="000F0321">
              <w:rPr>
                <w:rFonts w:ascii="Montserrat" w:eastAsia="Times New Roman" w:hAnsi="Montserrat" w:cs="Calibri"/>
                <w:b/>
                <w:sz w:val="13"/>
                <w:szCs w:val="13"/>
                <w:lang w:eastAsia="es-MX"/>
              </w:rPr>
              <w:t xml:space="preserve">   570,223,992,209 </w:t>
            </w:r>
          </w:p>
        </w:tc>
        <w:tc>
          <w:tcPr>
            <w:tcW w:w="1559" w:type="dxa"/>
            <w:shd w:val="clear" w:color="auto" w:fill="F2F2F2" w:themeFill="background1" w:themeFillShade="F2"/>
            <w:vAlign w:val="center"/>
          </w:tcPr>
          <w:p w14:paraId="20A7E897" w14:textId="30DA0060" w:rsidR="009635EF" w:rsidRPr="009D2BD9" w:rsidRDefault="009635EF">
            <w:pPr>
              <w:spacing w:after="0" w:line="240" w:lineRule="exact"/>
              <w:jc w:val="right"/>
              <w:rPr>
                <w:rFonts w:ascii="Montserrat" w:hAnsi="Montserrat"/>
                <w:b/>
                <w:sz w:val="14"/>
                <w:szCs w:val="14"/>
                <w:lang w:val="es-ES_tradnl"/>
              </w:rPr>
            </w:pPr>
            <w:r w:rsidRPr="000F0321">
              <w:rPr>
                <w:rFonts w:ascii="Montserrat" w:eastAsia="Times New Roman" w:hAnsi="Montserrat" w:cs="Calibri"/>
                <w:b/>
                <w:sz w:val="13"/>
                <w:szCs w:val="13"/>
                <w:lang w:eastAsia="es-MX"/>
              </w:rPr>
              <w:t xml:space="preserve">   219,230,908,048 </w:t>
            </w:r>
          </w:p>
        </w:tc>
        <w:tc>
          <w:tcPr>
            <w:tcW w:w="1626" w:type="dxa"/>
            <w:shd w:val="clear" w:color="auto" w:fill="F2F2F2" w:themeFill="background1" w:themeFillShade="F2"/>
            <w:vAlign w:val="center"/>
          </w:tcPr>
          <w:p w14:paraId="6492A984" w14:textId="364D3B84" w:rsidR="009635EF" w:rsidRPr="009D2BD9" w:rsidRDefault="009635EF">
            <w:pPr>
              <w:spacing w:after="0" w:line="240" w:lineRule="exact"/>
              <w:jc w:val="right"/>
              <w:rPr>
                <w:rFonts w:ascii="Montserrat" w:hAnsi="Montserrat"/>
                <w:b/>
                <w:sz w:val="14"/>
                <w:szCs w:val="14"/>
                <w:lang w:val="es-ES_tradnl"/>
              </w:rPr>
            </w:pPr>
            <w:r w:rsidRPr="000F0321">
              <w:rPr>
                <w:rFonts w:ascii="Montserrat" w:eastAsia="Times New Roman" w:hAnsi="Montserrat" w:cs="Calibri"/>
                <w:b/>
                <w:sz w:val="13"/>
                <w:szCs w:val="13"/>
                <w:lang w:eastAsia="es-MX"/>
              </w:rPr>
              <w:t xml:space="preserve">    2,777,558,534,472 </w:t>
            </w:r>
          </w:p>
        </w:tc>
        <w:tc>
          <w:tcPr>
            <w:tcW w:w="1726" w:type="dxa"/>
            <w:gridSpan w:val="2"/>
            <w:shd w:val="clear" w:color="auto" w:fill="F2F2F2" w:themeFill="background1" w:themeFillShade="F2"/>
            <w:vAlign w:val="center"/>
          </w:tcPr>
          <w:p w14:paraId="697E23CA" w14:textId="4BF10C39" w:rsidR="009635EF" w:rsidRPr="009D2BD9" w:rsidRDefault="009635EF">
            <w:pPr>
              <w:spacing w:after="0" w:line="240" w:lineRule="exact"/>
              <w:jc w:val="right"/>
              <w:rPr>
                <w:rFonts w:ascii="Montserrat" w:hAnsi="Montserrat"/>
                <w:b/>
                <w:sz w:val="14"/>
                <w:szCs w:val="14"/>
                <w:lang w:val="es-ES_tradnl"/>
              </w:rPr>
            </w:pPr>
            <w:r w:rsidRPr="000F0321">
              <w:rPr>
                <w:rFonts w:ascii="Montserrat" w:eastAsia="Times New Roman" w:hAnsi="Montserrat" w:cs="Calibri"/>
                <w:b/>
                <w:sz w:val="13"/>
                <w:szCs w:val="13"/>
                <w:lang w:eastAsia="es-MX"/>
              </w:rPr>
              <w:t xml:space="preserve">     1,742,953,872,193 </w:t>
            </w:r>
          </w:p>
        </w:tc>
      </w:tr>
      <w:tr w:rsidR="009635EF" w:rsidRPr="005210C6" w14:paraId="1EF6640F" w14:textId="77777777" w:rsidTr="000F0321">
        <w:trPr>
          <w:trHeight w:val="240"/>
          <w:jc w:val="center"/>
        </w:trPr>
        <w:tc>
          <w:tcPr>
            <w:tcW w:w="2407" w:type="dxa"/>
            <w:shd w:val="clear" w:color="auto" w:fill="F2F2F2" w:themeFill="background1" w:themeFillShade="F2"/>
            <w:noWrap/>
            <w:vAlign w:val="bottom"/>
            <w:hideMark/>
          </w:tcPr>
          <w:p w14:paraId="71B2D4F2" w14:textId="77777777" w:rsidR="009635EF" w:rsidRPr="006F0DF1" w:rsidRDefault="009635EF" w:rsidP="009635EF">
            <w:pPr>
              <w:spacing w:after="0" w:line="240" w:lineRule="exact"/>
              <w:ind w:left="135"/>
              <w:rPr>
                <w:rFonts w:ascii="Montserrat" w:hAnsi="Montserrat"/>
                <w:sz w:val="14"/>
                <w:szCs w:val="14"/>
                <w:lang w:val="es-ES_tradnl"/>
              </w:rPr>
            </w:pPr>
            <w:r w:rsidRPr="006F0DF1">
              <w:rPr>
                <w:rFonts w:ascii="Montserrat" w:hAnsi="Montserrat"/>
                <w:sz w:val="14"/>
                <w:szCs w:val="14"/>
                <w:lang w:val="es-ES_tradnl"/>
              </w:rPr>
              <w:t>Cetes</w:t>
            </w:r>
          </w:p>
        </w:tc>
        <w:tc>
          <w:tcPr>
            <w:tcW w:w="1701" w:type="dxa"/>
            <w:shd w:val="clear" w:color="auto" w:fill="F2F2F2" w:themeFill="background1" w:themeFillShade="F2"/>
            <w:vAlign w:val="center"/>
          </w:tcPr>
          <w:p w14:paraId="74A03408" w14:textId="796EB54E" w:rsidR="009635EF" w:rsidRPr="005210C6" w:rsidRDefault="009635EF">
            <w:pPr>
              <w:spacing w:after="0" w:line="240" w:lineRule="exact"/>
              <w:jc w:val="right"/>
              <w:rPr>
                <w:rFonts w:ascii="Montserrat" w:hAnsi="Montserrat"/>
                <w:sz w:val="14"/>
                <w:szCs w:val="14"/>
                <w:lang w:val="es-ES_tradnl"/>
              </w:rPr>
            </w:pPr>
            <w:r>
              <w:rPr>
                <w:rFonts w:ascii="Montserrat" w:eastAsia="Times New Roman" w:hAnsi="Montserrat" w:cs="Calibri"/>
                <w:sz w:val="13"/>
                <w:szCs w:val="13"/>
                <w:lang w:eastAsia="es-MX"/>
              </w:rPr>
              <w:t>0</w:t>
            </w:r>
            <w:r w:rsidRPr="005511E3">
              <w:rPr>
                <w:rFonts w:ascii="Montserrat" w:eastAsia="Times New Roman" w:hAnsi="Montserrat" w:cs="Calibri"/>
                <w:sz w:val="13"/>
                <w:szCs w:val="13"/>
                <w:lang w:eastAsia="es-MX"/>
              </w:rPr>
              <w:t xml:space="preserve">   </w:t>
            </w:r>
          </w:p>
        </w:tc>
        <w:tc>
          <w:tcPr>
            <w:tcW w:w="1701" w:type="dxa"/>
            <w:shd w:val="clear" w:color="auto" w:fill="F2F2F2" w:themeFill="background1" w:themeFillShade="F2"/>
            <w:vAlign w:val="center"/>
          </w:tcPr>
          <w:p w14:paraId="40F91B4E" w14:textId="272E5FEF" w:rsidR="009635EF" w:rsidRPr="005210C6" w:rsidRDefault="009635EF">
            <w:pPr>
              <w:spacing w:after="0" w:line="240" w:lineRule="exact"/>
              <w:jc w:val="right"/>
              <w:rPr>
                <w:rFonts w:ascii="Montserrat" w:hAnsi="Montserrat"/>
                <w:sz w:val="14"/>
                <w:szCs w:val="14"/>
                <w:lang w:val="es-ES_tradnl"/>
              </w:rPr>
            </w:pPr>
            <w:r>
              <w:rPr>
                <w:rFonts w:ascii="Montserrat" w:eastAsia="Times New Roman" w:hAnsi="Montserrat" w:cs="Calibri"/>
                <w:sz w:val="13"/>
                <w:szCs w:val="13"/>
                <w:lang w:eastAsia="es-MX"/>
              </w:rPr>
              <w:t>0</w:t>
            </w:r>
            <w:r w:rsidRPr="005511E3">
              <w:rPr>
                <w:rFonts w:ascii="Montserrat" w:eastAsia="Times New Roman" w:hAnsi="Montserrat" w:cs="Calibri"/>
                <w:sz w:val="13"/>
                <w:szCs w:val="13"/>
                <w:lang w:eastAsia="es-MX"/>
              </w:rPr>
              <w:t xml:space="preserve">   </w:t>
            </w:r>
          </w:p>
        </w:tc>
        <w:tc>
          <w:tcPr>
            <w:tcW w:w="1559" w:type="dxa"/>
            <w:shd w:val="clear" w:color="auto" w:fill="F2F2F2" w:themeFill="background1" w:themeFillShade="F2"/>
            <w:vAlign w:val="center"/>
          </w:tcPr>
          <w:p w14:paraId="2F9957AD" w14:textId="39230B32" w:rsidR="009635EF" w:rsidRPr="005210C6" w:rsidRDefault="009635EF">
            <w:pPr>
              <w:spacing w:after="0" w:line="240" w:lineRule="exact"/>
              <w:jc w:val="right"/>
              <w:rPr>
                <w:rFonts w:ascii="Montserrat" w:hAnsi="Montserrat"/>
                <w:sz w:val="14"/>
                <w:szCs w:val="14"/>
                <w:lang w:val="es-ES_tradnl"/>
              </w:rPr>
            </w:pPr>
            <w:r w:rsidRPr="00066CB7">
              <w:rPr>
                <w:rFonts w:ascii="Montserrat" w:eastAsia="Times New Roman" w:hAnsi="Montserrat" w:cs="Calibri"/>
                <w:sz w:val="13"/>
                <w:szCs w:val="13"/>
                <w:lang w:eastAsia="es-MX"/>
              </w:rPr>
              <w:t>0</w:t>
            </w:r>
          </w:p>
        </w:tc>
        <w:tc>
          <w:tcPr>
            <w:tcW w:w="1559" w:type="dxa"/>
            <w:shd w:val="clear" w:color="auto" w:fill="F2F2F2" w:themeFill="background1" w:themeFillShade="F2"/>
            <w:vAlign w:val="center"/>
          </w:tcPr>
          <w:p w14:paraId="28C5679C" w14:textId="10715FEC" w:rsidR="009635EF" w:rsidRPr="005210C6" w:rsidRDefault="009635EF">
            <w:pPr>
              <w:spacing w:after="0" w:line="240" w:lineRule="exact"/>
              <w:jc w:val="right"/>
              <w:rPr>
                <w:rFonts w:ascii="Montserrat" w:hAnsi="Montserrat"/>
                <w:sz w:val="14"/>
                <w:szCs w:val="14"/>
                <w:lang w:val="es-ES_tradnl"/>
              </w:rPr>
            </w:pPr>
            <w:r w:rsidRPr="00066CB7">
              <w:rPr>
                <w:rFonts w:ascii="Montserrat" w:eastAsia="Times New Roman" w:hAnsi="Montserrat" w:cs="Calibri"/>
                <w:sz w:val="13"/>
                <w:szCs w:val="13"/>
                <w:lang w:eastAsia="es-MX"/>
              </w:rPr>
              <w:t>0</w:t>
            </w:r>
          </w:p>
        </w:tc>
        <w:tc>
          <w:tcPr>
            <w:tcW w:w="1626" w:type="dxa"/>
            <w:shd w:val="clear" w:color="auto" w:fill="F2F2F2" w:themeFill="background1" w:themeFillShade="F2"/>
            <w:vAlign w:val="center"/>
          </w:tcPr>
          <w:p w14:paraId="38248465" w14:textId="6879A3A5" w:rsidR="009635EF" w:rsidRPr="005210C6" w:rsidRDefault="009635EF">
            <w:pPr>
              <w:spacing w:after="0" w:line="240" w:lineRule="exact"/>
              <w:jc w:val="right"/>
              <w:rPr>
                <w:rFonts w:ascii="Montserrat" w:hAnsi="Montserrat"/>
                <w:sz w:val="14"/>
                <w:szCs w:val="14"/>
                <w:lang w:val="es-ES_tradnl"/>
              </w:rPr>
            </w:pPr>
            <w:r w:rsidRPr="00E20311">
              <w:rPr>
                <w:rFonts w:ascii="Montserrat" w:eastAsia="Times New Roman" w:hAnsi="Montserrat" w:cs="Calibri"/>
                <w:sz w:val="13"/>
                <w:szCs w:val="13"/>
                <w:lang w:eastAsia="es-MX"/>
              </w:rPr>
              <w:t>0</w:t>
            </w:r>
          </w:p>
        </w:tc>
        <w:tc>
          <w:tcPr>
            <w:tcW w:w="1726" w:type="dxa"/>
            <w:gridSpan w:val="2"/>
            <w:shd w:val="clear" w:color="auto" w:fill="F2F2F2" w:themeFill="background1" w:themeFillShade="F2"/>
            <w:vAlign w:val="center"/>
          </w:tcPr>
          <w:p w14:paraId="6BF7DD6C" w14:textId="1D87D2A6" w:rsidR="009635EF" w:rsidRPr="005210C6" w:rsidRDefault="009635EF">
            <w:pPr>
              <w:spacing w:after="0" w:line="240" w:lineRule="exact"/>
              <w:jc w:val="right"/>
              <w:rPr>
                <w:rFonts w:ascii="Montserrat" w:hAnsi="Montserrat"/>
                <w:sz w:val="14"/>
                <w:szCs w:val="14"/>
                <w:lang w:val="es-ES_tradnl"/>
              </w:rPr>
            </w:pPr>
            <w:r w:rsidRPr="00E20311">
              <w:rPr>
                <w:rFonts w:ascii="Montserrat" w:eastAsia="Times New Roman" w:hAnsi="Montserrat" w:cs="Calibri"/>
                <w:sz w:val="13"/>
                <w:szCs w:val="13"/>
                <w:lang w:eastAsia="es-MX"/>
              </w:rPr>
              <w:t>0</w:t>
            </w:r>
          </w:p>
        </w:tc>
      </w:tr>
      <w:tr w:rsidR="009635EF" w:rsidRPr="005210C6" w14:paraId="4EB03429" w14:textId="77777777" w:rsidTr="000F0321">
        <w:trPr>
          <w:trHeight w:val="240"/>
          <w:jc w:val="center"/>
        </w:trPr>
        <w:tc>
          <w:tcPr>
            <w:tcW w:w="2407" w:type="dxa"/>
            <w:shd w:val="clear" w:color="auto" w:fill="F2F2F2" w:themeFill="background1" w:themeFillShade="F2"/>
            <w:noWrap/>
            <w:vAlign w:val="bottom"/>
            <w:hideMark/>
          </w:tcPr>
          <w:p w14:paraId="6D69559C" w14:textId="77777777" w:rsidR="009635EF" w:rsidRPr="006F0DF1" w:rsidRDefault="009635EF" w:rsidP="009635EF">
            <w:pPr>
              <w:spacing w:after="0" w:line="240" w:lineRule="exact"/>
              <w:ind w:left="135"/>
              <w:rPr>
                <w:rFonts w:ascii="Montserrat" w:hAnsi="Montserrat"/>
                <w:sz w:val="14"/>
                <w:szCs w:val="14"/>
                <w:lang w:val="es-ES_tradnl"/>
              </w:rPr>
            </w:pPr>
            <w:r w:rsidRPr="006F0DF1">
              <w:rPr>
                <w:rFonts w:ascii="Montserrat" w:hAnsi="Montserrat"/>
                <w:sz w:val="14"/>
                <w:szCs w:val="14"/>
                <w:lang w:val="es-ES_tradnl"/>
              </w:rPr>
              <w:t>Bondes</w:t>
            </w:r>
          </w:p>
        </w:tc>
        <w:tc>
          <w:tcPr>
            <w:tcW w:w="1701" w:type="dxa"/>
            <w:shd w:val="clear" w:color="auto" w:fill="F2F2F2" w:themeFill="background1" w:themeFillShade="F2"/>
            <w:vAlign w:val="center"/>
          </w:tcPr>
          <w:p w14:paraId="7D062A6B" w14:textId="7EA8FEBF" w:rsidR="009635EF" w:rsidRPr="005210C6" w:rsidRDefault="009635EF">
            <w:pPr>
              <w:spacing w:after="0"/>
              <w:jc w:val="right"/>
              <w:rPr>
                <w:rFonts w:ascii="Montserrat" w:hAnsi="Montserrat"/>
                <w:sz w:val="14"/>
                <w:szCs w:val="14"/>
                <w:lang w:val="es-ES_tradnl"/>
              </w:rPr>
            </w:pPr>
            <w:r w:rsidRPr="005511E3">
              <w:rPr>
                <w:rFonts w:ascii="Montserrat" w:eastAsia="Times New Roman" w:hAnsi="Montserrat" w:cs="Calibri"/>
                <w:sz w:val="13"/>
                <w:szCs w:val="13"/>
                <w:lang w:eastAsia="es-MX"/>
              </w:rPr>
              <w:t xml:space="preserve">   157,822,078,900 </w:t>
            </w:r>
          </w:p>
        </w:tc>
        <w:tc>
          <w:tcPr>
            <w:tcW w:w="1701" w:type="dxa"/>
            <w:shd w:val="clear" w:color="auto" w:fill="F2F2F2" w:themeFill="background1" w:themeFillShade="F2"/>
            <w:vAlign w:val="center"/>
          </w:tcPr>
          <w:p w14:paraId="709648AC" w14:textId="3441DA6D" w:rsidR="009635EF" w:rsidRPr="005210C6" w:rsidRDefault="009635EF">
            <w:pPr>
              <w:spacing w:after="0"/>
              <w:jc w:val="right"/>
              <w:rPr>
                <w:rFonts w:ascii="Montserrat" w:hAnsi="Montserrat"/>
                <w:sz w:val="14"/>
                <w:szCs w:val="14"/>
                <w:lang w:val="es-ES_tradnl"/>
              </w:rPr>
            </w:pPr>
            <w:r w:rsidRPr="005511E3">
              <w:rPr>
                <w:rFonts w:ascii="Montserrat" w:eastAsia="Times New Roman" w:hAnsi="Montserrat" w:cs="Calibri"/>
                <w:sz w:val="13"/>
                <w:szCs w:val="13"/>
                <w:lang w:eastAsia="es-MX"/>
              </w:rPr>
              <w:t xml:space="preserve">     18,352,606,768 </w:t>
            </w:r>
          </w:p>
        </w:tc>
        <w:tc>
          <w:tcPr>
            <w:tcW w:w="1559" w:type="dxa"/>
            <w:shd w:val="clear" w:color="auto" w:fill="F2F2F2" w:themeFill="background1" w:themeFillShade="F2"/>
            <w:vAlign w:val="center"/>
          </w:tcPr>
          <w:p w14:paraId="506EEDC9" w14:textId="5D6556F2" w:rsidR="009635EF" w:rsidRPr="005210C6" w:rsidRDefault="009635EF">
            <w:pPr>
              <w:spacing w:after="0"/>
              <w:jc w:val="right"/>
              <w:rPr>
                <w:rFonts w:ascii="Montserrat" w:hAnsi="Montserrat"/>
                <w:sz w:val="14"/>
                <w:szCs w:val="14"/>
                <w:lang w:val="es-ES_tradnl"/>
              </w:rPr>
            </w:pPr>
            <w:r w:rsidRPr="005511E3">
              <w:rPr>
                <w:rFonts w:ascii="Montserrat" w:eastAsia="Times New Roman" w:hAnsi="Montserrat" w:cs="Calibri"/>
                <w:sz w:val="13"/>
                <w:szCs w:val="13"/>
                <w:lang w:eastAsia="es-MX"/>
              </w:rPr>
              <w:t xml:space="preserve">   135,329,989,701 </w:t>
            </w:r>
          </w:p>
        </w:tc>
        <w:tc>
          <w:tcPr>
            <w:tcW w:w="1559" w:type="dxa"/>
            <w:shd w:val="clear" w:color="auto" w:fill="F2F2F2" w:themeFill="background1" w:themeFillShade="F2"/>
            <w:vAlign w:val="center"/>
          </w:tcPr>
          <w:p w14:paraId="4AA5293C" w14:textId="13C56978" w:rsidR="009635EF" w:rsidRPr="005210C6" w:rsidRDefault="009635EF">
            <w:pPr>
              <w:spacing w:after="0"/>
              <w:jc w:val="right"/>
              <w:rPr>
                <w:rFonts w:ascii="Montserrat" w:hAnsi="Montserrat"/>
                <w:sz w:val="14"/>
                <w:szCs w:val="14"/>
                <w:lang w:val="es-ES_tradnl"/>
              </w:rPr>
            </w:pPr>
            <w:r w:rsidRPr="005511E3">
              <w:rPr>
                <w:rFonts w:ascii="Montserrat" w:eastAsia="Times New Roman" w:hAnsi="Montserrat" w:cs="Calibri"/>
                <w:sz w:val="13"/>
                <w:szCs w:val="13"/>
                <w:lang w:eastAsia="es-MX"/>
              </w:rPr>
              <w:t xml:space="preserve">        6,028,804,772 </w:t>
            </w:r>
          </w:p>
        </w:tc>
        <w:tc>
          <w:tcPr>
            <w:tcW w:w="1626" w:type="dxa"/>
            <w:shd w:val="clear" w:color="auto" w:fill="F2F2F2" w:themeFill="background1" w:themeFillShade="F2"/>
            <w:vAlign w:val="center"/>
          </w:tcPr>
          <w:p w14:paraId="3D2BCE3F" w14:textId="176BD51F" w:rsidR="009635EF" w:rsidRPr="005210C6" w:rsidRDefault="009635EF">
            <w:pPr>
              <w:spacing w:after="0"/>
              <w:jc w:val="right"/>
              <w:rPr>
                <w:rFonts w:ascii="Montserrat" w:hAnsi="Montserrat"/>
                <w:sz w:val="14"/>
                <w:szCs w:val="14"/>
                <w:lang w:val="es-ES_tradnl"/>
              </w:rPr>
            </w:pPr>
            <w:r w:rsidRPr="00E20311">
              <w:rPr>
                <w:rFonts w:ascii="Montserrat" w:eastAsia="Times New Roman" w:hAnsi="Montserrat" w:cs="Calibri"/>
                <w:sz w:val="13"/>
                <w:szCs w:val="13"/>
                <w:lang w:eastAsia="es-MX"/>
              </w:rPr>
              <w:t>0</w:t>
            </w:r>
          </w:p>
        </w:tc>
        <w:tc>
          <w:tcPr>
            <w:tcW w:w="1726" w:type="dxa"/>
            <w:gridSpan w:val="2"/>
            <w:shd w:val="clear" w:color="auto" w:fill="F2F2F2" w:themeFill="background1" w:themeFillShade="F2"/>
            <w:vAlign w:val="center"/>
          </w:tcPr>
          <w:p w14:paraId="54940C7F" w14:textId="1EDBC667" w:rsidR="009635EF" w:rsidRPr="005210C6" w:rsidRDefault="009635EF">
            <w:pPr>
              <w:spacing w:after="0"/>
              <w:jc w:val="right"/>
              <w:rPr>
                <w:rFonts w:ascii="Montserrat" w:hAnsi="Montserrat"/>
                <w:sz w:val="14"/>
                <w:szCs w:val="14"/>
                <w:lang w:val="es-ES_tradnl"/>
              </w:rPr>
            </w:pPr>
            <w:r w:rsidRPr="00E20311">
              <w:rPr>
                <w:rFonts w:ascii="Montserrat" w:eastAsia="Times New Roman" w:hAnsi="Montserrat" w:cs="Calibri"/>
                <w:sz w:val="13"/>
                <w:szCs w:val="13"/>
                <w:lang w:eastAsia="es-MX"/>
              </w:rPr>
              <w:t>0</w:t>
            </w:r>
          </w:p>
        </w:tc>
      </w:tr>
      <w:tr w:rsidR="009635EF" w:rsidRPr="005210C6" w14:paraId="002DEEA9" w14:textId="77777777" w:rsidTr="000F0321">
        <w:trPr>
          <w:trHeight w:val="240"/>
          <w:jc w:val="center"/>
        </w:trPr>
        <w:tc>
          <w:tcPr>
            <w:tcW w:w="2407" w:type="dxa"/>
            <w:shd w:val="clear" w:color="auto" w:fill="F2F2F2" w:themeFill="background1" w:themeFillShade="F2"/>
            <w:noWrap/>
            <w:vAlign w:val="bottom"/>
            <w:hideMark/>
          </w:tcPr>
          <w:p w14:paraId="58CDE26F" w14:textId="77777777" w:rsidR="009635EF" w:rsidRPr="006F0DF1" w:rsidRDefault="009635EF" w:rsidP="009635EF">
            <w:pPr>
              <w:spacing w:after="0" w:line="240" w:lineRule="exact"/>
              <w:ind w:left="135"/>
              <w:rPr>
                <w:rFonts w:ascii="Montserrat" w:hAnsi="Montserrat"/>
                <w:sz w:val="14"/>
                <w:szCs w:val="14"/>
                <w:lang w:val="es-ES_tradnl"/>
              </w:rPr>
            </w:pPr>
            <w:r w:rsidRPr="006F0DF1">
              <w:rPr>
                <w:rFonts w:ascii="Montserrat" w:hAnsi="Montserrat"/>
                <w:sz w:val="14"/>
                <w:szCs w:val="14"/>
                <w:lang w:val="es-ES_tradnl"/>
              </w:rPr>
              <w:t>Bono Tasa Fija</w:t>
            </w:r>
          </w:p>
        </w:tc>
        <w:tc>
          <w:tcPr>
            <w:tcW w:w="1701" w:type="dxa"/>
            <w:shd w:val="clear" w:color="auto" w:fill="F2F2F2" w:themeFill="background1" w:themeFillShade="F2"/>
            <w:vAlign w:val="center"/>
          </w:tcPr>
          <w:p w14:paraId="6D74987C" w14:textId="70572379" w:rsidR="009635EF" w:rsidRPr="005210C6" w:rsidRDefault="009635EF">
            <w:pPr>
              <w:spacing w:after="0"/>
              <w:jc w:val="right"/>
              <w:rPr>
                <w:rFonts w:ascii="Montserrat" w:hAnsi="Montserrat"/>
                <w:sz w:val="14"/>
                <w:szCs w:val="14"/>
                <w:lang w:val="es-ES_tradnl"/>
              </w:rPr>
            </w:pPr>
            <w:r w:rsidRPr="005511E3">
              <w:rPr>
                <w:rFonts w:ascii="Montserrat" w:eastAsia="Times New Roman" w:hAnsi="Montserrat" w:cs="Calibri"/>
                <w:sz w:val="13"/>
                <w:szCs w:val="13"/>
                <w:lang w:eastAsia="es-MX"/>
              </w:rPr>
              <w:t xml:space="preserve">   297,551,696,300 </w:t>
            </w:r>
          </w:p>
        </w:tc>
        <w:tc>
          <w:tcPr>
            <w:tcW w:w="1701" w:type="dxa"/>
            <w:shd w:val="clear" w:color="auto" w:fill="F2F2F2" w:themeFill="background1" w:themeFillShade="F2"/>
            <w:vAlign w:val="center"/>
          </w:tcPr>
          <w:p w14:paraId="2D0AB6EC" w14:textId="59F8D2CA" w:rsidR="009635EF" w:rsidRPr="005210C6" w:rsidRDefault="009635EF">
            <w:pPr>
              <w:spacing w:after="0"/>
              <w:jc w:val="right"/>
              <w:rPr>
                <w:rFonts w:ascii="Montserrat" w:hAnsi="Montserrat"/>
                <w:sz w:val="14"/>
                <w:szCs w:val="14"/>
                <w:lang w:val="es-ES_tradnl"/>
              </w:rPr>
            </w:pPr>
            <w:r w:rsidRPr="005511E3">
              <w:rPr>
                <w:rFonts w:ascii="Montserrat" w:eastAsia="Times New Roman" w:hAnsi="Montserrat" w:cs="Calibri"/>
                <w:sz w:val="13"/>
                <w:szCs w:val="13"/>
                <w:lang w:eastAsia="es-MX"/>
              </w:rPr>
              <w:t xml:space="preserve">   181,979,220,545 </w:t>
            </w:r>
          </w:p>
        </w:tc>
        <w:tc>
          <w:tcPr>
            <w:tcW w:w="1559" w:type="dxa"/>
            <w:shd w:val="clear" w:color="auto" w:fill="F2F2F2" w:themeFill="background1" w:themeFillShade="F2"/>
            <w:vAlign w:val="center"/>
          </w:tcPr>
          <w:p w14:paraId="0F18488A" w14:textId="39BB76B6" w:rsidR="009635EF" w:rsidRPr="005210C6" w:rsidRDefault="009635EF">
            <w:pPr>
              <w:spacing w:after="0"/>
              <w:jc w:val="right"/>
              <w:rPr>
                <w:rFonts w:ascii="Montserrat" w:hAnsi="Montserrat"/>
                <w:sz w:val="14"/>
                <w:szCs w:val="14"/>
                <w:lang w:val="es-ES_tradnl"/>
              </w:rPr>
            </w:pPr>
            <w:r w:rsidRPr="005511E3">
              <w:rPr>
                <w:rFonts w:ascii="Montserrat" w:eastAsia="Times New Roman" w:hAnsi="Montserrat" w:cs="Calibri"/>
                <w:sz w:val="13"/>
                <w:szCs w:val="13"/>
                <w:lang w:eastAsia="es-MX"/>
              </w:rPr>
              <w:t xml:space="preserve">   434,819,708,500 </w:t>
            </w:r>
          </w:p>
        </w:tc>
        <w:tc>
          <w:tcPr>
            <w:tcW w:w="1559" w:type="dxa"/>
            <w:shd w:val="clear" w:color="auto" w:fill="F2F2F2" w:themeFill="background1" w:themeFillShade="F2"/>
            <w:vAlign w:val="center"/>
          </w:tcPr>
          <w:p w14:paraId="31A39094" w14:textId="67C5EA19" w:rsidR="009635EF" w:rsidRPr="005210C6" w:rsidRDefault="009635EF">
            <w:pPr>
              <w:spacing w:after="0"/>
              <w:jc w:val="right"/>
              <w:rPr>
                <w:rFonts w:ascii="Montserrat" w:hAnsi="Montserrat"/>
                <w:sz w:val="14"/>
                <w:szCs w:val="14"/>
                <w:lang w:val="es-ES_tradnl"/>
              </w:rPr>
            </w:pPr>
            <w:r w:rsidRPr="005511E3">
              <w:rPr>
                <w:rFonts w:ascii="Montserrat" w:eastAsia="Times New Roman" w:hAnsi="Montserrat" w:cs="Calibri"/>
                <w:sz w:val="13"/>
                <w:szCs w:val="13"/>
                <w:lang w:eastAsia="es-MX"/>
              </w:rPr>
              <w:t xml:space="preserve">   160,208,150,265 </w:t>
            </w:r>
          </w:p>
        </w:tc>
        <w:tc>
          <w:tcPr>
            <w:tcW w:w="1626" w:type="dxa"/>
            <w:shd w:val="clear" w:color="auto" w:fill="F2F2F2" w:themeFill="background1" w:themeFillShade="F2"/>
            <w:vAlign w:val="center"/>
          </w:tcPr>
          <w:p w14:paraId="6AEE4B50" w14:textId="2EB2B3F3" w:rsidR="009635EF" w:rsidRPr="005210C6" w:rsidRDefault="009635EF">
            <w:pPr>
              <w:spacing w:after="0"/>
              <w:jc w:val="right"/>
              <w:rPr>
                <w:rFonts w:ascii="Montserrat" w:hAnsi="Montserrat"/>
                <w:sz w:val="14"/>
                <w:szCs w:val="14"/>
                <w:lang w:val="es-ES_tradnl"/>
              </w:rPr>
            </w:pPr>
            <w:r w:rsidRPr="005511E3">
              <w:rPr>
                <w:rFonts w:ascii="Montserrat" w:eastAsia="Times New Roman" w:hAnsi="Montserrat" w:cs="Calibri"/>
                <w:sz w:val="13"/>
                <w:szCs w:val="13"/>
                <w:lang w:eastAsia="es-MX"/>
              </w:rPr>
              <w:t xml:space="preserve">    1,514,326,100,100 </w:t>
            </w:r>
          </w:p>
        </w:tc>
        <w:tc>
          <w:tcPr>
            <w:tcW w:w="1726" w:type="dxa"/>
            <w:gridSpan w:val="2"/>
            <w:shd w:val="clear" w:color="auto" w:fill="F2F2F2" w:themeFill="background1" w:themeFillShade="F2"/>
            <w:vAlign w:val="center"/>
          </w:tcPr>
          <w:p w14:paraId="52CC3C30" w14:textId="18AE3637" w:rsidR="009635EF" w:rsidRPr="005210C6" w:rsidRDefault="009635EF">
            <w:pPr>
              <w:spacing w:after="0"/>
              <w:jc w:val="right"/>
              <w:rPr>
                <w:rFonts w:ascii="Montserrat" w:hAnsi="Montserrat"/>
                <w:sz w:val="14"/>
                <w:szCs w:val="14"/>
                <w:lang w:val="es-ES_tradnl"/>
              </w:rPr>
            </w:pPr>
            <w:r w:rsidRPr="005511E3">
              <w:rPr>
                <w:rFonts w:ascii="Montserrat" w:eastAsia="Times New Roman" w:hAnsi="Montserrat" w:cs="Calibri"/>
                <w:sz w:val="13"/>
                <w:szCs w:val="13"/>
                <w:lang w:eastAsia="es-MX"/>
              </w:rPr>
              <w:t xml:space="preserve">     1,131,382,052,306 </w:t>
            </w:r>
          </w:p>
        </w:tc>
      </w:tr>
      <w:tr w:rsidR="009635EF" w:rsidRPr="005210C6" w14:paraId="72F7EA1B" w14:textId="77777777" w:rsidTr="000F0321">
        <w:trPr>
          <w:trHeight w:val="240"/>
          <w:jc w:val="center"/>
        </w:trPr>
        <w:tc>
          <w:tcPr>
            <w:tcW w:w="2407" w:type="dxa"/>
            <w:shd w:val="clear" w:color="auto" w:fill="F2F2F2" w:themeFill="background1" w:themeFillShade="F2"/>
            <w:noWrap/>
            <w:vAlign w:val="bottom"/>
            <w:hideMark/>
          </w:tcPr>
          <w:p w14:paraId="7D29681D" w14:textId="77777777" w:rsidR="009635EF" w:rsidRPr="006F0DF1" w:rsidRDefault="009635EF" w:rsidP="009635EF">
            <w:pPr>
              <w:spacing w:after="0" w:line="240" w:lineRule="exact"/>
              <w:ind w:left="135"/>
              <w:rPr>
                <w:rFonts w:ascii="Montserrat" w:hAnsi="Montserrat"/>
                <w:sz w:val="14"/>
                <w:szCs w:val="14"/>
                <w:lang w:val="es-ES_tradnl"/>
              </w:rPr>
            </w:pPr>
            <w:r w:rsidRPr="006F0DF1">
              <w:rPr>
                <w:rFonts w:ascii="Montserrat" w:hAnsi="Montserrat"/>
                <w:sz w:val="14"/>
                <w:szCs w:val="14"/>
                <w:lang w:val="es-ES_tradnl"/>
              </w:rPr>
              <w:t>Udibonos</w:t>
            </w:r>
          </w:p>
        </w:tc>
        <w:tc>
          <w:tcPr>
            <w:tcW w:w="1701" w:type="dxa"/>
            <w:shd w:val="clear" w:color="auto" w:fill="F2F2F2" w:themeFill="background1" w:themeFillShade="F2"/>
            <w:vAlign w:val="center"/>
          </w:tcPr>
          <w:p w14:paraId="388C0C82" w14:textId="6E6293A6" w:rsidR="009635EF" w:rsidRPr="005210C6" w:rsidRDefault="009635EF">
            <w:pPr>
              <w:spacing w:after="0"/>
              <w:jc w:val="right"/>
              <w:rPr>
                <w:rFonts w:ascii="Montserrat" w:hAnsi="Montserrat"/>
                <w:sz w:val="14"/>
                <w:szCs w:val="14"/>
                <w:lang w:val="es-ES_tradnl"/>
              </w:rPr>
            </w:pPr>
            <w:r>
              <w:rPr>
                <w:rFonts w:ascii="Montserrat" w:eastAsia="Times New Roman" w:hAnsi="Montserrat" w:cs="Calibri"/>
                <w:sz w:val="13"/>
                <w:szCs w:val="13"/>
                <w:lang w:eastAsia="es-MX"/>
              </w:rPr>
              <w:t>0</w:t>
            </w:r>
            <w:r w:rsidRPr="005511E3">
              <w:rPr>
                <w:rFonts w:ascii="Montserrat" w:eastAsia="Times New Roman" w:hAnsi="Montserrat" w:cs="Calibri"/>
                <w:sz w:val="13"/>
                <w:szCs w:val="13"/>
                <w:lang w:eastAsia="es-MX"/>
              </w:rPr>
              <w:t xml:space="preserve">   </w:t>
            </w:r>
          </w:p>
        </w:tc>
        <w:tc>
          <w:tcPr>
            <w:tcW w:w="1701" w:type="dxa"/>
            <w:shd w:val="clear" w:color="auto" w:fill="F2F2F2" w:themeFill="background1" w:themeFillShade="F2"/>
            <w:vAlign w:val="center"/>
          </w:tcPr>
          <w:p w14:paraId="6FC8B5B5" w14:textId="56C745EF" w:rsidR="009635EF" w:rsidRPr="005210C6" w:rsidRDefault="009635EF">
            <w:pPr>
              <w:spacing w:after="0"/>
              <w:jc w:val="right"/>
              <w:rPr>
                <w:rFonts w:ascii="Montserrat" w:hAnsi="Montserrat"/>
                <w:sz w:val="14"/>
                <w:szCs w:val="14"/>
                <w:lang w:val="es-ES_tradnl"/>
              </w:rPr>
            </w:pPr>
            <w:r w:rsidRPr="005511E3">
              <w:rPr>
                <w:rFonts w:ascii="Montserrat" w:eastAsia="Times New Roman" w:hAnsi="Montserrat" w:cs="Calibri"/>
                <w:sz w:val="13"/>
                <w:szCs w:val="13"/>
                <w:lang w:eastAsia="es-MX"/>
              </w:rPr>
              <w:t xml:space="preserve">     52,977,942,285 </w:t>
            </w:r>
          </w:p>
        </w:tc>
        <w:tc>
          <w:tcPr>
            <w:tcW w:w="1559" w:type="dxa"/>
            <w:shd w:val="clear" w:color="auto" w:fill="F2F2F2" w:themeFill="background1" w:themeFillShade="F2"/>
            <w:vAlign w:val="center"/>
          </w:tcPr>
          <w:p w14:paraId="01EFE2D5" w14:textId="35D2BAC4" w:rsidR="009635EF" w:rsidRPr="005210C6" w:rsidRDefault="009635EF">
            <w:pPr>
              <w:spacing w:after="0"/>
              <w:jc w:val="right"/>
              <w:rPr>
                <w:rFonts w:ascii="Montserrat" w:hAnsi="Montserrat"/>
                <w:sz w:val="14"/>
                <w:szCs w:val="14"/>
                <w:lang w:val="es-ES_tradnl"/>
              </w:rPr>
            </w:pPr>
            <w:r w:rsidRPr="005511E3">
              <w:rPr>
                <w:rFonts w:ascii="Montserrat" w:eastAsia="Times New Roman" w:hAnsi="Montserrat" w:cs="Calibri"/>
                <w:sz w:val="13"/>
                <w:szCs w:val="13"/>
                <w:lang w:eastAsia="es-MX"/>
              </w:rPr>
              <w:t xml:space="preserve">                          </w:t>
            </w:r>
            <w:r w:rsidR="009D2BD9">
              <w:rPr>
                <w:rFonts w:ascii="Montserrat" w:eastAsia="Times New Roman" w:hAnsi="Montserrat" w:cs="Calibri"/>
                <w:sz w:val="13"/>
                <w:szCs w:val="13"/>
                <w:lang w:eastAsia="es-MX"/>
              </w:rPr>
              <w:t>0</w:t>
            </w:r>
            <w:r w:rsidRPr="005511E3">
              <w:rPr>
                <w:rFonts w:ascii="Montserrat" w:eastAsia="Times New Roman" w:hAnsi="Montserrat" w:cs="Calibri"/>
                <w:sz w:val="13"/>
                <w:szCs w:val="13"/>
                <w:lang w:eastAsia="es-MX"/>
              </w:rPr>
              <w:t xml:space="preserve">   </w:t>
            </w:r>
          </w:p>
        </w:tc>
        <w:tc>
          <w:tcPr>
            <w:tcW w:w="1559" w:type="dxa"/>
            <w:shd w:val="clear" w:color="auto" w:fill="F2F2F2" w:themeFill="background1" w:themeFillShade="F2"/>
            <w:vAlign w:val="center"/>
          </w:tcPr>
          <w:p w14:paraId="6ADDC571" w14:textId="7053BBFB" w:rsidR="009635EF" w:rsidRPr="005210C6" w:rsidRDefault="009635EF">
            <w:pPr>
              <w:spacing w:after="0"/>
              <w:jc w:val="right"/>
              <w:rPr>
                <w:rFonts w:ascii="Montserrat" w:hAnsi="Montserrat"/>
                <w:sz w:val="14"/>
                <w:szCs w:val="14"/>
                <w:lang w:val="es-ES_tradnl"/>
              </w:rPr>
            </w:pPr>
            <w:r w:rsidRPr="005511E3">
              <w:rPr>
                <w:rFonts w:ascii="Montserrat" w:eastAsia="Times New Roman" w:hAnsi="Montserrat" w:cs="Calibri"/>
                <w:sz w:val="13"/>
                <w:szCs w:val="13"/>
                <w:lang w:eastAsia="es-MX"/>
              </w:rPr>
              <w:t xml:space="preserve">     52,977,942,285 </w:t>
            </w:r>
          </w:p>
        </w:tc>
        <w:tc>
          <w:tcPr>
            <w:tcW w:w="1626" w:type="dxa"/>
            <w:shd w:val="clear" w:color="auto" w:fill="F2F2F2" w:themeFill="background1" w:themeFillShade="F2"/>
            <w:vAlign w:val="center"/>
          </w:tcPr>
          <w:p w14:paraId="58EC6581" w14:textId="575F70A9" w:rsidR="009635EF" w:rsidRPr="005210C6" w:rsidRDefault="009635EF">
            <w:pPr>
              <w:spacing w:after="0"/>
              <w:jc w:val="right"/>
              <w:rPr>
                <w:rFonts w:ascii="Montserrat" w:hAnsi="Montserrat"/>
                <w:sz w:val="14"/>
                <w:szCs w:val="14"/>
                <w:lang w:val="es-ES_tradnl"/>
              </w:rPr>
            </w:pPr>
            <w:r w:rsidRPr="005511E3">
              <w:rPr>
                <w:rFonts w:ascii="Montserrat" w:eastAsia="Times New Roman" w:hAnsi="Montserrat" w:cs="Calibri"/>
                <w:sz w:val="13"/>
                <w:szCs w:val="13"/>
                <w:lang w:eastAsia="es-MX"/>
              </w:rPr>
              <w:t xml:space="preserve">    1,255,586,829,291 </w:t>
            </w:r>
          </w:p>
        </w:tc>
        <w:tc>
          <w:tcPr>
            <w:tcW w:w="1726" w:type="dxa"/>
            <w:gridSpan w:val="2"/>
            <w:shd w:val="clear" w:color="auto" w:fill="F2F2F2" w:themeFill="background1" w:themeFillShade="F2"/>
            <w:vAlign w:val="center"/>
          </w:tcPr>
          <w:p w14:paraId="7FFEF487" w14:textId="0371F391" w:rsidR="009635EF" w:rsidRPr="005210C6" w:rsidRDefault="009635EF">
            <w:pPr>
              <w:spacing w:after="0"/>
              <w:jc w:val="right"/>
              <w:rPr>
                <w:rFonts w:ascii="Montserrat" w:hAnsi="Montserrat"/>
                <w:sz w:val="14"/>
                <w:szCs w:val="14"/>
                <w:lang w:val="es-ES_tradnl"/>
              </w:rPr>
            </w:pPr>
            <w:r w:rsidRPr="005511E3">
              <w:rPr>
                <w:rFonts w:ascii="Montserrat" w:eastAsia="Times New Roman" w:hAnsi="Montserrat" w:cs="Calibri"/>
                <w:sz w:val="13"/>
                <w:szCs w:val="13"/>
                <w:lang w:eastAsia="es-MX"/>
              </w:rPr>
              <w:t xml:space="preserve">        598,852,843,514 </w:t>
            </w:r>
          </w:p>
        </w:tc>
      </w:tr>
      <w:tr w:rsidR="009635EF" w:rsidRPr="005210C6" w14:paraId="65E53BE2" w14:textId="77777777" w:rsidTr="000F0321">
        <w:trPr>
          <w:trHeight w:val="240"/>
          <w:jc w:val="center"/>
        </w:trPr>
        <w:tc>
          <w:tcPr>
            <w:tcW w:w="2407" w:type="dxa"/>
            <w:shd w:val="clear" w:color="auto" w:fill="F2F2F2" w:themeFill="background1" w:themeFillShade="F2"/>
            <w:noWrap/>
            <w:vAlign w:val="bottom"/>
            <w:hideMark/>
          </w:tcPr>
          <w:p w14:paraId="2BDD12CF" w14:textId="77777777" w:rsidR="009635EF" w:rsidRPr="006F0DF1" w:rsidRDefault="009635EF" w:rsidP="009635EF">
            <w:pPr>
              <w:spacing w:after="0" w:line="240" w:lineRule="exact"/>
              <w:ind w:left="135"/>
              <w:rPr>
                <w:rFonts w:ascii="Montserrat" w:hAnsi="Montserrat"/>
                <w:sz w:val="14"/>
                <w:szCs w:val="14"/>
                <w:lang w:val="es-ES_tradnl"/>
              </w:rPr>
            </w:pPr>
            <w:r w:rsidRPr="006F0DF1">
              <w:rPr>
                <w:rFonts w:ascii="Montserrat" w:hAnsi="Montserrat"/>
                <w:sz w:val="14"/>
                <w:szCs w:val="14"/>
                <w:lang w:val="es-ES_tradnl"/>
              </w:rPr>
              <w:t>Udibonos Segregado</w:t>
            </w:r>
          </w:p>
        </w:tc>
        <w:tc>
          <w:tcPr>
            <w:tcW w:w="1701" w:type="dxa"/>
            <w:shd w:val="clear" w:color="auto" w:fill="F2F2F2" w:themeFill="background1" w:themeFillShade="F2"/>
            <w:vAlign w:val="center"/>
          </w:tcPr>
          <w:p w14:paraId="5B27528F" w14:textId="4599B1EE" w:rsidR="009635EF" w:rsidRPr="005210C6" w:rsidRDefault="009635EF">
            <w:pPr>
              <w:spacing w:after="0"/>
              <w:jc w:val="right"/>
              <w:rPr>
                <w:rFonts w:ascii="Montserrat" w:hAnsi="Montserrat"/>
                <w:sz w:val="14"/>
                <w:szCs w:val="14"/>
                <w:lang w:val="es-ES_tradnl"/>
              </w:rPr>
            </w:pPr>
            <w:r w:rsidRPr="005511E3">
              <w:rPr>
                <w:rFonts w:ascii="Montserrat" w:eastAsia="Times New Roman" w:hAnsi="Montserrat" w:cs="Calibri"/>
                <w:sz w:val="13"/>
                <w:szCs w:val="13"/>
                <w:lang w:eastAsia="es-MX"/>
              </w:rPr>
              <w:t xml:space="preserve">             75,591,510 </w:t>
            </w:r>
          </w:p>
        </w:tc>
        <w:tc>
          <w:tcPr>
            <w:tcW w:w="1701" w:type="dxa"/>
            <w:shd w:val="clear" w:color="auto" w:fill="F2F2F2" w:themeFill="background1" w:themeFillShade="F2"/>
            <w:vAlign w:val="center"/>
          </w:tcPr>
          <w:p w14:paraId="0E971D1B" w14:textId="344BD067" w:rsidR="009635EF" w:rsidRPr="005210C6" w:rsidRDefault="009635EF">
            <w:pPr>
              <w:spacing w:after="0"/>
              <w:jc w:val="right"/>
              <w:rPr>
                <w:rFonts w:ascii="Montserrat" w:hAnsi="Montserrat"/>
                <w:sz w:val="14"/>
                <w:szCs w:val="14"/>
                <w:lang w:val="es-ES_tradnl"/>
              </w:rPr>
            </w:pPr>
            <w:r w:rsidRPr="005511E3">
              <w:rPr>
                <w:rFonts w:ascii="Montserrat" w:eastAsia="Times New Roman" w:hAnsi="Montserrat" w:cs="Calibri"/>
                <w:sz w:val="13"/>
                <w:szCs w:val="13"/>
                <w:lang w:eastAsia="es-MX"/>
              </w:rPr>
              <w:t xml:space="preserve">             14,713,224 </w:t>
            </w:r>
          </w:p>
        </w:tc>
        <w:tc>
          <w:tcPr>
            <w:tcW w:w="1559" w:type="dxa"/>
            <w:shd w:val="clear" w:color="auto" w:fill="F2F2F2" w:themeFill="background1" w:themeFillShade="F2"/>
            <w:vAlign w:val="center"/>
          </w:tcPr>
          <w:p w14:paraId="56445087" w14:textId="5B86CA32" w:rsidR="009635EF" w:rsidRPr="005210C6" w:rsidRDefault="009635EF">
            <w:pPr>
              <w:spacing w:after="0"/>
              <w:jc w:val="right"/>
              <w:rPr>
                <w:rFonts w:ascii="Montserrat" w:hAnsi="Montserrat"/>
                <w:sz w:val="14"/>
                <w:szCs w:val="14"/>
                <w:lang w:val="es-ES_tradnl"/>
              </w:rPr>
            </w:pPr>
            <w:r w:rsidRPr="005511E3">
              <w:rPr>
                <w:rFonts w:ascii="Montserrat" w:eastAsia="Times New Roman" w:hAnsi="Montserrat" w:cs="Calibri"/>
                <w:sz w:val="13"/>
                <w:szCs w:val="13"/>
                <w:lang w:eastAsia="es-MX"/>
              </w:rPr>
              <w:t xml:space="preserve">             74,294,008 </w:t>
            </w:r>
          </w:p>
        </w:tc>
        <w:tc>
          <w:tcPr>
            <w:tcW w:w="1559" w:type="dxa"/>
            <w:shd w:val="clear" w:color="auto" w:fill="F2F2F2" w:themeFill="background1" w:themeFillShade="F2"/>
            <w:vAlign w:val="center"/>
          </w:tcPr>
          <w:p w14:paraId="15D21BF8" w14:textId="5D07C4A4" w:rsidR="009635EF" w:rsidRPr="005210C6" w:rsidRDefault="009635EF">
            <w:pPr>
              <w:spacing w:after="0"/>
              <w:jc w:val="right"/>
              <w:rPr>
                <w:rFonts w:ascii="Montserrat" w:hAnsi="Montserrat"/>
                <w:sz w:val="14"/>
                <w:szCs w:val="14"/>
                <w:lang w:val="es-ES_tradnl"/>
              </w:rPr>
            </w:pPr>
            <w:r w:rsidRPr="005511E3">
              <w:rPr>
                <w:rFonts w:ascii="Montserrat" w:eastAsia="Times New Roman" w:hAnsi="Montserrat" w:cs="Calibri"/>
                <w:sz w:val="13"/>
                <w:szCs w:val="13"/>
                <w:lang w:eastAsia="es-MX"/>
              </w:rPr>
              <w:t xml:space="preserve">             16,010,726 </w:t>
            </w:r>
          </w:p>
        </w:tc>
        <w:tc>
          <w:tcPr>
            <w:tcW w:w="1626" w:type="dxa"/>
            <w:shd w:val="clear" w:color="auto" w:fill="F2F2F2" w:themeFill="background1" w:themeFillShade="F2"/>
            <w:vAlign w:val="center"/>
          </w:tcPr>
          <w:p w14:paraId="3887B32A" w14:textId="0E0FB7AD" w:rsidR="009635EF" w:rsidRPr="005210C6" w:rsidRDefault="009635EF">
            <w:pPr>
              <w:spacing w:after="0"/>
              <w:jc w:val="right"/>
              <w:rPr>
                <w:rFonts w:ascii="Montserrat" w:hAnsi="Montserrat"/>
                <w:sz w:val="14"/>
                <w:szCs w:val="14"/>
                <w:lang w:val="es-ES_tradnl"/>
              </w:rPr>
            </w:pPr>
            <w:r w:rsidRPr="005511E3">
              <w:rPr>
                <w:rFonts w:ascii="Montserrat" w:eastAsia="Times New Roman" w:hAnsi="Montserrat" w:cs="Calibri"/>
                <w:sz w:val="13"/>
                <w:szCs w:val="13"/>
                <w:lang w:eastAsia="es-MX"/>
              </w:rPr>
              <w:t xml:space="preserve">            7,645,605,081 </w:t>
            </w:r>
          </w:p>
        </w:tc>
        <w:tc>
          <w:tcPr>
            <w:tcW w:w="1726" w:type="dxa"/>
            <w:gridSpan w:val="2"/>
            <w:shd w:val="clear" w:color="auto" w:fill="F2F2F2" w:themeFill="background1" w:themeFillShade="F2"/>
            <w:vAlign w:val="center"/>
          </w:tcPr>
          <w:p w14:paraId="48F12354" w14:textId="0C061123" w:rsidR="009635EF" w:rsidRPr="005210C6" w:rsidRDefault="009635EF">
            <w:pPr>
              <w:spacing w:after="0"/>
              <w:jc w:val="right"/>
              <w:rPr>
                <w:rFonts w:ascii="Montserrat" w:hAnsi="Montserrat"/>
                <w:sz w:val="14"/>
                <w:szCs w:val="14"/>
                <w:lang w:val="es-ES_tradnl"/>
              </w:rPr>
            </w:pPr>
            <w:r w:rsidRPr="005511E3">
              <w:rPr>
                <w:rFonts w:ascii="Montserrat" w:eastAsia="Times New Roman" w:hAnsi="Montserrat" w:cs="Calibri"/>
                <w:sz w:val="13"/>
                <w:szCs w:val="13"/>
                <w:lang w:eastAsia="es-MX"/>
              </w:rPr>
              <w:t xml:space="preserve">           12,718,976,373 </w:t>
            </w:r>
          </w:p>
        </w:tc>
      </w:tr>
      <w:tr w:rsidR="009635EF" w:rsidRPr="005210C6" w14:paraId="236E4144" w14:textId="77777777" w:rsidTr="000F0321">
        <w:trPr>
          <w:trHeight w:val="240"/>
          <w:jc w:val="center"/>
        </w:trPr>
        <w:tc>
          <w:tcPr>
            <w:tcW w:w="2407" w:type="dxa"/>
            <w:shd w:val="clear" w:color="auto" w:fill="F2F2F2" w:themeFill="background1" w:themeFillShade="F2"/>
            <w:noWrap/>
            <w:vAlign w:val="bottom"/>
            <w:hideMark/>
          </w:tcPr>
          <w:p w14:paraId="26373C4C" w14:textId="77777777" w:rsidR="009635EF" w:rsidRPr="006F0DF1" w:rsidRDefault="009635EF" w:rsidP="009635EF">
            <w:pPr>
              <w:spacing w:after="0" w:line="240" w:lineRule="exact"/>
              <w:jc w:val="center"/>
              <w:rPr>
                <w:rFonts w:ascii="Montserrat" w:hAnsi="Montserrat"/>
                <w:b/>
                <w:bCs/>
                <w:sz w:val="14"/>
                <w:szCs w:val="14"/>
                <w:lang w:val="es-ES_tradnl"/>
              </w:rPr>
            </w:pPr>
            <w:r w:rsidRPr="006F0DF1">
              <w:rPr>
                <w:rFonts w:ascii="Montserrat" w:hAnsi="Montserrat"/>
                <w:b/>
                <w:bCs/>
                <w:sz w:val="14"/>
                <w:szCs w:val="14"/>
                <w:lang w:val="es-ES_tradnl"/>
              </w:rPr>
              <w:t>Bca. de Fomento y Desarrollo</w:t>
            </w:r>
          </w:p>
        </w:tc>
        <w:tc>
          <w:tcPr>
            <w:tcW w:w="1701" w:type="dxa"/>
            <w:shd w:val="clear" w:color="auto" w:fill="F2F2F2" w:themeFill="background1" w:themeFillShade="F2"/>
            <w:vAlign w:val="center"/>
          </w:tcPr>
          <w:p w14:paraId="3010F85E" w14:textId="5FCC2269" w:rsidR="009635EF" w:rsidRPr="009D2BD9" w:rsidRDefault="009635EF">
            <w:pPr>
              <w:spacing w:after="0" w:line="240" w:lineRule="exact"/>
              <w:jc w:val="right"/>
              <w:rPr>
                <w:rFonts w:ascii="Montserrat" w:hAnsi="Montserrat"/>
                <w:b/>
                <w:sz w:val="14"/>
                <w:szCs w:val="14"/>
                <w:lang w:val="es-ES_tradnl"/>
              </w:rPr>
            </w:pPr>
            <w:r w:rsidRPr="000F0321">
              <w:rPr>
                <w:rFonts w:ascii="Montserrat" w:eastAsia="Times New Roman" w:hAnsi="Montserrat" w:cs="Calibri"/>
                <w:b/>
                <w:sz w:val="13"/>
                <w:szCs w:val="13"/>
                <w:lang w:eastAsia="es-MX"/>
              </w:rPr>
              <w:t xml:space="preserve">           798,391,194 </w:t>
            </w:r>
          </w:p>
        </w:tc>
        <w:tc>
          <w:tcPr>
            <w:tcW w:w="1701" w:type="dxa"/>
            <w:shd w:val="clear" w:color="auto" w:fill="F2F2F2" w:themeFill="background1" w:themeFillShade="F2"/>
            <w:vAlign w:val="center"/>
          </w:tcPr>
          <w:p w14:paraId="1614EFF0" w14:textId="355106EA" w:rsidR="009635EF" w:rsidRPr="009D2BD9" w:rsidRDefault="009635EF">
            <w:pPr>
              <w:spacing w:after="0" w:line="240" w:lineRule="exact"/>
              <w:jc w:val="right"/>
              <w:rPr>
                <w:rFonts w:ascii="Montserrat" w:hAnsi="Montserrat"/>
                <w:b/>
                <w:sz w:val="14"/>
                <w:szCs w:val="14"/>
                <w:lang w:val="es-ES_tradnl"/>
              </w:rPr>
            </w:pPr>
            <w:r w:rsidRPr="000F0321">
              <w:rPr>
                <w:rFonts w:ascii="Montserrat" w:eastAsia="Times New Roman" w:hAnsi="Montserrat" w:cs="Calibri"/>
                <w:b/>
                <w:sz w:val="13"/>
                <w:szCs w:val="13"/>
                <w:lang w:eastAsia="es-MX"/>
              </w:rPr>
              <w:t xml:space="preserve">           618,183,864 </w:t>
            </w:r>
          </w:p>
        </w:tc>
        <w:tc>
          <w:tcPr>
            <w:tcW w:w="1559" w:type="dxa"/>
            <w:shd w:val="clear" w:color="auto" w:fill="F2F2F2" w:themeFill="background1" w:themeFillShade="F2"/>
            <w:vAlign w:val="center"/>
          </w:tcPr>
          <w:p w14:paraId="3C459019" w14:textId="008300A6" w:rsidR="009635EF" w:rsidRPr="009D2BD9" w:rsidRDefault="009635EF">
            <w:pPr>
              <w:spacing w:after="0" w:line="240" w:lineRule="exact"/>
              <w:jc w:val="right"/>
              <w:rPr>
                <w:rFonts w:ascii="Montserrat" w:hAnsi="Montserrat"/>
                <w:b/>
                <w:sz w:val="14"/>
                <w:szCs w:val="14"/>
                <w:lang w:val="es-ES_tradnl"/>
              </w:rPr>
            </w:pPr>
            <w:r w:rsidRPr="000F0321">
              <w:rPr>
                <w:rFonts w:ascii="Montserrat" w:eastAsia="Times New Roman" w:hAnsi="Montserrat" w:cs="Calibri"/>
                <w:b/>
                <w:sz w:val="13"/>
                <w:szCs w:val="13"/>
                <w:lang w:eastAsia="es-MX"/>
              </w:rPr>
              <w:t xml:space="preserve">           795,289,143 </w:t>
            </w:r>
          </w:p>
        </w:tc>
        <w:tc>
          <w:tcPr>
            <w:tcW w:w="1559" w:type="dxa"/>
            <w:shd w:val="clear" w:color="auto" w:fill="F2F2F2" w:themeFill="background1" w:themeFillShade="F2"/>
            <w:vAlign w:val="center"/>
          </w:tcPr>
          <w:p w14:paraId="53B5D49D" w14:textId="3CBC9847" w:rsidR="009635EF" w:rsidRPr="009D2BD9" w:rsidRDefault="009635EF">
            <w:pPr>
              <w:spacing w:after="0" w:line="240" w:lineRule="exact"/>
              <w:jc w:val="right"/>
              <w:rPr>
                <w:rFonts w:ascii="Montserrat" w:hAnsi="Montserrat"/>
                <w:b/>
                <w:sz w:val="14"/>
                <w:szCs w:val="14"/>
                <w:lang w:val="es-ES_tradnl"/>
              </w:rPr>
            </w:pPr>
            <w:r w:rsidRPr="000F0321">
              <w:rPr>
                <w:rFonts w:ascii="Montserrat" w:eastAsia="Times New Roman" w:hAnsi="Montserrat" w:cs="Calibri"/>
                <w:b/>
                <w:sz w:val="13"/>
                <w:szCs w:val="13"/>
                <w:lang w:eastAsia="es-MX"/>
              </w:rPr>
              <w:t xml:space="preserve">           580,337,296 </w:t>
            </w:r>
          </w:p>
        </w:tc>
        <w:tc>
          <w:tcPr>
            <w:tcW w:w="1626" w:type="dxa"/>
            <w:shd w:val="clear" w:color="auto" w:fill="F2F2F2" w:themeFill="background1" w:themeFillShade="F2"/>
            <w:vAlign w:val="center"/>
          </w:tcPr>
          <w:p w14:paraId="01AA7A75" w14:textId="2A2AA992" w:rsidR="009635EF" w:rsidRPr="009D2BD9" w:rsidRDefault="009635EF">
            <w:pPr>
              <w:spacing w:after="0" w:line="240" w:lineRule="exact"/>
              <w:jc w:val="right"/>
              <w:rPr>
                <w:rFonts w:ascii="Montserrat" w:hAnsi="Montserrat"/>
                <w:b/>
                <w:sz w:val="14"/>
                <w:szCs w:val="14"/>
                <w:lang w:val="es-ES_tradnl"/>
              </w:rPr>
            </w:pPr>
            <w:r w:rsidRPr="000F0321">
              <w:rPr>
                <w:rFonts w:ascii="Montserrat" w:eastAsia="Times New Roman" w:hAnsi="Montserrat" w:cs="Calibri"/>
                <w:b/>
                <w:sz w:val="13"/>
                <w:szCs w:val="13"/>
                <w:lang w:eastAsia="es-MX"/>
              </w:rPr>
              <w:t xml:space="preserve">          13,970,045,680 </w:t>
            </w:r>
          </w:p>
        </w:tc>
        <w:tc>
          <w:tcPr>
            <w:tcW w:w="1726" w:type="dxa"/>
            <w:gridSpan w:val="2"/>
            <w:shd w:val="clear" w:color="auto" w:fill="F2F2F2" w:themeFill="background1" w:themeFillShade="F2"/>
            <w:vAlign w:val="center"/>
          </w:tcPr>
          <w:p w14:paraId="042891CE" w14:textId="41B819CF" w:rsidR="009635EF" w:rsidRPr="009D2BD9" w:rsidRDefault="009635EF">
            <w:pPr>
              <w:spacing w:after="0" w:line="240" w:lineRule="exact"/>
              <w:jc w:val="right"/>
              <w:rPr>
                <w:rFonts w:ascii="Montserrat" w:hAnsi="Montserrat"/>
                <w:b/>
                <w:sz w:val="14"/>
                <w:szCs w:val="14"/>
                <w:lang w:val="es-ES_tradnl"/>
              </w:rPr>
            </w:pPr>
            <w:r w:rsidRPr="000F0321">
              <w:rPr>
                <w:rFonts w:ascii="Montserrat" w:eastAsia="Times New Roman" w:hAnsi="Montserrat" w:cs="Calibri"/>
                <w:b/>
                <w:sz w:val="13"/>
                <w:szCs w:val="13"/>
                <w:lang w:eastAsia="es-MX"/>
              </w:rPr>
              <w:t xml:space="preserve">             4,614,973,010 </w:t>
            </w:r>
          </w:p>
        </w:tc>
      </w:tr>
      <w:tr w:rsidR="009635EF" w:rsidRPr="005210C6" w14:paraId="660E6F99" w14:textId="77777777" w:rsidTr="000F0321">
        <w:trPr>
          <w:trHeight w:val="240"/>
          <w:jc w:val="center"/>
        </w:trPr>
        <w:tc>
          <w:tcPr>
            <w:tcW w:w="2407" w:type="dxa"/>
            <w:shd w:val="clear" w:color="auto" w:fill="F2F2F2" w:themeFill="background1" w:themeFillShade="F2"/>
            <w:noWrap/>
            <w:vAlign w:val="bottom"/>
            <w:hideMark/>
          </w:tcPr>
          <w:p w14:paraId="57CA855D" w14:textId="77777777" w:rsidR="009635EF" w:rsidRPr="006F0DF1" w:rsidRDefault="009635EF" w:rsidP="009635EF">
            <w:pPr>
              <w:spacing w:after="0" w:line="240" w:lineRule="exact"/>
              <w:ind w:left="135"/>
              <w:rPr>
                <w:rFonts w:ascii="Montserrat" w:hAnsi="Montserrat"/>
                <w:sz w:val="14"/>
                <w:szCs w:val="14"/>
                <w:lang w:val="es-ES_tradnl"/>
              </w:rPr>
            </w:pPr>
            <w:r w:rsidRPr="006F0DF1">
              <w:rPr>
                <w:rFonts w:ascii="Montserrat" w:hAnsi="Montserrat"/>
                <w:sz w:val="14"/>
                <w:szCs w:val="14"/>
                <w:lang w:val="es-ES_tradnl"/>
              </w:rPr>
              <w:t>Nafin</w:t>
            </w:r>
          </w:p>
        </w:tc>
        <w:tc>
          <w:tcPr>
            <w:tcW w:w="1701" w:type="dxa"/>
            <w:shd w:val="clear" w:color="auto" w:fill="F2F2F2" w:themeFill="background1" w:themeFillShade="F2"/>
            <w:vAlign w:val="center"/>
          </w:tcPr>
          <w:p w14:paraId="0F6B302B" w14:textId="4EC2F6E3" w:rsidR="009635EF" w:rsidRPr="005210C6" w:rsidRDefault="009635EF">
            <w:pPr>
              <w:spacing w:after="0"/>
              <w:jc w:val="right"/>
              <w:rPr>
                <w:rFonts w:ascii="Montserrat" w:hAnsi="Montserrat"/>
                <w:sz w:val="14"/>
                <w:szCs w:val="14"/>
                <w:lang w:val="es-ES_tradnl"/>
              </w:rPr>
            </w:pPr>
            <w:r w:rsidRPr="005511E3">
              <w:rPr>
                <w:rFonts w:ascii="Montserrat" w:eastAsia="Times New Roman" w:hAnsi="Montserrat" w:cs="Calibri"/>
                <w:sz w:val="13"/>
                <w:szCs w:val="13"/>
                <w:lang w:eastAsia="es-MX"/>
              </w:rPr>
              <w:t xml:space="preserve">           781,339,872 </w:t>
            </w:r>
          </w:p>
        </w:tc>
        <w:tc>
          <w:tcPr>
            <w:tcW w:w="1701" w:type="dxa"/>
            <w:shd w:val="clear" w:color="auto" w:fill="F2F2F2" w:themeFill="background1" w:themeFillShade="F2"/>
            <w:vAlign w:val="center"/>
          </w:tcPr>
          <w:p w14:paraId="1E23A8A8" w14:textId="28863064" w:rsidR="009635EF" w:rsidRPr="005210C6" w:rsidRDefault="009635EF">
            <w:pPr>
              <w:spacing w:after="0"/>
              <w:jc w:val="right"/>
              <w:rPr>
                <w:rFonts w:ascii="Montserrat" w:hAnsi="Montserrat"/>
                <w:sz w:val="14"/>
                <w:szCs w:val="14"/>
                <w:lang w:val="es-ES_tradnl"/>
              </w:rPr>
            </w:pPr>
            <w:r w:rsidRPr="005511E3">
              <w:rPr>
                <w:rFonts w:ascii="Montserrat" w:eastAsia="Times New Roman" w:hAnsi="Montserrat" w:cs="Calibri"/>
                <w:sz w:val="13"/>
                <w:szCs w:val="13"/>
                <w:lang w:eastAsia="es-MX"/>
              </w:rPr>
              <w:t xml:space="preserve">           207,890,049 </w:t>
            </w:r>
          </w:p>
        </w:tc>
        <w:tc>
          <w:tcPr>
            <w:tcW w:w="1559" w:type="dxa"/>
            <w:shd w:val="clear" w:color="auto" w:fill="F2F2F2" w:themeFill="background1" w:themeFillShade="F2"/>
            <w:vAlign w:val="center"/>
          </w:tcPr>
          <w:p w14:paraId="5909F000" w14:textId="3EFB4292" w:rsidR="009635EF" w:rsidRPr="005210C6" w:rsidRDefault="009635EF">
            <w:pPr>
              <w:spacing w:after="0"/>
              <w:jc w:val="right"/>
              <w:rPr>
                <w:rFonts w:ascii="Montserrat" w:hAnsi="Montserrat"/>
                <w:sz w:val="14"/>
                <w:szCs w:val="14"/>
                <w:lang w:val="es-ES_tradnl"/>
              </w:rPr>
            </w:pPr>
            <w:r w:rsidRPr="005511E3">
              <w:rPr>
                <w:rFonts w:ascii="Montserrat" w:eastAsia="Times New Roman" w:hAnsi="Montserrat" w:cs="Calibri"/>
                <w:sz w:val="13"/>
                <w:szCs w:val="13"/>
                <w:lang w:eastAsia="es-MX"/>
              </w:rPr>
              <w:t xml:space="preserve">           781,339,872 </w:t>
            </w:r>
          </w:p>
        </w:tc>
        <w:tc>
          <w:tcPr>
            <w:tcW w:w="1559" w:type="dxa"/>
            <w:shd w:val="clear" w:color="auto" w:fill="F2F2F2" w:themeFill="background1" w:themeFillShade="F2"/>
            <w:vAlign w:val="center"/>
          </w:tcPr>
          <w:p w14:paraId="6D4907F7" w14:textId="4835B780" w:rsidR="009635EF" w:rsidRPr="005210C6" w:rsidRDefault="009635EF">
            <w:pPr>
              <w:spacing w:after="0"/>
              <w:jc w:val="right"/>
              <w:rPr>
                <w:rFonts w:ascii="Montserrat" w:hAnsi="Montserrat"/>
                <w:sz w:val="14"/>
                <w:szCs w:val="14"/>
                <w:lang w:val="es-ES_tradnl"/>
              </w:rPr>
            </w:pPr>
            <w:r w:rsidRPr="005511E3">
              <w:rPr>
                <w:rFonts w:ascii="Montserrat" w:eastAsia="Times New Roman" w:hAnsi="Montserrat" w:cs="Calibri"/>
                <w:sz w:val="13"/>
                <w:szCs w:val="13"/>
                <w:lang w:eastAsia="es-MX"/>
              </w:rPr>
              <w:t xml:space="preserve">           170,759,042 </w:t>
            </w:r>
          </w:p>
        </w:tc>
        <w:tc>
          <w:tcPr>
            <w:tcW w:w="1626" w:type="dxa"/>
            <w:shd w:val="clear" w:color="auto" w:fill="F2F2F2" w:themeFill="background1" w:themeFillShade="F2"/>
            <w:vAlign w:val="center"/>
          </w:tcPr>
          <w:p w14:paraId="25C37203" w14:textId="4FCD88E2" w:rsidR="009635EF" w:rsidRPr="005210C6" w:rsidRDefault="009635EF">
            <w:pPr>
              <w:spacing w:after="0"/>
              <w:jc w:val="right"/>
              <w:rPr>
                <w:rFonts w:ascii="Montserrat" w:hAnsi="Montserrat"/>
                <w:sz w:val="14"/>
                <w:szCs w:val="14"/>
                <w:lang w:val="es-ES_tradnl"/>
              </w:rPr>
            </w:pPr>
            <w:r w:rsidRPr="005511E3">
              <w:rPr>
                <w:rFonts w:ascii="Montserrat" w:eastAsia="Times New Roman" w:hAnsi="Montserrat" w:cs="Calibri"/>
                <w:sz w:val="13"/>
                <w:szCs w:val="13"/>
                <w:lang w:eastAsia="es-MX"/>
              </w:rPr>
              <w:t xml:space="preserve">            3,104,908,722 </w:t>
            </w:r>
          </w:p>
        </w:tc>
        <w:tc>
          <w:tcPr>
            <w:tcW w:w="1726" w:type="dxa"/>
            <w:gridSpan w:val="2"/>
            <w:shd w:val="clear" w:color="auto" w:fill="F2F2F2" w:themeFill="background1" w:themeFillShade="F2"/>
            <w:vAlign w:val="center"/>
          </w:tcPr>
          <w:p w14:paraId="55F9AA7D" w14:textId="1B0928B6" w:rsidR="009635EF" w:rsidRPr="005210C6" w:rsidRDefault="009635EF">
            <w:pPr>
              <w:spacing w:after="0"/>
              <w:jc w:val="right"/>
              <w:rPr>
                <w:rFonts w:ascii="Montserrat" w:hAnsi="Montserrat"/>
                <w:sz w:val="14"/>
                <w:szCs w:val="14"/>
                <w:lang w:val="es-ES_tradnl"/>
              </w:rPr>
            </w:pPr>
            <w:r w:rsidRPr="005511E3">
              <w:rPr>
                <w:rFonts w:ascii="Montserrat" w:eastAsia="Times New Roman" w:hAnsi="Montserrat" w:cs="Calibri"/>
                <w:sz w:val="13"/>
                <w:szCs w:val="13"/>
                <w:lang w:eastAsia="es-MX"/>
              </w:rPr>
              <w:t xml:space="preserve">                413,183,376 </w:t>
            </w:r>
          </w:p>
        </w:tc>
      </w:tr>
      <w:tr w:rsidR="009635EF" w:rsidRPr="005210C6" w14:paraId="39DD5FF8" w14:textId="77777777" w:rsidTr="000F0321">
        <w:trPr>
          <w:trHeight w:val="240"/>
          <w:jc w:val="center"/>
        </w:trPr>
        <w:tc>
          <w:tcPr>
            <w:tcW w:w="2407" w:type="dxa"/>
            <w:shd w:val="clear" w:color="auto" w:fill="F2F2F2" w:themeFill="background1" w:themeFillShade="F2"/>
            <w:noWrap/>
            <w:vAlign w:val="bottom"/>
            <w:hideMark/>
          </w:tcPr>
          <w:p w14:paraId="52DC39E4" w14:textId="77777777" w:rsidR="009635EF" w:rsidRPr="006F0DF1" w:rsidRDefault="009635EF" w:rsidP="009635EF">
            <w:pPr>
              <w:spacing w:after="0" w:line="240" w:lineRule="exact"/>
              <w:ind w:left="135"/>
              <w:rPr>
                <w:rFonts w:ascii="Montserrat" w:hAnsi="Montserrat"/>
                <w:sz w:val="14"/>
                <w:szCs w:val="14"/>
                <w:lang w:val="es-ES_tradnl"/>
              </w:rPr>
            </w:pPr>
            <w:r w:rsidRPr="006F0DF1">
              <w:rPr>
                <w:rFonts w:ascii="Montserrat" w:hAnsi="Montserrat"/>
                <w:sz w:val="14"/>
                <w:szCs w:val="14"/>
                <w:lang w:val="es-ES_tradnl"/>
              </w:rPr>
              <w:t>Banobras</w:t>
            </w:r>
          </w:p>
        </w:tc>
        <w:tc>
          <w:tcPr>
            <w:tcW w:w="1701" w:type="dxa"/>
            <w:shd w:val="clear" w:color="auto" w:fill="F2F2F2" w:themeFill="background1" w:themeFillShade="F2"/>
            <w:vAlign w:val="center"/>
          </w:tcPr>
          <w:p w14:paraId="65A5BC96" w14:textId="496B8317" w:rsidR="009635EF" w:rsidRPr="005210C6" w:rsidRDefault="009635EF">
            <w:pPr>
              <w:spacing w:after="0"/>
              <w:jc w:val="right"/>
              <w:rPr>
                <w:rFonts w:ascii="Montserrat" w:hAnsi="Montserrat"/>
                <w:sz w:val="14"/>
                <w:szCs w:val="14"/>
                <w:lang w:val="es-ES_tradnl"/>
              </w:rPr>
            </w:pPr>
            <w:r>
              <w:rPr>
                <w:rFonts w:ascii="Montserrat" w:eastAsia="Times New Roman" w:hAnsi="Montserrat" w:cs="Calibri"/>
                <w:sz w:val="13"/>
                <w:szCs w:val="13"/>
                <w:lang w:eastAsia="es-MX"/>
              </w:rPr>
              <w:t>0</w:t>
            </w:r>
            <w:r w:rsidRPr="005511E3">
              <w:rPr>
                <w:rFonts w:ascii="Montserrat" w:eastAsia="Times New Roman" w:hAnsi="Montserrat" w:cs="Calibri"/>
                <w:sz w:val="13"/>
                <w:szCs w:val="13"/>
                <w:lang w:eastAsia="es-MX"/>
              </w:rPr>
              <w:t xml:space="preserve">   </w:t>
            </w:r>
          </w:p>
        </w:tc>
        <w:tc>
          <w:tcPr>
            <w:tcW w:w="1701" w:type="dxa"/>
            <w:shd w:val="clear" w:color="auto" w:fill="F2F2F2" w:themeFill="background1" w:themeFillShade="F2"/>
            <w:vAlign w:val="center"/>
          </w:tcPr>
          <w:p w14:paraId="2240C1C0" w14:textId="3C90F34E" w:rsidR="009635EF" w:rsidRPr="005210C6" w:rsidRDefault="009635EF">
            <w:pPr>
              <w:spacing w:after="0"/>
              <w:jc w:val="right"/>
              <w:rPr>
                <w:rFonts w:ascii="Montserrat" w:hAnsi="Montserrat"/>
                <w:sz w:val="14"/>
                <w:szCs w:val="14"/>
                <w:lang w:val="es-ES_tradnl"/>
              </w:rPr>
            </w:pPr>
            <w:r w:rsidRPr="005511E3">
              <w:rPr>
                <w:rFonts w:ascii="Montserrat" w:eastAsia="Times New Roman" w:hAnsi="Montserrat" w:cs="Calibri"/>
                <w:sz w:val="13"/>
                <w:szCs w:val="13"/>
                <w:lang w:eastAsia="es-MX"/>
              </w:rPr>
              <w:t xml:space="preserve">           373,606,504 </w:t>
            </w:r>
          </w:p>
        </w:tc>
        <w:tc>
          <w:tcPr>
            <w:tcW w:w="1559" w:type="dxa"/>
            <w:shd w:val="clear" w:color="auto" w:fill="F2F2F2" w:themeFill="background1" w:themeFillShade="F2"/>
            <w:vAlign w:val="center"/>
          </w:tcPr>
          <w:p w14:paraId="2955B4E0" w14:textId="1FD2CB08" w:rsidR="009635EF" w:rsidRPr="005210C6" w:rsidRDefault="009D2BD9">
            <w:pPr>
              <w:spacing w:after="0"/>
              <w:jc w:val="right"/>
              <w:rPr>
                <w:rFonts w:ascii="Montserrat" w:hAnsi="Montserrat"/>
                <w:sz w:val="14"/>
                <w:szCs w:val="14"/>
                <w:lang w:val="es-ES_tradnl"/>
              </w:rPr>
            </w:pPr>
            <w:r>
              <w:rPr>
                <w:rFonts w:ascii="Montserrat" w:eastAsia="Times New Roman" w:hAnsi="Montserrat" w:cs="Calibri"/>
                <w:sz w:val="13"/>
                <w:szCs w:val="13"/>
                <w:lang w:eastAsia="es-MX"/>
              </w:rPr>
              <w:t>0</w:t>
            </w:r>
            <w:r w:rsidR="009635EF" w:rsidRPr="005511E3">
              <w:rPr>
                <w:rFonts w:ascii="Montserrat" w:eastAsia="Times New Roman" w:hAnsi="Montserrat" w:cs="Calibri"/>
                <w:sz w:val="13"/>
                <w:szCs w:val="13"/>
                <w:lang w:eastAsia="es-MX"/>
              </w:rPr>
              <w:t xml:space="preserve">   </w:t>
            </w:r>
          </w:p>
        </w:tc>
        <w:tc>
          <w:tcPr>
            <w:tcW w:w="1559" w:type="dxa"/>
            <w:shd w:val="clear" w:color="auto" w:fill="F2F2F2" w:themeFill="background1" w:themeFillShade="F2"/>
            <w:vAlign w:val="center"/>
          </w:tcPr>
          <w:p w14:paraId="5808ABD9" w14:textId="74C3C79F" w:rsidR="009635EF" w:rsidRPr="005210C6" w:rsidRDefault="009635EF">
            <w:pPr>
              <w:spacing w:after="0"/>
              <w:jc w:val="right"/>
              <w:rPr>
                <w:rFonts w:ascii="Montserrat" w:hAnsi="Montserrat"/>
                <w:sz w:val="14"/>
                <w:szCs w:val="14"/>
                <w:lang w:val="es-ES_tradnl"/>
              </w:rPr>
            </w:pPr>
            <w:r w:rsidRPr="005511E3">
              <w:rPr>
                <w:rFonts w:ascii="Montserrat" w:eastAsia="Times New Roman" w:hAnsi="Montserrat" w:cs="Calibri"/>
                <w:sz w:val="13"/>
                <w:szCs w:val="13"/>
                <w:lang w:eastAsia="es-MX"/>
              </w:rPr>
              <w:t xml:space="preserve">           373,606,504 </w:t>
            </w:r>
          </w:p>
        </w:tc>
        <w:tc>
          <w:tcPr>
            <w:tcW w:w="1626" w:type="dxa"/>
            <w:shd w:val="clear" w:color="auto" w:fill="F2F2F2" w:themeFill="background1" w:themeFillShade="F2"/>
            <w:vAlign w:val="center"/>
          </w:tcPr>
          <w:p w14:paraId="5FB57FB1" w14:textId="15CE172D" w:rsidR="009635EF" w:rsidRPr="005210C6" w:rsidRDefault="009635EF">
            <w:pPr>
              <w:spacing w:after="0"/>
              <w:jc w:val="right"/>
              <w:rPr>
                <w:rFonts w:ascii="Montserrat" w:hAnsi="Montserrat"/>
                <w:sz w:val="14"/>
                <w:szCs w:val="14"/>
                <w:lang w:val="es-ES_tradnl"/>
              </w:rPr>
            </w:pPr>
            <w:r w:rsidRPr="005511E3">
              <w:rPr>
                <w:rFonts w:ascii="Montserrat" w:eastAsia="Times New Roman" w:hAnsi="Montserrat" w:cs="Calibri"/>
                <w:sz w:val="13"/>
                <w:szCs w:val="13"/>
                <w:lang w:eastAsia="es-MX"/>
              </w:rPr>
              <w:t xml:space="preserve">          10,074,654,184 </w:t>
            </w:r>
          </w:p>
        </w:tc>
        <w:tc>
          <w:tcPr>
            <w:tcW w:w="1726" w:type="dxa"/>
            <w:gridSpan w:val="2"/>
            <w:shd w:val="clear" w:color="auto" w:fill="F2F2F2" w:themeFill="background1" w:themeFillShade="F2"/>
            <w:vAlign w:val="center"/>
          </w:tcPr>
          <w:p w14:paraId="50F09DAA" w14:textId="1E5BC8EE" w:rsidR="009635EF" w:rsidRPr="005210C6" w:rsidRDefault="009635EF">
            <w:pPr>
              <w:spacing w:after="0"/>
              <w:jc w:val="right"/>
              <w:rPr>
                <w:rFonts w:ascii="Montserrat" w:hAnsi="Montserrat"/>
                <w:sz w:val="14"/>
                <w:szCs w:val="14"/>
                <w:lang w:val="es-ES_tradnl"/>
              </w:rPr>
            </w:pPr>
            <w:r w:rsidRPr="005511E3">
              <w:rPr>
                <w:rFonts w:ascii="Montserrat" w:eastAsia="Times New Roman" w:hAnsi="Montserrat" w:cs="Calibri"/>
                <w:sz w:val="13"/>
                <w:szCs w:val="13"/>
                <w:lang w:eastAsia="es-MX"/>
              </w:rPr>
              <w:t xml:space="preserve">             3,362,458,540 </w:t>
            </w:r>
          </w:p>
        </w:tc>
      </w:tr>
      <w:tr w:rsidR="009635EF" w:rsidRPr="005210C6" w14:paraId="304DA3C5" w14:textId="77777777" w:rsidTr="000F0321">
        <w:trPr>
          <w:trHeight w:val="240"/>
          <w:jc w:val="center"/>
        </w:trPr>
        <w:tc>
          <w:tcPr>
            <w:tcW w:w="2407" w:type="dxa"/>
            <w:shd w:val="clear" w:color="auto" w:fill="F2F2F2" w:themeFill="background1" w:themeFillShade="F2"/>
            <w:noWrap/>
            <w:vAlign w:val="bottom"/>
            <w:hideMark/>
          </w:tcPr>
          <w:p w14:paraId="7CB7856E" w14:textId="700A003F" w:rsidR="009635EF" w:rsidRPr="006F0DF1" w:rsidRDefault="006448DE" w:rsidP="009635EF">
            <w:pPr>
              <w:spacing w:after="0" w:line="240" w:lineRule="exact"/>
              <w:ind w:left="135"/>
              <w:rPr>
                <w:rFonts w:ascii="Montserrat" w:hAnsi="Montserrat"/>
                <w:sz w:val="14"/>
                <w:szCs w:val="14"/>
                <w:lang w:val="es-ES_tradnl"/>
              </w:rPr>
            </w:pPr>
            <w:r>
              <w:rPr>
                <w:rFonts w:ascii="Montserrat" w:hAnsi="Montserrat"/>
                <w:sz w:val="14"/>
                <w:szCs w:val="14"/>
                <w:lang w:val="es-ES_tradnl"/>
              </w:rPr>
              <w:t>OINC</w:t>
            </w:r>
          </w:p>
        </w:tc>
        <w:tc>
          <w:tcPr>
            <w:tcW w:w="1701" w:type="dxa"/>
            <w:shd w:val="clear" w:color="auto" w:fill="F2F2F2" w:themeFill="background1" w:themeFillShade="F2"/>
            <w:vAlign w:val="center"/>
          </w:tcPr>
          <w:p w14:paraId="2786D316" w14:textId="4238130D" w:rsidR="009635EF" w:rsidRPr="005210C6" w:rsidRDefault="009635EF">
            <w:pPr>
              <w:spacing w:after="0"/>
              <w:jc w:val="right"/>
              <w:rPr>
                <w:rFonts w:ascii="Montserrat" w:hAnsi="Montserrat"/>
                <w:sz w:val="14"/>
                <w:szCs w:val="14"/>
                <w:lang w:val="es-ES_tradnl"/>
              </w:rPr>
            </w:pPr>
            <w:r w:rsidRPr="005511E3">
              <w:rPr>
                <w:rFonts w:ascii="Montserrat" w:eastAsia="Times New Roman" w:hAnsi="Montserrat" w:cs="Calibri"/>
                <w:sz w:val="13"/>
                <w:szCs w:val="13"/>
                <w:lang w:eastAsia="es-MX"/>
              </w:rPr>
              <w:t xml:space="preserve">             17,051,322 </w:t>
            </w:r>
          </w:p>
        </w:tc>
        <w:tc>
          <w:tcPr>
            <w:tcW w:w="1701" w:type="dxa"/>
            <w:shd w:val="clear" w:color="auto" w:fill="F2F2F2" w:themeFill="background1" w:themeFillShade="F2"/>
            <w:vAlign w:val="center"/>
          </w:tcPr>
          <w:p w14:paraId="7A5CABDC" w14:textId="7C3FA339" w:rsidR="009635EF" w:rsidRPr="005210C6" w:rsidRDefault="009635EF">
            <w:pPr>
              <w:spacing w:after="0"/>
              <w:jc w:val="right"/>
              <w:rPr>
                <w:rFonts w:ascii="Montserrat" w:hAnsi="Montserrat"/>
                <w:sz w:val="14"/>
                <w:szCs w:val="14"/>
                <w:lang w:val="es-ES_tradnl"/>
              </w:rPr>
            </w:pPr>
            <w:r w:rsidRPr="005511E3">
              <w:rPr>
                <w:rFonts w:ascii="Montserrat" w:eastAsia="Times New Roman" w:hAnsi="Montserrat" w:cs="Calibri"/>
                <w:sz w:val="13"/>
                <w:szCs w:val="13"/>
                <w:lang w:eastAsia="es-MX"/>
              </w:rPr>
              <w:t xml:space="preserve">             36,687,311 </w:t>
            </w:r>
          </w:p>
        </w:tc>
        <w:tc>
          <w:tcPr>
            <w:tcW w:w="1559" w:type="dxa"/>
            <w:shd w:val="clear" w:color="auto" w:fill="F2F2F2" w:themeFill="background1" w:themeFillShade="F2"/>
            <w:vAlign w:val="center"/>
          </w:tcPr>
          <w:p w14:paraId="503A11F4" w14:textId="3065C92E" w:rsidR="009635EF" w:rsidRPr="005210C6" w:rsidRDefault="009635EF">
            <w:pPr>
              <w:spacing w:after="0"/>
              <w:jc w:val="right"/>
              <w:rPr>
                <w:rFonts w:ascii="Montserrat" w:hAnsi="Montserrat"/>
                <w:sz w:val="14"/>
                <w:szCs w:val="14"/>
                <w:lang w:val="es-ES_tradnl"/>
              </w:rPr>
            </w:pPr>
            <w:r w:rsidRPr="005511E3">
              <w:rPr>
                <w:rFonts w:ascii="Montserrat" w:eastAsia="Times New Roman" w:hAnsi="Montserrat" w:cs="Calibri"/>
                <w:sz w:val="13"/>
                <w:szCs w:val="13"/>
                <w:lang w:eastAsia="es-MX"/>
              </w:rPr>
              <w:t xml:space="preserve">             13,949,271 </w:t>
            </w:r>
          </w:p>
        </w:tc>
        <w:tc>
          <w:tcPr>
            <w:tcW w:w="1559" w:type="dxa"/>
            <w:shd w:val="clear" w:color="auto" w:fill="F2F2F2" w:themeFill="background1" w:themeFillShade="F2"/>
            <w:vAlign w:val="center"/>
          </w:tcPr>
          <w:p w14:paraId="5ECFA15E" w14:textId="4BE3ACC5" w:rsidR="009635EF" w:rsidRPr="005210C6" w:rsidRDefault="009635EF">
            <w:pPr>
              <w:spacing w:after="0"/>
              <w:jc w:val="right"/>
              <w:rPr>
                <w:rFonts w:ascii="Montserrat" w:hAnsi="Montserrat"/>
                <w:sz w:val="14"/>
                <w:szCs w:val="14"/>
                <w:lang w:val="es-ES_tradnl"/>
              </w:rPr>
            </w:pPr>
            <w:r w:rsidRPr="005511E3">
              <w:rPr>
                <w:rFonts w:ascii="Montserrat" w:eastAsia="Times New Roman" w:hAnsi="Montserrat" w:cs="Calibri"/>
                <w:sz w:val="13"/>
                <w:szCs w:val="13"/>
                <w:lang w:eastAsia="es-MX"/>
              </w:rPr>
              <w:t xml:space="preserve">             35,971,750 </w:t>
            </w:r>
          </w:p>
        </w:tc>
        <w:tc>
          <w:tcPr>
            <w:tcW w:w="1626" w:type="dxa"/>
            <w:shd w:val="clear" w:color="auto" w:fill="F2F2F2" w:themeFill="background1" w:themeFillShade="F2"/>
            <w:vAlign w:val="center"/>
          </w:tcPr>
          <w:p w14:paraId="5E6E8A48" w14:textId="7867F135" w:rsidR="009635EF" w:rsidRPr="005210C6" w:rsidRDefault="009635EF">
            <w:pPr>
              <w:spacing w:after="0"/>
              <w:jc w:val="right"/>
              <w:rPr>
                <w:rFonts w:ascii="Montserrat" w:hAnsi="Montserrat"/>
                <w:sz w:val="14"/>
                <w:szCs w:val="14"/>
                <w:lang w:val="es-ES_tradnl"/>
              </w:rPr>
            </w:pPr>
            <w:r w:rsidRPr="005511E3">
              <w:rPr>
                <w:rFonts w:ascii="Montserrat" w:eastAsia="Times New Roman" w:hAnsi="Montserrat" w:cs="Calibri"/>
                <w:sz w:val="13"/>
                <w:szCs w:val="13"/>
                <w:lang w:eastAsia="es-MX"/>
              </w:rPr>
              <w:t xml:space="preserve">                790,482,774 </w:t>
            </w:r>
          </w:p>
        </w:tc>
        <w:tc>
          <w:tcPr>
            <w:tcW w:w="1726" w:type="dxa"/>
            <w:gridSpan w:val="2"/>
            <w:shd w:val="clear" w:color="auto" w:fill="F2F2F2" w:themeFill="background1" w:themeFillShade="F2"/>
            <w:vAlign w:val="center"/>
          </w:tcPr>
          <w:p w14:paraId="51BBE504" w14:textId="469D70D2" w:rsidR="009635EF" w:rsidRPr="005210C6" w:rsidRDefault="009635EF">
            <w:pPr>
              <w:spacing w:after="0"/>
              <w:jc w:val="right"/>
              <w:rPr>
                <w:rFonts w:ascii="Montserrat" w:hAnsi="Montserrat"/>
                <w:sz w:val="14"/>
                <w:szCs w:val="14"/>
                <w:lang w:val="es-ES_tradnl"/>
              </w:rPr>
            </w:pPr>
            <w:r w:rsidRPr="005511E3">
              <w:rPr>
                <w:rFonts w:ascii="Montserrat" w:eastAsia="Times New Roman" w:hAnsi="Montserrat" w:cs="Calibri"/>
                <w:sz w:val="13"/>
                <w:szCs w:val="13"/>
                <w:lang w:eastAsia="es-MX"/>
              </w:rPr>
              <w:t xml:space="preserve">                839,331,094 </w:t>
            </w:r>
          </w:p>
        </w:tc>
      </w:tr>
      <w:tr w:rsidR="009635EF" w:rsidRPr="005210C6" w14:paraId="5A071702" w14:textId="77777777" w:rsidTr="000F0321">
        <w:trPr>
          <w:trHeight w:val="240"/>
          <w:jc w:val="center"/>
        </w:trPr>
        <w:tc>
          <w:tcPr>
            <w:tcW w:w="2407" w:type="dxa"/>
            <w:shd w:val="clear" w:color="auto" w:fill="F2F2F2" w:themeFill="background1" w:themeFillShade="F2"/>
            <w:noWrap/>
            <w:vAlign w:val="bottom"/>
          </w:tcPr>
          <w:p w14:paraId="2D9083D3" w14:textId="77777777" w:rsidR="009635EF" w:rsidRPr="006F0DF1" w:rsidRDefault="009635EF" w:rsidP="009635EF">
            <w:pPr>
              <w:spacing w:after="0" w:line="240" w:lineRule="exact"/>
              <w:jc w:val="center"/>
              <w:rPr>
                <w:rFonts w:ascii="Montserrat" w:hAnsi="Montserrat"/>
                <w:b/>
                <w:bCs/>
                <w:sz w:val="14"/>
                <w:szCs w:val="14"/>
                <w:lang w:val="es-ES_tradnl"/>
              </w:rPr>
            </w:pPr>
            <w:r w:rsidRPr="006F0DF1">
              <w:rPr>
                <w:rFonts w:ascii="Montserrat" w:hAnsi="Montserrat"/>
                <w:b/>
                <w:bCs/>
                <w:sz w:val="14"/>
                <w:szCs w:val="14"/>
                <w:lang w:val="es-ES_tradnl"/>
              </w:rPr>
              <w:t>Empresas Productivas</w:t>
            </w:r>
          </w:p>
        </w:tc>
        <w:tc>
          <w:tcPr>
            <w:tcW w:w="1701" w:type="dxa"/>
            <w:shd w:val="clear" w:color="auto" w:fill="F2F2F2" w:themeFill="background1" w:themeFillShade="F2"/>
            <w:vAlign w:val="center"/>
          </w:tcPr>
          <w:p w14:paraId="1C1E0587" w14:textId="20FDF7CA" w:rsidR="009635EF" w:rsidRPr="009D2BD9" w:rsidRDefault="009635EF">
            <w:pPr>
              <w:spacing w:after="0" w:line="240" w:lineRule="exact"/>
              <w:jc w:val="right"/>
              <w:rPr>
                <w:rFonts w:ascii="Montserrat" w:hAnsi="Montserrat"/>
                <w:b/>
                <w:sz w:val="14"/>
                <w:szCs w:val="14"/>
                <w:lang w:val="es-ES_tradnl"/>
              </w:rPr>
            </w:pPr>
            <w:r w:rsidRPr="000F0321">
              <w:rPr>
                <w:rFonts w:ascii="Montserrat" w:eastAsia="Times New Roman" w:hAnsi="Montserrat" w:cs="Calibri"/>
                <w:b/>
                <w:sz w:val="13"/>
                <w:szCs w:val="13"/>
                <w:lang w:eastAsia="es-MX"/>
              </w:rPr>
              <w:t xml:space="preserve">        9,420,973,869 </w:t>
            </w:r>
          </w:p>
        </w:tc>
        <w:tc>
          <w:tcPr>
            <w:tcW w:w="1701" w:type="dxa"/>
            <w:shd w:val="clear" w:color="auto" w:fill="F2F2F2" w:themeFill="background1" w:themeFillShade="F2"/>
            <w:vAlign w:val="center"/>
          </w:tcPr>
          <w:p w14:paraId="46C6D7A5" w14:textId="4A17CF82" w:rsidR="009635EF" w:rsidRPr="009D2BD9" w:rsidRDefault="009635EF">
            <w:pPr>
              <w:spacing w:after="0" w:line="240" w:lineRule="exact"/>
              <w:jc w:val="right"/>
              <w:rPr>
                <w:rFonts w:ascii="Montserrat" w:hAnsi="Montserrat"/>
                <w:b/>
                <w:sz w:val="14"/>
                <w:szCs w:val="14"/>
                <w:lang w:val="es-ES_tradnl"/>
              </w:rPr>
            </w:pPr>
            <w:r w:rsidRPr="000F0321">
              <w:rPr>
                <w:rFonts w:ascii="Montserrat" w:eastAsia="Times New Roman" w:hAnsi="Montserrat" w:cs="Calibri"/>
                <w:b/>
                <w:sz w:val="13"/>
                <w:szCs w:val="13"/>
                <w:lang w:eastAsia="es-MX"/>
              </w:rPr>
              <w:t xml:space="preserve">        5,104,800,124 </w:t>
            </w:r>
          </w:p>
        </w:tc>
        <w:tc>
          <w:tcPr>
            <w:tcW w:w="1559" w:type="dxa"/>
            <w:shd w:val="clear" w:color="auto" w:fill="F2F2F2" w:themeFill="background1" w:themeFillShade="F2"/>
            <w:vAlign w:val="center"/>
          </w:tcPr>
          <w:p w14:paraId="554BB958" w14:textId="0E8080E0" w:rsidR="009635EF" w:rsidRPr="009D2BD9" w:rsidRDefault="009635EF">
            <w:pPr>
              <w:spacing w:after="0" w:line="240" w:lineRule="exact"/>
              <w:jc w:val="right"/>
              <w:rPr>
                <w:rFonts w:ascii="Montserrat" w:hAnsi="Montserrat"/>
                <w:b/>
                <w:sz w:val="14"/>
                <w:szCs w:val="14"/>
                <w:lang w:val="es-ES_tradnl"/>
              </w:rPr>
            </w:pPr>
            <w:r w:rsidRPr="000F0321">
              <w:rPr>
                <w:rFonts w:ascii="Montserrat" w:eastAsia="Times New Roman" w:hAnsi="Montserrat" w:cs="Calibri"/>
                <w:b/>
                <w:sz w:val="13"/>
                <w:szCs w:val="13"/>
                <w:lang w:eastAsia="es-MX"/>
              </w:rPr>
              <w:t xml:space="preserve">     10,278,787,687 </w:t>
            </w:r>
          </w:p>
        </w:tc>
        <w:tc>
          <w:tcPr>
            <w:tcW w:w="1559" w:type="dxa"/>
            <w:shd w:val="clear" w:color="auto" w:fill="F2F2F2" w:themeFill="background1" w:themeFillShade="F2"/>
            <w:vAlign w:val="center"/>
          </w:tcPr>
          <w:p w14:paraId="55124E18" w14:textId="72DCD243" w:rsidR="009635EF" w:rsidRPr="009D2BD9" w:rsidRDefault="009635EF">
            <w:pPr>
              <w:spacing w:after="0" w:line="240" w:lineRule="exact"/>
              <w:jc w:val="right"/>
              <w:rPr>
                <w:rFonts w:ascii="Montserrat" w:hAnsi="Montserrat"/>
                <w:b/>
                <w:sz w:val="14"/>
                <w:szCs w:val="14"/>
                <w:lang w:val="es-ES_tradnl"/>
              </w:rPr>
            </w:pPr>
            <w:r w:rsidRPr="000F0321">
              <w:rPr>
                <w:rFonts w:ascii="Montserrat" w:eastAsia="Times New Roman" w:hAnsi="Montserrat" w:cs="Calibri"/>
                <w:b/>
                <w:sz w:val="13"/>
                <w:szCs w:val="13"/>
                <w:lang w:eastAsia="es-MX"/>
              </w:rPr>
              <w:t xml:space="preserve">        6,824,497,029 </w:t>
            </w:r>
          </w:p>
        </w:tc>
        <w:tc>
          <w:tcPr>
            <w:tcW w:w="1626" w:type="dxa"/>
            <w:shd w:val="clear" w:color="auto" w:fill="F2F2F2" w:themeFill="background1" w:themeFillShade="F2"/>
            <w:vAlign w:val="center"/>
          </w:tcPr>
          <w:p w14:paraId="3A4AC27D" w14:textId="1C7B39B8" w:rsidR="009635EF" w:rsidRPr="009D2BD9" w:rsidRDefault="009635EF">
            <w:pPr>
              <w:spacing w:after="0" w:line="240" w:lineRule="exact"/>
              <w:jc w:val="right"/>
              <w:rPr>
                <w:rFonts w:ascii="Montserrat" w:hAnsi="Montserrat"/>
                <w:b/>
                <w:sz w:val="14"/>
                <w:szCs w:val="14"/>
                <w:lang w:val="es-ES_tradnl"/>
              </w:rPr>
            </w:pPr>
            <w:r w:rsidRPr="000F0321">
              <w:rPr>
                <w:rFonts w:ascii="Montserrat" w:eastAsia="Times New Roman" w:hAnsi="Montserrat" w:cs="Calibri"/>
                <w:b/>
                <w:sz w:val="13"/>
                <w:szCs w:val="13"/>
                <w:lang w:eastAsia="es-MX"/>
              </w:rPr>
              <w:t xml:space="preserve">        219,406,047,408 </w:t>
            </w:r>
          </w:p>
        </w:tc>
        <w:tc>
          <w:tcPr>
            <w:tcW w:w="1726" w:type="dxa"/>
            <w:gridSpan w:val="2"/>
            <w:shd w:val="clear" w:color="auto" w:fill="F2F2F2" w:themeFill="background1" w:themeFillShade="F2"/>
            <w:vAlign w:val="center"/>
          </w:tcPr>
          <w:p w14:paraId="61141218" w14:textId="3E62188B" w:rsidR="009635EF" w:rsidRPr="009D2BD9" w:rsidRDefault="009635EF">
            <w:pPr>
              <w:spacing w:after="0" w:line="240" w:lineRule="exact"/>
              <w:jc w:val="right"/>
              <w:rPr>
                <w:rFonts w:ascii="Montserrat" w:hAnsi="Montserrat"/>
                <w:b/>
                <w:sz w:val="14"/>
                <w:szCs w:val="14"/>
                <w:lang w:val="es-ES_tradnl"/>
              </w:rPr>
            </w:pPr>
            <w:r w:rsidRPr="000F0321">
              <w:rPr>
                <w:rFonts w:ascii="Montserrat" w:eastAsia="Times New Roman" w:hAnsi="Montserrat" w:cs="Calibri"/>
                <w:b/>
                <w:sz w:val="13"/>
                <w:szCs w:val="13"/>
                <w:lang w:eastAsia="es-MX"/>
              </w:rPr>
              <w:t xml:space="preserve">     1,029,177,074,551 </w:t>
            </w:r>
          </w:p>
        </w:tc>
      </w:tr>
      <w:tr w:rsidR="009635EF" w:rsidRPr="005210C6" w14:paraId="324548A4" w14:textId="77777777" w:rsidTr="000F0321">
        <w:trPr>
          <w:trHeight w:val="240"/>
          <w:jc w:val="center"/>
        </w:trPr>
        <w:tc>
          <w:tcPr>
            <w:tcW w:w="2407" w:type="dxa"/>
            <w:shd w:val="clear" w:color="auto" w:fill="F2F2F2" w:themeFill="background1" w:themeFillShade="F2"/>
            <w:noWrap/>
            <w:vAlign w:val="bottom"/>
          </w:tcPr>
          <w:p w14:paraId="5D0A7DF8" w14:textId="77777777" w:rsidR="009635EF" w:rsidRPr="006F0DF1" w:rsidRDefault="009635EF" w:rsidP="009635EF">
            <w:pPr>
              <w:spacing w:after="0" w:line="240" w:lineRule="exact"/>
              <w:ind w:left="135"/>
              <w:rPr>
                <w:rFonts w:ascii="Montserrat" w:hAnsi="Montserrat"/>
                <w:sz w:val="14"/>
                <w:szCs w:val="14"/>
                <w:lang w:val="es-ES_tradnl"/>
              </w:rPr>
            </w:pPr>
            <w:r w:rsidRPr="006F0DF1">
              <w:rPr>
                <w:rFonts w:ascii="Montserrat" w:hAnsi="Montserrat"/>
                <w:sz w:val="14"/>
                <w:szCs w:val="14"/>
                <w:lang w:val="es-ES_tradnl"/>
              </w:rPr>
              <w:t>PEMEX</w:t>
            </w:r>
          </w:p>
        </w:tc>
        <w:tc>
          <w:tcPr>
            <w:tcW w:w="1701" w:type="dxa"/>
            <w:shd w:val="clear" w:color="auto" w:fill="F2F2F2" w:themeFill="background1" w:themeFillShade="F2"/>
            <w:vAlign w:val="center"/>
          </w:tcPr>
          <w:p w14:paraId="768F6F8D" w14:textId="54545806" w:rsidR="009635EF" w:rsidRPr="005210C6" w:rsidRDefault="009635EF">
            <w:pPr>
              <w:spacing w:after="0"/>
              <w:jc w:val="right"/>
              <w:rPr>
                <w:rFonts w:ascii="Montserrat" w:hAnsi="Montserrat"/>
                <w:sz w:val="14"/>
                <w:szCs w:val="14"/>
                <w:lang w:val="es-ES_tradnl"/>
              </w:rPr>
            </w:pPr>
            <w:r w:rsidRPr="005511E3">
              <w:rPr>
                <w:rFonts w:ascii="Montserrat" w:eastAsia="Times New Roman" w:hAnsi="Montserrat" w:cs="Calibri"/>
                <w:sz w:val="13"/>
                <w:szCs w:val="13"/>
                <w:lang w:eastAsia="es-MX"/>
              </w:rPr>
              <w:t xml:space="preserve">        5,806,012,703 </w:t>
            </w:r>
          </w:p>
        </w:tc>
        <w:tc>
          <w:tcPr>
            <w:tcW w:w="1701" w:type="dxa"/>
            <w:shd w:val="clear" w:color="auto" w:fill="F2F2F2" w:themeFill="background1" w:themeFillShade="F2"/>
            <w:vAlign w:val="center"/>
          </w:tcPr>
          <w:p w14:paraId="77B779F7" w14:textId="42C1BB9E" w:rsidR="009635EF" w:rsidRPr="005210C6" w:rsidRDefault="009635EF">
            <w:pPr>
              <w:spacing w:after="0"/>
              <w:jc w:val="right"/>
              <w:rPr>
                <w:rFonts w:ascii="Montserrat" w:hAnsi="Montserrat"/>
                <w:sz w:val="14"/>
                <w:szCs w:val="14"/>
                <w:lang w:val="es-ES_tradnl"/>
              </w:rPr>
            </w:pPr>
            <w:r w:rsidRPr="005511E3">
              <w:rPr>
                <w:rFonts w:ascii="Montserrat" w:eastAsia="Times New Roman" w:hAnsi="Montserrat" w:cs="Calibri"/>
                <w:sz w:val="13"/>
                <w:szCs w:val="13"/>
                <w:lang w:eastAsia="es-MX"/>
              </w:rPr>
              <w:t xml:space="preserve">        2,778,768,454 </w:t>
            </w:r>
          </w:p>
        </w:tc>
        <w:tc>
          <w:tcPr>
            <w:tcW w:w="1559" w:type="dxa"/>
            <w:shd w:val="clear" w:color="auto" w:fill="F2F2F2" w:themeFill="background1" w:themeFillShade="F2"/>
            <w:vAlign w:val="center"/>
          </w:tcPr>
          <w:p w14:paraId="54CF01C6" w14:textId="1D476348" w:rsidR="009635EF" w:rsidRPr="005210C6" w:rsidRDefault="009635EF">
            <w:pPr>
              <w:spacing w:after="0"/>
              <w:jc w:val="right"/>
              <w:rPr>
                <w:rFonts w:ascii="Montserrat" w:hAnsi="Montserrat"/>
                <w:sz w:val="14"/>
                <w:szCs w:val="14"/>
                <w:lang w:val="es-ES_tradnl"/>
              </w:rPr>
            </w:pPr>
            <w:r w:rsidRPr="005511E3">
              <w:rPr>
                <w:rFonts w:ascii="Montserrat" w:eastAsia="Times New Roman" w:hAnsi="Montserrat" w:cs="Calibri"/>
                <w:sz w:val="13"/>
                <w:szCs w:val="13"/>
                <w:lang w:eastAsia="es-MX"/>
              </w:rPr>
              <w:t xml:space="preserve">        6,127,162,727 </w:t>
            </w:r>
          </w:p>
        </w:tc>
        <w:tc>
          <w:tcPr>
            <w:tcW w:w="1559" w:type="dxa"/>
            <w:shd w:val="clear" w:color="auto" w:fill="F2F2F2" w:themeFill="background1" w:themeFillShade="F2"/>
            <w:vAlign w:val="center"/>
          </w:tcPr>
          <w:p w14:paraId="2483EB50" w14:textId="56B8948D" w:rsidR="009635EF" w:rsidRPr="005210C6" w:rsidRDefault="009635EF">
            <w:pPr>
              <w:spacing w:after="0"/>
              <w:jc w:val="right"/>
              <w:rPr>
                <w:rFonts w:ascii="Montserrat" w:hAnsi="Montserrat"/>
                <w:sz w:val="14"/>
                <w:szCs w:val="14"/>
                <w:lang w:val="es-ES_tradnl"/>
              </w:rPr>
            </w:pPr>
            <w:r w:rsidRPr="005511E3">
              <w:rPr>
                <w:rFonts w:ascii="Montserrat" w:eastAsia="Times New Roman" w:hAnsi="Montserrat" w:cs="Calibri"/>
                <w:sz w:val="13"/>
                <w:szCs w:val="13"/>
                <w:lang w:eastAsia="es-MX"/>
              </w:rPr>
              <w:t xml:space="preserve">        3,556,373,219 </w:t>
            </w:r>
          </w:p>
        </w:tc>
        <w:tc>
          <w:tcPr>
            <w:tcW w:w="1626" w:type="dxa"/>
            <w:shd w:val="clear" w:color="auto" w:fill="F2F2F2" w:themeFill="background1" w:themeFillShade="F2"/>
            <w:vAlign w:val="center"/>
          </w:tcPr>
          <w:p w14:paraId="73E7227E" w14:textId="0227C56F" w:rsidR="009635EF" w:rsidRPr="005210C6" w:rsidRDefault="009635EF">
            <w:pPr>
              <w:spacing w:after="0"/>
              <w:jc w:val="right"/>
              <w:rPr>
                <w:rFonts w:ascii="Montserrat" w:hAnsi="Montserrat"/>
                <w:sz w:val="14"/>
                <w:szCs w:val="14"/>
                <w:lang w:val="es-ES_tradnl"/>
              </w:rPr>
            </w:pPr>
            <w:r w:rsidRPr="005511E3">
              <w:rPr>
                <w:rFonts w:ascii="Montserrat" w:eastAsia="Times New Roman" w:hAnsi="Montserrat" w:cs="Calibri"/>
                <w:sz w:val="13"/>
                <w:szCs w:val="13"/>
                <w:lang w:eastAsia="es-MX"/>
              </w:rPr>
              <w:t xml:space="preserve">          75,336,477,369 </w:t>
            </w:r>
          </w:p>
        </w:tc>
        <w:tc>
          <w:tcPr>
            <w:tcW w:w="1726" w:type="dxa"/>
            <w:gridSpan w:val="2"/>
            <w:shd w:val="clear" w:color="auto" w:fill="F2F2F2" w:themeFill="background1" w:themeFillShade="F2"/>
            <w:vAlign w:val="center"/>
          </w:tcPr>
          <w:p w14:paraId="05233217" w14:textId="4ACDEF7E" w:rsidR="009635EF" w:rsidRPr="005210C6" w:rsidRDefault="009635EF">
            <w:pPr>
              <w:spacing w:after="0"/>
              <w:jc w:val="right"/>
              <w:rPr>
                <w:rFonts w:ascii="Montserrat" w:hAnsi="Montserrat"/>
                <w:sz w:val="14"/>
                <w:szCs w:val="14"/>
                <w:lang w:val="es-ES_tradnl"/>
              </w:rPr>
            </w:pPr>
            <w:r w:rsidRPr="005511E3">
              <w:rPr>
                <w:rFonts w:ascii="Montserrat" w:eastAsia="Times New Roman" w:hAnsi="Montserrat" w:cs="Calibri"/>
                <w:sz w:val="13"/>
                <w:szCs w:val="13"/>
                <w:lang w:eastAsia="es-MX"/>
              </w:rPr>
              <w:t xml:space="preserve">        122,195,033,981 </w:t>
            </w:r>
          </w:p>
        </w:tc>
      </w:tr>
      <w:tr w:rsidR="009635EF" w:rsidRPr="005210C6" w14:paraId="4CC43884" w14:textId="77777777" w:rsidTr="000F0321">
        <w:trPr>
          <w:trHeight w:val="240"/>
          <w:jc w:val="center"/>
        </w:trPr>
        <w:tc>
          <w:tcPr>
            <w:tcW w:w="2407" w:type="dxa"/>
            <w:shd w:val="clear" w:color="auto" w:fill="F2F2F2" w:themeFill="background1" w:themeFillShade="F2"/>
            <w:noWrap/>
            <w:vAlign w:val="bottom"/>
          </w:tcPr>
          <w:p w14:paraId="27007C78" w14:textId="77777777" w:rsidR="009635EF" w:rsidRPr="006F0DF1" w:rsidRDefault="009635EF" w:rsidP="009635EF">
            <w:pPr>
              <w:spacing w:after="0" w:line="240" w:lineRule="exact"/>
              <w:ind w:left="135"/>
              <w:rPr>
                <w:rFonts w:ascii="Montserrat" w:hAnsi="Montserrat"/>
                <w:sz w:val="14"/>
                <w:szCs w:val="14"/>
                <w:lang w:val="es-ES_tradnl"/>
              </w:rPr>
            </w:pPr>
            <w:r w:rsidRPr="006F0DF1">
              <w:rPr>
                <w:rFonts w:ascii="Montserrat" w:hAnsi="Montserrat"/>
                <w:sz w:val="14"/>
                <w:szCs w:val="14"/>
                <w:lang w:val="es-ES_tradnl"/>
              </w:rPr>
              <w:t>CFE</w:t>
            </w:r>
          </w:p>
        </w:tc>
        <w:tc>
          <w:tcPr>
            <w:tcW w:w="1701" w:type="dxa"/>
            <w:shd w:val="clear" w:color="auto" w:fill="F2F2F2" w:themeFill="background1" w:themeFillShade="F2"/>
            <w:vAlign w:val="center"/>
          </w:tcPr>
          <w:p w14:paraId="58B3C69B" w14:textId="59698925" w:rsidR="009635EF" w:rsidRPr="005210C6" w:rsidRDefault="009635EF">
            <w:pPr>
              <w:spacing w:after="0"/>
              <w:jc w:val="right"/>
              <w:rPr>
                <w:rFonts w:ascii="Montserrat" w:hAnsi="Montserrat"/>
                <w:sz w:val="14"/>
                <w:szCs w:val="14"/>
                <w:lang w:val="es-ES_tradnl"/>
              </w:rPr>
            </w:pPr>
            <w:r w:rsidRPr="005511E3">
              <w:rPr>
                <w:rFonts w:ascii="Montserrat" w:eastAsia="Times New Roman" w:hAnsi="Montserrat" w:cs="Calibri"/>
                <w:sz w:val="13"/>
                <w:szCs w:val="13"/>
                <w:lang w:eastAsia="es-MX"/>
              </w:rPr>
              <w:t xml:space="preserve">        3,614,961,166 </w:t>
            </w:r>
          </w:p>
        </w:tc>
        <w:tc>
          <w:tcPr>
            <w:tcW w:w="1701" w:type="dxa"/>
            <w:shd w:val="clear" w:color="auto" w:fill="F2F2F2" w:themeFill="background1" w:themeFillShade="F2"/>
            <w:vAlign w:val="center"/>
          </w:tcPr>
          <w:p w14:paraId="03D71F4C" w14:textId="40BF2F27" w:rsidR="009635EF" w:rsidRPr="005210C6" w:rsidRDefault="009635EF">
            <w:pPr>
              <w:spacing w:after="0"/>
              <w:jc w:val="right"/>
              <w:rPr>
                <w:rFonts w:ascii="Montserrat" w:hAnsi="Montserrat"/>
                <w:sz w:val="14"/>
                <w:szCs w:val="14"/>
                <w:lang w:val="es-ES_tradnl"/>
              </w:rPr>
            </w:pPr>
            <w:r w:rsidRPr="005511E3">
              <w:rPr>
                <w:rFonts w:ascii="Montserrat" w:eastAsia="Times New Roman" w:hAnsi="Montserrat" w:cs="Calibri"/>
                <w:sz w:val="13"/>
                <w:szCs w:val="13"/>
                <w:lang w:eastAsia="es-MX"/>
              </w:rPr>
              <w:t xml:space="preserve">        2,326,031,670 </w:t>
            </w:r>
          </w:p>
        </w:tc>
        <w:tc>
          <w:tcPr>
            <w:tcW w:w="1559" w:type="dxa"/>
            <w:shd w:val="clear" w:color="auto" w:fill="F2F2F2" w:themeFill="background1" w:themeFillShade="F2"/>
            <w:vAlign w:val="center"/>
          </w:tcPr>
          <w:p w14:paraId="6ED86B2B" w14:textId="0180B56D" w:rsidR="009635EF" w:rsidRPr="005210C6" w:rsidRDefault="009635EF">
            <w:pPr>
              <w:spacing w:after="0"/>
              <w:jc w:val="right"/>
              <w:rPr>
                <w:rFonts w:ascii="Montserrat" w:hAnsi="Montserrat"/>
                <w:sz w:val="14"/>
                <w:szCs w:val="14"/>
                <w:lang w:val="es-ES_tradnl"/>
              </w:rPr>
            </w:pPr>
            <w:r w:rsidRPr="005511E3">
              <w:rPr>
                <w:rFonts w:ascii="Montserrat" w:eastAsia="Times New Roman" w:hAnsi="Montserrat" w:cs="Calibri"/>
                <w:sz w:val="13"/>
                <w:szCs w:val="13"/>
                <w:lang w:eastAsia="es-MX"/>
              </w:rPr>
              <w:t xml:space="preserve">        4,151,624,960 </w:t>
            </w:r>
          </w:p>
        </w:tc>
        <w:tc>
          <w:tcPr>
            <w:tcW w:w="1559" w:type="dxa"/>
            <w:shd w:val="clear" w:color="auto" w:fill="F2F2F2" w:themeFill="background1" w:themeFillShade="F2"/>
            <w:vAlign w:val="center"/>
          </w:tcPr>
          <w:p w14:paraId="7F94322D" w14:textId="41BCCA4C" w:rsidR="009635EF" w:rsidRPr="005210C6" w:rsidRDefault="009635EF">
            <w:pPr>
              <w:spacing w:after="0"/>
              <w:jc w:val="right"/>
              <w:rPr>
                <w:rFonts w:ascii="Montserrat" w:hAnsi="Montserrat"/>
                <w:sz w:val="14"/>
                <w:szCs w:val="14"/>
                <w:lang w:val="es-ES_tradnl"/>
              </w:rPr>
            </w:pPr>
            <w:r w:rsidRPr="005511E3">
              <w:rPr>
                <w:rFonts w:ascii="Montserrat" w:eastAsia="Times New Roman" w:hAnsi="Montserrat" w:cs="Calibri"/>
                <w:sz w:val="13"/>
                <w:szCs w:val="13"/>
                <w:lang w:eastAsia="es-MX"/>
              </w:rPr>
              <w:t xml:space="preserve">        3,268,123,810 </w:t>
            </w:r>
          </w:p>
        </w:tc>
        <w:tc>
          <w:tcPr>
            <w:tcW w:w="1626" w:type="dxa"/>
            <w:shd w:val="clear" w:color="auto" w:fill="F2F2F2" w:themeFill="background1" w:themeFillShade="F2"/>
            <w:vAlign w:val="center"/>
          </w:tcPr>
          <w:p w14:paraId="7355D55E" w14:textId="02A9AC31" w:rsidR="009635EF" w:rsidRPr="005210C6" w:rsidRDefault="009635EF">
            <w:pPr>
              <w:spacing w:after="0"/>
              <w:jc w:val="right"/>
              <w:rPr>
                <w:rFonts w:ascii="Montserrat" w:hAnsi="Montserrat"/>
                <w:sz w:val="14"/>
                <w:szCs w:val="14"/>
                <w:lang w:val="es-ES_tradnl"/>
              </w:rPr>
            </w:pPr>
            <w:r w:rsidRPr="005511E3">
              <w:rPr>
                <w:rFonts w:ascii="Montserrat" w:eastAsia="Times New Roman" w:hAnsi="Montserrat" w:cs="Calibri"/>
                <w:sz w:val="13"/>
                <w:szCs w:val="13"/>
                <w:lang w:eastAsia="es-MX"/>
              </w:rPr>
              <w:t xml:space="preserve">        144,069,570,039 </w:t>
            </w:r>
          </w:p>
        </w:tc>
        <w:tc>
          <w:tcPr>
            <w:tcW w:w="1726" w:type="dxa"/>
            <w:gridSpan w:val="2"/>
            <w:shd w:val="clear" w:color="auto" w:fill="F2F2F2" w:themeFill="background1" w:themeFillShade="F2"/>
            <w:vAlign w:val="center"/>
          </w:tcPr>
          <w:p w14:paraId="3EE75C14" w14:textId="423F85EE" w:rsidR="009635EF" w:rsidRPr="005210C6" w:rsidRDefault="009635EF">
            <w:pPr>
              <w:spacing w:after="0"/>
              <w:jc w:val="right"/>
              <w:rPr>
                <w:rFonts w:ascii="Montserrat" w:hAnsi="Montserrat"/>
                <w:sz w:val="14"/>
                <w:szCs w:val="14"/>
                <w:lang w:val="es-ES_tradnl"/>
              </w:rPr>
            </w:pPr>
            <w:r w:rsidRPr="005511E3">
              <w:rPr>
                <w:rFonts w:ascii="Montserrat" w:eastAsia="Times New Roman" w:hAnsi="Montserrat" w:cs="Calibri"/>
                <w:sz w:val="13"/>
                <w:szCs w:val="13"/>
                <w:lang w:eastAsia="es-MX"/>
              </w:rPr>
              <w:t xml:space="preserve">        906,982,040,570 </w:t>
            </w:r>
          </w:p>
        </w:tc>
      </w:tr>
      <w:tr w:rsidR="009635EF" w:rsidRPr="005210C6" w14:paraId="1E35345F" w14:textId="77777777" w:rsidTr="000F0321">
        <w:trPr>
          <w:trHeight w:val="240"/>
          <w:jc w:val="center"/>
        </w:trPr>
        <w:tc>
          <w:tcPr>
            <w:tcW w:w="2407" w:type="dxa"/>
            <w:shd w:val="clear" w:color="auto" w:fill="F2F2F2" w:themeFill="background1" w:themeFillShade="F2"/>
            <w:noWrap/>
            <w:vAlign w:val="bottom"/>
            <w:hideMark/>
          </w:tcPr>
          <w:p w14:paraId="1EB90436" w14:textId="77777777" w:rsidR="009635EF" w:rsidRPr="006F0DF1" w:rsidRDefault="009635EF" w:rsidP="009635EF">
            <w:pPr>
              <w:spacing w:after="0" w:line="240" w:lineRule="exact"/>
              <w:jc w:val="center"/>
              <w:rPr>
                <w:rFonts w:ascii="Montserrat" w:hAnsi="Montserrat"/>
                <w:b/>
                <w:bCs/>
                <w:sz w:val="14"/>
                <w:szCs w:val="14"/>
                <w:lang w:val="es-ES_tradnl"/>
              </w:rPr>
            </w:pPr>
            <w:r w:rsidRPr="006F0DF1">
              <w:rPr>
                <w:rFonts w:ascii="Montserrat" w:hAnsi="Montserrat"/>
                <w:b/>
                <w:bCs/>
                <w:sz w:val="14"/>
                <w:szCs w:val="14"/>
                <w:lang w:val="es-ES_tradnl"/>
              </w:rPr>
              <w:t>Otros</w:t>
            </w:r>
          </w:p>
        </w:tc>
        <w:tc>
          <w:tcPr>
            <w:tcW w:w="1701" w:type="dxa"/>
            <w:shd w:val="clear" w:color="auto" w:fill="F2F2F2" w:themeFill="background1" w:themeFillShade="F2"/>
            <w:vAlign w:val="center"/>
          </w:tcPr>
          <w:p w14:paraId="3AE34071" w14:textId="1A01C2CC" w:rsidR="009635EF" w:rsidRPr="009D2BD9" w:rsidRDefault="009635EF">
            <w:pPr>
              <w:spacing w:after="0" w:line="240" w:lineRule="exact"/>
              <w:jc w:val="right"/>
              <w:rPr>
                <w:rFonts w:ascii="Montserrat" w:hAnsi="Montserrat"/>
                <w:b/>
                <w:sz w:val="14"/>
                <w:szCs w:val="14"/>
                <w:lang w:val="es-ES_tradnl"/>
              </w:rPr>
            </w:pPr>
            <w:r w:rsidRPr="000F0321">
              <w:rPr>
                <w:rFonts w:ascii="Montserrat" w:eastAsia="Times New Roman" w:hAnsi="Montserrat" w:cs="Calibri"/>
                <w:b/>
                <w:sz w:val="13"/>
                <w:szCs w:val="13"/>
                <w:lang w:eastAsia="es-MX"/>
              </w:rPr>
              <w:t xml:space="preserve">     16,284,086,704 </w:t>
            </w:r>
          </w:p>
        </w:tc>
        <w:tc>
          <w:tcPr>
            <w:tcW w:w="1701" w:type="dxa"/>
            <w:shd w:val="clear" w:color="auto" w:fill="F2F2F2" w:themeFill="background1" w:themeFillShade="F2"/>
            <w:vAlign w:val="center"/>
          </w:tcPr>
          <w:p w14:paraId="3B2C0B10" w14:textId="509AD397" w:rsidR="009635EF" w:rsidRPr="009D2BD9" w:rsidRDefault="009635EF">
            <w:pPr>
              <w:spacing w:after="0" w:line="240" w:lineRule="exact"/>
              <w:jc w:val="right"/>
              <w:rPr>
                <w:rFonts w:ascii="Montserrat" w:hAnsi="Montserrat"/>
                <w:b/>
                <w:sz w:val="14"/>
                <w:szCs w:val="14"/>
                <w:lang w:val="es-ES_tradnl"/>
              </w:rPr>
            </w:pPr>
            <w:r w:rsidRPr="000F0321">
              <w:rPr>
                <w:rFonts w:ascii="Montserrat" w:eastAsia="Times New Roman" w:hAnsi="Montserrat" w:cs="Calibri"/>
                <w:b/>
                <w:sz w:val="13"/>
                <w:szCs w:val="13"/>
                <w:lang w:eastAsia="es-MX"/>
              </w:rPr>
              <w:t xml:space="preserve">        2,816,310,999 </w:t>
            </w:r>
          </w:p>
        </w:tc>
        <w:tc>
          <w:tcPr>
            <w:tcW w:w="1559" w:type="dxa"/>
            <w:shd w:val="clear" w:color="auto" w:fill="F2F2F2" w:themeFill="background1" w:themeFillShade="F2"/>
            <w:vAlign w:val="center"/>
          </w:tcPr>
          <w:p w14:paraId="23B140C0" w14:textId="5EB42CA2" w:rsidR="009635EF" w:rsidRPr="009D2BD9" w:rsidRDefault="009635EF">
            <w:pPr>
              <w:spacing w:after="0" w:line="240" w:lineRule="exact"/>
              <w:jc w:val="right"/>
              <w:rPr>
                <w:rFonts w:ascii="Montserrat" w:hAnsi="Montserrat"/>
                <w:b/>
                <w:sz w:val="14"/>
                <w:szCs w:val="14"/>
                <w:lang w:val="es-ES_tradnl"/>
              </w:rPr>
            </w:pPr>
            <w:r w:rsidRPr="000F0321">
              <w:rPr>
                <w:rFonts w:ascii="Montserrat" w:eastAsia="Times New Roman" w:hAnsi="Montserrat" w:cs="Calibri"/>
                <w:b/>
                <w:sz w:val="13"/>
                <w:szCs w:val="13"/>
                <w:lang w:eastAsia="es-MX"/>
              </w:rPr>
              <w:t xml:space="preserve">     14,935,317,688 </w:t>
            </w:r>
          </w:p>
        </w:tc>
        <w:tc>
          <w:tcPr>
            <w:tcW w:w="1559" w:type="dxa"/>
            <w:shd w:val="clear" w:color="auto" w:fill="F2F2F2" w:themeFill="background1" w:themeFillShade="F2"/>
            <w:vAlign w:val="center"/>
          </w:tcPr>
          <w:p w14:paraId="620DDAB8" w14:textId="41212874" w:rsidR="009635EF" w:rsidRPr="009D2BD9" w:rsidRDefault="009635EF">
            <w:pPr>
              <w:spacing w:after="0" w:line="240" w:lineRule="exact"/>
              <w:jc w:val="right"/>
              <w:rPr>
                <w:rFonts w:ascii="Montserrat" w:hAnsi="Montserrat"/>
                <w:b/>
                <w:sz w:val="14"/>
                <w:szCs w:val="14"/>
                <w:lang w:val="es-ES_tradnl"/>
              </w:rPr>
            </w:pPr>
            <w:r w:rsidRPr="000F0321">
              <w:rPr>
                <w:rFonts w:ascii="Montserrat" w:eastAsia="Times New Roman" w:hAnsi="Montserrat" w:cs="Calibri"/>
                <w:b/>
                <w:sz w:val="13"/>
                <w:szCs w:val="13"/>
                <w:lang w:eastAsia="es-MX"/>
              </w:rPr>
              <w:t xml:space="preserve">        2,707,991,346 </w:t>
            </w:r>
          </w:p>
        </w:tc>
        <w:tc>
          <w:tcPr>
            <w:tcW w:w="1626" w:type="dxa"/>
            <w:shd w:val="clear" w:color="auto" w:fill="F2F2F2" w:themeFill="background1" w:themeFillShade="F2"/>
            <w:vAlign w:val="center"/>
          </w:tcPr>
          <w:p w14:paraId="488C9DEF" w14:textId="3019CFAB" w:rsidR="009635EF" w:rsidRPr="009D2BD9" w:rsidRDefault="009635EF">
            <w:pPr>
              <w:spacing w:after="0" w:line="240" w:lineRule="exact"/>
              <w:jc w:val="right"/>
              <w:rPr>
                <w:rFonts w:ascii="Montserrat" w:hAnsi="Montserrat"/>
                <w:b/>
                <w:sz w:val="14"/>
                <w:szCs w:val="14"/>
                <w:lang w:val="es-ES_tradnl"/>
              </w:rPr>
            </w:pPr>
            <w:r w:rsidRPr="000F0321">
              <w:rPr>
                <w:rFonts w:ascii="Montserrat" w:eastAsia="Times New Roman" w:hAnsi="Montserrat" w:cs="Calibri"/>
                <w:b/>
                <w:sz w:val="13"/>
                <w:szCs w:val="13"/>
                <w:lang w:eastAsia="es-MX"/>
              </w:rPr>
              <w:t xml:space="preserve">        186,451,195,667 </w:t>
            </w:r>
          </w:p>
        </w:tc>
        <w:tc>
          <w:tcPr>
            <w:tcW w:w="1726" w:type="dxa"/>
            <w:gridSpan w:val="2"/>
            <w:shd w:val="clear" w:color="auto" w:fill="F2F2F2" w:themeFill="background1" w:themeFillShade="F2"/>
            <w:vAlign w:val="center"/>
          </w:tcPr>
          <w:p w14:paraId="5593B28A" w14:textId="6940B1AE" w:rsidR="009635EF" w:rsidRPr="009D2BD9" w:rsidRDefault="009635EF">
            <w:pPr>
              <w:spacing w:after="0" w:line="240" w:lineRule="exact"/>
              <w:jc w:val="right"/>
              <w:rPr>
                <w:rFonts w:ascii="Montserrat" w:hAnsi="Montserrat"/>
                <w:b/>
                <w:sz w:val="14"/>
                <w:szCs w:val="14"/>
                <w:lang w:val="es-ES_tradnl"/>
              </w:rPr>
            </w:pPr>
            <w:r w:rsidRPr="000F0321">
              <w:rPr>
                <w:rFonts w:ascii="Montserrat" w:eastAsia="Times New Roman" w:hAnsi="Montserrat" w:cs="Calibri"/>
                <w:b/>
                <w:sz w:val="13"/>
                <w:szCs w:val="13"/>
                <w:lang w:eastAsia="es-MX"/>
              </w:rPr>
              <w:t>0</w:t>
            </w:r>
          </w:p>
        </w:tc>
      </w:tr>
      <w:tr w:rsidR="009635EF" w:rsidRPr="005210C6" w14:paraId="2A3D4676" w14:textId="77777777" w:rsidTr="000F0321">
        <w:trPr>
          <w:trHeight w:val="240"/>
          <w:jc w:val="center"/>
        </w:trPr>
        <w:tc>
          <w:tcPr>
            <w:tcW w:w="2407" w:type="dxa"/>
            <w:shd w:val="clear" w:color="auto" w:fill="F2F2F2" w:themeFill="background1" w:themeFillShade="F2"/>
            <w:noWrap/>
            <w:vAlign w:val="bottom"/>
            <w:hideMark/>
          </w:tcPr>
          <w:p w14:paraId="7A26EAFD" w14:textId="1F16E548" w:rsidR="009635EF" w:rsidRPr="006F0DF1" w:rsidRDefault="006448DE" w:rsidP="009635EF">
            <w:pPr>
              <w:spacing w:after="0" w:line="240" w:lineRule="exact"/>
              <w:ind w:left="135"/>
              <w:rPr>
                <w:rFonts w:ascii="Montserrat" w:hAnsi="Montserrat"/>
                <w:sz w:val="14"/>
                <w:szCs w:val="14"/>
                <w:lang w:val="es-ES_tradnl"/>
              </w:rPr>
            </w:pPr>
            <w:r>
              <w:rPr>
                <w:rFonts w:ascii="Montserrat" w:hAnsi="Montserrat"/>
                <w:sz w:val="14"/>
                <w:szCs w:val="14"/>
                <w:lang w:val="es-ES_tradnl"/>
              </w:rPr>
              <w:t>SAR</w:t>
            </w:r>
          </w:p>
        </w:tc>
        <w:tc>
          <w:tcPr>
            <w:tcW w:w="1701" w:type="dxa"/>
            <w:shd w:val="clear" w:color="auto" w:fill="F2F2F2" w:themeFill="background1" w:themeFillShade="F2"/>
            <w:vAlign w:val="center"/>
          </w:tcPr>
          <w:p w14:paraId="4211DAE1" w14:textId="71ED42E4" w:rsidR="009635EF" w:rsidRPr="005210C6" w:rsidRDefault="009635EF">
            <w:pPr>
              <w:spacing w:after="0"/>
              <w:jc w:val="right"/>
              <w:rPr>
                <w:rFonts w:ascii="Montserrat" w:hAnsi="Montserrat"/>
                <w:sz w:val="14"/>
                <w:szCs w:val="14"/>
                <w:lang w:val="es-ES_tradnl"/>
              </w:rPr>
            </w:pPr>
            <w:r w:rsidRPr="005511E3">
              <w:rPr>
                <w:rFonts w:ascii="Montserrat" w:eastAsia="Times New Roman" w:hAnsi="Montserrat" w:cs="Calibri"/>
                <w:sz w:val="13"/>
                <w:szCs w:val="13"/>
                <w:lang w:eastAsia="es-MX"/>
              </w:rPr>
              <w:t xml:space="preserve">        4,739,548,581 </w:t>
            </w:r>
          </w:p>
        </w:tc>
        <w:tc>
          <w:tcPr>
            <w:tcW w:w="1701" w:type="dxa"/>
            <w:shd w:val="clear" w:color="auto" w:fill="F2F2F2" w:themeFill="background1" w:themeFillShade="F2"/>
            <w:vAlign w:val="center"/>
          </w:tcPr>
          <w:p w14:paraId="4206C407" w14:textId="362C0723" w:rsidR="009635EF" w:rsidRPr="005210C6" w:rsidRDefault="009635EF">
            <w:pPr>
              <w:spacing w:after="0"/>
              <w:jc w:val="right"/>
              <w:rPr>
                <w:rFonts w:ascii="Montserrat" w:hAnsi="Montserrat"/>
                <w:sz w:val="14"/>
                <w:szCs w:val="14"/>
                <w:lang w:val="es-ES_tradnl"/>
              </w:rPr>
            </w:pPr>
            <w:r w:rsidRPr="005511E3">
              <w:rPr>
                <w:rFonts w:ascii="Montserrat" w:eastAsia="Times New Roman" w:hAnsi="Montserrat" w:cs="Calibri"/>
                <w:sz w:val="13"/>
                <w:szCs w:val="13"/>
                <w:lang w:eastAsia="es-MX"/>
              </w:rPr>
              <w:t xml:space="preserve">        2,816,310,999 </w:t>
            </w:r>
          </w:p>
        </w:tc>
        <w:tc>
          <w:tcPr>
            <w:tcW w:w="1559" w:type="dxa"/>
            <w:shd w:val="clear" w:color="auto" w:fill="F2F2F2" w:themeFill="background1" w:themeFillShade="F2"/>
            <w:vAlign w:val="center"/>
          </w:tcPr>
          <w:p w14:paraId="189B15AA" w14:textId="521A892E" w:rsidR="009635EF" w:rsidRPr="005210C6" w:rsidRDefault="009635EF">
            <w:pPr>
              <w:spacing w:after="0"/>
              <w:jc w:val="right"/>
              <w:rPr>
                <w:rFonts w:ascii="Montserrat" w:hAnsi="Montserrat"/>
                <w:sz w:val="14"/>
                <w:szCs w:val="14"/>
                <w:lang w:val="es-ES_tradnl"/>
              </w:rPr>
            </w:pPr>
            <w:r w:rsidRPr="005511E3">
              <w:rPr>
                <w:rFonts w:ascii="Montserrat" w:eastAsia="Times New Roman" w:hAnsi="Montserrat" w:cs="Calibri"/>
                <w:sz w:val="13"/>
                <w:szCs w:val="13"/>
                <w:lang w:eastAsia="es-MX"/>
              </w:rPr>
              <w:t xml:space="preserve">        4,739,548,581 </w:t>
            </w:r>
          </w:p>
        </w:tc>
        <w:tc>
          <w:tcPr>
            <w:tcW w:w="1559" w:type="dxa"/>
            <w:shd w:val="clear" w:color="auto" w:fill="F2F2F2" w:themeFill="background1" w:themeFillShade="F2"/>
            <w:vAlign w:val="center"/>
          </w:tcPr>
          <w:p w14:paraId="109ADB6D" w14:textId="5F0D7DC7" w:rsidR="009635EF" w:rsidRPr="005210C6" w:rsidRDefault="009635EF">
            <w:pPr>
              <w:spacing w:after="0"/>
              <w:jc w:val="right"/>
              <w:rPr>
                <w:rFonts w:ascii="Montserrat" w:hAnsi="Montserrat"/>
                <w:sz w:val="14"/>
                <w:szCs w:val="14"/>
                <w:lang w:val="es-ES_tradnl"/>
              </w:rPr>
            </w:pPr>
            <w:r w:rsidRPr="005511E3">
              <w:rPr>
                <w:rFonts w:ascii="Montserrat" w:eastAsia="Times New Roman" w:hAnsi="Montserrat" w:cs="Calibri"/>
                <w:sz w:val="13"/>
                <w:szCs w:val="13"/>
                <w:lang w:eastAsia="es-MX"/>
              </w:rPr>
              <w:t xml:space="preserve">        2,707,991,346 </w:t>
            </w:r>
          </w:p>
        </w:tc>
        <w:tc>
          <w:tcPr>
            <w:tcW w:w="1626" w:type="dxa"/>
            <w:shd w:val="clear" w:color="auto" w:fill="F2F2F2" w:themeFill="background1" w:themeFillShade="F2"/>
            <w:vAlign w:val="center"/>
          </w:tcPr>
          <w:p w14:paraId="1FE08EB6" w14:textId="239F33DB" w:rsidR="009635EF" w:rsidRPr="005210C6" w:rsidRDefault="009635EF">
            <w:pPr>
              <w:spacing w:after="0"/>
              <w:jc w:val="right"/>
              <w:rPr>
                <w:rFonts w:ascii="Montserrat" w:hAnsi="Montserrat"/>
                <w:sz w:val="14"/>
                <w:szCs w:val="14"/>
                <w:lang w:val="es-ES_tradnl"/>
              </w:rPr>
            </w:pPr>
            <w:r w:rsidRPr="005511E3">
              <w:rPr>
                <w:rFonts w:ascii="Montserrat" w:eastAsia="Times New Roman" w:hAnsi="Montserrat" w:cs="Calibri"/>
                <w:sz w:val="13"/>
                <w:szCs w:val="13"/>
                <w:lang w:eastAsia="es-MX"/>
              </w:rPr>
              <w:t xml:space="preserve">        118,488,714,542 </w:t>
            </w:r>
          </w:p>
        </w:tc>
        <w:tc>
          <w:tcPr>
            <w:tcW w:w="1726" w:type="dxa"/>
            <w:gridSpan w:val="2"/>
            <w:shd w:val="clear" w:color="auto" w:fill="F2F2F2" w:themeFill="background1" w:themeFillShade="F2"/>
            <w:vAlign w:val="center"/>
          </w:tcPr>
          <w:p w14:paraId="04CF92BE" w14:textId="2D951600" w:rsidR="009635EF" w:rsidRPr="005210C6" w:rsidRDefault="009635EF">
            <w:pPr>
              <w:spacing w:after="0"/>
              <w:jc w:val="right"/>
              <w:rPr>
                <w:rFonts w:ascii="Montserrat" w:hAnsi="Montserrat"/>
                <w:sz w:val="14"/>
                <w:szCs w:val="14"/>
                <w:lang w:val="es-ES_tradnl"/>
              </w:rPr>
            </w:pPr>
            <w:r w:rsidRPr="00F83393">
              <w:rPr>
                <w:rFonts w:ascii="Montserrat" w:eastAsia="Times New Roman" w:hAnsi="Montserrat" w:cs="Calibri"/>
                <w:sz w:val="13"/>
                <w:szCs w:val="13"/>
                <w:lang w:eastAsia="es-MX"/>
              </w:rPr>
              <w:t>0</w:t>
            </w:r>
          </w:p>
        </w:tc>
      </w:tr>
      <w:tr w:rsidR="009635EF" w:rsidRPr="005210C6" w14:paraId="5C513DDC" w14:textId="77777777" w:rsidTr="000F0321">
        <w:trPr>
          <w:trHeight w:val="240"/>
          <w:jc w:val="center"/>
        </w:trPr>
        <w:tc>
          <w:tcPr>
            <w:tcW w:w="2407" w:type="dxa"/>
            <w:shd w:val="clear" w:color="auto" w:fill="F2F2F2" w:themeFill="background1" w:themeFillShade="F2"/>
            <w:noWrap/>
            <w:vAlign w:val="bottom"/>
          </w:tcPr>
          <w:p w14:paraId="0BC4E2A1" w14:textId="77777777" w:rsidR="009635EF" w:rsidRPr="006F0DF1" w:rsidRDefault="009635EF" w:rsidP="009635EF">
            <w:pPr>
              <w:spacing w:after="0" w:line="240" w:lineRule="exact"/>
              <w:ind w:left="135"/>
              <w:rPr>
                <w:rFonts w:ascii="Montserrat" w:hAnsi="Montserrat"/>
                <w:sz w:val="14"/>
                <w:szCs w:val="14"/>
                <w:lang w:val="es-ES_tradnl"/>
              </w:rPr>
            </w:pPr>
            <w:r w:rsidRPr="006F0DF1">
              <w:rPr>
                <w:rFonts w:ascii="Montserrat" w:hAnsi="Montserrat"/>
                <w:bCs/>
                <w:spacing w:val="-1"/>
                <w:sz w:val="14"/>
                <w:szCs w:val="14"/>
                <w:lang w:val="es-ES_tradnl"/>
              </w:rPr>
              <w:t>Nueva Ley ISSSTE</w:t>
            </w:r>
          </w:p>
        </w:tc>
        <w:tc>
          <w:tcPr>
            <w:tcW w:w="1701" w:type="dxa"/>
            <w:shd w:val="clear" w:color="auto" w:fill="F2F2F2" w:themeFill="background1" w:themeFillShade="F2"/>
            <w:vAlign w:val="center"/>
          </w:tcPr>
          <w:p w14:paraId="1B36F216" w14:textId="4B79D5BE" w:rsidR="009635EF" w:rsidRPr="005210C6" w:rsidRDefault="009635EF">
            <w:pPr>
              <w:spacing w:after="0"/>
              <w:jc w:val="right"/>
              <w:rPr>
                <w:rFonts w:ascii="Montserrat" w:hAnsi="Montserrat"/>
                <w:sz w:val="14"/>
                <w:szCs w:val="14"/>
                <w:lang w:val="es-ES_tradnl"/>
              </w:rPr>
            </w:pPr>
            <w:r w:rsidRPr="005511E3">
              <w:rPr>
                <w:rFonts w:ascii="Montserrat" w:eastAsia="Times New Roman" w:hAnsi="Montserrat" w:cs="Calibri"/>
                <w:sz w:val="13"/>
                <w:szCs w:val="13"/>
                <w:lang w:eastAsia="es-MX"/>
              </w:rPr>
              <w:t xml:space="preserve">     11,544,538,123 </w:t>
            </w:r>
          </w:p>
        </w:tc>
        <w:tc>
          <w:tcPr>
            <w:tcW w:w="1701" w:type="dxa"/>
            <w:shd w:val="clear" w:color="auto" w:fill="F2F2F2" w:themeFill="background1" w:themeFillShade="F2"/>
            <w:vAlign w:val="center"/>
          </w:tcPr>
          <w:p w14:paraId="25F2074B" w14:textId="1C09A867" w:rsidR="009635EF" w:rsidRPr="005210C6" w:rsidRDefault="009635EF">
            <w:pPr>
              <w:spacing w:after="0"/>
              <w:jc w:val="right"/>
              <w:rPr>
                <w:rFonts w:ascii="Montserrat" w:hAnsi="Montserrat"/>
                <w:sz w:val="14"/>
                <w:szCs w:val="14"/>
                <w:lang w:val="es-ES_tradnl"/>
              </w:rPr>
            </w:pPr>
            <w:r w:rsidRPr="005511E3">
              <w:rPr>
                <w:rFonts w:ascii="Montserrat" w:eastAsia="Times New Roman" w:hAnsi="Montserrat" w:cs="Calibri"/>
                <w:sz w:val="13"/>
                <w:szCs w:val="13"/>
                <w:lang w:eastAsia="es-MX"/>
              </w:rPr>
              <w:t xml:space="preserve">                    </w:t>
            </w:r>
            <w:r>
              <w:rPr>
                <w:rFonts w:ascii="Montserrat" w:eastAsia="Times New Roman" w:hAnsi="Montserrat" w:cs="Calibri"/>
                <w:sz w:val="13"/>
                <w:szCs w:val="13"/>
                <w:lang w:eastAsia="es-MX"/>
              </w:rPr>
              <w:t>0</w:t>
            </w:r>
            <w:r w:rsidRPr="005511E3">
              <w:rPr>
                <w:rFonts w:ascii="Montserrat" w:eastAsia="Times New Roman" w:hAnsi="Montserrat" w:cs="Calibri"/>
                <w:sz w:val="13"/>
                <w:szCs w:val="13"/>
                <w:lang w:eastAsia="es-MX"/>
              </w:rPr>
              <w:t xml:space="preserve">  </w:t>
            </w:r>
          </w:p>
        </w:tc>
        <w:tc>
          <w:tcPr>
            <w:tcW w:w="1559" w:type="dxa"/>
            <w:shd w:val="clear" w:color="auto" w:fill="F2F2F2" w:themeFill="background1" w:themeFillShade="F2"/>
            <w:vAlign w:val="center"/>
          </w:tcPr>
          <w:p w14:paraId="510E7ECB" w14:textId="398E2ABF" w:rsidR="009635EF" w:rsidRPr="005210C6" w:rsidRDefault="009635EF">
            <w:pPr>
              <w:spacing w:after="0"/>
              <w:jc w:val="right"/>
              <w:rPr>
                <w:rFonts w:ascii="Montserrat" w:hAnsi="Montserrat"/>
                <w:sz w:val="14"/>
                <w:szCs w:val="14"/>
                <w:lang w:val="es-ES_tradnl"/>
              </w:rPr>
            </w:pPr>
            <w:r w:rsidRPr="005511E3">
              <w:rPr>
                <w:rFonts w:ascii="Montserrat" w:eastAsia="Times New Roman" w:hAnsi="Montserrat" w:cs="Calibri"/>
                <w:sz w:val="13"/>
                <w:szCs w:val="13"/>
                <w:lang w:eastAsia="es-MX"/>
              </w:rPr>
              <w:t xml:space="preserve">     10,195,769,107 </w:t>
            </w:r>
          </w:p>
        </w:tc>
        <w:tc>
          <w:tcPr>
            <w:tcW w:w="1559" w:type="dxa"/>
            <w:shd w:val="clear" w:color="auto" w:fill="F2F2F2" w:themeFill="background1" w:themeFillShade="F2"/>
            <w:vAlign w:val="center"/>
          </w:tcPr>
          <w:p w14:paraId="34231494" w14:textId="1E0AA520" w:rsidR="009635EF" w:rsidRPr="005210C6" w:rsidRDefault="009635EF">
            <w:pPr>
              <w:spacing w:after="0"/>
              <w:jc w:val="right"/>
              <w:rPr>
                <w:rFonts w:ascii="Montserrat" w:hAnsi="Montserrat"/>
                <w:sz w:val="14"/>
                <w:szCs w:val="14"/>
                <w:lang w:val="es-ES_tradnl"/>
              </w:rPr>
            </w:pPr>
            <w:r>
              <w:rPr>
                <w:rFonts w:ascii="Montserrat" w:eastAsia="Times New Roman" w:hAnsi="Montserrat" w:cs="Calibri"/>
                <w:sz w:val="13"/>
                <w:szCs w:val="13"/>
                <w:lang w:eastAsia="es-MX"/>
              </w:rPr>
              <w:t>0</w:t>
            </w:r>
            <w:r w:rsidRPr="005511E3">
              <w:rPr>
                <w:rFonts w:ascii="Montserrat" w:eastAsia="Times New Roman" w:hAnsi="Montserrat" w:cs="Calibri"/>
                <w:sz w:val="13"/>
                <w:szCs w:val="13"/>
                <w:lang w:eastAsia="es-MX"/>
              </w:rPr>
              <w:t xml:space="preserve">   </w:t>
            </w:r>
          </w:p>
        </w:tc>
        <w:tc>
          <w:tcPr>
            <w:tcW w:w="1626" w:type="dxa"/>
            <w:shd w:val="clear" w:color="auto" w:fill="F2F2F2" w:themeFill="background1" w:themeFillShade="F2"/>
            <w:vAlign w:val="center"/>
          </w:tcPr>
          <w:p w14:paraId="40D93BA5" w14:textId="196D77E5" w:rsidR="009635EF" w:rsidRPr="005210C6" w:rsidRDefault="009635EF">
            <w:pPr>
              <w:spacing w:after="0"/>
              <w:jc w:val="right"/>
              <w:rPr>
                <w:rFonts w:ascii="Montserrat" w:hAnsi="Montserrat"/>
                <w:sz w:val="14"/>
                <w:szCs w:val="14"/>
                <w:lang w:val="es-ES_tradnl"/>
              </w:rPr>
            </w:pPr>
            <w:r w:rsidRPr="005511E3">
              <w:rPr>
                <w:rFonts w:ascii="Montserrat" w:eastAsia="Times New Roman" w:hAnsi="Montserrat" w:cs="Calibri"/>
                <w:sz w:val="13"/>
                <w:szCs w:val="13"/>
                <w:lang w:eastAsia="es-MX"/>
              </w:rPr>
              <w:t xml:space="preserve">          67,962,481,125 </w:t>
            </w:r>
          </w:p>
        </w:tc>
        <w:tc>
          <w:tcPr>
            <w:tcW w:w="1726" w:type="dxa"/>
            <w:gridSpan w:val="2"/>
            <w:shd w:val="clear" w:color="auto" w:fill="F2F2F2" w:themeFill="background1" w:themeFillShade="F2"/>
            <w:vAlign w:val="center"/>
          </w:tcPr>
          <w:p w14:paraId="68D20686" w14:textId="179D59AC" w:rsidR="009635EF" w:rsidRPr="005210C6" w:rsidRDefault="009635EF">
            <w:pPr>
              <w:spacing w:after="0"/>
              <w:jc w:val="right"/>
              <w:rPr>
                <w:rFonts w:ascii="Montserrat" w:hAnsi="Montserrat"/>
                <w:sz w:val="14"/>
                <w:szCs w:val="14"/>
                <w:lang w:val="es-ES_tradnl"/>
              </w:rPr>
            </w:pPr>
            <w:r w:rsidRPr="00F83393">
              <w:rPr>
                <w:rFonts w:ascii="Montserrat" w:eastAsia="Times New Roman" w:hAnsi="Montserrat" w:cs="Calibri"/>
                <w:sz w:val="13"/>
                <w:szCs w:val="13"/>
                <w:lang w:eastAsia="es-MX"/>
              </w:rPr>
              <w:t>0</w:t>
            </w:r>
          </w:p>
        </w:tc>
      </w:tr>
      <w:tr w:rsidR="009635EF" w:rsidRPr="005210C6" w14:paraId="3A1CC9FE" w14:textId="77777777" w:rsidTr="000F0321">
        <w:trPr>
          <w:trHeight w:val="255"/>
          <w:jc w:val="center"/>
        </w:trPr>
        <w:tc>
          <w:tcPr>
            <w:tcW w:w="2407" w:type="dxa"/>
            <w:shd w:val="clear" w:color="auto" w:fill="F2F2F2" w:themeFill="background1" w:themeFillShade="F2"/>
            <w:noWrap/>
            <w:vAlign w:val="bottom"/>
            <w:hideMark/>
          </w:tcPr>
          <w:p w14:paraId="33BF1270" w14:textId="77777777" w:rsidR="009635EF" w:rsidRPr="006F0DF1" w:rsidRDefault="009635EF" w:rsidP="009635EF">
            <w:pPr>
              <w:spacing w:after="0" w:line="240" w:lineRule="exact"/>
              <w:jc w:val="right"/>
              <w:rPr>
                <w:rFonts w:ascii="Montserrat" w:hAnsi="Montserrat"/>
                <w:b/>
                <w:bCs/>
                <w:sz w:val="14"/>
                <w:szCs w:val="14"/>
                <w:lang w:val="es-ES_tradnl"/>
              </w:rPr>
            </w:pPr>
            <w:r w:rsidRPr="006F0DF1">
              <w:rPr>
                <w:rFonts w:ascii="Montserrat" w:hAnsi="Montserrat"/>
                <w:b/>
                <w:bCs/>
                <w:sz w:val="14"/>
                <w:szCs w:val="14"/>
                <w:lang w:val="es-ES_tradnl"/>
              </w:rPr>
              <w:t>Deuda Externa</w:t>
            </w:r>
          </w:p>
        </w:tc>
        <w:tc>
          <w:tcPr>
            <w:tcW w:w="1701" w:type="dxa"/>
            <w:shd w:val="clear" w:color="auto" w:fill="F2F2F2" w:themeFill="background1" w:themeFillShade="F2"/>
            <w:vAlign w:val="center"/>
          </w:tcPr>
          <w:p w14:paraId="443333A5" w14:textId="0A85C7EC" w:rsidR="009635EF" w:rsidRPr="009D2BD9" w:rsidRDefault="009635EF">
            <w:pPr>
              <w:spacing w:after="0" w:line="240" w:lineRule="exact"/>
              <w:jc w:val="right"/>
              <w:rPr>
                <w:rFonts w:ascii="Montserrat" w:hAnsi="Montserrat"/>
                <w:b/>
                <w:sz w:val="14"/>
                <w:szCs w:val="14"/>
                <w:lang w:val="es-ES_tradnl"/>
              </w:rPr>
            </w:pPr>
            <w:r w:rsidRPr="000F0321">
              <w:rPr>
                <w:rFonts w:ascii="Montserrat" w:eastAsia="Times New Roman" w:hAnsi="Montserrat" w:cs="Calibri"/>
                <w:b/>
                <w:sz w:val="13"/>
                <w:szCs w:val="13"/>
                <w:lang w:eastAsia="es-MX"/>
              </w:rPr>
              <w:t xml:space="preserve">   142,626,437,024 </w:t>
            </w:r>
          </w:p>
        </w:tc>
        <w:tc>
          <w:tcPr>
            <w:tcW w:w="1701" w:type="dxa"/>
            <w:shd w:val="clear" w:color="auto" w:fill="F2F2F2" w:themeFill="background1" w:themeFillShade="F2"/>
            <w:vAlign w:val="center"/>
          </w:tcPr>
          <w:p w14:paraId="7B511C6D" w14:textId="49535132" w:rsidR="009635EF" w:rsidRPr="009D2BD9" w:rsidRDefault="009635EF">
            <w:pPr>
              <w:spacing w:after="0" w:line="240" w:lineRule="exact"/>
              <w:jc w:val="right"/>
              <w:rPr>
                <w:rFonts w:ascii="Montserrat" w:hAnsi="Montserrat"/>
                <w:b/>
                <w:sz w:val="14"/>
                <w:szCs w:val="14"/>
                <w:lang w:val="es-ES_tradnl"/>
              </w:rPr>
            </w:pPr>
            <w:r w:rsidRPr="000F0321">
              <w:rPr>
                <w:rFonts w:ascii="Montserrat" w:eastAsia="Times New Roman" w:hAnsi="Montserrat" w:cs="Calibri"/>
                <w:b/>
                <w:sz w:val="13"/>
                <w:szCs w:val="13"/>
                <w:lang w:eastAsia="es-MX"/>
              </w:rPr>
              <w:t xml:space="preserve">     66,385,704,602 </w:t>
            </w:r>
          </w:p>
        </w:tc>
        <w:tc>
          <w:tcPr>
            <w:tcW w:w="1559" w:type="dxa"/>
            <w:shd w:val="clear" w:color="auto" w:fill="F2F2F2" w:themeFill="background1" w:themeFillShade="F2"/>
            <w:vAlign w:val="center"/>
          </w:tcPr>
          <w:p w14:paraId="71BC797B" w14:textId="1C5EC84D" w:rsidR="009635EF" w:rsidRPr="009D2BD9" w:rsidRDefault="009635EF">
            <w:pPr>
              <w:spacing w:after="0" w:line="240" w:lineRule="exact"/>
              <w:jc w:val="right"/>
              <w:rPr>
                <w:rFonts w:ascii="Montserrat" w:hAnsi="Montserrat"/>
                <w:b/>
                <w:sz w:val="14"/>
                <w:szCs w:val="14"/>
                <w:lang w:val="es-ES_tradnl"/>
              </w:rPr>
            </w:pPr>
            <w:r w:rsidRPr="000F0321">
              <w:rPr>
                <w:rFonts w:ascii="Montserrat" w:eastAsia="Times New Roman" w:hAnsi="Montserrat" w:cs="Calibri"/>
                <w:b/>
                <w:sz w:val="13"/>
                <w:szCs w:val="13"/>
                <w:lang w:eastAsia="es-MX"/>
              </w:rPr>
              <w:t xml:space="preserve">     86,178,152,969 </w:t>
            </w:r>
          </w:p>
        </w:tc>
        <w:tc>
          <w:tcPr>
            <w:tcW w:w="1559" w:type="dxa"/>
            <w:shd w:val="clear" w:color="auto" w:fill="F2F2F2" w:themeFill="background1" w:themeFillShade="F2"/>
            <w:vAlign w:val="center"/>
          </w:tcPr>
          <w:p w14:paraId="668D557F" w14:textId="7B370357" w:rsidR="009635EF" w:rsidRPr="009D2BD9" w:rsidRDefault="009635EF">
            <w:pPr>
              <w:spacing w:after="0" w:line="240" w:lineRule="exact"/>
              <w:jc w:val="right"/>
              <w:rPr>
                <w:rFonts w:ascii="Montserrat" w:hAnsi="Montserrat"/>
                <w:b/>
                <w:sz w:val="14"/>
                <w:szCs w:val="14"/>
                <w:lang w:val="es-ES_tradnl"/>
              </w:rPr>
            </w:pPr>
            <w:r w:rsidRPr="000F0321">
              <w:rPr>
                <w:rFonts w:ascii="Montserrat" w:eastAsia="Times New Roman" w:hAnsi="Montserrat" w:cs="Calibri"/>
                <w:b/>
                <w:sz w:val="13"/>
                <w:szCs w:val="13"/>
                <w:lang w:eastAsia="es-MX"/>
              </w:rPr>
              <w:t xml:space="preserve">     61,790,389,679 </w:t>
            </w:r>
          </w:p>
        </w:tc>
        <w:tc>
          <w:tcPr>
            <w:tcW w:w="1626" w:type="dxa"/>
            <w:shd w:val="clear" w:color="auto" w:fill="F2F2F2" w:themeFill="background1" w:themeFillShade="F2"/>
            <w:vAlign w:val="center"/>
          </w:tcPr>
          <w:p w14:paraId="5715E60B" w14:textId="08882ADA" w:rsidR="009635EF" w:rsidRPr="009D2BD9" w:rsidRDefault="009635EF">
            <w:pPr>
              <w:spacing w:after="0" w:line="240" w:lineRule="exact"/>
              <w:jc w:val="right"/>
              <w:rPr>
                <w:rFonts w:ascii="Montserrat" w:hAnsi="Montserrat"/>
                <w:b/>
                <w:sz w:val="14"/>
                <w:szCs w:val="14"/>
                <w:lang w:val="es-ES_tradnl"/>
              </w:rPr>
            </w:pPr>
            <w:r w:rsidRPr="000F0321">
              <w:rPr>
                <w:rFonts w:ascii="Montserrat" w:eastAsia="Times New Roman" w:hAnsi="Montserrat" w:cs="Calibri"/>
                <w:b/>
                <w:sz w:val="13"/>
                <w:szCs w:val="13"/>
                <w:lang w:eastAsia="es-MX"/>
              </w:rPr>
              <w:t xml:space="preserve">    1,379,558,730,229 </w:t>
            </w:r>
          </w:p>
        </w:tc>
        <w:tc>
          <w:tcPr>
            <w:tcW w:w="1726" w:type="dxa"/>
            <w:gridSpan w:val="2"/>
            <w:shd w:val="clear" w:color="auto" w:fill="F2F2F2" w:themeFill="background1" w:themeFillShade="F2"/>
            <w:vAlign w:val="center"/>
          </w:tcPr>
          <w:p w14:paraId="7E2705F7" w14:textId="6AE0A59D" w:rsidR="009635EF" w:rsidRPr="009D2BD9" w:rsidRDefault="009635EF">
            <w:pPr>
              <w:spacing w:after="0" w:line="240" w:lineRule="exact"/>
              <w:jc w:val="right"/>
              <w:rPr>
                <w:rFonts w:ascii="Montserrat" w:hAnsi="Montserrat"/>
                <w:b/>
                <w:sz w:val="14"/>
                <w:szCs w:val="14"/>
                <w:lang w:val="es-ES_tradnl"/>
              </w:rPr>
            </w:pPr>
            <w:r w:rsidRPr="000F0321">
              <w:rPr>
                <w:rFonts w:ascii="Montserrat" w:eastAsia="Times New Roman" w:hAnsi="Montserrat" w:cs="Calibri"/>
                <w:b/>
                <w:sz w:val="13"/>
                <w:szCs w:val="13"/>
                <w:lang w:eastAsia="es-MX"/>
              </w:rPr>
              <w:t xml:space="preserve">     1,140,491,704,202 </w:t>
            </w:r>
          </w:p>
        </w:tc>
      </w:tr>
      <w:tr w:rsidR="009635EF" w:rsidRPr="005210C6" w14:paraId="2C01F540" w14:textId="77777777" w:rsidTr="000F0321">
        <w:trPr>
          <w:trHeight w:val="240"/>
          <w:jc w:val="center"/>
        </w:trPr>
        <w:tc>
          <w:tcPr>
            <w:tcW w:w="2407" w:type="dxa"/>
            <w:shd w:val="clear" w:color="auto" w:fill="F2F2F2" w:themeFill="background1" w:themeFillShade="F2"/>
            <w:noWrap/>
            <w:vAlign w:val="bottom"/>
            <w:hideMark/>
          </w:tcPr>
          <w:p w14:paraId="7D7DF973" w14:textId="77777777" w:rsidR="009635EF" w:rsidRPr="006F0DF1" w:rsidRDefault="009635EF" w:rsidP="009635EF">
            <w:pPr>
              <w:spacing w:after="0" w:line="240" w:lineRule="exact"/>
              <w:jc w:val="right"/>
              <w:rPr>
                <w:rFonts w:ascii="Montserrat" w:hAnsi="Montserrat"/>
                <w:sz w:val="14"/>
                <w:szCs w:val="14"/>
                <w:lang w:val="es-ES_tradnl"/>
              </w:rPr>
            </w:pPr>
            <w:r w:rsidRPr="006F0DF1">
              <w:rPr>
                <w:rFonts w:ascii="Montserrat" w:hAnsi="Montserrat"/>
                <w:sz w:val="14"/>
                <w:szCs w:val="14"/>
                <w:lang w:val="es-ES_tradnl"/>
              </w:rPr>
              <w:t>Bonos</w:t>
            </w:r>
          </w:p>
        </w:tc>
        <w:tc>
          <w:tcPr>
            <w:tcW w:w="1701" w:type="dxa"/>
            <w:shd w:val="clear" w:color="auto" w:fill="F2F2F2" w:themeFill="background1" w:themeFillShade="F2"/>
            <w:vAlign w:val="center"/>
          </w:tcPr>
          <w:p w14:paraId="64D7AB5C" w14:textId="473E6F9F" w:rsidR="009635EF" w:rsidRPr="005210C6" w:rsidRDefault="009635EF">
            <w:pPr>
              <w:spacing w:after="0"/>
              <w:jc w:val="right"/>
              <w:rPr>
                <w:rFonts w:ascii="Montserrat" w:hAnsi="Montserrat"/>
                <w:sz w:val="14"/>
                <w:szCs w:val="14"/>
                <w:lang w:val="es-ES_tradnl"/>
              </w:rPr>
            </w:pPr>
            <w:r w:rsidRPr="005511E3">
              <w:rPr>
                <w:rFonts w:ascii="Montserrat" w:eastAsia="Times New Roman" w:hAnsi="Montserrat" w:cs="Calibri"/>
                <w:sz w:val="13"/>
                <w:szCs w:val="13"/>
                <w:lang w:eastAsia="es-MX"/>
              </w:rPr>
              <w:t xml:space="preserve">     99,699,399,887 </w:t>
            </w:r>
          </w:p>
        </w:tc>
        <w:tc>
          <w:tcPr>
            <w:tcW w:w="1701" w:type="dxa"/>
            <w:shd w:val="clear" w:color="auto" w:fill="F2F2F2" w:themeFill="background1" w:themeFillShade="F2"/>
            <w:vAlign w:val="center"/>
          </w:tcPr>
          <w:p w14:paraId="40D5C88E" w14:textId="414CFCB4" w:rsidR="009635EF" w:rsidRPr="005210C6" w:rsidRDefault="009635EF">
            <w:pPr>
              <w:spacing w:after="0"/>
              <w:jc w:val="right"/>
              <w:rPr>
                <w:rFonts w:ascii="Montserrat" w:hAnsi="Montserrat"/>
                <w:sz w:val="14"/>
                <w:szCs w:val="14"/>
                <w:lang w:val="es-ES_tradnl"/>
              </w:rPr>
            </w:pPr>
            <w:r w:rsidRPr="005511E3">
              <w:rPr>
                <w:rFonts w:ascii="Montserrat" w:eastAsia="Times New Roman" w:hAnsi="Montserrat" w:cs="Calibri"/>
                <w:sz w:val="13"/>
                <w:szCs w:val="13"/>
                <w:lang w:eastAsia="es-MX"/>
              </w:rPr>
              <w:t xml:space="preserve">     52,557,235,722 </w:t>
            </w:r>
          </w:p>
        </w:tc>
        <w:tc>
          <w:tcPr>
            <w:tcW w:w="1559" w:type="dxa"/>
            <w:shd w:val="clear" w:color="auto" w:fill="F2F2F2" w:themeFill="background1" w:themeFillShade="F2"/>
            <w:vAlign w:val="center"/>
          </w:tcPr>
          <w:p w14:paraId="647BCB25" w14:textId="41876C58" w:rsidR="009635EF" w:rsidRPr="005210C6" w:rsidRDefault="009635EF">
            <w:pPr>
              <w:spacing w:after="0"/>
              <w:jc w:val="right"/>
              <w:rPr>
                <w:rFonts w:ascii="Montserrat" w:hAnsi="Montserrat"/>
                <w:sz w:val="14"/>
                <w:szCs w:val="14"/>
                <w:lang w:val="es-ES_tradnl"/>
              </w:rPr>
            </w:pPr>
            <w:r w:rsidRPr="005511E3">
              <w:rPr>
                <w:rFonts w:ascii="Montserrat" w:eastAsia="Times New Roman" w:hAnsi="Montserrat" w:cs="Calibri"/>
                <w:sz w:val="13"/>
                <w:szCs w:val="13"/>
                <w:lang w:eastAsia="es-MX"/>
              </w:rPr>
              <w:t xml:space="preserve">     47,888,593,699 </w:t>
            </w:r>
          </w:p>
        </w:tc>
        <w:tc>
          <w:tcPr>
            <w:tcW w:w="1559" w:type="dxa"/>
            <w:shd w:val="clear" w:color="auto" w:fill="F2F2F2" w:themeFill="background1" w:themeFillShade="F2"/>
            <w:vAlign w:val="center"/>
          </w:tcPr>
          <w:p w14:paraId="7C2D494B" w14:textId="0354357A" w:rsidR="009635EF" w:rsidRPr="005210C6" w:rsidRDefault="009635EF">
            <w:pPr>
              <w:spacing w:after="0"/>
              <w:jc w:val="right"/>
              <w:rPr>
                <w:rFonts w:ascii="Montserrat" w:hAnsi="Montserrat"/>
                <w:sz w:val="14"/>
                <w:szCs w:val="14"/>
                <w:lang w:val="es-ES_tradnl"/>
              </w:rPr>
            </w:pPr>
            <w:r w:rsidRPr="005511E3">
              <w:rPr>
                <w:rFonts w:ascii="Montserrat" w:eastAsia="Times New Roman" w:hAnsi="Montserrat" w:cs="Calibri"/>
                <w:sz w:val="13"/>
                <w:szCs w:val="13"/>
                <w:lang w:eastAsia="es-MX"/>
              </w:rPr>
              <w:t xml:space="preserve">     49,368,370,538 </w:t>
            </w:r>
          </w:p>
        </w:tc>
        <w:tc>
          <w:tcPr>
            <w:tcW w:w="1626" w:type="dxa"/>
            <w:shd w:val="clear" w:color="auto" w:fill="F2F2F2" w:themeFill="background1" w:themeFillShade="F2"/>
            <w:vAlign w:val="center"/>
          </w:tcPr>
          <w:p w14:paraId="7061AFF0" w14:textId="50944410" w:rsidR="009635EF" w:rsidRPr="005210C6" w:rsidRDefault="009635EF">
            <w:pPr>
              <w:spacing w:after="0"/>
              <w:jc w:val="right"/>
              <w:rPr>
                <w:rFonts w:ascii="Montserrat" w:hAnsi="Montserrat"/>
                <w:sz w:val="14"/>
                <w:szCs w:val="14"/>
                <w:lang w:val="es-ES_tradnl"/>
              </w:rPr>
            </w:pPr>
            <w:r w:rsidRPr="005511E3">
              <w:rPr>
                <w:rFonts w:ascii="Montserrat" w:eastAsia="Times New Roman" w:hAnsi="Montserrat" w:cs="Calibri"/>
                <w:sz w:val="13"/>
                <w:szCs w:val="13"/>
                <w:lang w:eastAsia="es-MX"/>
              </w:rPr>
              <w:t xml:space="preserve">    1,001,666,157,399 </w:t>
            </w:r>
          </w:p>
        </w:tc>
        <w:tc>
          <w:tcPr>
            <w:tcW w:w="1726" w:type="dxa"/>
            <w:gridSpan w:val="2"/>
            <w:shd w:val="clear" w:color="auto" w:fill="F2F2F2" w:themeFill="background1" w:themeFillShade="F2"/>
            <w:vAlign w:val="center"/>
          </w:tcPr>
          <w:p w14:paraId="6EA78764" w14:textId="6304033D" w:rsidR="009635EF" w:rsidRPr="005210C6" w:rsidRDefault="009635EF">
            <w:pPr>
              <w:spacing w:after="0"/>
              <w:jc w:val="right"/>
              <w:rPr>
                <w:rFonts w:ascii="Montserrat" w:hAnsi="Montserrat"/>
                <w:sz w:val="14"/>
                <w:szCs w:val="14"/>
                <w:lang w:val="es-ES_tradnl"/>
              </w:rPr>
            </w:pPr>
            <w:r w:rsidRPr="005511E3">
              <w:rPr>
                <w:rFonts w:ascii="Montserrat" w:eastAsia="Times New Roman" w:hAnsi="Montserrat" w:cs="Calibri"/>
                <w:sz w:val="13"/>
                <w:szCs w:val="13"/>
                <w:lang w:eastAsia="es-MX"/>
              </w:rPr>
              <w:t xml:space="preserve">     1,083,883,044,542 </w:t>
            </w:r>
          </w:p>
        </w:tc>
      </w:tr>
      <w:tr w:rsidR="009635EF" w:rsidRPr="005210C6" w14:paraId="7A78E735" w14:textId="77777777" w:rsidTr="000F0321">
        <w:trPr>
          <w:trHeight w:val="240"/>
          <w:jc w:val="center"/>
        </w:trPr>
        <w:tc>
          <w:tcPr>
            <w:tcW w:w="2407" w:type="dxa"/>
            <w:shd w:val="clear" w:color="auto" w:fill="F2F2F2" w:themeFill="background1" w:themeFillShade="F2"/>
            <w:noWrap/>
            <w:vAlign w:val="bottom"/>
            <w:hideMark/>
          </w:tcPr>
          <w:p w14:paraId="622A5DB5" w14:textId="77777777" w:rsidR="009635EF" w:rsidRPr="006F0DF1" w:rsidRDefault="009635EF" w:rsidP="009635EF">
            <w:pPr>
              <w:spacing w:after="0" w:line="240" w:lineRule="exact"/>
              <w:jc w:val="right"/>
              <w:rPr>
                <w:rFonts w:ascii="Montserrat" w:hAnsi="Montserrat"/>
                <w:sz w:val="14"/>
                <w:szCs w:val="14"/>
                <w:lang w:val="es-ES_tradnl"/>
              </w:rPr>
            </w:pPr>
            <w:r w:rsidRPr="006F0DF1">
              <w:rPr>
                <w:rFonts w:ascii="Montserrat" w:hAnsi="Montserrat"/>
                <w:sz w:val="14"/>
                <w:szCs w:val="14"/>
                <w:lang w:val="es-ES_tradnl"/>
              </w:rPr>
              <w:t>Bilaterales</w:t>
            </w:r>
          </w:p>
        </w:tc>
        <w:tc>
          <w:tcPr>
            <w:tcW w:w="1701" w:type="dxa"/>
            <w:shd w:val="clear" w:color="auto" w:fill="F2F2F2" w:themeFill="background1" w:themeFillShade="F2"/>
            <w:vAlign w:val="center"/>
          </w:tcPr>
          <w:p w14:paraId="0E59D135" w14:textId="2BFD1B72" w:rsidR="009635EF" w:rsidRPr="005210C6" w:rsidRDefault="009635EF">
            <w:pPr>
              <w:spacing w:after="0"/>
              <w:jc w:val="right"/>
              <w:rPr>
                <w:rFonts w:ascii="Montserrat" w:hAnsi="Montserrat"/>
                <w:sz w:val="14"/>
                <w:szCs w:val="14"/>
                <w:lang w:val="es-ES_tradnl"/>
              </w:rPr>
            </w:pPr>
            <w:r w:rsidRPr="005511E3">
              <w:rPr>
                <w:rFonts w:ascii="Montserrat" w:eastAsia="Times New Roman" w:hAnsi="Montserrat" w:cs="Calibri"/>
                <w:sz w:val="13"/>
                <w:szCs w:val="13"/>
                <w:lang w:eastAsia="es-MX"/>
              </w:rPr>
              <w:t xml:space="preserve">        2,475,112,895 </w:t>
            </w:r>
          </w:p>
        </w:tc>
        <w:tc>
          <w:tcPr>
            <w:tcW w:w="1701" w:type="dxa"/>
            <w:shd w:val="clear" w:color="auto" w:fill="F2F2F2" w:themeFill="background1" w:themeFillShade="F2"/>
            <w:vAlign w:val="center"/>
          </w:tcPr>
          <w:p w14:paraId="26BB99AD" w14:textId="2812A78D" w:rsidR="009635EF" w:rsidRPr="005210C6" w:rsidRDefault="009635EF">
            <w:pPr>
              <w:spacing w:after="0"/>
              <w:jc w:val="right"/>
              <w:rPr>
                <w:rFonts w:ascii="Montserrat" w:hAnsi="Montserrat"/>
                <w:sz w:val="14"/>
                <w:szCs w:val="14"/>
                <w:lang w:val="es-ES_tradnl"/>
              </w:rPr>
            </w:pPr>
            <w:r w:rsidRPr="005511E3">
              <w:rPr>
                <w:rFonts w:ascii="Montserrat" w:eastAsia="Times New Roman" w:hAnsi="Montserrat" w:cs="Calibri"/>
                <w:sz w:val="13"/>
                <w:szCs w:val="13"/>
                <w:lang w:eastAsia="es-MX"/>
              </w:rPr>
              <w:t xml:space="preserve">           841,274,886 </w:t>
            </w:r>
          </w:p>
        </w:tc>
        <w:tc>
          <w:tcPr>
            <w:tcW w:w="1559" w:type="dxa"/>
            <w:shd w:val="clear" w:color="auto" w:fill="F2F2F2" w:themeFill="background1" w:themeFillShade="F2"/>
            <w:vAlign w:val="center"/>
          </w:tcPr>
          <w:p w14:paraId="060336E7" w14:textId="6EB29C78" w:rsidR="009635EF" w:rsidRPr="005210C6" w:rsidRDefault="009635EF">
            <w:pPr>
              <w:spacing w:after="0"/>
              <w:jc w:val="right"/>
              <w:rPr>
                <w:rFonts w:ascii="Montserrat" w:hAnsi="Montserrat"/>
                <w:sz w:val="14"/>
                <w:szCs w:val="14"/>
                <w:lang w:val="es-ES_tradnl"/>
              </w:rPr>
            </w:pPr>
            <w:r w:rsidRPr="005511E3">
              <w:rPr>
                <w:rFonts w:ascii="Montserrat" w:eastAsia="Times New Roman" w:hAnsi="Montserrat" w:cs="Calibri"/>
                <w:sz w:val="13"/>
                <w:szCs w:val="13"/>
                <w:lang w:eastAsia="es-MX"/>
              </w:rPr>
              <w:t xml:space="preserve">        2,201,982,027 </w:t>
            </w:r>
          </w:p>
        </w:tc>
        <w:tc>
          <w:tcPr>
            <w:tcW w:w="1559" w:type="dxa"/>
            <w:shd w:val="clear" w:color="auto" w:fill="F2F2F2" w:themeFill="background1" w:themeFillShade="F2"/>
            <w:vAlign w:val="center"/>
          </w:tcPr>
          <w:p w14:paraId="445DE01C" w14:textId="55299609" w:rsidR="009635EF" w:rsidRPr="005210C6" w:rsidRDefault="009635EF">
            <w:pPr>
              <w:spacing w:after="0"/>
              <w:jc w:val="right"/>
              <w:rPr>
                <w:rFonts w:ascii="Montserrat" w:hAnsi="Montserrat"/>
                <w:sz w:val="14"/>
                <w:szCs w:val="14"/>
                <w:lang w:val="es-ES_tradnl"/>
              </w:rPr>
            </w:pPr>
            <w:r w:rsidRPr="005511E3">
              <w:rPr>
                <w:rFonts w:ascii="Montserrat" w:eastAsia="Times New Roman" w:hAnsi="Montserrat" w:cs="Calibri"/>
                <w:sz w:val="13"/>
                <w:szCs w:val="13"/>
                <w:lang w:eastAsia="es-MX"/>
              </w:rPr>
              <w:t xml:space="preserve">           753,622,675 </w:t>
            </w:r>
          </w:p>
        </w:tc>
        <w:tc>
          <w:tcPr>
            <w:tcW w:w="1626" w:type="dxa"/>
            <w:shd w:val="clear" w:color="auto" w:fill="F2F2F2" w:themeFill="background1" w:themeFillShade="F2"/>
            <w:vAlign w:val="center"/>
          </w:tcPr>
          <w:p w14:paraId="606B61BE" w14:textId="376DCD95" w:rsidR="009635EF" w:rsidRPr="005210C6" w:rsidRDefault="009635EF">
            <w:pPr>
              <w:spacing w:after="0"/>
              <w:jc w:val="right"/>
              <w:rPr>
                <w:rFonts w:ascii="Montserrat" w:hAnsi="Montserrat"/>
                <w:sz w:val="14"/>
                <w:szCs w:val="14"/>
                <w:lang w:val="es-ES_tradnl"/>
              </w:rPr>
            </w:pPr>
            <w:r w:rsidRPr="005511E3">
              <w:rPr>
                <w:rFonts w:ascii="Montserrat" w:eastAsia="Times New Roman" w:hAnsi="Montserrat" w:cs="Calibri"/>
                <w:sz w:val="13"/>
                <w:szCs w:val="13"/>
                <w:lang w:eastAsia="es-MX"/>
              </w:rPr>
              <w:t xml:space="preserve">          16,652,237,923 </w:t>
            </w:r>
          </w:p>
        </w:tc>
        <w:tc>
          <w:tcPr>
            <w:tcW w:w="1726" w:type="dxa"/>
            <w:gridSpan w:val="2"/>
            <w:shd w:val="clear" w:color="auto" w:fill="F2F2F2" w:themeFill="background1" w:themeFillShade="F2"/>
            <w:vAlign w:val="center"/>
          </w:tcPr>
          <w:p w14:paraId="1291B27C" w14:textId="0A749FB4" w:rsidR="009635EF" w:rsidRPr="005210C6" w:rsidRDefault="009635EF">
            <w:pPr>
              <w:spacing w:after="0"/>
              <w:jc w:val="right"/>
              <w:rPr>
                <w:rFonts w:ascii="Montserrat" w:hAnsi="Montserrat"/>
                <w:sz w:val="14"/>
                <w:szCs w:val="14"/>
                <w:lang w:val="es-ES_tradnl"/>
              </w:rPr>
            </w:pPr>
            <w:r w:rsidRPr="005511E3">
              <w:rPr>
                <w:rFonts w:ascii="Montserrat" w:eastAsia="Times New Roman" w:hAnsi="Montserrat" w:cs="Calibri"/>
                <w:sz w:val="13"/>
                <w:szCs w:val="13"/>
                <w:lang w:eastAsia="es-MX"/>
              </w:rPr>
              <w:t xml:space="preserve">           12,148,687,136 </w:t>
            </w:r>
          </w:p>
        </w:tc>
      </w:tr>
      <w:tr w:rsidR="009635EF" w:rsidRPr="005210C6" w14:paraId="192E497A" w14:textId="77777777" w:rsidTr="000F0321">
        <w:trPr>
          <w:trHeight w:val="240"/>
          <w:jc w:val="center"/>
        </w:trPr>
        <w:tc>
          <w:tcPr>
            <w:tcW w:w="2407" w:type="dxa"/>
            <w:tcBorders>
              <w:bottom w:val="single" w:sz="12" w:space="0" w:color="808080" w:themeColor="background1" w:themeShade="80"/>
            </w:tcBorders>
            <w:shd w:val="clear" w:color="auto" w:fill="F2F2F2" w:themeFill="background1" w:themeFillShade="F2"/>
            <w:noWrap/>
            <w:vAlign w:val="bottom"/>
            <w:hideMark/>
          </w:tcPr>
          <w:p w14:paraId="0B4AC3E2" w14:textId="37FC808A" w:rsidR="009635EF" w:rsidRPr="006F0DF1" w:rsidRDefault="006448DE" w:rsidP="009635EF">
            <w:pPr>
              <w:spacing w:after="0" w:line="240" w:lineRule="exact"/>
              <w:jc w:val="right"/>
              <w:rPr>
                <w:rFonts w:ascii="Montserrat" w:hAnsi="Montserrat"/>
                <w:sz w:val="14"/>
                <w:szCs w:val="14"/>
                <w:lang w:val="es-ES_tradnl"/>
              </w:rPr>
            </w:pPr>
            <w:r>
              <w:rPr>
                <w:rFonts w:ascii="Montserrat" w:hAnsi="Montserrat"/>
                <w:sz w:val="14"/>
                <w:szCs w:val="14"/>
                <w:lang w:val="es-ES_tradnl"/>
              </w:rPr>
              <w:t>OFI'S</w:t>
            </w:r>
          </w:p>
        </w:tc>
        <w:tc>
          <w:tcPr>
            <w:tcW w:w="1701" w:type="dxa"/>
            <w:tcBorders>
              <w:bottom w:val="single" w:sz="12" w:space="0" w:color="808080" w:themeColor="background1" w:themeShade="80"/>
            </w:tcBorders>
            <w:shd w:val="clear" w:color="auto" w:fill="F2F2F2" w:themeFill="background1" w:themeFillShade="F2"/>
            <w:vAlign w:val="center"/>
          </w:tcPr>
          <w:p w14:paraId="4E4970AB" w14:textId="371F7650" w:rsidR="009635EF" w:rsidRPr="005210C6" w:rsidRDefault="009635EF">
            <w:pPr>
              <w:spacing w:after="0"/>
              <w:jc w:val="right"/>
              <w:rPr>
                <w:rFonts w:ascii="Montserrat" w:hAnsi="Montserrat"/>
                <w:sz w:val="14"/>
                <w:szCs w:val="14"/>
                <w:lang w:val="es-ES_tradnl"/>
              </w:rPr>
            </w:pPr>
            <w:r w:rsidRPr="005511E3">
              <w:rPr>
                <w:rFonts w:ascii="Montserrat" w:eastAsia="Times New Roman" w:hAnsi="Montserrat" w:cs="Calibri"/>
                <w:sz w:val="13"/>
                <w:szCs w:val="13"/>
                <w:lang w:eastAsia="es-MX"/>
              </w:rPr>
              <w:t xml:space="preserve">     40,451,924,242 </w:t>
            </w:r>
          </w:p>
        </w:tc>
        <w:tc>
          <w:tcPr>
            <w:tcW w:w="1701" w:type="dxa"/>
            <w:tcBorders>
              <w:bottom w:val="single" w:sz="12" w:space="0" w:color="808080" w:themeColor="background1" w:themeShade="80"/>
            </w:tcBorders>
            <w:shd w:val="clear" w:color="auto" w:fill="F2F2F2" w:themeFill="background1" w:themeFillShade="F2"/>
            <w:vAlign w:val="center"/>
          </w:tcPr>
          <w:p w14:paraId="72743978" w14:textId="4D0A9E33" w:rsidR="009635EF" w:rsidRPr="005210C6" w:rsidRDefault="009635EF">
            <w:pPr>
              <w:spacing w:after="0"/>
              <w:jc w:val="right"/>
              <w:rPr>
                <w:rFonts w:ascii="Montserrat" w:hAnsi="Montserrat"/>
                <w:sz w:val="14"/>
                <w:szCs w:val="14"/>
                <w:lang w:val="es-ES_tradnl"/>
              </w:rPr>
            </w:pPr>
            <w:r w:rsidRPr="005511E3">
              <w:rPr>
                <w:rFonts w:ascii="Montserrat" w:eastAsia="Times New Roman" w:hAnsi="Montserrat" w:cs="Calibri"/>
                <w:sz w:val="13"/>
                <w:szCs w:val="13"/>
                <w:lang w:eastAsia="es-MX"/>
              </w:rPr>
              <w:t xml:space="preserve">     12,987,193,994 </w:t>
            </w:r>
          </w:p>
        </w:tc>
        <w:tc>
          <w:tcPr>
            <w:tcW w:w="1559" w:type="dxa"/>
            <w:tcBorders>
              <w:bottom w:val="single" w:sz="12" w:space="0" w:color="808080" w:themeColor="background1" w:themeShade="80"/>
            </w:tcBorders>
            <w:shd w:val="clear" w:color="auto" w:fill="F2F2F2" w:themeFill="background1" w:themeFillShade="F2"/>
            <w:vAlign w:val="center"/>
          </w:tcPr>
          <w:p w14:paraId="6FCD9944" w14:textId="2B63DAC7" w:rsidR="009635EF" w:rsidRPr="005210C6" w:rsidRDefault="009635EF">
            <w:pPr>
              <w:spacing w:after="0"/>
              <w:jc w:val="right"/>
              <w:rPr>
                <w:rFonts w:ascii="Montserrat" w:hAnsi="Montserrat"/>
                <w:sz w:val="14"/>
                <w:szCs w:val="14"/>
                <w:lang w:val="es-ES_tradnl"/>
              </w:rPr>
            </w:pPr>
            <w:r w:rsidRPr="005511E3">
              <w:rPr>
                <w:rFonts w:ascii="Montserrat" w:eastAsia="Times New Roman" w:hAnsi="Montserrat" w:cs="Calibri"/>
                <w:sz w:val="13"/>
                <w:szCs w:val="13"/>
                <w:lang w:eastAsia="es-MX"/>
              </w:rPr>
              <w:t xml:space="preserve">     36,087,577,243 </w:t>
            </w:r>
          </w:p>
        </w:tc>
        <w:tc>
          <w:tcPr>
            <w:tcW w:w="1559" w:type="dxa"/>
            <w:tcBorders>
              <w:bottom w:val="single" w:sz="12" w:space="0" w:color="808080" w:themeColor="background1" w:themeShade="80"/>
            </w:tcBorders>
            <w:shd w:val="clear" w:color="auto" w:fill="F2F2F2" w:themeFill="background1" w:themeFillShade="F2"/>
            <w:vAlign w:val="center"/>
          </w:tcPr>
          <w:p w14:paraId="3D7DBC77" w14:textId="30CCCC60" w:rsidR="009635EF" w:rsidRPr="005210C6" w:rsidRDefault="009635EF">
            <w:pPr>
              <w:spacing w:after="0"/>
              <w:jc w:val="right"/>
              <w:rPr>
                <w:rFonts w:ascii="Montserrat" w:hAnsi="Montserrat"/>
                <w:sz w:val="14"/>
                <w:szCs w:val="14"/>
                <w:lang w:val="es-ES_tradnl"/>
              </w:rPr>
            </w:pPr>
            <w:r w:rsidRPr="005511E3">
              <w:rPr>
                <w:rFonts w:ascii="Montserrat" w:eastAsia="Times New Roman" w:hAnsi="Montserrat" w:cs="Calibri"/>
                <w:sz w:val="13"/>
                <w:szCs w:val="13"/>
                <w:lang w:eastAsia="es-MX"/>
              </w:rPr>
              <w:t xml:space="preserve">     11,668,396,466 </w:t>
            </w:r>
          </w:p>
        </w:tc>
        <w:tc>
          <w:tcPr>
            <w:tcW w:w="1626" w:type="dxa"/>
            <w:tcBorders>
              <w:bottom w:val="single" w:sz="12" w:space="0" w:color="808080" w:themeColor="background1" w:themeShade="80"/>
            </w:tcBorders>
            <w:shd w:val="clear" w:color="auto" w:fill="F2F2F2" w:themeFill="background1" w:themeFillShade="F2"/>
            <w:vAlign w:val="center"/>
          </w:tcPr>
          <w:p w14:paraId="1BB3F753" w14:textId="3BC94EAD" w:rsidR="009635EF" w:rsidRPr="005210C6" w:rsidRDefault="009635EF">
            <w:pPr>
              <w:spacing w:after="0"/>
              <w:jc w:val="right"/>
              <w:rPr>
                <w:rFonts w:ascii="Montserrat" w:hAnsi="Montserrat"/>
                <w:sz w:val="14"/>
                <w:szCs w:val="14"/>
                <w:lang w:val="es-ES_tradnl"/>
              </w:rPr>
            </w:pPr>
            <w:r w:rsidRPr="005511E3">
              <w:rPr>
                <w:rFonts w:ascii="Montserrat" w:eastAsia="Times New Roman" w:hAnsi="Montserrat" w:cs="Calibri"/>
                <w:sz w:val="13"/>
                <w:szCs w:val="13"/>
                <w:lang w:eastAsia="es-MX"/>
              </w:rPr>
              <w:t xml:space="preserve">        361,240,334,907 </w:t>
            </w:r>
          </w:p>
        </w:tc>
        <w:tc>
          <w:tcPr>
            <w:tcW w:w="1726" w:type="dxa"/>
            <w:gridSpan w:val="2"/>
            <w:tcBorders>
              <w:bottom w:val="single" w:sz="12" w:space="0" w:color="808080" w:themeColor="background1" w:themeShade="80"/>
            </w:tcBorders>
            <w:shd w:val="clear" w:color="auto" w:fill="F2F2F2" w:themeFill="background1" w:themeFillShade="F2"/>
            <w:vAlign w:val="center"/>
          </w:tcPr>
          <w:p w14:paraId="6223F9AD" w14:textId="34DC077C" w:rsidR="009635EF" w:rsidRPr="005210C6" w:rsidRDefault="009635EF">
            <w:pPr>
              <w:spacing w:after="0"/>
              <w:jc w:val="right"/>
              <w:rPr>
                <w:rFonts w:ascii="Montserrat" w:hAnsi="Montserrat"/>
                <w:sz w:val="14"/>
                <w:szCs w:val="14"/>
                <w:lang w:val="es-ES_tradnl"/>
              </w:rPr>
            </w:pPr>
            <w:r w:rsidRPr="005511E3">
              <w:rPr>
                <w:rFonts w:ascii="Montserrat" w:eastAsia="Times New Roman" w:hAnsi="Montserrat" w:cs="Calibri"/>
                <w:sz w:val="13"/>
                <w:szCs w:val="13"/>
                <w:lang w:eastAsia="es-MX"/>
              </w:rPr>
              <w:t xml:space="preserve">           44,459,972,524 </w:t>
            </w:r>
          </w:p>
        </w:tc>
      </w:tr>
    </w:tbl>
    <w:p w14:paraId="1FC588D1" w14:textId="77777777" w:rsidR="00186984" w:rsidRPr="004E4051" w:rsidRDefault="00186984" w:rsidP="004E4051">
      <w:pPr>
        <w:spacing w:after="0" w:line="240" w:lineRule="auto"/>
        <w:jc w:val="both"/>
        <w:rPr>
          <w:rFonts w:ascii="Montserrat" w:hAnsi="Montserrat" w:cs="Arial"/>
          <w:spacing w:val="-1"/>
          <w:sz w:val="18"/>
          <w:szCs w:val="18"/>
        </w:rPr>
      </w:pPr>
    </w:p>
    <w:p w14:paraId="781E75F1" w14:textId="77777777" w:rsidR="00186984" w:rsidRPr="004E4051" w:rsidRDefault="00186984" w:rsidP="004E4051">
      <w:pPr>
        <w:spacing w:after="0" w:line="240" w:lineRule="auto"/>
        <w:jc w:val="both"/>
        <w:rPr>
          <w:rFonts w:ascii="Montserrat" w:hAnsi="Montserrat" w:cs="Arial"/>
          <w:spacing w:val="-1"/>
          <w:sz w:val="18"/>
          <w:szCs w:val="18"/>
        </w:rPr>
      </w:pPr>
    </w:p>
    <w:p w14:paraId="439F8B59" w14:textId="77777777" w:rsidR="00186984" w:rsidRDefault="00186984" w:rsidP="004E4051">
      <w:pPr>
        <w:spacing w:after="0" w:line="240" w:lineRule="auto"/>
        <w:jc w:val="both"/>
        <w:rPr>
          <w:rFonts w:ascii="Montserrat" w:hAnsi="Montserrat" w:cs="Arial"/>
          <w:spacing w:val="-1"/>
          <w:sz w:val="18"/>
          <w:szCs w:val="18"/>
        </w:rPr>
      </w:pPr>
    </w:p>
    <w:p w14:paraId="5AB1A547" w14:textId="77777777" w:rsidR="00814165" w:rsidRDefault="00814165" w:rsidP="004E4051">
      <w:pPr>
        <w:spacing w:after="0" w:line="240" w:lineRule="auto"/>
        <w:jc w:val="both"/>
        <w:rPr>
          <w:rFonts w:ascii="Montserrat" w:hAnsi="Montserrat" w:cs="Arial"/>
          <w:spacing w:val="-1"/>
          <w:sz w:val="18"/>
          <w:szCs w:val="18"/>
        </w:rPr>
      </w:pPr>
    </w:p>
    <w:p w14:paraId="6C1E8DBA" w14:textId="77777777" w:rsidR="00814165" w:rsidRPr="004E4051" w:rsidRDefault="00814165" w:rsidP="004E4051">
      <w:pPr>
        <w:spacing w:after="0" w:line="240" w:lineRule="auto"/>
        <w:jc w:val="both"/>
        <w:rPr>
          <w:rFonts w:ascii="Montserrat" w:hAnsi="Montserrat" w:cs="Arial"/>
          <w:spacing w:val="-1"/>
          <w:sz w:val="18"/>
          <w:szCs w:val="18"/>
        </w:rPr>
      </w:pPr>
    </w:p>
    <w:p w14:paraId="6B2FF8DA" w14:textId="77777777" w:rsidR="006A21CD" w:rsidRPr="004E4051" w:rsidRDefault="006A21CD" w:rsidP="004E4051">
      <w:pPr>
        <w:spacing w:after="0" w:line="240" w:lineRule="auto"/>
        <w:jc w:val="both"/>
        <w:rPr>
          <w:rFonts w:ascii="Montserrat" w:hAnsi="Montserrat" w:cs="Arial"/>
          <w:spacing w:val="-1"/>
          <w:sz w:val="18"/>
          <w:szCs w:val="18"/>
        </w:rPr>
      </w:pPr>
    </w:p>
    <w:p w14:paraId="2A6AACC5" w14:textId="77777777" w:rsidR="006A21CD" w:rsidRDefault="006A21CD" w:rsidP="004E4051">
      <w:pPr>
        <w:spacing w:after="0" w:line="240" w:lineRule="auto"/>
        <w:jc w:val="both"/>
        <w:rPr>
          <w:rFonts w:ascii="Montserrat" w:hAnsi="Montserrat" w:cs="Arial"/>
          <w:spacing w:val="-1"/>
          <w:sz w:val="18"/>
          <w:szCs w:val="18"/>
        </w:rPr>
      </w:pPr>
    </w:p>
    <w:p w14:paraId="68F257F7" w14:textId="77777777" w:rsidR="00F36D96" w:rsidRDefault="00F36D96" w:rsidP="004E4051">
      <w:pPr>
        <w:spacing w:after="0" w:line="240" w:lineRule="auto"/>
        <w:jc w:val="both"/>
        <w:rPr>
          <w:rFonts w:ascii="Montserrat" w:hAnsi="Montserrat" w:cs="Arial"/>
          <w:spacing w:val="-1"/>
          <w:sz w:val="18"/>
          <w:szCs w:val="18"/>
        </w:rPr>
      </w:pPr>
    </w:p>
    <w:p w14:paraId="4029910C" w14:textId="77777777" w:rsidR="0013519D" w:rsidRDefault="0013519D" w:rsidP="004E4051">
      <w:pPr>
        <w:spacing w:after="0" w:line="240" w:lineRule="auto"/>
        <w:jc w:val="both"/>
        <w:rPr>
          <w:rFonts w:ascii="Montserrat" w:hAnsi="Montserrat" w:cs="Arial"/>
          <w:spacing w:val="-1"/>
          <w:sz w:val="18"/>
          <w:szCs w:val="18"/>
        </w:rPr>
      </w:pPr>
    </w:p>
    <w:p w14:paraId="15AE5693" w14:textId="77777777" w:rsidR="0013519D" w:rsidRDefault="0013519D" w:rsidP="004E4051">
      <w:pPr>
        <w:spacing w:after="0" w:line="240" w:lineRule="auto"/>
        <w:jc w:val="both"/>
        <w:rPr>
          <w:rFonts w:ascii="Montserrat" w:hAnsi="Montserrat" w:cs="Arial"/>
          <w:spacing w:val="-1"/>
          <w:sz w:val="18"/>
          <w:szCs w:val="18"/>
        </w:rPr>
      </w:pPr>
    </w:p>
    <w:p w14:paraId="5C3BF761" w14:textId="77777777" w:rsidR="0013519D" w:rsidRDefault="0013519D" w:rsidP="004E4051">
      <w:pPr>
        <w:spacing w:after="0" w:line="240" w:lineRule="auto"/>
        <w:jc w:val="both"/>
        <w:rPr>
          <w:rFonts w:ascii="Montserrat" w:hAnsi="Montserrat" w:cs="Arial"/>
          <w:spacing w:val="-1"/>
          <w:sz w:val="18"/>
          <w:szCs w:val="18"/>
        </w:rPr>
      </w:pPr>
    </w:p>
    <w:p w14:paraId="34259378" w14:textId="77777777" w:rsidR="00F36D96" w:rsidRPr="004E4051" w:rsidRDefault="00F36D96" w:rsidP="004E4051">
      <w:pPr>
        <w:spacing w:after="0" w:line="240" w:lineRule="auto"/>
        <w:jc w:val="both"/>
        <w:rPr>
          <w:rFonts w:ascii="Montserrat" w:hAnsi="Montserrat" w:cs="Arial"/>
          <w:spacing w:val="-1"/>
          <w:sz w:val="18"/>
          <w:szCs w:val="18"/>
        </w:rPr>
      </w:pPr>
    </w:p>
    <w:p w14:paraId="5D03AC35" w14:textId="77777777" w:rsidR="00186984" w:rsidRPr="004E4051" w:rsidRDefault="00186984" w:rsidP="004E4051">
      <w:pPr>
        <w:spacing w:after="0" w:line="240" w:lineRule="auto"/>
        <w:jc w:val="both"/>
        <w:rPr>
          <w:rFonts w:ascii="Montserrat" w:hAnsi="Montserrat" w:cs="Arial"/>
          <w:spacing w:val="-1"/>
          <w:sz w:val="18"/>
          <w:szCs w:val="18"/>
        </w:rPr>
      </w:pPr>
    </w:p>
    <w:p w14:paraId="70F25135" w14:textId="77777777" w:rsidR="009C3C24" w:rsidRPr="00CA3625" w:rsidRDefault="009C3C24" w:rsidP="008B6EC9">
      <w:pPr>
        <w:pStyle w:val="Prrafodelista"/>
        <w:numPr>
          <w:ilvl w:val="0"/>
          <w:numId w:val="18"/>
        </w:numPr>
        <w:spacing w:after="120" w:line="250" w:lineRule="exact"/>
        <w:ind w:left="714" w:hanging="357"/>
        <w:contextualSpacing w:val="0"/>
        <w:jc w:val="both"/>
        <w:rPr>
          <w:rFonts w:ascii="Montserrat" w:hAnsi="Montserrat" w:cs="Arial"/>
          <w:spacing w:val="-1"/>
          <w:sz w:val="18"/>
          <w:szCs w:val="18"/>
        </w:rPr>
      </w:pPr>
      <w:r w:rsidRPr="00CA3625">
        <w:rPr>
          <w:rFonts w:ascii="Montserrat" w:hAnsi="Montserrat" w:cs="Arial"/>
          <w:spacing w:val="-1"/>
          <w:sz w:val="18"/>
          <w:szCs w:val="18"/>
        </w:rPr>
        <w:lastRenderedPageBreak/>
        <w:t>Términos y Contratación de la Deuda</w:t>
      </w:r>
    </w:p>
    <w:tbl>
      <w:tblPr>
        <w:tblW w:w="13420" w:type="dxa"/>
        <w:tblInd w:w="70" w:type="dxa"/>
        <w:tblLayout w:type="fixed"/>
        <w:tblCellMar>
          <w:left w:w="70" w:type="dxa"/>
          <w:right w:w="70" w:type="dxa"/>
        </w:tblCellMar>
        <w:tblLook w:val="04A0" w:firstRow="1" w:lastRow="0" w:firstColumn="1" w:lastColumn="0" w:noHBand="0" w:noVBand="1"/>
      </w:tblPr>
      <w:tblGrid>
        <w:gridCol w:w="923"/>
        <w:gridCol w:w="567"/>
        <w:gridCol w:w="425"/>
        <w:gridCol w:w="709"/>
        <w:gridCol w:w="1345"/>
        <w:gridCol w:w="1560"/>
        <w:gridCol w:w="662"/>
        <w:gridCol w:w="709"/>
        <w:gridCol w:w="708"/>
        <w:gridCol w:w="756"/>
        <w:gridCol w:w="662"/>
        <w:gridCol w:w="850"/>
        <w:gridCol w:w="567"/>
        <w:gridCol w:w="567"/>
        <w:gridCol w:w="476"/>
        <w:gridCol w:w="91"/>
        <w:gridCol w:w="69"/>
        <w:gridCol w:w="498"/>
        <w:gridCol w:w="567"/>
        <w:gridCol w:w="709"/>
      </w:tblGrid>
      <w:tr w:rsidR="009C3C24" w:rsidRPr="006F0DF1" w14:paraId="0C94EE09" w14:textId="77777777" w:rsidTr="000F0321">
        <w:trPr>
          <w:trHeight w:val="427"/>
        </w:trPr>
        <w:tc>
          <w:tcPr>
            <w:tcW w:w="13420" w:type="dxa"/>
            <w:gridSpan w:val="20"/>
            <w:tcBorders>
              <w:bottom w:val="single" w:sz="12" w:space="0" w:color="808080" w:themeColor="background1" w:themeShade="80"/>
            </w:tcBorders>
            <w:shd w:val="clear" w:color="auto" w:fill="FFFFFF" w:themeFill="background1"/>
            <w:noWrap/>
            <w:vAlign w:val="center"/>
          </w:tcPr>
          <w:p w14:paraId="1B2243EF" w14:textId="77777777" w:rsidR="009C3C24" w:rsidRPr="00685332" w:rsidRDefault="009C3C24" w:rsidP="009173AE">
            <w:pPr>
              <w:shd w:val="clear" w:color="auto" w:fill="FFFFFF"/>
              <w:tabs>
                <w:tab w:val="center" w:pos="4419"/>
                <w:tab w:val="right" w:pos="8838"/>
              </w:tabs>
              <w:spacing w:after="0" w:line="240" w:lineRule="exact"/>
              <w:jc w:val="center"/>
              <w:rPr>
                <w:rFonts w:ascii="Montserrat" w:hAnsi="Montserrat"/>
                <w:bCs/>
                <w:color w:val="FFFFFF"/>
                <w:sz w:val="14"/>
                <w:szCs w:val="14"/>
                <w:lang w:val="es-ES_tradnl"/>
              </w:rPr>
            </w:pPr>
            <w:r w:rsidRPr="006F0DF1">
              <w:rPr>
                <w:rFonts w:ascii="Montserrat" w:hAnsi="Montserrat"/>
                <w:b/>
                <w:color w:val="FFFFFF"/>
                <w:sz w:val="14"/>
                <w:szCs w:val="14"/>
                <w:lang w:val="es-ES_tradnl"/>
              </w:rPr>
              <w:br w:type="page"/>
            </w:r>
            <w:r w:rsidR="009173AE" w:rsidRPr="00685332">
              <w:rPr>
                <w:rFonts w:ascii="Montserrat" w:hAnsi="Montserrat"/>
                <w:spacing w:val="-1"/>
                <w:sz w:val="16"/>
                <w:szCs w:val="16"/>
                <w:lang w:val="es-ES_tradnl"/>
              </w:rPr>
              <w:t>(Pesos)</w:t>
            </w:r>
          </w:p>
        </w:tc>
      </w:tr>
      <w:tr w:rsidR="0000412E" w:rsidRPr="0000412E" w14:paraId="6CD2FDFF" w14:textId="77777777" w:rsidTr="000F0321">
        <w:trPr>
          <w:trHeight w:val="57"/>
        </w:trPr>
        <w:tc>
          <w:tcPr>
            <w:tcW w:w="13420" w:type="dxa"/>
            <w:gridSpan w:val="20"/>
            <w:tcBorders>
              <w:top w:val="single" w:sz="12" w:space="0" w:color="808080" w:themeColor="background1" w:themeShade="80"/>
            </w:tcBorders>
            <w:shd w:val="clear" w:color="auto" w:fill="FFFFFF" w:themeFill="background1"/>
            <w:noWrap/>
            <w:vAlign w:val="center"/>
          </w:tcPr>
          <w:p w14:paraId="487C8A50" w14:textId="77777777" w:rsidR="0000412E" w:rsidRPr="0000412E" w:rsidRDefault="0000412E" w:rsidP="0000412E">
            <w:pPr>
              <w:spacing w:after="0" w:line="240" w:lineRule="auto"/>
              <w:rPr>
                <w:sz w:val="4"/>
                <w:szCs w:val="4"/>
              </w:rPr>
            </w:pPr>
          </w:p>
        </w:tc>
      </w:tr>
      <w:tr w:rsidR="009C3C24" w:rsidRPr="006F0DF1" w14:paraId="7AAE6FCB" w14:textId="77777777" w:rsidTr="00112A60">
        <w:trPr>
          <w:trHeight w:val="215"/>
        </w:trPr>
        <w:tc>
          <w:tcPr>
            <w:tcW w:w="923" w:type="dxa"/>
            <w:vMerge w:val="restart"/>
            <w:tcBorders>
              <w:bottom w:val="single" w:sz="8" w:space="0" w:color="FFFFFF" w:themeColor="background1"/>
              <w:right w:val="single" w:sz="8" w:space="0" w:color="FFFFFF" w:themeColor="background1"/>
            </w:tcBorders>
            <w:shd w:val="clear" w:color="auto" w:fill="D4C19C"/>
            <w:noWrap/>
            <w:vAlign w:val="center"/>
            <w:hideMark/>
          </w:tcPr>
          <w:p w14:paraId="7566FECB" w14:textId="77777777" w:rsidR="009C3C24" w:rsidRPr="006F0DF1" w:rsidRDefault="009C3C24" w:rsidP="002F797B">
            <w:pPr>
              <w:spacing w:after="0" w:line="240" w:lineRule="exact"/>
              <w:jc w:val="center"/>
              <w:rPr>
                <w:rFonts w:ascii="Montserrat" w:hAnsi="Montserrat"/>
                <w:b/>
                <w:color w:val="FFFFFF"/>
                <w:sz w:val="14"/>
                <w:szCs w:val="14"/>
                <w:lang w:val="es-ES_tradnl"/>
              </w:rPr>
            </w:pPr>
            <w:r w:rsidRPr="006F0DF1">
              <w:rPr>
                <w:rFonts w:ascii="Montserrat" w:hAnsi="Montserrat"/>
                <w:b/>
                <w:color w:val="FFFFFF"/>
                <w:sz w:val="14"/>
                <w:szCs w:val="14"/>
                <w:lang w:val="es-ES_tradnl"/>
              </w:rPr>
              <w:t>Concepto</w:t>
            </w:r>
          </w:p>
        </w:tc>
        <w:tc>
          <w:tcPr>
            <w:tcW w:w="567" w:type="dxa"/>
            <w:vMerge w:val="restart"/>
            <w:tcBorders>
              <w:left w:val="single" w:sz="8" w:space="0" w:color="FFFFFF" w:themeColor="background1"/>
              <w:bottom w:val="single" w:sz="8" w:space="0" w:color="FFFFFF" w:themeColor="background1"/>
              <w:right w:val="single" w:sz="8" w:space="0" w:color="FFFFFF" w:themeColor="background1"/>
            </w:tcBorders>
            <w:shd w:val="clear" w:color="auto" w:fill="D4C19C"/>
            <w:noWrap/>
            <w:vAlign w:val="center"/>
            <w:hideMark/>
          </w:tcPr>
          <w:p w14:paraId="0B49A5F7" w14:textId="77777777" w:rsidR="009C3C24" w:rsidRPr="006F0DF1" w:rsidRDefault="009C3C24" w:rsidP="002F797B">
            <w:pPr>
              <w:spacing w:after="0" w:line="240" w:lineRule="exact"/>
              <w:jc w:val="center"/>
              <w:rPr>
                <w:rFonts w:ascii="Montserrat" w:hAnsi="Montserrat"/>
                <w:b/>
                <w:color w:val="FFFFFF"/>
                <w:sz w:val="14"/>
                <w:szCs w:val="14"/>
                <w:lang w:val="es-ES_tradnl"/>
              </w:rPr>
            </w:pPr>
            <w:r w:rsidRPr="006F0DF1">
              <w:rPr>
                <w:rFonts w:ascii="Montserrat" w:hAnsi="Montserrat"/>
                <w:b/>
                <w:color w:val="FFFFFF"/>
                <w:sz w:val="14"/>
                <w:szCs w:val="14"/>
                <w:lang w:val="es-ES_tradnl"/>
              </w:rPr>
              <w:t>País</w:t>
            </w:r>
          </w:p>
        </w:tc>
        <w:tc>
          <w:tcPr>
            <w:tcW w:w="425" w:type="dxa"/>
            <w:vMerge w:val="restart"/>
            <w:tcBorders>
              <w:left w:val="single" w:sz="8" w:space="0" w:color="FFFFFF" w:themeColor="background1"/>
              <w:bottom w:val="single" w:sz="8" w:space="0" w:color="FFFFFF" w:themeColor="background1"/>
              <w:right w:val="single" w:sz="8" w:space="0" w:color="FFFFFF" w:themeColor="background1"/>
            </w:tcBorders>
            <w:shd w:val="clear" w:color="auto" w:fill="D4C19C"/>
            <w:noWrap/>
            <w:vAlign w:val="center"/>
            <w:hideMark/>
          </w:tcPr>
          <w:p w14:paraId="23709DB8" w14:textId="77777777" w:rsidR="009C3C24" w:rsidRPr="006F0DF1" w:rsidRDefault="009C3C24" w:rsidP="002F797B">
            <w:pPr>
              <w:spacing w:after="0" w:line="240" w:lineRule="exact"/>
              <w:jc w:val="center"/>
              <w:rPr>
                <w:rFonts w:ascii="Montserrat" w:hAnsi="Montserrat"/>
                <w:b/>
                <w:color w:val="FFFFFF"/>
                <w:sz w:val="14"/>
                <w:szCs w:val="14"/>
                <w:lang w:val="es-ES_tradnl"/>
              </w:rPr>
            </w:pPr>
            <w:r w:rsidRPr="006F0DF1">
              <w:rPr>
                <w:rFonts w:ascii="Montserrat" w:hAnsi="Montserrat"/>
                <w:b/>
                <w:color w:val="FFFFFF"/>
                <w:sz w:val="14"/>
                <w:szCs w:val="14"/>
                <w:lang w:val="es-ES_tradnl"/>
              </w:rPr>
              <w:t>Div.</w:t>
            </w:r>
          </w:p>
        </w:tc>
        <w:tc>
          <w:tcPr>
            <w:tcW w:w="2054" w:type="dxa"/>
            <w:gridSpan w:val="2"/>
            <w:vMerge w:val="restart"/>
            <w:tcBorders>
              <w:left w:val="single" w:sz="8" w:space="0" w:color="FFFFFF" w:themeColor="background1"/>
              <w:bottom w:val="single" w:sz="8" w:space="0" w:color="FFFFFF" w:themeColor="background1"/>
              <w:right w:val="single" w:sz="8" w:space="0" w:color="FFFFFF" w:themeColor="background1"/>
            </w:tcBorders>
            <w:shd w:val="clear" w:color="auto" w:fill="D4C19C"/>
            <w:noWrap/>
            <w:vAlign w:val="center"/>
          </w:tcPr>
          <w:p w14:paraId="325F5D08" w14:textId="77777777" w:rsidR="009C3C24" w:rsidRPr="006F0DF1" w:rsidRDefault="009C3C24" w:rsidP="002F797B">
            <w:pPr>
              <w:spacing w:after="0" w:line="240" w:lineRule="exact"/>
              <w:jc w:val="center"/>
              <w:rPr>
                <w:rFonts w:ascii="Montserrat" w:hAnsi="Montserrat"/>
                <w:b/>
                <w:color w:val="FFFFFF"/>
                <w:sz w:val="14"/>
                <w:szCs w:val="14"/>
                <w:lang w:val="es-ES_tradnl"/>
              </w:rPr>
            </w:pPr>
            <w:r w:rsidRPr="006F0DF1">
              <w:rPr>
                <w:rFonts w:ascii="Montserrat" w:hAnsi="Montserrat"/>
                <w:b/>
                <w:color w:val="FFFFFF"/>
                <w:sz w:val="14"/>
                <w:szCs w:val="14"/>
                <w:lang w:val="es-ES_tradnl"/>
              </w:rPr>
              <w:t>INSTITUCIÓN</w:t>
            </w:r>
          </w:p>
        </w:tc>
        <w:tc>
          <w:tcPr>
            <w:tcW w:w="1560" w:type="dxa"/>
            <w:vMerge w:val="restart"/>
            <w:tcBorders>
              <w:left w:val="single" w:sz="8" w:space="0" w:color="FFFFFF" w:themeColor="background1"/>
              <w:bottom w:val="single" w:sz="8" w:space="0" w:color="FFFFFF" w:themeColor="background1"/>
              <w:right w:val="single" w:sz="8" w:space="0" w:color="FFFFFF" w:themeColor="background1"/>
            </w:tcBorders>
            <w:shd w:val="clear" w:color="auto" w:fill="D4C19C"/>
            <w:noWrap/>
            <w:vAlign w:val="center"/>
            <w:hideMark/>
          </w:tcPr>
          <w:p w14:paraId="0F80D6CC" w14:textId="77777777" w:rsidR="009C3C24" w:rsidRPr="006F0DF1" w:rsidRDefault="009C3C24" w:rsidP="002F797B">
            <w:pPr>
              <w:spacing w:after="0" w:line="240" w:lineRule="exact"/>
              <w:jc w:val="center"/>
              <w:rPr>
                <w:rFonts w:ascii="Montserrat" w:hAnsi="Montserrat"/>
                <w:b/>
                <w:color w:val="FFFFFF"/>
                <w:sz w:val="14"/>
                <w:szCs w:val="14"/>
                <w:lang w:val="es-ES_tradnl"/>
              </w:rPr>
            </w:pPr>
            <w:r w:rsidRPr="006F0DF1">
              <w:rPr>
                <w:rFonts w:ascii="Montserrat" w:hAnsi="Montserrat"/>
                <w:b/>
                <w:color w:val="FFFFFF"/>
                <w:sz w:val="14"/>
                <w:szCs w:val="14"/>
                <w:lang w:val="es-ES_tradnl"/>
              </w:rPr>
              <w:t>Monto del Crédito Efectivo</w:t>
            </w:r>
          </w:p>
        </w:tc>
        <w:tc>
          <w:tcPr>
            <w:tcW w:w="1371" w:type="dxa"/>
            <w:gridSpan w:val="2"/>
            <w:vMerge w:val="restart"/>
            <w:tcBorders>
              <w:left w:val="single" w:sz="8" w:space="0" w:color="FFFFFF" w:themeColor="background1"/>
              <w:bottom w:val="single" w:sz="8" w:space="0" w:color="FFFFFF" w:themeColor="background1"/>
              <w:right w:val="single" w:sz="8" w:space="0" w:color="FFFFFF" w:themeColor="background1"/>
            </w:tcBorders>
            <w:shd w:val="clear" w:color="auto" w:fill="D4C19C"/>
            <w:noWrap/>
            <w:vAlign w:val="center"/>
            <w:hideMark/>
          </w:tcPr>
          <w:p w14:paraId="5CBD103F" w14:textId="77777777" w:rsidR="009C3C24" w:rsidRPr="006F0DF1" w:rsidRDefault="009C3C24" w:rsidP="002F797B">
            <w:pPr>
              <w:spacing w:after="0" w:line="240" w:lineRule="exact"/>
              <w:jc w:val="center"/>
              <w:rPr>
                <w:rFonts w:ascii="Montserrat" w:hAnsi="Montserrat"/>
                <w:b/>
                <w:color w:val="FFFFFF"/>
                <w:sz w:val="14"/>
                <w:szCs w:val="14"/>
                <w:lang w:val="es-ES_tradnl"/>
              </w:rPr>
            </w:pPr>
            <w:r w:rsidRPr="006F0DF1">
              <w:rPr>
                <w:rFonts w:ascii="Montserrat" w:hAnsi="Montserrat"/>
                <w:b/>
                <w:color w:val="FFFFFF"/>
                <w:sz w:val="14"/>
                <w:szCs w:val="14"/>
                <w:lang w:val="es-ES_tradnl"/>
              </w:rPr>
              <w:t>Vencimiento</w:t>
            </w:r>
          </w:p>
        </w:tc>
        <w:tc>
          <w:tcPr>
            <w:tcW w:w="1464" w:type="dxa"/>
            <w:gridSpan w:val="2"/>
            <w:vMerge w:val="restart"/>
            <w:tcBorders>
              <w:left w:val="single" w:sz="8" w:space="0" w:color="FFFFFF" w:themeColor="background1"/>
              <w:bottom w:val="single" w:sz="8" w:space="0" w:color="FFFFFF" w:themeColor="background1"/>
              <w:right w:val="single" w:sz="8" w:space="0" w:color="FFFFFF" w:themeColor="background1"/>
            </w:tcBorders>
            <w:shd w:val="clear" w:color="auto" w:fill="D4C19C"/>
            <w:noWrap/>
            <w:vAlign w:val="center"/>
            <w:hideMark/>
          </w:tcPr>
          <w:p w14:paraId="5C252D4E" w14:textId="77777777" w:rsidR="009C3C24" w:rsidRPr="006F0DF1" w:rsidRDefault="009C3C24" w:rsidP="002F797B">
            <w:pPr>
              <w:spacing w:after="0" w:line="240" w:lineRule="exact"/>
              <w:jc w:val="center"/>
              <w:rPr>
                <w:rFonts w:ascii="Montserrat" w:hAnsi="Montserrat"/>
                <w:b/>
                <w:color w:val="FFFFFF"/>
                <w:sz w:val="14"/>
                <w:szCs w:val="14"/>
                <w:lang w:val="es-ES_tradnl"/>
              </w:rPr>
            </w:pPr>
            <w:r w:rsidRPr="006F0DF1">
              <w:rPr>
                <w:rFonts w:ascii="Montserrat" w:hAnsi="Montserrat"/>
                <w:b/>
                <w:color w:val="FFFFFF"/>
                <w:sz w:val="14"/>
                <w:szCs w:val="14"/>
                <w:lang w:val="es-ES_tradnl"/>
              </w:rPr>
              <w:t>Periodo de Gracia</w:t>
            </w:r>
          </w:p>
        </w:tc>
        <w:tc>
          <w:tcPr>
            <w:tcW w:w="5056" w:type="dxa"/>
            <w:gridSpan w:val="10"/>
            <w:tcBorders>
              <w:left w:val="single" w:sz="8" w:space="0" w:color="FFFFFF" w:themeColor="background1"/>
              <w:bottom w:val="single" w:sz="8" w:space="0" w:color="FFFFFF" w:themeColor="background1"/>
              <w:right w:val="single" w:sz="8" w:space="0" w:color="FFFFFF" w:themeColor="background1"/>
            </w:tcBorders>
            <w:shd w:val="clear" w:color="auto" w:fill="D4C19C"/>
            <w:noWrap/>
            <w:vAlign w:val="center"/>
            <w:hideMark/>
          </w:tcPr>
          <w:p w14:paraId="1948032C" w14:textId="77777777" w:rsidR="009C3C24" w:rsidRPr="006F0DF1" w:rsidRDefault="009C3C24" w:rsidP="002F797B">
            <w:pPr>
              <w:spacing w:after="0" w:line="240" w:lineRule="exact"/>
              <w:jc w:val="center"/>
              <w:rPr>
                <w:rFonts w:ascii="Montserrat" w:hAnsi="Montserrat"/>
                <w:b/>
                <w:bCs/>
                <w:sz w:val="14"/>
                <w:szCs w:val="14"/>
                <w:lang w:val="es-ES_tradnl"/>
              </w:rPr>
            </w:pPr>
            <w:r w:rsidRPr="006F0DF1">
              <w:rPr>
                <w:rFonts w:ascii="Montserrat" w:hAnsi="Montserrat"/>
                <w:b/>
                <w:bCs/>
                <w:color w:val="FFFFFF"/>
                <w:sz w:val="14"/>
                <w:szCs w:val="14"/>
                <w:lang w:val="es-ES_tradnl"/>
              </w:rPr>
              <w:t>T   a   s   a       de        I   n   t   e   r   e   s.</w:t>
            </w:r>
          </w:p>
        </w:tc>
      </w:tr>
      <w:tr w:rsidR="009C3C24" w:rsidRPr="006F0DF1" w14:paraId="0FCF94FB" w14:textId="77777777" w:rsidTr="00112A60">
        <w:trPr>
          <w:trHeight w:val="215"/>
        </w:trPr>
        <w:tc>
          <w:tcPr>
            <w:tcW w:w="923" w:type="dxa"/>
            <w:vMerge/>
            <w:tcBorders>
              <w:top w:val="single" w:sz="8" w:space="0" w:color="FFFFFF" w:themeColor="background1"/>
              <w:bottom w:val="single" w:sz="8" w:space="0" w:color="FFFFFF" w:themeColor="background1"/>
              <w:right w:val="single" w:sz="8" w:space="0" w:color="FFFFFF" w:themeColor="background1"/>
            </w:tcBorders>
            <w:shd w:val="clear" w:color="auto" w:fill="D4C19C"/>
            <w:noWrap/>
            <w:vAlign w:val="center"/>
            <w:hideMark/>
          </w:tcPr>
          <w:p w14:paraId="1103C386" w14:textId="77777777" w:rsidR="009C3C24" w:rsidRPr="006F0DF1" w:rsidRDefault="009C3C24" w:rsidP="002F797B">
            <w:pPr>
              <w:spacing w:after="0" w:line="240" w:lineRule="exact"/>
              <w:jc w:val="center"/>
              <w:rPr>
                <w:rFonts w:ascii="Montserrat" w:hAnsi="Montserrat"/>
                <w:b/>
                <w:color w:val="FFFFFF"/>
                <w:sz w:val="14"/>
                <w:szCs w:val="14"/>
                <w:lang w:val="es-ES_tradnl"/>
              </w:rPr>
            </w:pPr>
          </w:p>
        </w:tc>
        <w:tc>
          <w:tcPr>
            <w:tcW w:w="567" w:type="dxa"/>
            <w:vMerge/>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4C19C"/>
            <w:noWrap/>
            <w:vAlign w:val="center"/>
            <w:hideMark/>
          </w:tcPr>
          <w:p w14:paraId="58709A0F" w14:textId="77777777" w:rsidR="009C3C24" w:rsidRPr="006F0DF1" w:rsidRDefault="009C3C24" w:rsidP="002F797B">
            <w:pPr>
              <w:spacing w:after="0" w:line="240" w:lineRule="exact"/>
              <w:jc w:val="center"/>
              <w:rPr>
                <w:rFonts w:ascii="Montserrat" w:hAnsi="Montserrat"/>
                <w:b/>
                <w:color w:val="FFFFFF"/>
                <w:sz w:val="14"/>
                <w:szCs w:val="14"/>
                <w:lang w:val="es-ES_tradnl"/>
              </w:rPr>
            </w:pPr>
          </w:p>
        </w:tc>
        <w:tc>
          <w:tcPr>
            <w:tcW w:w="425" w:type="dxa"/>
            <w:vMerge/>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4C19C"/>
            <w:noWrap/>
            <w:vAlign w:val="center"/>
            <w:hideMark/>
          </w:tcPr>
          <w:p w14:paraId="72D31BFF" w14:textId="77777777" w:rsidR="009C3C24" w:rsidRPr="006F0DF1" w:rsidRDefault="009C3C24" w:rsidP="002F797B">
            <w:pPr>
              <w:spacing w:after="0" w:line="240" w:lineRule="exact"/>
              <w:jc w:val="center"/>
              <w:rPr>
                <w:rFonts w:ascii="Montserrat" w:hAnsi="Montserrat"/>
                <w:b/>
                <w:color w:val="FFFFFF"/>
                <w:sz w:val="14"/>
                <w:szCs w:val="14"/>
                <w:lang w:val="es-ES_tradnl"/>
              </w:rPr>
            </w:pPr>
          </w:p>
        </w:tc>
        <w:tc>
          <w:tcPr>
            <w:tcW w:w="2054" w:type="dxa"/>
            <w:gridSpan w:val="2"/>
            <w:vMerge/>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4C19C"/>
            <w:noWrap/>
            <w:vAlign w:val="center"/>
            <w:hideMark/>
          </w:tcPr>
          <w:p w14:paraId="27E5EAB7" w14:textId="77777777" w:rsidR="009C3C24" w:rsidRPr="006F0DF1" w:rsidRDefault="009C3C24" w:rsidP="002F797B">
            <w:pPr>
              <w:spacing w:after="0" w:line="240" w:lineRule="exact"/>
              <w:jc w:val="center"/>
              <w:rPr>
                <w:rFonts w:ascii="Montserrat" w:hAnsi="Montserrat"/>
                <w:b/>
                <w:color w:val="FFFFFF"/>
                <w:sz w:val="14"/>
                <w:szCs w:val="14"/>
                <w:lang w:val="es-ES_tradnl"/>
              </w:rPr>
            </w:pPr>
          </w:p>
        </w:tc>
        <w:tc>
          <w:tcPr>
            <w:tcW w:w="1560" w:type="dxa"/>
            <w:vMerge/>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4C19C"/>
            <w:noWrap/>
            <w:vAlign w:val="center"/>
            <w:hideMark/>
          </w:tcPr>
          <w:p w14:paraId="3A6A49AB" w14:textId="77777777" w:rsidR="009C3C24" w:rsidRPr="006F0DF1" w:rsidRDefault="009C3C24" w:rsidP="002F797B">
            <w:pPr>
              <w:spacing w:after="0" w:line="240" w:lineRule="exact"/>
              <w:jc w:val="center"/>
              <w:rPr>
                <w:rFonts w:ascii="Montserrat" w:hAnsi="Montserrat"/>
                <w:b/>
                <w:color w:val="FFFFFF"/>
                <w:sz w:val="14"/>
                <w:szCs w:val="14"/>
                <w:lang w:val="es-ES_tradnl"/>
              </w:rPr>
            </w:pPr>
          </w:p>
        </w:tc>
        <w:tc>
          <w:tcPr>
            <w:tcW w:w="1371" w:type="dxa"/>
            <w:gridSpan w:val="2"/>
            <w:vMerge/>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4C19C"/>
            <w:noWrap/>
            <w:vAlign w:val="center"/>
            <w:hideMark/>
          </w:tcPr>
          <w:p w14:paraId="1A990123" w14:textId="77777777" w:rsidR="009C3C24" w:rsidRPr="006F0DF1" w:rsidRDefault="009C3C24" w:rsidP="002F797B">
            <w:pPr>
              <w:spacing w:after="0" w:line="240" w:lineRule="exact"/>
              <w:jc w:val="center"/>
              <w:rPr>
                <w:rFonts w:ascii="Montserrat" w:hAnsi="Montserrat"/>
                <w:b/>
                <w:color w:val="FFFFFF"/>
                <w:sz w:val="14"/>
                <w:szCs w:val="14"/>
                <w:lang w:val="es-ES_tradnl"/>
              </w:rPr>
            </w:pPr>
          </w:p>
        </w:tc>
        <w:tc>
          <w:tcPr>
            <w:tcW w:w="1464" w:type="dxa"/>
            <w:gridSpan w:val="2"/>
            <w:vMerge/>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4C19C"/>
            <w:noWrap/>
            <w:vAlign w:val="center"/>
            <w:hideMark/>
          </w:tcPr>
          <w:p w14:paraId="7ACD5149" w14:textId="77777777" w:rsidR="009C3C24" w:rsidRPr="006F0DF1" w:rsidRDefault="009C3C24" w:rsidP="002F797B">
            <w:pPr>
              <w:spacing w:after="0" w:line="240" w:lineRule="exact"/>
              <w:jc w:val="center"/>
              <w:rPr>
                <w:rFonts w:ascii="Montserrat" w:hAnsi="Montserrat"/>
                <w:b/>
                <w:color w:val="FFFFFF"/>
                <w:sz w:val="14"/>
                <w:szCs w:val="14"/>
                <w:lang w:val="es-ES_tradnl"/>
              </w:rPr>
            </w:pPr>
          </w:p>
        </w:tc>
        <w:tc>
          <w:tcPr>
            <w:tcW w:w="1512" w:type="dxa"/>
            <w:gridSpan w:val="2"/>
            <w:vMerge w:val="restar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4C19C"/>
            <w:noWrap/>
            <w:vAlign w:val="center"/>
            <w:hideMark/>
          </w:tcPr>
          <w:p w14:paraId="31B458DA" w14:textId="77777777" w:rsidR="009C3C24" w:rsidRPr="006F0DF1" w:rsidRDefault="009C3C24" w:rsidP="002F797B">
            <w:pPr>
              <w:spacing w:after="0" w:line="240" w:lineRule="exact"/>
              <w:jc w:val="center"/>
              <w:rPr>
                <w:rFonts w:ascii="Montserrat" w:hAnsi="Montserrat"/>
                <w:b/>
                <w:color w:val="FFFFFF"/>
                <w:sz w:val="14"/>
                <w:szCs w:val="14"/>
                <w:lang w:val="es-ES_tradnl"/>
              </w:rPr>
            </w:pPr>
            <w:r w:rsidRPr="006F0DF1">
              <w:rPr>
                <w:rFonts w:ascii="Montserrat" w:hAnsi="Montserrat"/>
                <w:b/>
                <w:color w:val="FFFFFF"/>
                <w:sz w:val="14"/>
                <w:szCs w:val="14"/>
                <w:lang w:val="es-ES_tradnl"/>
              </w:rPr>
              <w:t>Interna</w:t>
            </w:r>
          </w:p>
        </w:tc>
        <w:tc>
          <w:tcPr>
            <w:tcW w:w="3544" w:type="dxa"/>
            <w:gridSpan w:val="8"/>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4C19C"/>
            <w:noWrap/>
            <w:vAlign w:val="center"/>
            <w:hideMark/>
          </w:tcPr>
          <w:p w14:paraId="6EC17C6F" w14:textId="77777777" w:rsidR="009C3C24" w:rsidRPr="006F0DF1" w:rsidRDefault="009C3C24" w:rsidP="002F797B">
            <w:pPr>
              <w:spacing w:after="0" w:line="240" w:lineRule="exact"/>
              <w:jc w:val="center"/>
              <w:rPr>
                <w:rFonts w:ascii="Montserrat" w:hAnsi="Montserrat"/>
                <w:b/>
                <w:sz w:val="14"/>
                <w:szCs w:val="14"/>
                <w:lang w:val="es-ES_tradnl"/>
              </w:rPr>
            </w:pPr>
            <w:r w:rsidRPr="006F0DF1">
              <w:rPr>
                <w:rFonts w:ascii="Montserrat" w:hAnsi="Montserrat"/>
                <w:b/>
                <w:color w:val="FFFFFF"/>
                <w:sz w:val="14"/>
                <w:szCs w:val="14"/>
                <w:lang w:val="es-ES_tradnl"/>
              </w:rPr>
              <w:t>Externa</w:t>
            </w:r>
          </w:p>
        </w:tc>
      </w:tr>
      <w:tr w:rsidR="009C3C24" w:rsidRPr="006F0DF1" w14:paraId="5CB5A6AA" w14:textId="77777777" w:rsidTr="00112A60">
        <w:trPr>
          <w:trHeight w:val="215"/>
        </w:trPr>
        <w:tc>
          <w:tcPr>
            <w:tcW w:w="923" w:type="dxa"/>
            <w:vMerge/>
            <w:tcBorders>
              <w:top w:val="single" w:sz="8" w:space="0" w:color="FFFFFF" w:themeColor="background1"/>
              <w:bottom w:val="single" w:sz="8" w:space="0" w:color="FFFFFF" w:themeColor="background1"/>
              <w:right w:val="single" w:sz="8" w:space="0" w:color="FFFFFF" w:themeColor="background1"/>
            </w:tcBorders>
            <w:shd w:val="clear" w:color="auto" w:fill="D4C19C"/>
            <w:noWrap/>
            <w:vAlign w:val="center"/>
            <w:hideMark/>
          </w:tcPr>
          <w:p w14:paraId="29930EF7" w14:textId="77777777" w:rsidR="009C3C24" w:rsidRPr="006F0DF1" w:rsidRDefault="009C3C24" w:rsidP="002F797B">
            <w:pPr>
              <w:spacing w:after="0" w:line="240" w:lineRule="exact"/>
              <w:jc w:val="center"/>
              <w:rPr>
                <w:rFonts w:ascii="Montserrat" w:hAnsi="Montserrat"/>
                <w:b/>
                <w:color w:val="FFFFFF"/>
                <w:sz w:val="14"/>
                <w:szCs w:val="14"/>
                <w:lang w:val="es-ES_tradnl"/>
              </w:rPr>
            </w:pPr>
          </w:p>
        </w:tc>
        <w:tc>
          <w:tcPr>
            <w:tcW w:w="567" w:type="dxa"/>
            <w:vMerge/>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4C19C"/>
            <w:noWrap/>
            <w:vAlign w:val="center"/>
            <w:hideMark/>
          </w:tcPr>
          <w:p w14:paraId="09B1F2E6" w14:textId="77777777" w:rsidR="009C3C24" w:rsidRPr="006F0DF1" w:rsidRDefault="009C3C24" w:rsidP="002F797B">
            <w:pPr>
              <w:spacing w:after="0" w:line="240" w:lineRule="exact"/>
              <w:jc w:val="center"/>
              <w:rPr>
                <w:rFonts w:ascii="Montserrat" w:hAnsi="Montserrat"/>
                <w:b/>
                <w:color w:val="FFFFFF"/>
                <w:sz w:val="14"/>
                <w:szCs w:val="14"/>
                <w:lang w:val="es-ES_tradnl"/>
              </w:rPr>
            </w:pPr>
          </w:p>
        </w:tc>
        <w:tc>
          <w:tcPr>
            <w:tcW w:w="425" w:type="dxa"/>
            <w:vMerge/>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4C19C"/>
            <w:noWrap/>
            <w:vAlign w:val="center"/>
            <w:hideMark/>
          </w:tcPr>
          <w:p w14:paraId="0AC01AE1" w14:textId="77777777" w:rsidR="009C3C24" w:rsidRPr="006F0DF1" w:rsidRDefault="009C3C24" w:rsidP="002F797B">
            <w:pPr>
              <w:spacing w:after="0" w:line="240" w:lineRule="exact"/>
              <w:jc w:val="center"/>
              <w:rPr>
                <w:rFonts w:ascii="Montserrat" w:hAnsi="Montserrat"/>
                <w:b/>
                <w:color w:val="FFFFFF"/>
                <w:sz w:val="14"/>
                <w:szCs w:val="14"/>
                <w:lang w:val="es-ES_tradnl"/>
              </w:rPr>
            </w:pPr>
          </w:p>
        </w:tc>
        <w:tc>
          <w:tcPr>
            <w:tcW w:w="2054" w:type="dxa"/>
            <w:gridSpan w:val="2"/>
            <w:vMerge/>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4C19C"/>
            <w:noWrap/>
            <w:vAlign w:val="center"/>
            <w:hideMark/>
          </w:tcPr>
          <w:p w14:paraId="06D3DB7F" w14:textId="77777777" w:rsidR="009C3C24" w:rsidRPr="006F0DF1" w:rsidRDefault="009C3C24" w:rsidP="002F797B">
            <w:pPr>
              <w:spacing w:after="0" w:line="240" w:lineRule="exact"/>
              <w:jc w:val="center"/>
              <w:rPr>
                <w:rFonts w:ascii="Montserrat" w:hAnsi="Montserrat"/>
                <w:b/>
                <w:color w:val="FFFFFF"/>
                <w:sz w:val="14"/>
                <w:szCs w:val="14"/>
                <w:lang w:val="es-ES_tradnl"/>
              </w:rPr>
            </w:pPr>
          </w:p>
        </w:tc>
        <w:tc>
          <w:tcPr>
            <w:tcW w:w="1560" w:type="dxa"/>
            <w:vMerge/>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4C19C"/>
            <w:noWrap/>
            <w:vAlign w:val="center"/>
            <w:hideMark/>
          </w:tcPr>
          <w:p w14:paraId="08983BA1" w14:textId="77777777" w:rsidR="009C3C24" w:rsidRPr="006F0DF1" w:rsidRDefault="009C3C24" w:rsidP="002F797B">
            <w:pPr>
              <w:spacing w:after="0" w:line="240" w:lineRule="exact"/>
              <w:jc w:val="center"/>
              <w:rPr>
                <w:rFonts w:ascii="Montserrat" w:hAnsi="Montserrat"/>
                <w:b/>
                <w:color w:val="FFFFFF"/>
                <w:sz w:val="14"/>
                <w:szCs w:val="14"/>
                <w:lang w:val="es-ES_tradnl"/>
              </w:rPr>
            </w:pPr>
          </w:p>
        </w:tc>
        <w:tc>
          <w:tcPr>
            <w:tcW w:w="1371" w:type="dxa"/>
            <w:gridSpan w:val="2"/>
            <w:vMerge/>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4C19C"/>
            <w:noWrap/>
            <w:vAlign w:val="center"/>
            <w:hideMark/>
          </w:tcPr>
          <w:p w14:paraId="53345492" w14:textId="77777777" w:rsidR="009C3C24" w:rsidRPr="006F0DF1" w:rsidRDefault="009C3C24" w:rsidP="002F797B">
            <w:pPr>
              <w:spacing w:after="0" w:line="240" w:lineRule="exact"/>
              <w:jc w:val="center"/>
              <w:rPr>
                <w:rFonts w:ascii="Montserrat" w:hAnsi="Montserrat"/>
                <w:b/>
                <w:color w:val="FFFFFF"/>
                <w:sz w:val="14"/>
                <w:szCs w:val="14"/>
                <w:lang w:val="es-ES_tradnl"/>
              </w:rPr>
            </w:pPr>
          </w:p>
        </w:tc>
        <w:tc>
          <w:tcPr>
            <w:tcW w:w="1464" w:type="dxa"/>
            <w:gridSpan w:val="2"/>
            <w:vMerge/>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4C19C"/>
            <w:noWrap/>
            <w:vAlign w:val="center"/>
            <w:hideMark/>
          </w:tcPr>
          <w:p w14:paraId="199D5103" w14:textId="77777777" w:rsidR="009C3C24" w:rsidRPr="006F0DF1" w:rsidRDefault="009C3C24" w:rsidP="002F797B">
            <w:pPr>
              <w:spacing w:after="0" w:line="240" w:lineRule="exact"/>
              <w:jc w:val="center"/>
              <w:rPr>
                <w:rFonts w:ascii="Montserrat" w:hAnsi="Montserrat"/>
                <w:b/>
                <w:color w:val="FFFFFF"/>
                <w:sz w:val="14"/>
                <w:szCs w:val="14"/>
                <w:lang w:val="es-ES_tradnl"/>
              </w:rPr>
            </w:pPr>
          </w:p>
        </w:tc>
        <w:tc>
          <w:tcPr>
            <w:tcW w:w="1512" w:type="dxa"/>
            <w:gridSpan w:val="2"/>
            <w:vMerge/>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4C19C"/>
            <w:noWrap/>
            <w:vAlign w:val="center"/>
            <w:hideMark/>
          </w:tcPr>
          <w:p w14:paraId="4339B01D" w14:textId="77777777" w:rsidR="009C3C24" w:rsidRPr="006F0DF1" w:rsidRDefault="009C3C24" w:rsidP="002F797B">
            <w:pPr>
              <w:spacing w:after="0" w:line="240" w:lineRule="exact"/>
              <w:jc w:val="center"/>
              <w:rPr>
                <w:rFonts w:ascii="Montserrat" w:hAnsi="Montserrat"/>
                <w:b/>
                <w:color w:val="FFFFFF"/>
                <w:sz w:val="14"/>
                <w:szCs w:val="14"/>
                <w:lang w:val="es-ES_tradnl"/>
              </w:rPr>
            </w:pPr>
          </w:p>
        </w:tc>
        <w:tc>
          <w:tcPr>
            <w:tcW w:w="1134" w:type="dxa"/>
            <w:gridSpan w:val="2"/>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4C19C"/>
            <w:noWrap/>
            <w:vAlign w:val="center"/>
            <w:hideMark/>
          </w:tcPr>
          <w:p w14:paraId="17262214" w14:textId="77777777" w:rsidR="009C3C24" w:rsidRPr="006F0DF1" w:rsidRDefault="009C3C24" w:rsidP="002F797B">
            <w:pPr>
              <w:spacing w:after="0" w:line="240" w:lineRule="exact"/>
              <w:jc w:val="center"/>
              <w:rPr>
                <w:rFonts w:ascii="Montserrat" w:hAnsi="Montserrat"/>
                <w:b/>
                <w:color w:val="FFFFFF"/>
                <w:sz w:val="14"/>
                <w:szCs w:val="14"/>
                <w:lang w:val="es-ES_tradnl"/>
              </w:rPr>
            </w:pPr>
            <w:r w:rsidRPr="006F0DF1">
              <w:rPr>
                <w:rFonts w:ascii="Montserrat" w:hAnsi="Montserrat"/>
                <w:b/>
                <w:color w:val="FFFFFF"/>
                <w:sz w:val="14"/>
                <w:szCs w:val="14"/>
                <w:lang w:val="es-ES_tradnl"/>
              </w:rPr>
              <w:t>Libor</w:t>
            </w:r>
          </w:p>
        </w:tc>
        <w:tc>
          <w:tcPr>
            <w:tcW w:w="1134" w:type="dxa"/>
            <w:gridSpan w:val="4"/>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4C19C"/>
            <w:noWrap/>
            <w:vAlign w:val="center"/>
            <w:hideMark/>
          </w:tcPr>
          <w:p w14:paraId="2CF60F11" w14:textId="77777777" w:rsidR="009C3C24" w:rsidRPr="006F0DF1" w:rsidRDefault="009C3C24" w:rsidP="002F797B">
            <w:pPr>
              <w:spacing w:after="0" w:line="240" w:lineRule="exact"/>
              <w:jc w:val="center"/>
              <w:rPr>
                <w:rFonts w:ascii="Montserrat" w:hAnsi="Montserrat"/>
                <w:b/>
                <w:color w:val="FFFFFF"/>
                <w:sz w:val="14"/>
                <w:szCs w:val="14"/>
                <w:lang w:val="es-ES_tradnl"/>
              </w:rPr>
            </w:pPr>
            <w:r w:rsidRPr="006F0DF1">
              <w:rPr>
                <w:rFonts w:ascii="Montserrat" w:hAnsi="Montserrat"/>
                <w:b/>
                <w:color w:val="FFFFFF"/>
                <w:sz w:val="14"/>
                <w:szCs w:val="14"/>
                <w:lang w:val="es-ES_tradnl"/>
              </w:rPr>
              <w:t>Prime</w:t>
            </w:r>
          </w:p>
        </w:tc>
        <w:tc>
          <w:tcPr>
            <w:tcW w:w="1276" w:type="dxa"/>
            <w:gridSpan w:val="2"/>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4C19C"/>
            <w:noWrap/>
            <w:vAlign w:val="center"/>
            <w:hideMark/>
          </w:tcPr>
          <w:p w14:paraId="76ACC2AF" w14:textId="77777777" w:rsidR="009C3C24" w:rsidRPr="006F0DF1" w:rsidRDefault="009C3C24" w:rsidP="002F797B">
            <w:pPr>
              <w:spacing w:after="0" w:line="240" w:lineRule="exact"/>
              <w:jc w:val="center"/>
              <w:rPr>
                <w:rFonts w:ascii="Montserrat" w:hAnsi="Montserrat"/>
                <w:b/>
                <w:sz w:val="14"/>
                <w:szCs w:val="14"/>
                <w:lang w:val="es-ES_tradnl"/>
              </w:rPr>
            </w:pPr>
            <w:r w:rsidRPr="006F0DF1">
              <w:rPr>
                <w:rFonts w:ascii="Montserrat" w:hAnsi="Montserrat"/>
                <w:b/>
                <w:color w:val="FFFFFF"/>
                <w:sz w:val="14"/>
                <w:szCs w:val="14"/>
                <w:lang w:val="es-ES_tradnl"/>
              </w:rPr>
              <w:t>Otras</w:t>
            </w:r>
          </w:p>
        </w:tc>
      </w:tr>
      <w:tr w:rsidR="009C3C24" w:rsidRPr="006F0DF1" w14:paraId="7981E88F" w14:textId="77777777" w:rsidTr="0023764E">
        <w:trPr>
          <w:trHeight w:val="215"/>
        </w:trPr>
        <w:tc>
          <w:tcPr>
            <w:tcW w:w="923" w:type="dxa"/>
            <w:vMerge/>
            <w:tcBorders>
              <w:top w:val="single" w:sz="8" w:space="0" w:color="FFFFFF" w:themeColor="background1"/>
              <w:bottom w:val="double" w:sz="12" w:space="0" w:color="808080" w:themeColor="background1" w:themeShade="80"/>
              <w:right w:val="single" w:sz="8" w:space="0" w:color="FFFFFF" w:themeColor="background1"/>
            </w:tcBorders>
            <w:shd w:val="clear" w:color="auto" w:fill="D4C19C"/>
            <w:noWrap/>
            <w:vAlign w:val="center"/>
            <w:hideMark/>
          </w:tcPr>
          <w:p w14:paraId="3FC7A199" w14:textId="77777777" w:rsidR="009C3C24" w:rsidRPr="006F0DF1" w:rsidRDefault="009C3C24" w:rsidP="002F797B">
            <w:pPr>
              <w:spacing w:after="0" w:line="240" w:lineRule="exact"/>
              <w:jc w:val="center"/>
              <w:rPr>
                <w:rFonts w:ascii="Montserrat" w:hAnsi="Montserrat"/>
                <w:b/>
                <w:color w:val="FFFFFF"/>
                <w:sz w:val="14"/>
                <w:szCs w:val="14"/>
                <w:lang w:val="es-ES_tradnl"/>
              </w:rPr>
            </w:pPr>
          </w:p>
        </w:tc>
        <w:tc>
          <w:tcPr>
            <w:tcW w:w="567" w:type="dxa"/>
            <w:vMerge/>
            <w:tcBorders>
              <w:top w:val="single" w:sz="8" w:space="0" w:color="FFFFFF" w:themeColor="background1"/>
              <w:left w:val="single" w:sz="8" w:space="0" w:color="FFFFFF" w:themeColor="background1"/>
              <w:bottom w:val="double" w:sz="12" w:space="0" w:color="808080" w:themeColor="background1" w:themeShade="80"/>
              <w:right w:val="single" w:sz="8" w:space="0" w:color="FFFFFF" w:themeColor="background1"/>
            </w:tcBorders>
            <w:shd w:val="clear" w:color="auto" w:fill="D4C19C"/>
            <w:noWrap/>
            <w:vAlign w:val="center"/>
            <w:hideMark/>
          </w:tcPr>
          <w:p w14:paraId="688F3C40" w14:textId="77777777" w:rsidR="009C3C24" w:rsidRPr="006F0DF1" w:rsidRDefault="009C3C24" w:rsidP="002F797B">
            <w:pPr>
              <w:spacing w:after="0" w:line="240" w:lineRule="exact"/>
              <w:jc w:val="center"/>
              <w:rPr>
                <w:rFonts w:ascii="Montserrat" w:hAnsi="Montserrat"/>
                <w:b/>
                <w:color w:val="FFFFFF"/>
                <w:sz w:val="14"/>
                <w:szCs w:val="14"/>
                <w:lang w:val="es-ES_tradnl"/>
              </w:rPr>
            </w:pPr>
          </w:p>
        </w:tc>
        <w:tc>
          <w:tcPr>
            <w:tcW w:w="425" w:type="dxa"/>
            <w:vMerge/>
            <w:tcBorders>
              <w:top w:val="single" w:sz="8" w:space="0" w:color="FFFFFF" w:themeColor="background1"/>
              <w:left w:val="single" w:sz="8" w:space="0" w:color="FFFFFF" w:themeColor="background1"/>
              <w:bottom w:val="double" w:sz="12" w:space="0" w:color="808080" w:themeColor="background1" w:themeShade="80"/>
              <w:right w:val="single" w:sz="8" w:space="0" w:color="FFFFFF" w:themeColor="background1"/>
            </w:tcBorders>
            <w:shd w:val="clear" w:color="auto" w:fill="D4C19C"/>
            <w:noWrap/>
            <w:vAlign w:val="center"/>
            <w:hideMark/>
          </w:tcPr>
          <w:p w14:paraId="5A076300" w14:textId="77777777" w:rsidR="009C3C24" w:rsidRPr="006F0DF1" w:rsidRDefault="009C3C24" w:rsidP="002F797B">
            <w:pPr>
              <w:spacing w:after="0" w:line="240" w:lineRule="exact"/>
              <w:jc w:val="center"/>
              <w:rPr>
                <w:rFonts w:ascii="Montserrat" w:hAnsi="Montserrat"/>
                <w:b/>
                <w:color w:val="FFFFFF"/>
                <w:sz w:val="14"/>
                <w:szCs w:val="14"/>
                <w:lang w:val="es-ES_tradnl"/>
              </w:rPr>
            </w:pPr>
          </w:p>
        </w:tc>
        <w:tc>
          <w:tcPr>
            <w:tcW w:w="709" w:type="dxa"/>
            <w:tcBorders>
              <w:top w:val="single" w:sz="8" w:space="0" w:color="FFFFFF" w:themeColor="background1"/>
              <w:left w:val="single" w:sz="8" w:space="0" w:color="FFFFFF" w:themeColor="background1"/>
              <w:bottom w:val="double" w:sz="12" w:space="0" w:color="808080" w:themeColor="background1" w:themeShade="80"/>
              <w:right w:val="single" w:sz="8" w:space="0" w:color="FFFFFF" w:themeColor="background1"/>
            </w:tcBorders>
            <w:shd w:val="clear" w:color="auto" w:fill="D4C19C"/>
            <w:noWrap/>
            <w:vAlign w:val="center"/>
            <w:hideMark/>
          </w:tcPr>
          <w:p w14:paraId="686DEB96" w14:textId="77777777" w:rsidR="009C3C24" w:rsidRPr="006F0DF1" w:rsidRDefault="009C3C24" w:rsidP="002F797B">
            <w:pPr>
              <w:spacing w:after="0" w:line="240" w:lineRule="exact"/>
              <w:jc w:val="center"/>
              <w:rPr>
                <w:rFonts w:ascii="Montserrat" w:hAnsi="Montserrat"/>
                <w:b/>
                <w:color w:val="FFFFFF"/>
                <w:sz w:val="14"/>
                <w:szCs w:val="14"/>
                <w:lang w:val="es-ES_tradnl"/>
              </w:rPr>
            </w:pPr>
            <w:r w:rsidRPr="006F0DF1">
              <w:rPr>
                <w:rFonts w:ascii="Montserrat" w:hAnsi="Montserrat"/>
                <w:b/>
                <w:color w:val="FFFFFF"/>
                <w:sz w:val="14"/>
                <w:szCs w:val="14"/>
                <w:lang w:val="es-ES_tradnl"/>
              </w:rPr>
              <w:t>Directa</w:t>
            </w:r>
          </w:p>
        </w:tc>
        <w:tc>
          <w:tcPr>
            <w:tcW w:w="1345" w:type="dxa"/>
            <w:tcBorders>
              <w:top w:val="single" w:sz="8" w:space="0" w:color="FFFFFF" w:themeColor="background1"/>
              <w:left w:val="single" w:sz="8" w:space="0" w:color="FFFFFF" w:themeColor="background1"/>
              <w:bottom w:val="double" w:sz="12" w:space="0" w:color="808080" w:themeColor="background1" w:themeShade="80"/>
              <w:right w:val="single" w:sz="8" w:space="0" w:color="FFFFFF" w:themeColor="background1"/>
            </w:tcBorders>
            <w:shd w:val="clear" w:color="auto" w:fill="D4C19C"/>
            <w:noWrap/>
            <w:vAlign w:val="center"/>
            <w:hideMark/>
          </w:tcPr>
          <w:p w14:paraId="5BF3CB9B" w14:textId="77777777" w:rsidR="009C3C24" w:rsidRPr="006F0DF1" w:rsidRDefault="009C3C24" w:rsidP="002F797B">
            <w:pPr>
              <w:spacing w:after="0" w:line="240" w:lineRule="exact"/>
              <w:jc w:val="center"/>
              <w:rPr>
                <w:rFonts w:ascii="Montserrat" w:hAnsi="Montserrat"/>
                <w:b/>
                <w:color w:val="FFFFFF"/>
                <w:sz w:val="14"/>
                <w:szCs w:val="14"/>
                <w:lang w:val="es-ES_tradnl"/>
              </w:rPr>
            </w:pPr>
            <w:r w:rsidRPr="006F0DF1">
              <w:rPr>
                <w:rFonts w:ascii="Montserrat" w:hAnsi="Montserrat"/>
                <w:b/>
                <w:color w:val="FFFFFF"/>
                <w:sz w:val="14"/>
                <w:szCs w:val="14"/>
                <w:lang w:val="es-ES_tradnl"/>
              </w:rPr>
              <w:t>Intermediaria</w:t>
            </w:r>
          </w:p>
        </w:tc>
        <w:tc>
          <w:tcPr>
            <w:tcW w:w="1560" w:type="dxa"/>
            <w:vMerge/>
            <w:tcBorders>
              <w:top w:val="single" w:sz="8" w:space="0" w:color="FFFFFF" w:themeColor="background1"/>
              <w:left w:val="single" w:sz="8" w:space="0" w:color="FFFFFF" w:themeColor="background1"/>
              <w:bottom w:val="double" w:sz="12" w:space="0" w:color="808080" w:themeColor="background1" w:themeShade="80"/>
              <w:right w:val="single" w:sz="8" w:space="0" w:color="FFFFFF" w:themeColor="background1"/>
            </w:tcBorders>
            <w:shd w:val="clear" w:color="auto" w:fill="D4C19C"/>
            <w:noWrap/>
            <w:vAlign w:val="center"/>
            <w:hideMark/>
          </w:tcPr>
          <w:p w14:paraId="32D6EBA6" w14:textId="77777777" w:rsidR="009C3C24" w:rsidRPr="006F0DF1" w:rsidRDefault="009C3C24" w:rsidP="002F797B">
            <w:pPr>
              <w:spacing w:after="0" w:line="240" w:lineRule="exact"/>
              <w:jc w:val="center"/>
              <w:rPr>
                <w:rFonts w:ascii="Montserrat" w:hAnsi="Montserrat"/>
                <w:b/>
                <w:color w:val="FFFFFF"/>
                <w:sz w:val="14"/>
                <w:szCs w:val="14"/>
                <w:lang w:val="es-ES_tradnl"/>
              </w:rPr>
            </w:pPr>
          </w:p>
        </w:tc>
        <w:tc>
          <w:tcPr>
            <w:tcW w:w="662" w:type="dxa"/>
            <w:tcBorders>
              <w:top w:val="single" w:sz="8" w:space="0" w:color="FFFFFF" w:themeColor="background1"/>
              <w:left w:val="single" w:sz="8" w:space="0" w:color="FFFFFF" w:themeColor="background1"/>
              <w:bottom w:val="double" w:sz="12" w:space="0" w:color="808080" w:themeColor="background1" w:themeShade="80"/>
              <w:right w:val="single" w:sz="8" w:space="0" w:color="FFFFFF" w:themeColor="background1"/>
            </w:tcBorders>
            <w:shd w:val="clear" w:color="auto" w:fill="D4C19C"/>
            <w:noWrap/>
            <w:vAlign w:val="center"/>
            <w:hideMark/>
          </w:tcPr>
          <w:p w14:paraId="7A1B202F" w14:textId="77777777" w:rsidR="009C3C24" w:rsidRPr="006F0DF1" w:rsidRDefault="009C3C24" w:rsidP="002F797B">
            <w:pPr>
              <w:spacing w:after="0" w:line="240" w:lineRule="exact"/>
              <w:jc w:val="center"/>
              <w:rPr>
                <w:rFonts w:ascii="Montserrat" w:hAnsi="Montserrat"/>
                <w:b/>
                <w:color w:val="FFFFFF"/>
                <w:sz w:val="14"/>
                <w:szCs w:val="14"/>
                <w:lang w:val="es-ES_tradnl"/>
              </w:rPr>
            </w:pPr>
            <w:r w:rsidRPr="006F0DF1">
              <w:rPr>
                <w:rFonts w:ascii="Montserrat" w:hAnsi="Montserrat"/>
                <w:b/>
                <w:color w:val="FFFFFF"/>
                <w:sz w:val="14"/>
                <w:szCs w:val="14"/>
                <w:lang w:val="es-ES_tradnl"/>
              </w:rPr>
              <w:t>Años</w:t>
            </w:r>
          </w:p>
        </w:tc>
        <w:tc>
          <w:tcPr>
            <w:tcW w:w="709" w:type="dxa"/>
            <w:tcBorders>
              <w:top w:val="single" w:sz="8" w:space="0" w:color="FFFFFF" w:themeColor="background1"/>
              <w:left w:val="single" w:sz="8" w:space="0" w:color="FFFFFF" w:themeColor="background1"/>
              <w:bottom w:val="double" w:sz="12" w:space="0" w:color="808080" w:themeColor="background1" w:themeShade="80"/>
              <w:right w:val="single" w:sz="8" w:space="0" w:color="FFFFFF" w:themeColor="background1"/>
            </w:tcBorders>
            <w:shd w:val="clear" w:color="auto" w:fill="D4C19C"/>
            <w:noWrap/>
            <w:vAlign w:val="center"/>
            <w:hideMark/>
          </w:tcPr>
          <w:p w14:paraId="7DAEA5F4" w14:textId="77777777" w:rsidR="009C3C24" w:rsidRPr="006F0DF1" w:rsidRDefault="009C3C24" w:rsidP="002F797B">
            <w:pPr>
              <w:spacing w:after="0" w:line="240" w:lineRule="exact"/>
              <w:jc w:val="center"/>
              <w:rPr>
                <w:rFonts w:ascii="Montserrat" w:hAnsi="Montserrat"/>
                <w:b/>
                <w:color w:val="FFFFFF"/>
                <w:sz w:val="14"/>
                <w:szCs w:val="14"/>
                <w:lang w:val="es-ES_tradnl"/>
              </w:rPr>
            </w:pPr>
            <w:r w:rsidRPr="006F0DF1">
              <w:rPr>
                <w:rFonts w:ascii="Montserrat" w:hAnsi="Montserrat"/>
                <w:b/>
                <w:color w:val="FFFFFF"/>
                <w:sz w:val="14"/>
                <w:szCs w:val="14"/>
                <w:lang w:val="es-ES_tradnl"/>
              </w:rPr>
              <w:t>Meses</w:t>
            </w:r>
          </w:p>
        </w:tc>
        <w:tc>
          <w:tcPr>
            <w:tcW w:w="708" w:type="dxa"/>
            <w:tcBorders>
              <w:top w:val="single" w:sz="8" w:space="0" w:color="FFFFFF" w:themeColor="background1"/>
              <w:left w:val="single" w:sz="8" w:space="0" w:color="FFFFFF" w:themeColor="background1"/>
              <w:bottom w:val="double" w:sz="12" w:space="0" w:color="808080" w:themeColor="background1" w:themeShade="80"/>
              <w:right w:val="single" w:sz="8" w:space="0" w:color="FFFFFF" w:themeColor="background1"/>
            </w:tcBorders>
            <w:shd w:val="clear" w:color="auto" w:fill="D4C19C"/>
            <w:noWrap/>
            <w:vAlign w:val="center"/>
            <w:hideMark/>
          </w:tcPr>
          <w:p w14:paraId="30217DA6" w14:textId="77777777" w:rsidR="009C3C24" w:rsidRPr="006F0DF1" w:rsidRDefault="009C3C24" w:rsidP="002F797B">
            <w:pPr>
              <w:spacing w:after="0" w:line="240" w:lineRule="exact"/>
              <w:jc w:val="center"/>
              <w:rPr>
                <w:rFonts w:ascii="Montserrat" w:hAnsi="Montserrat"/>
                <w:b/>
                <w:color w:val="FFFFFF"/>
                <w:sz w:val="14"/>
                <w:szCs w:val="14"/>
                <w:lang w:val="es-ES_tradnl"/>
              </w:rPr>
            </w:pPr>
            <w:r w:rsidRPr="006F0DF1">
              <w:rPr>
                <w:rFonts w:ascii="Montserrat" w:hAnsi="Montserrat"/>
                <w:b/>
                <w:color w:val="FFFFFF"/>
                <w:sz w:val="14"/>
                <w:szCs w:val="14"/>
                <w:lang w:val="es-ES_tradnl"/>
              </w:rPr>
              <w:t>Años</w:t>
            </w:r>
          </w:p>
        </w:tc>
        <w:tc>
          <w:tcPr>
            <w:tcW w:w="756" w:type="dxa"/>
            <w:tcBorders>
              <w:top w:val="single" w:sz="8" w:space="0" w:color="FFFFFF" w:themeColor="background1"/>
              <w:left w:val="single" w:sz="8" w:space="0" w:color="FFFFFF" w:themeColor="background1"/>
              <w:bottom w:val="double" w:sz="12" w:space="0" w:color="808080" w:themeColor="background1" w:themeShade="80"/>
              <w:right w:val="single" w:sz="8" w:space="0" w:color="FFFFFF" w:themeColor="background1"/>
            </w:tcBorders>
            <w:shd w:val="clear" w:color="auto" w:fill="D4C19C"/>
            <w:noWrap/>
            <w:vAlign w:val="center"/>
            <w:hideMark/>
          </w:tcPr>
          <w:p w14:paraId="0FDE1476" w14:textId="77777777" w:rsidR="009C3C24" w:rsidRPr="006F0DF1" w:rsidRDefault="009C3C24" w:rsidP="002F797B">
            <w:pPr>
              <w:spacing w:after="0" w:line="240" w:lineRule="exact"/>
              <w:jc w:val="center"/>
              <w:rPr>
                <w:rFonts w:ascii="Montserrat" w:hAnsi="Montserrat"/>
                <w:b/>
                <w:color w:val="FFFFFF"/>
                <w:sz w:val="14"/>
                <w:szCs w:val="14"/>
                <w:lang w:val="es-ES_tradnl"/>
              </w:rPr>
            </w:pPr>
            <w:r w:rsidRPr="006F0DF1">
              <w:rPr>
                <w:rFonts w:ascii="Montserrat" w:hAnsi="Montserrat"/>
                <w:b/>
                <w:color w:val="FFFFFF"/>
                <w:sz w:val="14"/>
                <w:szCs w:val="14"/>
                <w:lang w:val="es-ES_tradnl"/>
              </w:rPr>
              <w:t>Meses</w:t>
            </w:r>
          </w:p>
        </w:tc>
        <w:tc>
          <w:tcPr>
            <w:tcW w:w="662" w:type="dxa"/>
            <w:tcBorders>
              <w:top w:val="single" w:sz="8" w:space="0" w:color="FFFFFF" w:themeColor="background1"/>
              <w:left w:val="single" w:sz="8" w:space="0" w:color="FFFFFF" w:themeColor="background1"/>
              <w:bottom w:val="double" w:sz="12" w:space="0" w:color="808080" w:themeColor="background1" w:themeShade="80"/>
              <w:right w:val="single" w:sz="8" w:space="0" w:color="FFFFFF" w:themeColor="background1"/>
            </w:tcBorders>
            <w:shd w:val="clear" w:color="auto" w:fill="D4C19C"/>
            <w:noWrap/>
            <w:vAlign w:val="center"/>
            <w:hideMark/>
          </w:tcPr>
          <w:p w14:paraId="55C3AD76" w14:textId="77777777" w:rsidR="009C3C24" w:rsidRPr="006F0DF1" w:rsidRDefault="009C3C24" w:rsidP="002F797B">
            <w:pPr>
              <w:spacing w:after="0" w:line="240" w:lineRule="exact"/>
              <w:jc w:val="center"/>
              <w:rPr>
                <w:rFonts w:ascii="Montserrat" w:hAnsi="Montserrat"/>
                <w:b/>
                <w:color w:val="FFFFFF"/>
                <w:sz w:val="14"/>
                <w:szCs w:val="14"/>
                <w:lang w:val="es-ES_tradnl"/>
              </w:rPr>
            </w:pPr>
            <w:r w:rsidRPr="006F0DF1">
              <w:rPr>
                <w:rFonts w:ascii="Montserrat" w:hAnsi="Montserrat"/>
                <w:b/>
                <w:color w:val="FFFFFF"/>
                <w:sz w:val="14"/>
                <w:szCs w:val="14"/>
                <w:lang w:val="es-ES_tradnl"/>
              </w:rPr>
              <w:t>Fija</w:t>
            </w:r>
          </w:p>
        </w:tc>
        <w:tc>
          <w:tcPr>
            <w:tcW w:w="850" w:type="dxa"/>
            <w:tcBorders>
              <w:top w:val="single" w:sz="8" w:space="0" w:color="FFFFFF" w:themeColor="background1"/>
              <w:left w:val="single" w:sz="8" w:space="0" w:color="FFFFFF" w:themeColor="background1"/>
              <w:bottom w:val="double" w:sz="12" w:space="0" w:color="808080" w:themeColor="background1" w:themeShade="80"/>
              <w:right w:val="single" w:sz="8" w:space="0" w:color="FFFFFF" w:themeColor="background1"/>
            </w:tcBorders>
            <w:shd w:val="clear" w:color="auto" w:fill="D4C19C"/>
            <w:noWrap/>
            <w:vAlign w:val="center"/>
            <w:hideMark/>
          </w:tcPr>
          <w:p w14:paraId="4EE2635B" w14:textId="77777777" w:rsidR="009C3C24" w:rsidRPr="006F0DF1" w:rsidRDefault="009C3C24" w:rsidP="002F797B">
            <w:pPr>
              <w:spacing w:after="0" w:line="240" w:lineRule="exact"/>
              <w:jc w:val="center"/>
              <w:rPr>
                <w:rFonts w:ascii="Montserrat" w:hAnsi="Montserrat"/>
                <w:b/>
                <w:color w:val="FFFFFF"/>
                <w:sz w:val="14"/>
                <w:szCs w:val="14"/>
                <w:lang w:val="es-ES_tradnl"/>
              </w:rPr>
            </w:pPr>
            <w:r w:rsidRPr="006F0DF1">
              <w:rPr>
                <w:rFonts w:ascii="Montserrat" w:hAnsi="Montserrat"/>
                <w:b/>
                <w:color w:val="FFFFFF"/>
                <w:sz w:val="14"/>
                <w:szCs w:val="14"/>
                <w:lang w:val="es-ES_tradnl"/>
              </w:rPr>
              <w:t>Variable</w:t>
            </w:r>
          </w:p>
        </w:tc>
        <w:tc>
          <w:tcPr>
            <w:tcW w:w="567" w:type="dxa"/>
            <w:tcBorders>
              <w:top w:val="single" w:sz="8" w:space="0" w:color="FFFFFF" w:themeColor="background1"/>
              <w:left w:val="single" w:sz="8" w:space="0" w:color="FFFFFF" w:themeColor="background1"/>
              <w:bottom w:val="double" w:sz="12" w:space="0" w:color="808080" w:themeColor="background1" w:themeShade="80"/>
              <w:right w:val="single" w:sz="8" w:space="0" w:color="FFFFFF" w:themeColor="background1"/>
            </w:tcBorders>
            <w:shd w:val="clear" w:color="auto" w:fill="D4C19C"/>
            <w:noWrap/>
            <w:vAlign w:val="center"/>
            <w:hideMark/>
          </w:tcPr>
          <w:p w14:paraId="5E0A6B94" w14:textId="77777777" w:rsidR="009C3C24" w:rsidRPr="006F0DF1" w:rsidRDefault="009C3C24" w:rsidP="002F797B">
            <w:pPr>
              <w:spacing w:after="0" w:line="240" w:lineRule="exact"/>
              <w:jc w:val="center"/>
              <w:rPr>
                <w:rFonts w:ascii="Montserrat" w:hAnsi="Montserrat"/>
                <w:b/>
                <w:color w:val="FFFFFF"/>
                <w:sz w:val="14"/>
                <w:szCs w:val="14"/>
                <w:lang w:val="es-ES_tradnl"/>
              </w:rPr>
            </w:pPr>
            <w:r w:rsidRPr="006F0DF1">
              <w:rPr>
                <w:rFonts w:ascii="Montserrat" w:hAnsi="Montserrat"/>
                <w:b/>
                <w:color w:val="FFFFFF"/>
                <w:sz w:val="14"/>
                <w:szCs w:val="14"/>
                <w:lang w:val="es-ES_tradnl"/>
              </w:rPr>
              <w:t>Base</w:t>
            </w:r>
          </w:p>
        </w:tc>
        <w:tc>
          <w:tcPr>
            <w:tcW w:w="567" w:type="dxa"/>
            <w:tcBorders>
              <w:top w:val="single" w:sz="8" w:space="0" w:color="FFFFFF" w:themeColor="background1"/>
              <w:left w:val="single" w:sz="8" w:space="0" w:color="FFFFFF" w:themeColor="background1"/>
              <w:bottom w:val="double" w:sz="12" w:space="0" w:color="808080" w:themeColor="background1" w:themeShade="80"/>
              <w:right w:val="single" w:sz="8" w:space="0" w:color="FFFFFF" w:themeColor="background1"/>
            </w:tcBorders>
            <w:shd w:val="clear" w:color="auto" w:fill="D4C19C"/>
            <w:noWrap/>
            <w:vAlign w:val="center"/>
            <w:hideMark/>
          </w:tcPr>
          <w:p w14:paraId="50CDFE95" w14:textId="77777777" w:rsidR="009C3C24" w:rsidRPr="006F0DF1" w:rsidRDefault="009C3C24" w:rsidP="002F797B">
            <w:pPr>
              <w:spacing w:after="0" w:line="240" w:lineRule="exact"/>
              <w:jc w:val="center"/>
              <w:rPr>
                <w:rFonts w:ascii="Montserrat" w:hAnsi="Montserrat"/>
                <w:b/>
                <w:color w:val="FFFFFF"/>
                <w:sz w:val="14"/>
                <w:szCs w:val="14"/>
                <w:lang w:val="es-ES_tradnl"/>
              </w:rPr>
            </w:pPr>
            <w:r w:rsidRPr="006F0DF1">
              <w:rPr>
                <w:rFonts w:ascii="Montserrat" w:hAnsi="Montserrat"/>
                <w:b/>
                <w:color w:val="FFFFFF"/>
                <w:sz w:val="14"/>
                <w:szCs w:val="14"/>
                <w:lang w:val="es-ES_tradnl"/>
              </w:rPr>
              <w:t>S/      Tasa</w:t>
            </w:r>
          </w:p>
        </w:tc>
        <w:tc>
          <w:tcPr>
            <w:tcW w:w="567" w:type="dxa"/>
            <w:gridSpan w:val="2"/>
            <w:tcBorders>
              <w:top w:val="single" w:sz="8" w:space="0" w:color="FFFFFF" w:themeColor="background1"/>
              <w:left w:val="single" w:sz="8" w:space="0" w:color="FFFFFF" w:themeColor="background1"/>
              <w:bottom w:val="double" w:sz="12" w:space="0" w:color="808080" w:themeColor="background1" w:themeShade="80"/>
              <w:right w:val="single" w:sz="8" w:space="0" w:color="FFFFFF" w:themeColor="background1"/>
            </w:tcBorders>
            <w:shd w:val="clear" w:color="auto" w:fill="D4C19C"/>
            <w:noWrap/>
            <w:vAlign w:val="center"/>
            <w:hideMark/>
          </w:tcPr>
          <w:p w14:paraId="09AC709A" w14:textId="77777777" w:rsidR="009C3C24" w:rsidRPr="006F0DF1" w:rsidRDefault="009C3C24" w:rsidP="002F797B">
            <w:pPr>
              <w:spacing w:after="0" w:line="240" w:lineRule="exact"/>
              <w:jc w:val="center"/>
              <w:rPr>
                <w:rFonts w:ascii="Montserrat" w:hAnsi="Montserrat"/>
                <w:b/>
                <w:color w:val="FFFFFF"/>
                <w:sz w:val="14"/>
                <w:szCs w:val="14"/>
                <w:lang w:val="es-ES_tradnl"/>
              </w:rPr>
            </w:pPr>
            <w:r w:rsidRPr="006F0DF1">
              <w:rPr>
                <w:rFonts w:ascii="Montserrat" w:hAnsi="Montserrat"/>
                <w:b/>
                <w:color w:val="FFFFFF"/>
                <w:sz w:val="14"/>
                <w:szCs w:val="14"/>
                <w:lang w:val="es-ES_tradnl"/>
              </w:rPr>
              <w:t>Base</w:t>
            </w:r>
          </w:p>
        </w:tc>
        <w:tc>
          <w:tcPr>
            <w:tcW w:w="567" w:type="dxa"/>
            <w:gridSpan w:val="2"/>
            <w:tcBorders>
              <w:top w:val="single" w:sz="8" w:space="0" w:color="FFFFFF" w:themeColor="background1"/>
              <w:left w:val="single" w:sz="8" w:space="0" w:color="FFFFFF" w:themeColor="background1"/>
              <w:bottom w:val="double" w:sz="12" w:space="0" w:color="808080" w:themeColor="background1" w:themeShade="80"/>
              <w:right w:val="single" w:sz="8" w:space="0" w:color="FFFFFF" w:themeColor="background1"/>
            </w:tcBorders>
            <w:shd w:val="clear" w:color="auto" w:fill="D4C19C"/>
            <w:noWrap/>
            <w:vAlign w:val="center"/>
            <w:hideMark/>
          </w:tcPr>
          <w:p w14:paraId="37686896" w14:textId="77777777" w:rsidR="009C3C24" w:rsidRPr="006F0DF1" w:rsidRDefault="009C3C24" w:rsidP="002F797B">
            <w:pPr>
              <w:spacing w:after="0" w:line="240" w:lineRule="exact"/>
              <w:jc w:val="center"/>
              <w:rPr>
                <w:rFonts w:ascii="Montserrat" w:hAnsi="Montserrat"/>
                <w:b/>
                <w:color w:val="FFFFFF"/>
                <w:sz w:val="14"/>
                <w:szCs w:val="14"/>
                <w:lang w:val="es-ES_tradnl"/>
              </w:rPr>
            </w:pPr>
            <w:r w:rsidRPr="006F0DF1">
              <w:rPr>
                <w:rFonts w:ascii="Montserrat" w:hAnsi="Montserrat"/>
                <w:b/>
                <w:color w:val="FFFFFF"/>
                <w:sz w:val="14"/>
                <w:szCs w:val="14"/>
                <w:lang w:val="es-ES_tradnl"/>
              </w:rPr>
              <w:t>S/  Tasa</w:t>
            </w:r>
          </w:p>
        </w:tc>
        <w:tc>
          <w:tcPr>
            <w:tcW w:w="567" w:type="dxa"/>
            <w:tcBorders>
              <w:top w:val="single" w:sz="8" w:space="0" w:color="FFFFFF" w:themeColor="background1"/>
              <w:left w:val="single" w:sz="8" w:space="0" w:color="FFFFFF" w:themeColor="background1"/>
              <w:bottom w:val="double" w:sz="12" w:space="0" w:color="808080" w:themeColor="background1" w:themeShade="80"/>
              <w:right w:val="single" w:sz="8" w:space="0" w:color="FFFFFF" w:themeColor="background1"/>
            </w:tcBorders>
            <w:shd w:val="clear" w:color="auto" w:fill="D4C19C"/>
            <w:noWrap/>
            <w:vAlign w:val="center"/>
            <w:hideMark/>
          </w:tcPr>
          <w:p w14:paraId="3B811583" w14:textId="77777777" w:rsidR="009C3C24" w:rsidRPr="006F0DF1" w:rsidRDefault="009C3C24" w:rsidP="002F797B">
            <w:pPr>
              <w:spacing w:after="0" w:line="240" w:lineRule="exact"/>
              <w:jc w:val="center"/>
              <w:rPr>
                <w:rFonts w:ascii="Montserrat" w:hAnsi="Montserrat"/>
                <w:b/>
                <w:color w:val="FFFFFF"/>
                <w:sz w:val="14"/>
                <w:szCs w:val="14"/>
                <w:lang w:val="es-ES_tradnl"/>
              </w:rPr>
            </w:pPr>
            <w:r w:rsidRPr="006F0DF1">
              <w:rPr>
                <w:rFonts w:ascii="Montserrat" w:hAnsi="Montserrat"/>
                <w:b/>
                <w:color w:val="FFFFFF"/>
                <w:sz w:val="14"/>
                <w:szCs w:val="14"/>
                <w:lang w:val="es-ES_tradnl"/>
              </w:rPr>
              <w:t>Fija</w:t>
            </w:r>
          </w:p>
        </w:tc>
        <w:tc>
          <w:tcPr>
            <w:tcW w:w="709" w:type="dxa"/>
            <w:tcBorders>
              <w:top w:val="single" w:sz="8" w:space="0" w:color="FFFFFF" w:themeColor="background1"/>
              <w:left w:val="single" w:sz="8" w:space="0" w:color="FFFFFF" w:themeColor="background1"/>
              <w:bottom w:val="double" w:sz="12" w:space="0" w:color="808080" w:themeColor="background1" w:themeShade="80"/>
              <w:right w:val="single" w:sz="8" w:space="0" w:color="FFFFFF" w:themeColor="background1"/>
            </w:tcBorders>
            <w:shd w:val="clear" w:color="auto" w:fill="D4C19C"/>
            <w:noWrap/>
            <w:vAlign w:val="center"/>
            <w:hideMark/>
          </w:tcPr>
          <w:p w14:paraId="62232651" w14:textId="77777777" w:rsidR="009C3C24" w:rsidRPr="006F0DF1" w:rsidRDefault="009C3C24" w:rsidP="002F797B">
            <w:pPr>
              <w:spacing w:after="0" w:line="240" w:lineRule="exact"/>
              <w:jc w:val="center"/>
              <w:rPr>
                <w:rFonts w:ascii="Montserrat" w:hAnsi="Montserrat"/>
                <w:b/>
                <w:sz w:val="14"/>
                <w:szCs w:val="14"/>
                <w:lang w:val="es-ES_tradnl"/>
              </w:rPr>
            </w:pPr>
            <w:r w:rsidRPr="006F0DF1">
              <w:rPr>
                <w:rFonts w:ascii="Montserrat" w:hAnsi="Montserrat"/>
                <w:b/>
                <w:color w:val="FFFFFF"/>
                <w:sz w:val="14"/>
                <w:szCs w:val="14"/>
                <w:lang w:val="es-ES_tradnl"/>
              </w:rPr>
              <w:t>Variable</w:t>
            </w:r>
          </w:p>
        </w:tc>
      </w:tr>
      <w:tr w:rsidR="009C3C24" w:rsidRPr="005210C6" w14:paraId="4B6DDBAF" w14:textId="77777777" w:rsidTr="0023764E">
        <w:trPr>
          <w:trHeight w:val="285"/>
        </w:trPr>
        <w:tc>
          <w:tcPr>
            <w:tcW w:w="2624" w:type="dxa"/>
            <w:gridSpan w:val="4"/>
            <w:tcBorders>
              <w:top w:val="double" w:sz="12" w:space="0" w:color="808080" w:themeColor="background1" w:themeShade="80"/>
            </w:tcBorders>
            <w:shd w:val="clear" w:color="auto" w:fill="F2F2F2" w:themeFill="background1" w:themeFillShade="F2"/>
            <w:noWrap/>
            <w:vAlign w:val="bottom"/>
            <w:hideMark/>
          </w:tcPr>
          <w:p w14:paraId="07C3AED0" w14:textId="77777777" w:rsidR="009C3C24" w:rsidRPr="005210C6" w:rsidRDefault="009C3C24" w:rsidP="002F797B">
            <w:pPr>
              <w:spacing w:after="0" w:line="240" w:lineRule="exact"/>
              <w:rPr>
                <w:rFonts w:ascii="Montserrat" w:hAnsi="Montserrat"/>
                <w:b/>
                <w:bCs/>
                <w:sz w:val="14"/>
                <w:szCs w:val="14"/>
                <w:lang w:val="es-ES_tradnl"/>
              </w:rPr>
            </w:pPr>
            <w:r w:rsidRPr="005210C6">
              <w:rPr>
                <w:rFonts w:ascii="Montserrat" w:hAnsi="Montserrat"/>
                <w:b/>
                <w:bCs/>
                <w:sz w:val="14"/>
                <w:szCs w:val="14"/>
                <w:lang w:val="es-ES_tradnl"/>
              </w:rPr>
              <w:t>Total Deuda Pública</w:t>
            </w:r>
          </w:p>
        </w:tc>
        <w:tc>
          <w:tcPr>
            <w:tcW w:w="1345" w:type="dxa"/>
            <w:tcBorders>
              <w:top w:val="double" w:sz="12" w:space="0" w:color="808080" w:themeColor="background1" w:themeShade="80"/>
            </w:tcBorders>
            <w:shd w:val="clear" w:color="auto" w:fill="F2F2F2" w:themeFill="background1" w:themeFillShade="F2"/>
            <w:noWrap/>
            <w:vAlign w:val="bottom"/>
          </w:tcPr>
          <w:p w14:paraId="79161496" w14:textId="77777777" w:rsidR="009C3C24" w:rsidRPr="005210C6" w:rsidRDefault="009C3C24" w:rsidP="002F797B">
            <w:pPr>
              <w:spacing w:after="0" w:line="240" w:lineRule="exact"/>
              <w:jc w:val="center"/>
              <w:rPr>
                <w:rFonts w:ascii="Montserrat" w:hAnsi="Montserrat"/>
                <w:b/>
                <w:sz w:val="14"/>
                <w:szCs w:val="14"/>
                <w:lang w:val="es-ES_tradnl"/>
              </w:rPr>
            </w:pPr>
          </w:p>
        </w:tc>
        <w:tc>
          <w:tcPr>
            <w:tcW w:w="1560" w:type="dxa"/>
            <w:tcBorders>
              <w:top w:val="double" w:sz="12" w:space="0" w:color="808080" w:themeColor="background1" w:themeShade="80"/>
            </w:tcBorders>
            <w:shd w:val="clear" w:color="auto" w:fill="F2F2F2" w:themeFill="background1" w:themeFillShade="F2"/>
            <w:noWrap/>
            <w:vAlign w:val="bottom"/>
          </w:tcPr>
          <w:p w14:paraId="5F20B314" w14:textId="7817E235" w:rsidR="009C3C24" w:rsidRPr="005210C6" w:rsidRDefault="009D2BD9" w:rsidP="002F797B">
            <w:pPr>
              <w:spacing w:after="0" w:line="240" w:lineRule="exact"/>
              <w:jc w:val="right"/>
              <w:rPr>
                <w:rFonts w:ascii="Montserrat" w:hAnsi="Montserrat"/>
                <w:b/>
                <w:sz w:val="14"/>
                <w:szCs w:val="14"/>
                <w:lang w:val="es-ES_tradnl"/>
              </w:rPr>
            </w:pPr>
            <w:r w:rsidRPr="009D2BD9">
              <w:rPr>
                <w:rFonts w:ascii="Montserrat" w:hAnsi="Montserrat"/>
                <w:b/>
                <w:sz w:val="14"/>
                <w:szCs w:val="14"/>
                <w:lang w:val="es-ES_tradnl"/>
              </w:rPr>
              <w:t>2</w:t>
            </w:r>
            <w:r w:rsidR="00070196">
              <w:rPr>
                <w:rFonts w:ascii="Montserrat" w:hAnsi="Montserrat"/>
                <w:b/>
                <w:sz w:val="14"/>
                <w:szCs w:val="14"/>
                <w:lang w:val="es-ES_tradnl"/>
              </w:rPr>
              <w:t>,</w:t>
            </w:r>
            <w:r w:rsidRPr="009D2BD9">
              <w:rPr>
                <w:rFonts w:ascii="Montserrat" w:hAnsi="Montserrat"/>
                <w:b/>
                <w:sz w:val="14"/>
                <w:szCs w:val="14"/>
                <w:lang w:val="es-ES_tradnl"/>
              </w:rPr>
              <w:t>141</w:t>
            </w:r>
            <w:r w:rsidR="00070196">
              <w:rPr>
                <w:rFonts w:ascii="Montserrat" w:hAnsi="Montserrat"/>
                <w:b/>
                <w:sz w:val="14"/>
                <w:szCs w:val="14"/>
                <w:lang w:val="es-ES_tradnl"/>
              </w:rPr>
              <w:t>,</w:t>
            </w:r>
            <w:r w:rsidRPr="009D2BD9">
              <w:rPr>
                <w:rFonts w:ascii="Montserrat" w:hAnsi="Montserrat"/>
                <w:b/>
                <w:sz w:val="14"/>
                <w:szCs w:val="14"/>
                <w:lang w:val="es-ES_tradnl"/>
              </w:rPr>
              <w:t>058</w:t>
            </w:r>
            <w:r w:rsidR="00070196">
              <w:rPr>
                <w:rFonts w:ascii="Montserrat" w:hAnsi="Montserrat"/>
                <w:b/>
                <w:sz w:val="14"/>
                <w:szCs w:val="14"/>
                <w:lang w:val="es-ES_tradnl"/>
              </w:rPr>
              <w:t>,</w:t>
            </w:r>
            <w:r w:rsidRPr="009D2BD9">
              <w:rPr>
                <w:rFonts w:ascii="Montserrat" w:hAnsi="Montserrat"/>
                <w:b/>
                <w:sz w:val="14"/>
                <w:szCs w:val="14"/>
                <w:lang w:val="es-ES_tradnl"/>
              </w:rPr>
              <w:t>723</w:t>
            </w:r>
            <w:r w:rsidR="00070196">
              <w:rPr>
                <w:rFonts w:ascii="Montserrat" w:hAnsi="Montserrat"/>
                <w:b/>
                <w:sz w:val="14"/>
                <w:szCs w:val="14"/>
                <w:lang w:val="es-ES_tradnl"/>
              </w:rPr>
              <w:t>,</w:t>
            </w:r>
            <w:r w:rsidRPr="009D2BD9">
              <w:rPr>
                <w:rFonts w:ascii="Montserrat" w:hAnsi="Montserrat"/>
                <w:b/>
                <w:sz w:val="14"/>
                <w:szCs w:val="14"/>
                <w:lang w:val="es-ES_tradnl"/>
              </w:rPr>
              <w:t>948</w:t>
            </w:r>
            <w:r w:rsidR="009C3C24" w:rsidRPr="005210C6">
              <w:rPr>
                <w:rFonts w:ascii="Montserrat" w:hAnsi="Montserrat"/>
                <w:b/>
                <w:sz w:val="14"/>
                <w:szCs w:val="14"/>
                <w:lang w:val="es-ES_tradnl"/>
              </w:rPr>
              <w:t xml:space="preserve"> </w:t>
            </w:r>
          </w:p>
        </w:tc>
        <w:tc>
          <w:tcPr>
            <w:tcW w:w="662" w:type="dxa"/>
            <w:tcBorders>
              <w:top w:val="double" w:sz="12" w:space="0" w:color="808080" w:themeColor="background1" w:themeShade="80"/>
            </w:tcBorders>
            <w:shd w:val="clear" w:color="auto" w:fill="F2F2F2" w:themeFill="background1" w:themeFillShade="F2"/>
            <w:noWrap/>
            <w:vAlign w:val="bottom"/>
          </w:tcPr>
          <w:p w14:paraId="0482F863" w14:textId="77777777" w:rsidR="009C3C24" w:rsidRPr="005210C6" w:rsidRDefault="009C3C24" w:rsidP="002F797B">
            <w:pPr>
              <w:spacing w:after="0" w:line="240" w:lineRule="exact"/>
              <w:rPr>
                <w:rFonts w:ascii="Montserrat" w:hAnsi="Montserrat"/>
                <w:b/>
                <w:sz w:val="14"/>
                <w:szCs w:val="14"/>
                <w:lang w:val="es-ES_tradnl"/>
              </w:rPr>
            </w:pPr>
          </w:p>
        </w:tc>
        <w:tc>
          <w:tcPr>
            <w:tcW w:w="709" w:type="dxa"/>
            <w:tcBorders>
              <w:top w:val="double" w:sz="12" w:space="0" w:color="808080" w:themeColor="background1" w:themeShade="80"/>
            </w:tcBorders>
            <w:shd w:val="clear" w:color="auto" w:fill="F2F2F2" w:themeFill="background1" w:themeFillShade="F2"/>
            <w:noWrap/>
            <w:vAlign w:val="bottom"/>
          </w:tcPr>
          <w:p w14:paraId="2F7F9395" w14:textId="77777777" w:rsidR="009C3C24" w:rsidRPr="005210C6" w:rsidRDefault="009C3C24" w:rsidP="002F797B">
            <w:pPr>
              <w:spacing w:after="0" w:line="240" w:lineRule="exact"/>
              <w:jc w:val="center"/>
              <w:rPr>
                <w:rFonts w:ascii="Montserrat" w:hAnsi="Montserrat"/>
                <w:b/>
                <w:sz w:val="14"/>
                <w:szCs w:val="14"/>
                <w:lang w:val="es-ES_tradnl"/>
              </w:rPr>
            </w:pPr>
          </w:p>
        </w:tc>
        <w:tc>
          <w:tcPr>
            <w:tcW w:w="708" w:type="dxa"/>
            <w:tcBorders>
              <w:top w:val="double" w:sz="12" w:space="0" w:color="808080" w:themeColor="background1" w:themeShade="80"/>
            </w:tcBorders>
            <w:shd w:val="clear" w:color="auto" w:fill="F2F2F2" w:themeFill="background1" w:themeFillShade="F2"/>
            <w:noWrap/>
            <w:vAlign w:val="bottom"/>
          </w:tcPr>
          <w:p w14:paraId="4C4D75A6" w14:textId="77777777" w:rsidR="009C3C24" w:rsidRPr="005210C6" w:rsidRDefault="009C3C24" w:rsidP="002F797B">
            <w:pPr>
              <w:spacing w:after="0" w:line="240" w:lineRule="exact"/>
              <w:jc w:val="center"/>
              <w:rPr>
                <w:rFonts w:ascii="Montserrat" w:hAnsi="Montserrat"/>
                <w:b/>
                <w:sz w:val="14"/>
                <w:szCs w:val="14"/>
                <w:lang w:val="es-ES_tradnl"/>
              </w:rPr>
            </w:pPr>
          </w:p>
        </w:tc>
        <w:tc>
          <w:tcPr>
            <w:tcW w:w="756" w:type="dxa"/>
            <w:tcBorders>
              <w:top w:val="double" w:sz="12" w:space="0" w:color="808080" w:themeColor="background1" w:themeShade="80"/>
            </w:tcBorders>
            <w:shd w:val="clear" w:color="auto" w:fill="F2F2F2" w:themeFill="background1" w:themeFillShade="F2"/>
            <w:noWrap/>
            <w:vAlign w:val="bottom"/>
          </w:tcPr>
          <w:p w14:paraId="52A735D3" w14:textId="77777777" w:rsidR="009C3C24" w:rsidRPr="005210C6" w:rsidRDefault="009C3C24" w:rsidP="002F797B">
            <w:pPr>
              <w:spacing w:after="0" w:line="240" w:lineRule="exact"/>
              <w:jc w:val="center"/>
              <w:rPr>
                <w:rFonts w:ascii="Montserrat" w:hAnsi="Montserrat"/>
                <w:b/>
                <w:sz w:val="14"/>
                <w:szCs w:val="14"/>
                <w:lang w:val="es-ES_tradnl"/>
              </w:rPr>
            </w:pPr>
          </w:p>
        </w:tc>
        <w:tc>
          <w:tcPr>
            <w:tcW w:w="662" w:type="dxa"/>
            <w:tcBorders>
              <w:top w:val="double" w:sz="12" w:space="0" w:color="808080" w:themeColor="background1" w:themeShade="80"/>
            </w:tcBorders>
            <w:shd w:val="clear" w:color="auto" w:fill="F2F2F2" w:themeFill="background1" w:themeFillShade="F2"/>
            <w:noWrap/>
            <w:vAlign w:val="bottom"/>
          </w:tcPr>
          <w:p w14:paraId="73C8B54B" w14:textId="77777777" w:rsidR="009C3C24" w:rsidRPr="005210C6" w:rsidRDefault="009C3C24" w:rsidP="002F797B">
            <w:pPr>
              <w:spacing w:after="0" w:line="240" w:lineRule="exact"/>
              <w:jc w:val="center"/>
              <w:rPr>
                <w:rFonts w:ascii="Montserrat" w:hAnsi="Montserrat"/>
                <w:b/>
                <w:sz w:val="14"/>
                <w:szCs w:val="14"/>
                <w:lang w:val="es-ES_tradnl"/>
              </w:rPr>
            </w:pPr>
          </w:p>
        </w:tc>
        <w:tc>
          <w:tcPr>
            <w:tcW w:w="850" w:type="dxa"/>
            <w:tcBorders>
              <w:top w:val="double" w:sz="12" w:space="0" w:color="808080" w:themeColor="background1" w:themeShade="80"/>
            </w:tcBorders>
            <w:shd w:val="clear" w:color="auto" w:fill="F2F2F2" w:themeFill="background1" w:themeFillShade="F2"/>
            <w:noWrap/>
            <w:vAlign w:val="bottom"/>
          </w:tcPr>
          <w:p w14:paraId="75DFEFAF" w14:textId="77777777" w:rsidR="009C3C24" w:rsidRPr="005210C6" w:rsidRDefault="009C3C24" w:rsidP="002F797B">
            <w:pPr>
              <w:spacing w:after="0" w:line="240" w:lineRule="exact"/>
              <w:jc w:val="center"/>
              <w:rPr>
                <w:rFonts w:ascii="Montserrat" w:hAnsi="Montserrat"/>
                <w:b/>
                <w:sz w:val="14"/>
                <w:szCs w:val="14"/>
                <w:lang w:val="es-ES_tradnl"/>
              </w:rPr>
            </w:pPr>
          </w:p>
        </w:tc>
        <w:tc>
          <w:tcPr>
            <w:tcW w:w="567" w:type="dxa"/>
            <w:tcBorders>
              <w:top w:val="double" w:sz="12" w:space="0" w:color="808080" w:themeColor="background1" w:themeShade="80"/>
            </w:tcBorders>
            <w:shd w:val="clear" w:color="auto" w:fill="F2F2F2" w:themeFill="background1" w:themeFillShade="F2"/>
            <w:noWrap/>
            <w:vAlign w:val="bottom"/>
          </w:tcPr>
          <w:p w14:paraId="2AFB0D14" w14:textId="77777777" w:rsidR="009C3C24" w:rsidRPr="005210C6" w:rsidRDefault="009C3C24" w:rsidP="002F797B">
            <w:pPr>
              <w:spacing w:after="0" w:line="240" w:lineRule="exact"/>
              <w:jc w:val="right"/>
              <w:rPr>
                <w:rFonts w:ascii="Montserrat" w:hAnsi="Montserrat"/>
                <w:b/>
                <w:sz w:val="14"/>
                <w:szCs w:val="14"/>
                <w:lang w:val="es-ES_tradnl"/>
              </w:rPr>
            </w:pPr>
          </w:p>
        </w:tc>
        <w:tc>
          <w:tcPr>
            <w:tcW w:w="567" w:type="dxa"/>
            <w:tcBorders>
              <w:top w:val="double" w:sz="12" w:space="0" w:color="808080" w:themeColor="background1" w:themeShade="80"/>
            </w:tcBorders>
            <w:shd w:val="clear" w:color="auto" w:fill="F2F2F2" w:themeFill="background1" w:themeFillShade="F2"/>
            <w:noWrap/>
            <w:vAlign w:val="bottom"/>
          </w:tcPr>
          <w:p w14:paraId="7C317F85" w14:textId="77777777" w:rsidR="009C3C24" w:rsidRPr="005210C6" w:rsidRDefault="009C3C24" w:rsidP="002F797B">
            <w:pPr>
              <w:spacing w:after="0" w:line="240" w:lineRule="exact"/>
              <w:jc w:val="right"/>
              <w:rPr>
                <w:rFonts w:ascii="Montserrat" w:hAnsi="Montserrat"/>
                <w:b/>
                <w:sz w:val="14"/>
                <w:szCs w:val="14"/>
                <w:lang w:val="es-ES_tradnl"/>
              </w:rPr>
            </w:pPr>
          </w:p>
        </w:tc>
        <w:tc>
          <w:tcPr>
            <w:tcW w:w="567" w:type="dxa"/>
            <w:gridSpan w:val="2"/>
            <w:tcBorders>
              <w:top w:val="double" w:sz="12" w:space="0" w:color="808080" w:themeColor="background1" w:themeShade="80"/>
            </w:tcBorders>
            <w:shd w:val="clear" w:color="auto" w:fill="F2F2F2" w:themeFill="background1" w:themeFillShade="F2"/>
            <w:noWrap/>
            <w:vAlign w:val="bottom"/>
          </w:tcPr>
          <w:p w14:paraId="11F6078E" w14:textId="77777777" w:rsidR="009C3C24" w:rsidRPr="005210C6" w:rsidRDefault="009C3C24" w:rsidP="002F797B">
            <w:pPr>
              <w:spacing w:after="0" w:line="240" w:lineRule="exact"/>
              <w:jc w:val="right"/>
              <w:rPr>
                <w:rFonts w:ascii="Montserrat" w:hAnsi="Montserrat"/>
                <w:b/>
                <w:sz w:val="14"/>
                <w:szCs w:val="14"/>
                <w:lang w:val="es-ES_tradnl"/>
              </w:rPr>
            </w:pPr>
          </w:p>
        </w:tc>
        <w:tc>
          <w:tcPr>
            <w:tcW w:w="567" w:type="dxa"/>
            <w:gridSpan w:val="2"/>
            <w:tcBorders>
              <w:top w:val="double" w:sz="12" w:space="0" w:color="808080" w:themeColor="background1" w:themeShade="80"/>
            </w:tcBorders>
            <w:shd w:val="clear" w:color="auto" w:fill="F2F2F2" w:themeFill="background1" w:themeFillShade="F2"/>
            <w:noWrap/>
            <w:vAlign w:val="bottom"/>
          </w:tcPr>
          <w:p w14:paraId="268C9E57" w14:textId="77777777" w:rsidR="009C3C24" w:rsidRPr="005210C6" w:rsidRDefault="009C3C24" w:rsidP="002F797B">
            <w:pPr>
              <w:spacing w:after="0" w:line="240" w:lineRule="exact"/>
              <w:jc w:val="right"/>
              <w:rPr>
                <w:rFonts w:ascii="Montserrat" w:hAnsi="Montserrat"/>
                <w:b/>
                <w:sz w:val="14"/>
                <w:szCs w:val="14"/>
                <w:lang w:val="es-ES_tradnl"/>
              </w:rPr>
            </w:pPr>
          </w:p>
        </w:tc>
        <w:tc>
          <w:tcPr>
            <w:tcW w:w="567" w:type="dxa"/>
            <w:tcBorders>
              <w:top w:val="double" w:sz="12" w:space="0" w:color="808080" w:themeColor="background1" w:themeShade="80"/>
            </w:tcBorders>
            <w:shd w:val="clear" w:color="auto" w:fill="F2F2F2" w:themeFill="background1" w:themeFillShade="F2"/>
            <w:noWrap/>
            <w:vAlign w:val="bottom"/>
          </w:tcPr>
          <w:p w14:paraId="7BA33B94" w14:textId="77777777" w:rsidR="009C3C24" w:rsidRPr="005210C6" w:rsidRDefault="009C3C24" w:rsidP="002F797B">
            <w:pPr>
              <w:spacing w:after="0" w:line="240" w:lineRule="exact"/>
              <w:jc w:val="right"/>
              <w:rPr>
                <w:rFonts w:ascii="Montserrat" w:hAnsi="Montserrat"/>
                <w:b/>
                <w:sz w:val="14"/>
                <w:szCs w:val="14"/>
                <w:lang w:val="es-ES_tradnl"/>
              </w:rPr>
            </w:pPr>
          </w:p>
        </w:tc>
        <w:tc>
          <w:tcPr>
            <w:tcW w:w="709" w:type="dxa"/>
            <w:tcBorders>
              <w:top w:val="double" w:sz="12" w:space="0" w:color="808080" w:themeColor="background1" w:themeShade="80"/>
            </w:tcBorders>
            <w:shd w:val="clear" w:color="auto" w:fill="F2F2F2" w:themeFill="background1" w:themeFillShade="F2"/>
            <w:noWrap/>
            <w:vAlign w:val="bottom"/>
          </w:tcPr>
          <w:p w14:paraId="4031A403" w14:textId="77777777" w:rsidR="009C3C24" w:rsidRPr="005210C6" w:rsidRDefault="009C3C24" w:rsidP="002F797B">
            <w:pPr>
              <w:spacing w:after="0" w:line="240" w:lineRule="exact"/>
              <w:jc w:val="right"/>
              <w:rPr>
                <w:rFonts w:ascii="Montserrat" w:hAnsi="Montserrat"/>
                <w:b/>
                <w:sz w:val="14"/>
                <w:szCs w:val="14"/>
                <w:lang w:val="es-ES_tradnl"/>
              </w:rPr>
            </w:pPr>
          </w:p>
        </w:tc>
      </w:tr>
      <w:tr w:rsidR="009C3C24" w:rsidRPr="005210C6" w14:paraId="3248C271" w14:textId="77777777" w:rsidTr="0023764E">
        <w:trPr>
          <w:trHeight w:val="255"/>
        </w:trPr>
        <w:tc>
          <w:tcPr>
            <w:tcW w:w="1490" w:type="dxa"/>
            <w:gridSpan w:val="2"/>
            <w:tcBorders>
              <w:right w:val="nil"/>
            </w:tcBorders>
            <w:shd w:val="clear" w:color="auto" w:fill="F2F2F2" w:themeFill="background1" w:themeFillShade="F2"/>
            <w:noWrap/>
            <w:vAlign w:val="bottom"/>
            <w:hideMark/>
          </w:tcPr>
          <w:p w14:paraId="5091A52F" w14:textId="66C646BD" w:rsidR="009C3C24" w:rsidRPr="005210C6" w:rsidRDefault="009C3C24" w:rsidP="002F797B">
            <w:pPr>
              <w:spacing w:after="0" w:line="240" w:lineRule="exact"/>
              <w:rPr>
                <w:rFonts w:ascii="Montserrat" w:hAnsi="Montserrat"/>
                <w:b/>
                <w:bCs/>
                <w:sz w:val="14"/>
                <w:szCs w:val="14"/>
                <w:lang w:val="es-ES_tradnl"/>
              </w:rPr>
            </w:pPr>
            <w:r w:rsidRPr="005210C6">
              <w:rPr>
                <w:rFonts w:ascii="Montserrat" w:hAnsi="Montserrat"/>
                <w:b/>
                <w:bCs/>
                <w:sz w:val="14"/>
                <w:szCs w:val="14"/>
                <w:lang w:val="es-ES_tradnl"/>
              </w:rPr>
              <w:t>Deuda Interna</w:t>
            </w:r>
          </w:p>
        </w:tc>
        <w:tc>
          <w:tcPr>
            <w:tcW w:w="425" w:type="dxa"/>
            <w:tcBorders>
              <w:left w:val="nil"/>
              <w:right w:val="nil"/>
            </w:tcBorders>
            <w:shd w:val="clear" w:color="auto" w:fill="F2F2F2" w:themeFill="background1" w:themeFillShade="F2"/>
            <w:noWrap/>
            <w:vAlign w:val="bottom"/>
            <w:hideMark/>
          </w:tcPr>
          <w:p w14:paraId="7E7AE964" w14:textId="77777777" w:rsidR="009C3C24" w:rsidRPr="005210C6" w:rsidRDefault="009C3C24" w:rsidP="002F797B">
            <w:pPr>
              <w:spacing w:after="0" w:line="240" w:lineRule="exact"/>
              <w:jc w:val="center"/>
              <w:rPr>
                <w:rFonts w:ascii="Montserrat" w:hAnsi="Montserrat"/>
                <w:b/>
                <w:sz w:val="14"/>
                <w:szCs w:val="14"/>
                <w:lang w:val="es-ES_tradnl"/>
              </w:rPr>
            </w:pPr>
            <w:r w:rsidRPr="005210C6">
              <w:rPr>
                <w:rFonts w:ascii="Montserrat" w:hAnsi="Montserrat"/>
                <w:b/>
                <w:sz w:val="14"/>
                <w:szCs w:val="14"/>
                <w:lang w:val="es-ES_tradnl"/>
              </w:rPr>
              <w:t> </w:t>
            </w:r>
          </w:p>
        </w:tc>
        <w:tc>
          <w:tcPr>
            <w:tcW w:w="709" w:type="dxa"/>
            <w:tcBorders>
              <w:left w:val="nil"/>
              <w:right w:val="nil"/>
            </w:tcBorders>
            <w:shd w:val="clear" w:color="auto" w:fill="F2F2F2" w:themeFill="background1" w:themeFillShade="F2"/>
            <w:noWrap/>
            <w:vAlign w:val="bottom"/>
            <w:hideMark/>
          </w:tcPr>
          <w:p w14:paraId="4C58A20E" w14:textId="77777777" w:rsidR="009C3C24" w:rsidRPr="005210C6" w:rsidRDefault="009C3C24" w:rsidP="002F797B">
            <w:pPr>
              <w:spacing w:after="0" w:line="240" w:lineRule="exact"/>
              <w:jc w:val="center"/>
              <w:rPr>
                <w:rFonts w:ascii="Montserrat" w:hAnsi="Montserrat"/>
                <w:b/>
                <w:sz w:val="14"/>
                <w:szCs w:val="14"/>
                <w:lang w:val="es-ES_tradnl"/>
              </w:rPr>
            </w:pPr>
            <w:r w:rsidRPr="005210C6">
              <w:rPr>
                <w:rFonts w:ascii="Montserrat" w:hAnsi="Montserrat"/>
                <w:b/>
                <w:sz w:val="14"/>
                <w:szCs w:val="14"/>
                <w:lang w:val="es-ES_tradnl"/>
              </w:rPr>
              <w:t> </w:t>
            </w:r>
          </w:p>
        </w:tc>
        <w:tc>
          <w:tcPr>
            <w:tcW w:w="1345" w:type="dxa"/>
            <w:tcBorders>
              <w:left w:val="nil"/>
              <w:right w:val="nil"/>
            </w:tcBorders>
            <w:shd w:val="clear" w:color="auto" w:fill="F2F2F2" w:themeFill="background1" w:themeFillShade="F2"/>
            <w:noWrap/>
            <w:vAlign w:val="bottom"/>
          </w:tcPr>
          <w:p w14:paraId="7F4DCF52" w14:textId="77777777" w:rsidR="009C3C24" w:rsidRPr="005210C6" w:rsidRDefault="009C3C24" w:rsidP="002F797B">
            <w:pPr>
              <w:spacing w:after="0" w:line="240" w:lineRule="exact"/>
              <w:jc w:val="center"/>
              <w:rPr>
                <w:rFonts w:ascii="Montserrat" w:hAnsi="Montserrat"/>
                <w:b/>
                <w:sz w:val="14"/>
                <w:szCs w:val="14"/>
                <w:lang w:val="es-ES_tradnl"/>
              </w:rPr>
            </w:pPr>
          </w:p>
        </w:tc>
        <w:tc>
          <w:tcPr>
            <w:tcW w:w="1560" w:type="dxa"/>
            <w:tcBorders>
              <w:left w:val="nil"/>
              <w:right w:val="nil"/>
            </w:tcBorders>
            <w:shd w:val="clear" w:color="auto" w:fill="F2F2F2" w:themeFill="background1" w:themeFillShade="F2"/>
            <w:noWrap/>
            <w:vAlign w:val="bottom"/>
          </w:tcPr>
          <w:p w14:paraId="67176DA1" w14:textId="474DF401" w:rsidR="009C3C24" w:rsidRPr="005210C6" w:rsidRDefault="009D2BD9" w:rsidP="002F797B">
            <w:pPr>
              <w:spacing w:after="0" w:line="240" w:lineRule="exact"/>
              <w:jc w:val="right"/>
              <w:rPr>
                <w:rFonts w:ascii="Montserrat" w:hAnsi="Montserrat"/>
                <w:b/>
                <w:sz w:val="14"/>
                <w:szCs w:val="14"/>
                <w:lang w:val="es-ES_tradnl"/>
              </w:rPr>
            </w:pPr>
            <w:r w:rsidRPr="009D2BD9">
              <w:rPr>
                <w:rFonts w:ascii="Montserrat" w:hAnsi="Montserrat"/>
                <w:b/>
                <w:sz w:val="14"/>
                <w:szCs w:val="14"/>
                <w:lang w:val="es-ES_tradnl"/>
              </w:rPr>
              <w:t>1</w:t>
            </w:r>
            <w:r w:rsidR="00070196">
              <w:rPr>
                <w:rFonts w:ascii="Montserrat" w:hAnsi="Montserrat"/>
                <w:b/>
                <w:sz w:val="14"/>
                <w:szCs w:val="14"/>
                <w:lang w:val="es-ES_tradnl"/>
              </w:rPr>
              <w:t>,</w:t>
            </w:r>
            <w:r w:rsidRPr="009D2BD9">
              <w:rPr>
                <w:rFonts w:ascii="Montserrat" w:hAnsi="Montserrat"/>
                <w:b/>
                <w:sz w:val="14"/>
                <w:szCs w:val="14"/>
                <w:lang w:val="es-ES_tradnl"/>
              </w:rPr>
              <w:t>992</w:t>
            </w:r>
            <w:r w:rsidR="00070196">
              <w:rPr>
                <w:rFonts w:ascii="Montserrat" w:hAnsi="Montserrat"/>
                <w:b/>
                <w:sz w:val="14"/>
                <w:szCs w:val="14"/>
                <w:lang w:val="es-ES_tradnl"/>
              </w:rPr>
              <w:t>,</w:t>
            </w:r>
            <w:r w:rsidRPr="009D2BD9">
              <w:rPr>
                <w:rFonts w:ascii="Montserrat" w:hAnsi="Montserrat"/>
                <w:b/>
                <w:sz w:val="14"/>
                <w:szCs w:val="14"/>
                <w:lang w:val="es-ES_tradnl"/>
              </w:rPr>
              <w:t>945</w:t>
            </w:r>
            <w:r w:rsidR="00070196">
              <w:rPr>
                <w:rFonts w:ascii="Montserrat" w:hAnsi="Montserrat"/>
                <w:b/>
                <w:sz w:val="14"/>
                <w:szCs w:val="14"/>
                <w:lang w:val="es-ES_tradnl"/>
              </w:rPr>
              <w:t>,</w:t>
            </w:r>
            <w:r w:rsidRPr="009D2BD9">
              <w:rPr>
                <w:rFonts w:ascii="Montserrat" w:hAnsi="Montserrat"/>
                <w:b/>
                <w:sz w:val="14"/>
                <w:szCs w:val="14"/>
                <w:lang w:val="es-ES_tradnl"/>
              </w:rPr>
              <w:t>138</w:t>
            </w:r>
            <w:r w:rsidR="00070196">
              <w:rPr>
                <w:rFonts w:ascii="Montserrat" w:hAnsi="Montserrat"/>
                <w:b/>
                <w:sz w:val="14"/>
                <w:szCs w:val="14"/>
                <w:lang w:val="es-ES_tradnl"/>
              </w:rPr>
              <w:t>,</w:t>
            </w:r>
            <w:r w:rsidRPr="009D2BD9">
              <w:rPr>
                <w:rFonts w:ascii="Montserrat" w:hAnsi="Montserrat"/>
                <w:b/>
                <w:sz w:val="14"/>
                <w:szCs w:val="14"/>
                <w:lang w:val="es-ES_tradnl"/>
              </w:rPr>
              <w:t>162</w:t>
            </w:r>
            <w:r w:rsidR="009C3C24" w:rsidRPr="005210C6">
              <w:rPr>
                <w:rFonts w:ascii="Montserrat" w:hAnsi="Montserrat"/>
                <w:b/>
                <w:sz w:val="14"/>
                <w:szCs w:val="14"/>
                <w:lang w:val="es-ES_tradnl"/>
              </w:rPr>
              <w:t xml:space="preserve"> </w:t>
            </w:r>
          </w:p>
        </w:tc>
        <w:tc>
          <w:tcPr>
            <w:tcW w:w="662" w:type="dxa"/>
            <w:tcBorders>
              <w:left w:val="nil"/>
              <w:right w:val="nil"/>
            </w:tcBorders>
            <w:shd w:val="clear" w:color="auto" w:fill="F2F2F2" w:themeFill="background1" w:themeFillShade="F2"/>
            <w:noWrap/>
            <w:vAlign w:val="bottom"/>
          </w:tcPr>
          <w:p w14:paraId="08D5A89C" w14:textId="77777777" w:rsidR="009C3C24" w:rsidRPr="005210C6" w:rsidRDefault="009C3C24" w:rsidP="002F797B">
            <w:pPr>
              <w:spacing w:after="0" w:line="240" w:lineRule="exact"/>
              <w:rPr>
                <w:rFonts w:ascii="Montserrat" w:hAnsi="Montserrat"/>
                <w:b/>
                <w:sz w:val="14"/>
                <w:szCs w:val="14"/>
                <w:lang w:val="es-ES_tradnl"/>
              </w:rPr>
            </w:pPr>
          </w:p>
        </w:tc>
        <w:tc>
          <w:tcPr>
            <w:tcW w:w="709" w:type="dxa"/>
            <w:tcBorders>
              <w:left w:val="nil"/>
              <w:right w:val="nil"/>
            </w:tcBorders>
            <w:shd w:val="clear" w:color="auto" w:fill="F2F2F2" w:themeFill="background1" w:themeFillShade="F2"/>
            <w:noWrap/>
            <w:vAlign w:val="bottom"/>
          </w:tcPr>
          <w:p w14:paraId="07B22A76" w14:textId="77777777" w:rsidR="009C3C24" w:rsidRPr="005210C6" w:rsidRDefault="009C3C24" w:rsidP="002F797B">
            <w:pPr>
              <w:spacing w:after="0" w:line="240" w:lineRule="exact"/>
              <w:jc w:val="center"/>
              <w:rPr>
                <w:rFonts w:ascii="Montserrat" w:hAnsi="Montserrat"/>
                <w:b/>
                <w:sz w:val="14"/>
                <w:szCs w:val="14"/>
                <w:lang w:val="es-ES_tradnl"/>
              </w:rPr>
            </w:pPr>
          </w:p>
        </w:tc>
        <w:tc>
          <w:tcPr>
            <w:tcW w:w="708" w:type="dxa"/>
            <w:tcBorders>
              <w:left w:val="nil"/>
              <w:right w:val="nil"/>
            </w:tcBorders>
            <w:shd w:val="clear" w:color="auto" w:fill="F2F2F2" w:themeFill="background1" w:themeFillShade="F2"/>
            <w:noWrap/>
            <w:vAlign w:val="bottom"/>
          </w:tcPr>
          <w:p w14:paraId="5913B6C6" w14:textId="77777777" w:rsidR="009C3C24" w:rsidRPr="005210C6" w:rsidRDefault="009C3C24" w:rsidP="002F797B">
            <w:pPr>
              <w:spacing w:after="0" w:line="240" w:lineRule="exact"/>
              <w:jc w:val="center"/>
              <w:rPr>
                <w:rFonts w:ascii="Montserrat" w:hAnsi="Montserrat"/>
                <w:b/>
                <w:sz w:val="14"/>
                <w:szCs w:val="14"/>
                <w:lang w:val="es-ES_tradnl"/>
              </w:rPr>
            </w:pPr>
          </w:p>
        </w:tc>
        <w:tc>
          <w:tcPr>
            <w:tcW w:w="756" w:type="dxa"/>
            <w:tcBorders>
              <w:left w:val="nil"/>
              <w:right w:val="nil"/>
            </w:tcBorders>
            <w:shd w:val="clear" w:color="auto" w:fill="F2F2F2" w:themeFill="background1" w:themeFillShade="F2"/>
            <w:noWrap/>
            <w:vAlign w:val="bottom"/>
          </w:tcPr>
          <w:p w14:paraId="6457B5D3" w14:textId="77777777" w:rsidR="009C3C24" w:rsidRPr="005210C6" w:rsidRDefault="009C3C24" w:rsidP="002F797B">
            <w:pPr>
              <w:spacing w:after="0" w:line="240" w:lineRule="exact"/>
              <w:jc w:val="center"/>
              <w:rPr>
                <w:rFonts w:ascii="Montserrat" w:hAnsi="Montserrat"/>
                <w:b/>
                <w:sz w:val="14"/>
                <w:szCs w:val="14"/>
                <w:lang w:val="es-ES_tradnl"/>
              </w:rPr>
            </w:pPr>
          </w:p>
        </w:tc>
        <w:tc>
          <w:tcPr>
            <w:tcW w:w="662" w:type="dxa"/>
            <w:tcBorders>
              <w:left w:val="nil"/>
              <w:right w:val="nil"/>
            </w:tcBorders>
            <w:shd w:val="clear" w:color="auto" w:fill="F2F2F2" w:themeFill="background1" w:themeFillShade="F2"/>
            <w:noWrap/>
            <w:vAlign w:val="bottom"/>
          </w:tcPr>
          <w:p w14:paraId="13E74F13" w14:textId="77777777" w:rsidR="009C3C24" w:rsidRPr="005210C6" w:rsidRDefault="009C3C24" w:rsidP="002F797B">
            <w:pPr>
              <w:spacing w:after="0" w:line="240" w:lineRule="exact"/>
              <w:jc w:val="center"/>
              <w:rPr>
                <w:rFonts w:ascii="Montserrat" w:hAnsi="Montserrat"/>
                <w:b/>
                <w:sz w:val="14"/>
                <w:szCs w:val="14"/>
                <w:lang w:val="es-ES_tradnl"/>
              </w:rPr>
            </w:pPr>
          </w:p>
        </w:tc>
        <w:tc>
          <w:tcPr>
            <w:tcW w:w="850" w:type="dxa"/>
            <w:tcBorders>
              <w:left w:val="nil"/>
              <w:right w:val="nil"/>
            </w:tcBorders>
            <w:shd w:val="clear" w:color="auto" w:fill="F2F2F2" w:themeFill="background1" w:themeFillShade="F2"/>
            <w:noWrap/>
            <w:vAlign w:val="bottom"/>
          </w:tcPr>
          <w:p w14:paraId="2BD14333" w14:textId="77777777" w:rsidR="009C3C24" w:rsidRPr="005210C6" w:rsidRDefault="009C3C24" w:rsidP="002F797B">
            <w:pPr>
              <w:spacing w:after="0" w:line="240" w:lineRule="exact"/>
              <w:jc w:val="center"/>
              <w:rPr>
                <w:rFonts w:ascii="Montserrat" w:hAnsi="Montserrat"/>
                <w:b/>
                <w:sz w:val="14"/>
                <w:szCs w:val="14"/>
                <w:lang w:val="es-ES_tradnl"/>
              </w:rPr>
            </w:pPr>
          </w:p>
        </w:tc>
        <w:tc>
          <w:tcPr>
            <w:tcW w:w="567" w:type="dxa"/>
            <w:tcBorders>
              <w:left w:val="nil"/>
              <w:right w:val="nil"/>
            </w:tcBorders>
            <w:shd w:val="clear" w:color="auto" w:fill="F2F2F2" w:themeFill="background1" w:themeFillShade="F2"/>
            <w:noWrap/>
            <w:vAlign w:val="bottom"/>
          </w:tcPr>
          <w:p w14:paraId="160BD751" w14:textId="77777777" w:rsidR="009C3C24" w:rsidRPr="005210C6" w:rsidRDefault="009C3C24" w:rsidP="002F797B">
            <w:pPr>
              <w:spacing w:after="0" w:line="240" w:lineRule="exact"/>
              <w:jc w:val="right"/>
              <w:rPr>
                <w:rFonts w:ascii="Montserrat" w:hAnsi="Montserrat"/>
                <w:b/>
                <w:sz w:val="14"/>
                <w:szCs w:val="14"/>
                <w:lang w:val="es-ES_tradnl"/>
              </w:rPr>
            </w:pPr>
          </w:p>
        </w:tc>
        <w:tc>
          <w:tcPr>
            <w:tcW w:w="567" w:type="dxa"/>
            <w:tcBorders>
              <w:left w:val="nil"/>
              <w:right w:val="nil"/>
            </w:tcBorders>
            <w:shd w:val="clear" w:color="auto" w:fill="F2F2F2" w:themeFill="background1" w:themeFillShade="F2"/>
            <w:noWrap/>
            <w:vAlign w:val="bottom"/>
          </w:tcPr>
          <w:p w14:paraId="5F500575" w14:textId="77777777" w:rsidR="009C3C24" w:rsidRPr="005210C6" w:rsidRDefault="009C3C24" w:rsidP="002F797B">
            <w:pPr>
              <w:spacing w:after="0" w:line="240" w:lineRule="exact"/>
              <w:jc w:val="right"/>
              <w:rPr>
                <w:rFonts w:ascii="Montserrat" w:hAnsi="Montserrat"/>
                <w:b/>
                <w:sz w:val="14"/>
                <w:szCs w:val="14"/>
                <w:lang w:val="es-ES_tradnl"/>
              </w:rPr>
            </w:pPr>
          </w:p>
        </w:tc>
        <w:tc>
          <w:tcPr>
            <w:tcW w:w="567" w:type="dxa"/>
            <w:gridSpan w:val="2"/>
            <w:tcBorders>
              <w:left w:val="nil"/>
              <w:right w:val="nil"/>
            </w:tcBorders>
            <w:shd w:val="clear" w:color="auto" w:fill="F2F2F2" w:themeFill="background1" w:themeFillShade="F2"/>
            <w:noWrap/>
            <w:vAlign w:val="bottom"/>
          </w:tcPr>
          <w:p w14:paraId="1BEE3AD7" w14:textId="77777777" w:rsidR="009C3C24" w:rsidRPr="005210C6" w:rsidRDefault="009C3C24" w:rsidP="002F797B">
            <w:pPr>
              <w:spacing w:after="0" w:line="240" w:lineRule="exact"/>
              <w:jc w:val="right"/>
              <w:rPr>
                <w:rFonts w:ascii="Montserrat" w:hAnsi="Montserrat"/>
                <w:b/>
                <w:sz w:val="14"/>
                <w:szCs w:val="14"/>
                <w:lang w:val="es-ES_tradnl"/>
              </w:rPr>
            </w:pPr>
          </w:p>
        </w:tc>
        <w:tc>
          <w:tcPr>
            <w:tcW w:w="567" w:type="dxa"/>
            <w:gridSpan w:val="2"/>
            <w:tcBorders>
              <w:left w:val="nil"/>
              <w:right w:val="nil"/>
            </w:tcBorders>
            <w:shd w:val="clear" w:color="auto" w:fill="F2F2F2" w:themeFill="background1" w:themeFillShade="F2"/>
            <w:noWrap/>
            <w:vAlign w:val="bottom"/>
          </w:tcPr>
          <w:p w14:paraId="1D53FBB6" w14:textId="77777777" w:rsidR="009C3C24" w:rsidRPr="005210C6" w:rsidRDefault="009C3C24" w:rsidP="002F797B">
            <w:pPr>
              <w:spacing w:after="0" w:line="240" w:lineRule="exact"/>
              <w:jc w:val="right"/>
              <w:rPr>
                <w:rFonts w:ascii="Montserrat" w:hAnsi="Montserrat"/>
                <w:b/>
                <w:sz w:val="14"/>
                <w:szCs w:val="14"/>
                <w:lang w:val="es-ES_tradnl"/>
              </w:rPr>
            </w:pPr>
          </w:p>
        </w:tc>
        <w:tc>
          <w:tcPr>
            <w:tcW w:w="567" w:type="dxa"/>
            <w:tcBorders>
              <w:left w:val="nil"/>
              <w:right w:val="nil"/>
            </w:tcBorders>
            <w:shd w:val="clear" w:color="auto" w:fill="F2F2F2" w:themeFill="background1" w:themeFillShade="F2"/>
            <w:noWrap/>
            <w:vAlign w:val="bottom"/>
          </w:tcPr>
          <w:p w14:paraId="39EC3209" w14:textId="77777777" w:rsidR="009C3C24" w:rsidRPr="005210C6" w:rsidRDefault="009C3C24" w:rsidP="002F797B">
            <w:pPr>
              <w:spacing w:after="0" w:line="240" w:lineRule="exact"/>
              <w:jc w:val="right"/>
              <w:rPr>
                <w:rFonts w:ascii="Montserrat" w:hAnsi="Montserrat"/>
                <w:b/>
                <w:sz w:val="14"/>
                <w:szCs w:val="14"/>
                <w:lang w:val="es-ES_tradnl"/>
              </w:rPr>
            </w:pPr>
          </w:p>
        </w:tc>
        <w:tc>
          <w:tcPr>
            <w:tcW w:w="709" w:type="dxa"/>
            <w:tcBorders>
              <w:left w:val="nil"/>
            </w:tcBorders>
            <w:shd w:val="clear" w:color="auto" w:fill="F2F2F2" w:themeFill="background1" w:themeFillShade="F2"/>
            <w:noWrap/>
            <w:vAlign w:val="bottom"/>
          </w:tcPr>
          <w:p w14:paraId="35485099" w14:textId="77777777" w:rsidR="009C3C24" w:rsidRPr="005210C6" w:rsidRDefault="009C3C24" w:rsidP="002F797B">
            <w:pPr>
              <w:spacing w:after="0" w:line="240" w:lineRule="exact"/>
              <w:jc w:val="right"/>
              <w:rPr>
                <w:rFonts w:ascii="Montserrat" w:hAnsi="Montserrat"/>
                <w:b/>
                <w:sz w:val="14"/>
                <w:szCs w:val="14"/>
                <w:lang w:val="es-ES_tradnl"/>
              </w:rPr>
            </w:pPr>
          </w:p>
        </w:tc>
      </w:tr>
      <w:tr w:rsidR="009C3C24" w:rsidRPr="005210C6" w14:paraId="07F60B9B" w14:textId="77777777" w:rsidTr="0023764E">
        <w:trPr>
          <w:trHeight w:val="240"/>
        </w:trPr>
        <w:tc>
          <w:tcPr>
            <w:tcW w:w="923" w:type="dxa"/>
            <w:tcBorders>
              <w:right w:val="nil"/>
            </w:tcBorders>
            <w:shd w:val="clear" w:color="auto" w:fill="F2F2F2" w:themeFill="background1" w:themeFillShade="F2"/>
            <w:noWrap/>
            <w:vAlign w:val="bottom"/>
            <w:hideMark/>
          </w:tcPr>
          <w:p w14:paraId="2C58401E" w14:textId="77777777" w:rsidR="009C3C24" w:rsidRPr="005210C6" w:rsidRDefault="009C3C24" w:rsidP="002F797B">
            <w:pPr>
              <w:spacing w:after="0" w:line="240" w:lineRule="exact"/>
              <w:rPr>
                <w:rFonts w:ascii="Montserrat" w:hAnsi="Montserrat"/>
                <w:bCs/>
                <w:sz w:val="14"/>
                <w:szCs w:val="14"/>
                <w:lang w:val="es-ES_tradnl"/>
              </w:rPr>
            </w:pPr>
            <w:r w:rsidRPr="005210C6">
              <w:rPr>
                <w:rFonts w:ascii="Montserrat" w:hAnsi="Montserrat"/>
                <w:bCs/>
                <w:sz w:val="14"/>
                <w:szCs w:val="14"/>
                <w:lang w:val="es-ES_tradnl"/>
              </w:rPr>
              <w:t>Cetes</w:t>
            </w:r>
          </w:p>
        </w:tc>
        <w:tc>
          <w:tcPr>
            <w:tcW w:w="567" w:type="dxa"/>
            <w:tcBorders>
              <w:left w:val="nil"/>
              <w:right w:val="nil"/>
            </w:tcBorders>
            <w:shd w:val="clear" w:color="auto" w:fill="F2F2F2" w:themeFill="background1" w:themeFillShade="F2"/>
            <w:noWrap/>
            <w:vAlign w:val="bottom"/>
          </w:tcPr>
          <w:p w14:paraId="50A09B49" w14:textId="77777777" w:rsidR="009C3C24" w:rsidRPr="005210C6" w:rsidRDefault="009C3C24" w:rsidP="002F797B">
            <w:pPr>
              <w:spacing w:after="0" w:line="240" w:lineRule="exact"/>
              <w:ind w:left="-358" w:firstLine="358"/>
              <w:rPr>
                <w:rFonts w:ascii="Montserrat" w:hAnsi="Montserrat"/>
                <w:sz w:val="14"/>
                <w:szCs w:val="14"/>
                <w:lang w:val="es-ES_tradnl"/>
              </w:rPr>
            </w:pPr>
            <w:r w:rsidRPr="005210C6">
              <w:rPr>
                <w:rFonts w:ascii="Montserrat" w:hAnsi="Montserrat"/>
                <w:sz w:val="14"/>
                <w:szCs w:val="14"/>
                <w:lang w:val="es-ES_tradnl"/>
              </w:rPr>
              <w:t>Mex.</w:t>
            </w:r>
          </w:p>
        </w:tc>
        <w:tc>
          <w:tcPr>
            <w:tcW w:w="425" w:type="dxa"/>
            <w:tcBorders>
              <w:left w:val="nil"/>
              <w:right w:val="nil"/>
            </w:tcBorders>
            <w:shd w:val="clear" w:color="auto" w:fill="F2F2F2" w:themeFill="background1" w:themeFillShade="F2"/>
            <w:noWrap/>
            <w:vAlign w:val="bottom"/>
          </w:tcPr>
          <w:p w14:paraId="3C7217EF" w14:textId="77777777" w:rsidR="009C3C24" w:rsidRPr="005210C6" w:rsidRDefault="009C3C24" w:rsidP="002F797B">
            <w:pPr>
              <w:spacing w:after="0" w:line="240" w:lineRule="exact"/>
              <w:rPr>
                <w:rFonts w:ascii="Montserrat" w:hAnsi="Montserrat"/>
                <w:sz w:val="14"/>
                <w:szCs w:val="14"/>
                <w:lang w:val="es-ES_tradnl"/>
              </w:rPr>
            </w:pPr>
            <w:r w:rsidRPr="005210C6">
              <w:rPr>
                <w:rFonts w:ascii="Montserrat" w:hAnsi="Montserrat"/>
                <w:sz w:val="14"/>
                <w:szCs w:val="14"/>
                <w:lang w:val="es-ES_tradnl"/>
              </w:rPr>
              <w:t>Pso.</w:t>
            </w:r>
          </w:p>
        </w:tc>
        <w:tc>
          <w:tcPr>
            <w:tcW w:w="709" w:type="dxa"/>
            <w:tcBorders>
              <w:left w:val="nil"/>
              <w:right w:val="nil"/>
            </w:tcBorders>
            <w:shd w:val="clear" w:color="auto" w:fill="F2F2F2" w:themeFill="background1" w:themeFillShade="F2"/>
            <w:noWrap/>
            <w:vAlign w:val="bottom"/>
          </w:tcPr>
          <w:p w14:paraId="000D128E" w14:textId="77777777" w:rsidR="009C3C24" w:rsidRPr="005210C6" w:rsidRDefault="009C3C24" w:rsidP="002F797B">
            <w:pPr>
              <w:spacing w:after="0" w:line="240" w:lineRule="exact"/>
              <w:rPr>
                <w:rFonts w:ascii="Montserrat" w:hAnsi="Montserrat"/>
                <w:sz w:val="14"/>
                <w:szCs w:val="14"/>
                <w:lang w:val="es-ES_tradnl"/>
              </w:rPr>
            </w:pPr>
          </w:p>
        </w:tc>
        <w:tc>
          <w:tcPr>
            <w:tcW w:w="1345" w:type="dxa"/>
            <w:tcBorders>
              <w:left w:val="nil"/>
              <w:right w:val="nil"/>
            </w:tcBorders>
            <w:shd w:val="clear" w:color="auto" w:fill="F2F2F2" w:themeFill="background1" w:themeFillShade="F2"/>
            <w:noWrap/>
            <w:vAlign w:val="bottom"/>
          </w:tcPr>
          <w:p w14:paraId="108D8630" w14:textId="77777777" w:rsidR="009C3C24" w:rsidRPr="005210C6" w:rsidRDefault="009C3C24" w:rsidP="002F797B">
            <w:pPr>
              <w:spacing w:after="0" w:line="240" w:lineRule="exact"/>
              <w:jc w:val="center"/>
              <w:rPr>
                <w:rFonts w:ascii="Montserrat" w:hAnsi="Montserrat"/>
                <w:sz w:val="14"/>
                <w:szCs w:val="14"/>
                <w:lang w:val="es-ES_tradnl"/>
              </w:rPr>
            </w:pPr>
            <w:r w:rsidRPr="005210C6">
              <w:rPr>
                <w:rFonts w:ascii="Montserrat" w:hAnsi="Montserrat"/>
                <w:sz w:val="14"/>
                <w:szCs w:val="14"/>
                <w:lang w:val="es-ES_tradnl"/>
              </w:rPr>
              <w:t>Banco de México.</w:t>
            </w:r>
          </w:p>
        </w:tc>
        <w:tc>
          <w:tcPr>
            <w:tcW w:w="1560" w:type="dxa"/>
            <w:tcBorders>
              <w:left w:val="nil"/>
              <w:right w:val="nil"/>
            </w:tcBorders>
            <w:shd w:val="clear" w:color="auto" w:fill="F2F2F2" w:themeFill="background1" w:themeFillShade="F2"/>
            <w:noWrap/>
            <w:vAlign w:val="bottom"/>
          </w:tcPr>
          <w:p w14:paraId="2061A68C" w14:textId="1496A1CF" w:rsidR="009C3C24" w:rsidRPr="005210C6" w:rsidRDefault="009D2BD9" w:rsidP="002F797B">
            <w:pPr>
              <w:spacing w:after="0" w:line="240" w:lineRule="exact"/>
              <w:jc w:val="right"/>
              <w:rPr>
                <w:rFonts w:ascii="Montserrat" w:hAnsi="Montserrat"/>
                <w:sz w:val="14"/>
                <w:szCs w:val="14"/>
                <w:lang w:val="es-ES_tradnl"/>
              </w:rPr>
            </w:pPr>
            <w:r w:rsidRPr="009D2BD9">
              <w:rPr>
                <w:rFonts w:ascii="Montserrat" w:hAnsi="Montserrat"/>
                <w:sz w:val="14"/>
                <w:szCs w:val="14"/>
                <w:lang w:val="es-ES_tradnl"/>
              </w:rPr>
              <w:t>802</w:t>
            </w:r>
            <w:r w:rsidR="00070196">
              <w:rPr>
                <w:rFonts w:ascii="Montserrat" w:hAnsi="Montserrat"/>
                <w:sz w:val="14"/>
                <w:szCs w:val="14"/>
                <w:lang w:val="es-ES_tradnl"/>
              </w:rPr>
              <w:t>,</w:t>
            </w:r>
            <w:r w:rsidRPr="009D2BD9">
              <w:rPr>
                <w:rFonts w:ascii="Montserrat" w:hAnsi="Montserrat"/>
                <w:sz w:val="14"/>
                <w:szCs w:val="14"/>
                <w:lang w:val="es-ES_tradnl"/>
              </w:rPr>
              <w:t>558</w:t>
            </w:r>
            <w:r w:rsidR="00070196">
              <w:rPr>
                <w:rFonts w:ascii="Montserrat" w:hAnsi="Montserrat"/>
                <w:sz w:val="14"/>
                <w:szCs w:val="14"/>
                <w:lang w:val="es-ES_tradnl"/>
              </w:rPr>
              <w:t>,</w:t>
            </w:r>
            <w:r w:rsidRPr="009D2BD9">
              <w:rPr>
                <w:rFonts w:ascii="Montserrat" w:hAnsi="Montserrat"/>
                <w:sz w:val="14"/>
                <w:szCs w:val="14"/>
                <w:lang w:val="es-ES_tradnl"/>
              </w:rPr>
              <w:t>303</w:t>
            </w:r>
            <w:r w:rsidR="00070196">
              <w:rPr>
                <w:rFonts w:ascii="Montserrat" w:hAnsi="Montserrat"/>
                <w:sz w:val="14"/>
                <w:szCs w:val="14"/>
                <w:lang w:val="es-ES_tradnl"/>
              </w:rPr>
              <w:t>,</w:t>
            </w:r>
            <w:r w:rsidRPr="009D2BD9">
              <w:rPr>
                <w:rFonts w:ascii="Montserrat" w:hAnsi="Montserrat"/>
                <w:sz w:val="14"/>
                <w:szCs w:val="14"/>
                <w:lang w:val="es-ES_tradnl"/>
              </w:rPr>
              <w:t>005</w:t>
            </w:r>
          </w:p>
        </w:tc>
        <w:tc>
          <w:tcPr>
            <w:tcW w:w="662" w:type="dxa"/>
            <w:tcBorders>
              <w:left w:val="nil"/>
              <w:right w:val="nil"/>
            </w:tcBorders>
            <w:shd w:val="clear" w:color="auto" w:fill="F2F2F2" w:themeFill="background1" w:themeFillShade="F2"/>
            <w:noWrap/>
            <w:vAlign w:val="bottom"/>
          </w:tcPr>
          <w:p w14:paraId="5D3F1873" w14:textId="77777777" w:rsidR="009C3C24" w:rsidRPr="005210C6" w:rsidRDefault="009C3C24" w:rsidP="002F797B">
            <w:pPr>
              <w:spacing w:after="0" w:line="240" w:lineRule="exact"/>
              <w:rPr>
                <w:rFonts w:ascii="Montserrat" w:hAnsi="Montserrat"/>
                <w:sz w:val="14"/>
                <w:szCs w:val="14"/>
                <w:lang w:val="es-ES_tradnl"/>
              </w:rPr>
            </w:pPr>
          </w:p>
        </w:tc>
        <w:tc>
          <w:tcPr>
            <w:tcW w:w="709" w:type="dxa"/>
            <w:tcBorders>
              <w:left w:val="nil"/>
              <w:right w:val="nil"/>
            </w:tcBorders>
            <w:shd w:val="clear" w:color="auto" w:fill="F2F2F2" w:themeFill="background1" w:themeFillShade="F2"/>
            <w:noWrap/>
            <w:vAlign w:val="bottom"/>
          </w:tcPr>
          <w:p w14:paraId="5899E85D" w14:textId="77777777" w:rsidR="009C3C24" w:rsidRPr="005210C6" w:rsidRDefault="009C3C24" w:rsidP="002F797B">
            <w:pPr>
              <w:spacing w:after="0" w:line="240" w:lineRule="exact"/>
              <w:jc w:val="center"/>
              <w:rPr>
                <w:rFonts w:ascii="Montserrat" w:hAnsi="Montserrat"/>
                <w:sz w:val="14"/>
                <w:szCs w:val="14"/>
                <w:lang w:val="es-ES_tradnl"/>
              </w:rPr>
            </w:pPr>
          </w:p>
        </w:tc>
        <w:tc>
          <w:tcPr>
            <w:tcW w:w="708" w:type="dxa"/>
            <w:tcBorders>
              <w:left w:val="nil"/>
              <w:right w:val="nil"/>
            </w:tcBorders>
            <w:shd w:val="clear" w:color="auto" w:fill="F2F2F2" w:themeFill="background1" w:themeFillShade="F2"/>
            <w:noWrap/>
            <w:vAlign w:val="bottom"/>
          </w:tcPr>
          <w:p w14:paraId="237429E7" w14:textId="77777777" w:rsidR="009C3C24" w:rsidRPr="005210C6" w:rsidRDefault="009C3C24" w:rsidP="002F797B">
            <w:pPr>
              <w:spacing w:after="0" w:line="240" w:lineRule="exact"/>
              <w:jc w:val="center"/>
              <w:rPr>
                <w:rFonts w:ascii="Montserrat" w:hAnsi="Montserrat"/>
                <w:sz w:val="14"/>
                <w:szCs w:val="14"/>
                <w:lang w:val="es-ES_tradnl"/>
              </w:rPr>
            </w:pPr>
          </w:p>
        </w:tc>
        <w:tc>
          <w:tcPr>
            <w:tcW w:w="756" w:type="dxa"/>
            <w:tcBorders>
              <w:left w:val="nil"/>
              <w:right w:val="nil"/>
            </w:tcBorders>
            <w:shd w:val="clear" w:color="auto" w:fill="F2F2F2" w:themeFill="background1" w:themeFillShade="F2"/>
            <w:noWrap/>
            <w:vAlign w:val="bottom"/>
          </w:tcPr>
          <w:p w14:paraId="3A784EE5" w14:textId="77777777" w:rsidR="009C3C24" w:rsidRPr="005210C6" w:rsidRDefault="009C3C24" w:rsidP="002F797B">
            <w:pPr>
              <w:spacing w:after="0" w:line="240" w:lineRule="exact"/>
              <w:jc w:val="center"/>
              <w:rPr>
                <w:rFonts w:ascii="Montserrat" w:hAnsi="Montserrat"/>
                <w:sz w:val="14"/>
                <w:szCs w:val="14"/>
                <w:lang w:val="es-ES_tradnl"/>
              </w:rPr>
            </w:pPr>
          </w:p>
        </w:tc>
        <w:tc>
          <w:tcPr>
            <w:tcW w:w="662" w:type="dxa"/>
            <w:tcBorders>
              <w:left w:val="nil"/>
              <w:right w:val="nil"/>
            </w:tcBorders>
            <w:shd w:val="clear" w:color="auto" w:fill="F2F2F2" w:themeFill="background1" w:themeFillShade="F2"/>
            <w:noWrap/>
            <w:vAlign w:val="bottom"/>
          </w:tcPr>
          <w:p w14:paraId="34778813" w14:textId="77777777" w:rsidR="009C3C24" w:rsidRPr="005210C6" w:rsidRDefault="009C3C24" w:rsidP="002F797B">
            <w:pPr>
              <w:spacing w:after="0" w:line="240" w:lineRule="exact"/>
              <w:jc w:val="center"/>
              <w:rPr>
                <w:rFonts w:ascii="Montserrat" w:hAnsi="Montserrat"/>
                <w:sz w:val="14"/>
                <w:szCs w:val="14"/>
                <w:lang w:val="es-ES_tradnl"/>
              </w:rPr>
            </w:pPr>
          </w:p>
        </w:tc>
        <w:tc>
          <w:tcPr>
            <w:tcW w:w="850" w:type="dxa"/>
            <w:tcBorders>
              <w:left w:val="nil"/>
              <w:right w:val="nil"/>
            </w:tcBorders>
            <w:shd w:val="clear" w:color="auto" w:fill="F2F2F2" w:themeFill="background1" w:themeFillShade="F2"/>
            <w:noWrap/>
            <w:vAlign w:val="bottom"/>
          </w:tcPr>
          <w:p w14:paraId="68AC156B" w14:textId="77777777" w:rsidR="009C3C24" w:rsidRPr="005210C6" w:rsidRDefault="009C3C24" w:rsidP="002F797B">
            <w:pPr>
              <w:spacing w:after="0" w:line="240" w:lineRule="exact"/>
              <w:jc w:val="center"/>
              <w:rPr>
                <w:rFonts w:ascii="Montserrat" w:hAnsi="Montserrat"/>
                <w:sz w:val="14"/>
                <w:szCs w:val="14"/>
                <w:lang w:val="es-ES_tradnl"/>
              </w:rPr>
            </w:pPr>
          </w:p>
        </w:tc>
        <w:tc>
          <w:tcPr>
            <w:tcW w:w="567" w:type="dxa"/>
            <w:tcBorders>
              <w:left w:val="nil"/>
              <w:right w:val="nil"/>
            </w:tcBorders>
            <w:shd w:val="clear" w:color="auto" w:fill="F2F2F2" w:themeFill="background1" w:themeFillShade="F2"/>
            <w:noWrap/>
            <w:vAlign w:val="bottom"/>
          </w:tcPr>
          <w:p w14:paraId="2CBEA5E1" w14:textId="77777777" w:rsidR="009C3C24" w:rsidRPr="005210C6" w:rsidRDefault="009C3C24" w:rsidP="002F797B">
            <w:pPr>
              <w:spacing w:after="0" w:line="240" w:lineRule="exact"/>
              <w:jc w:val="right"/>
              <w:rPr>
                <w:rFonts w:ascii="Montserrat" w:hAnsi="Montserrat"/>
                <w:sz w:val="14"/>
                <w:szCs w:val="14"/>
                <w:lang w:val="es-ES_tradnl"/>
              </w:rPr>
            </w:pPr>
          </w:p>
        </w:tc>
        <w:tc>
          <w:tcPr>
            <w:tcW w:w="567" w:type="dxa"/>
            <w:tcBorders>
              <w:left w:val="nil"/>
              <w:right w:val="nil"/>
            </w:tcBorders>
            <w:shd w:val="clear" w:color="auto" w:fill="F2F2F2" w:themeFill="background1" w:themeFillShade="F2"/>
            <w:noWrap/>
            <w:vAlign w:val="bottom"/>
          </w:tcPr>
          <w:p w14:paraId="28EE73D1" w14:textId="77777777" w:rsidR="009C3C24" w:rsidRPr="005210C6" w:rsidRDefault="009C3C24" w:rsidP="002F797B">
            <w:pPr>
              <w:spacing w:after="0" w:line="240" w:lineRule="exact"/>
              <w:jc w:val="right"/>
              <w:rPr>
                <w:rFonts w:ascii="Montserrat" w:hAnsi="Montserrat"/>
                <w:sz w:val="14"/>
                <w:szCs w:val="14"/>
                <w:lang w:val="es-ES_tradnl"/>
              </w:rPr>
            </w:pPr>
          </w:p>
        </w:tc>
        <w:tc>
          <w:tcPr>
            <w:tcW w:w="567" w:type="dxa"/>
            <w:gridSpan w:val="2"/>
            <w:tcBorders>
              <w:left w:val="nil"/>
              <w:right w:val="nil"/>
            </w:tcBorders>
            <w:shd w:val="clear" w:color="auto" w:fill="F2F2F2" w:themeFill="background1" w:themeFillShade="F2"/>
            <w:noWrap/>
            <w:vAlign w:val="bottom"/>
          </w:tcPr>
          <w:p w14:paraId="5EDDF2EA" w14:textId="77777777" w:rsidR="009C3C24" w:rsidRPr="005210C6" w:rsidRDefault="009C3C24" w:rsidP="002F797B">
            <w:pPr>
              <w:spacing w:after="0" w:line="240" w:lineRule="exact"/>
              <w:jc w:val="right"/>
              <w:rPr>
                <w:rFonts w:ascii="Montserrat" w:hAnsi="Montserrat"/>
                <w:sz w:val="14"/>
                <w:szCs w:val="14"/>
                <w:lang w:val="es-ES_tradnl"/>
              </w:rPr>
            </w:pPr>
          </w:p>
        </w:tc>
        <w:tc>
          <w:tcPr>
            <w:tcW w:w="567" w:type="dxa"/>
            <w:gridSpan w:val="2"/>
            <w:tcBorders>
              <w:left w:val="nil"/>
              <w:right w:val="nil"/>
            </w:tcBorders>
            <w:shd w:val="clear" w:color="auto" w:fill="F2F2F2" w:themeFill="background1" w:themeFillShade="F2"/>
            <w:noWrap/>
            <w:vAlign w:val="bottom"/>
          </w:tcPr>
          <w:p w14:paraId="03BCDA9F" w14:textId="77777777" w:rsidR="009C3C24" w:rsidRPr="005210C6" w:rsidRDefault="009C3C24" w:rsidP="002F797B">
            <w:pPr>
              <w:spacing w:after="0" w:line="240" w:lineRule="exact"/>
              <w:jc w:val="right"/>
              <w:rPr>
                <w:rFonts w:ascii="Montserrat" w:hAnsi="Montserrat"/>
                <w:sz w:val="14"/>
                <w:szCs w:val="14"/>
                <w:lang w:val="es-ES_tradnl"/>
              </w:rPr>
            </w:pPr>
          </w:p>
        </w:tc>
        <w:tc>
          <w:tcPr>
            <w:tcW w:w="567" w:type="dxa"/>
            <w:tcBorders>
              <w:left w:val="nil"/>
              <w:right w:val="nil"/>
            </w:tcBorders>
            <w:shd w:val="clear" w:color="auto" w:fill="F2F2F2" w:themeFill="background1" w:themeFillShade="F2"/>
            <w:noWrap/>
            <w:vAlign w:val="bottom"/>
          </w:tcPr>
          <w:p w14:paraId="7F1BB08B" w14:textId="77777777" w:rsidR="009C3C24" w:rsidRPr="005210C6" w:rsidRDefault="009C3C24" w:rsidP="002F797B">
            <w:pPr>
              <w:spacing w:after="0" w:line="240" w:lineRule="exact"/>
              <w:jc w:val="right"/>
              <w:rPr>
                <w:rFonts w:ascii="Montserrat" w:hAnsi="Montserrat"/>
                <w:sz w:val="14"/>
                <w:szCs w:val="14"/>
                <w:lang w:val="es-ES_tradnl"/>
              </w:rPr>
            </w:pPr>
          </w:p>
        </w:tc>
        <w:tc>
          <w:tcPr>
            <w:tcW w:w="709" w:type="dxa"/>
            <w:tcBorders>
              <w:left w:val="nil"/>
            </w:tcBorders>
            <w:shd w:val="clear" w:color="auto" w:fill="F2F2F2" w:themeFill="background1" w:themeFillShade="F2"/>
            <w:noWrap/>
            <w:vAlign w:val="bottom"/>
          </w:tcPr>
          <w:p w14:paraId="6450B9D5" w14:textId="77777777" w:rsidR="009C3C24" w:rsidRPr="005210C6" w:rsidRDefault="009C3C24" w:rsidP="002F797B">
            <w:pPr>
              <w:spacing w:after="0" w:line="240" w:lineRule="exact"/>
              <w:jc w:val="right"/>
              <w:rPr>
                <w:rFonts w:ascii="Montserrat" w:hAnsi="Montserrat"/>
                <w:sz w:val="14"/>
                <w:szCs w:val="14"/>
                <w:lang w:val="es-ES_tradnl"/>
              </w:rPr>
            </w:pPr>
          </w:p>
        </w:tc>
      </w:tr>
      <w:tr w:rsidR="009C3C24" w:rsidRPr="005210C6" w14:paraId="63E7387E" w14:textId="77777777" w:rsidTr="0023764E">
        <w:trPr>
          <w:trHeight w:val="240"/>
        </w:trPr>
        <w:tc>
          <w:tcPr>
            <w:tcW w:w="923" w:type="dxa"/>
            <w:tcBorders>
              <w:top w:val="nil"/>
              <w:bottom w:val="nil"/>
              <w:right w:val="nil"/>
            </w:tcBorders>
            <w:shd w:val="clear" w:color="auto" w:fill="F2F2F2" w:themeFill="background1" w:themeFillShade="F2"/>
            <w:noWrap/>
            <w:vAlign w:val="bottom"/>
            <w:hideMark/>
          </w:tcPr>
          <w:p w14:paraId="0527EA04" w14:textId="77777777" w:rsidR="009C3C24" w:rsidRPr="005210C6" w:rsidRDefault="009C3C24" w:rsidP="002F797B">
            <w:pPr>
              <w:spacing w:after="0" w:line="240" w:lineRule="exact"/>
              <w:rPr>
                <w:rFonts w:ascii="Montserrat" w:hAnsi="Montserrat"/>
                <w:sz w:val="14"/>
                <w:szCs w:val="14"/>
                <w:lang w:val="es-ES_tradnl"/>
              </w:rPr>
            </w:pPr>
          </w:p>
        </w:tc>
        <w:tc>
          <w:tcPr>
            <w:tcW w:w="567" w:type="dxa"/>
            <w:tcBorders>
              <w:top w:val="nil"/>
              <w:left w:val="nil"/>
              <w:bottom w:val="nil"/>
              <w:right w:val="nil"/>
            </w:tcBorders>
            <w:shd w:val="clear" w:color="auto" w:fill="F2F2F2" w:themeFill="background1" w:themeFillShade="F2"/>
            <w:noWrap/>
            <w:vAlign w:val="bottom"/>
          </w:tcPr>
          <w:p w14:paraId="67495179" w14:textId="77777777" w:rsidR="009C3C24" w:rsidRPr="005210C6" w:rsidRDefault="009C3C24" w:rsidP="002F797B">
            <w:pPr>
              <w:spacing w:after="0" w:line="240" w:lineRule="exact"/>
              <w:rPr>
                <w:rFonts w:ascii="Montserrat" w:hAnsi="Montserrat"/>
                <w:sz w:val="14"/>
                <w:szCs w:val="14"/>
                <w:lang w:val="es-ES_tradnl"/>
              </w:rPr>
            </w:pPr>
          </w:p>
        </w:tc>
        <w:tc>
          <w:tcPr>
            <w:tcW w:w="425" w:type="dxa"/>
            <w:tcBorders>
              <w:top w:val="nil"/>
              <w:left w:val="nil"/>
              <w:bottom w:val="nil"/>
              <w:right w:val="nil"/>
            </w:tcBorders>
            <w:shd w:val="clear" w:color="auto" w:fill="F2F2F2" w:themeFill="background1" w:themeFillShade="F2"/>
            <w:noWrap/>
            <w:vAlign w:val="bottom"/>
          </w:tcPr>
          <w:p w14:paraId="02C78DBD" w14:textId="77777777" w:rsidR="009C3C24" w:rsidRPr="005210C6" w:rsidRDefault="009C3C24" w:rsidP="002F797B">
            <w:pPr>
              <w:spacing w:after="0" w:line="240" w:lineRule="exact"/>
              <w:rPr>
                <w:rFonts w:ascii="Montserrat" w:hAnsi="Montserrat"/>
                <w:sz w:val="14"/>
                <w:szCs w:val="14"/>
                <w:lang w:val="es-ES_tradnl"/>
              </w:rPr>
            </w:pPr>
          </w:p>
        </w:tc>
        <w:tc>
          <w:tcPr>
            <w:tcW w:w="709" w:type="dxa"/>
            <w:tcBorders>
              <w:top w:val="nil"/>
              <w:left w:val="nil"/>
              <w:bottom w:val="nil"/>
              <w:right w:val="nil"/>
            </w:tcBorders>
            <w:shd w:val="clear" w:color="auto" w:fill="F2F2F2" w:themeFill="background1" w:themeFillShade="F2"/>
            <w:noWrap/>
            <w:vAlign w:val="bottom"/>
          </w:tcPr>
          <w:p w14:paraId="3C954C06" w14:textId="77777777" w:rsidR="009C3C24" w:rsidRPr="005210C6" w:rsidRDefault="009C3C24" w:rsidP="002F797B">
            <w:pPr>
              <w:spacing w:after="0" w:line="240" w:lineRule="exact"/>
              <w:rPr>
                <w:rFonts w:ascii="Montserrat" w:hAnsi="Montserrat"/>
                <w:sz w:val="14"/>
                <w:szCs w:val="14"/>
                <w:lang w:val="es-ES_tradnl"/>
              </w:rPr>
            </w:pPr>
          </w:p>
        </w:tc>
        <w:tc>
          <w:tcPr>
            <w:tcW w:w="1345" w:type="dxa"/>
            <w:tcBorders>
              <w:top w:val="nil"/>
              <w:left w:val="nil"/>
              <w:bottom w:val="nil"/>
              <w:right w:val="nil"/>
            </w:tcBorders>
            <w:shd w:val="clear" w:color="auto" w:fill="F2F2F2" w:themeFill="background1" w:themeFillShade="F2"/>
            <w:noWrap/>
            <w:vAlign w:val="bottom"/>
          </w:tcPr>
          <w:p w14:paraId="46925D25" w14:textId="77777777" w:rsidR="009C3C24" w:rsidRPr="005210C6" w:rsidRDefault="009C3C24" w:rsidP="002F797B">
            <w:pPr>
              <w:spacing w:after="0" w:line="240" w:lineRule="exact"/>
              <w:rPr>
                <w:rFonts w:ascii="Montserrat" w:hAnsi="Montserrat"/>
                <w:sz w:val="14"/>
                <w:szCs w:val="14"/>
                <w:lang w:val="es-ES_tradnl"/>
              </w:rPr>
            </w:pPr>
          </w:p>
        </w:tc>
        <w:tc>
          <w:tcPr>
            <w:tcW w:w="1560" w:type="dxa"/>
            <w:tcBorders>
              <w:top w:val="nil"/>
              <w:left w:val="nil"/>
              <w:bottom w:val="nil"/>
              <w:right w:val="nil"/>
            </w:tcBorders>
            <w:shd w:val="clear" w:color="auto" w:fill="F2F2F2" w:themeFill="background1" w:themeFillShade="F2"/>
            <w:noWrap/>
            <w:vAlign w:val="bottom"/>
          </w:tcPr>
          <w:p w14:paraId="780C328C" w14:textId="71CA34B3" w:rsidR="009C3C24" w:rsidRPr="005210C6" w:rsidRDefault="009D2BD9" w:rsidP="002F797B">
            <w:pPr>
              <w:spacing w:after="0" w:line="240" w:lineRule="exact"/>
              <w:jc w:val="right"/>
              <w:rPr>
                <w:rFonts w:ascii="Montserrat" w:hAnsi="Montserrat"/>
                <w:sz w:val="14"/>
                <w:szCs w:val="14"/>
                <w:lang w:val="es-ES_tradnl"/>
              </w:rPr>
            </w:pPr>
            <w:r w:rsidRPr="009D2BD9">
              <w:rPr>
                <w:rFonts w:ascii="Montserrat" w:hAnsi="Montserrat"/>
                <w:sz w:val="14"/>
                <w:szCs w:val="14"/>
                <w:lang w:val="es-ES_tradnl"/>
              </w:rPr>
              <w:t>29</w:t>
            </w:r>
            <w:r w:rsidR="00070196">
              <w:rPr>
                <w:rFonts w:ascii="Montserrat" w:hAnsi="Montserrat"/>
                <w:sz w:val="14"/>
                <w:szCs w:val="14"/>
                <w:lang w:val="es-ES_tradnl"/>
              </w:rPr>
              <w:t>,</w:t>
            </w:r>
            <w:r w:rsidRPr="009D2BD9">
              <w:rPr>
                <w:rFonts w:ascii="Montserrat" w:hAnsi="Montserrat"/>
                <w:sz w:val="14"/>
                <w:szCs w:val="14"/>
                <w:lang w:val="es-ES_tradnl"/>
              </w:rPr>
              <w:t>672</w:t>
            </w:r>
            <w:r w:rsidR="00070196">
              <w:rPr>
                <w:rFonts w:ascii="Montserrat" w:hAnsi="Montserrat"/>
                <w:sz w:val="14"/>
                <w:szCs w:val="14"/>
                <w:lang w:val="es-ES_tradnl"/>
              </w:rPr>
              <w:t>,</w:t>
            </w:r>
            <w:r w:rsidRPr="009D2BD9">
              <w:rPr>
                <w:rFonts w:ascii="Montserrat" w:hAnsi="Montserrat"/>
                <w:sz w:val="14"/>
                <w:szCs w:val="14"/>
                <w:lang w:val="es-ES_tradnl"/>
              </w:rPr>
              <w:t>667</w:t>
            </w:r>
            <w:r w:rsidR="00070196">
              <w:rPr>
                <w:rFonts w:ascii="Montserrat" w:hAnsi="Montserrat"/>
                <w:sz w:val="14"/>
                <w:szCs w:val="14"/>
                <w:lang w:val="es-ES_tradnl"/>
              </w:rPr>
              <w:t>,</w:t>
            </w:r>
            <w:r w:rsidRPr="009D2BD9">
              <w:rPr>
                <w:rFonts w:ascii="Montserrat" w:hAnsi="Montserrat"/>
                <w:sz w:val="14"/>
                <w:szCs w:val="14"/>
                <w:lang w:val="es-ES_tradnl"/>
              </w:rPr>
              <w:t>580</w:t>
            </w:r>
          </w:p>
        </w:tc>
        <w:tc>
          <w:tcPr>
            <w:tcW w:w="662" w:type="dxa"/>
            <w:tcBorders>
              <w:top w:val="nil"/>
              <w:left w:val="nil"/>
              <w:bottom w:val="nil"/>
              <w:right w:val="nil"/>
            </w:tcBorders>
            <w:shd w:val="clear" w:color="auto" w:fill="F2F2F2" w:themeFill="background1" w:themeFillShade="F2"/>
            <w:noWrap/>
            <w:vAlign w:val="bottom"/>
          </w:tcPr>
          <w:p w14:paraId="06FC2A76" w14:textId="77777777" w:rsidR="009C3C24" w:rsidRPr="005210C6" w:rsidRDefault="009C3C24" w:rsidP="002F797B">
            <w:pPr>
              <w:spacing w:after="0" w:line="240" w:lineRule="exact"/>
              <w:jc w:val="center"/>
              <w:rPr>
                <w:rFonts w:ascii="Montserrat" w:hAnsi="Montserrat"/>
                <w:sz w:val="14"/>
                <w:szCs w:val="14"/>
                <w:lang w:val="es-ES_tradnl"/>
              </w:rPr>
            </w:pPr>
            <w:r w:rsidRPr="005210C6">
              <w:rPr>
                <w:rFonts w:ascii="Montserrat" w:hAnsi="Montserrat"/>
                <w:sz w:val="14"/>
                <w:szCs w:val="14"/>
                <w:lang w:val="es-ES_tradnl"/>
              </w:rPr>
              <w:t>00</w:t>
            </w:r>
          </w:p>
        </w:tc>
        <w:tc>
          <w:tcPr>
            <w:tcW w:w="709" w:type="dxa"/>
            <w:tcBorders>
              <w:top w:val="nil"/>
              <w:left w:val="nil"/>
              <w:bottom w:val="nil"/>
              <w:right w:val="nil"/>
            </w:tcBorders>
            <w:shd w:val="clear" w:color="auto" w:fill="F2F2F2" w:themeFill="background1" w:themeFillShade="F2"/>
            <w:noWrap/>
            <w:vAlign w:val="bottom"/>
          </w:tcPr>
          <w:p w14:paraId="12F59F40" w14:textId="77777777" w:rsidR="009C3C24" w:rsidRPr="005210C6" w:rsidRDefault="009C3C24" w:rsidP="002F797B">
            <w:pPr>
              <w:spacing w:after="0" w:line="240" w:lineRule="exact"/>
              <w:jc w:val="center"/>
              <w:rPr>
                <w:rFonts w:ascii="Montserrat" w:hAnsi="Montserrat"/>
                <w:sz w:val="14"/>
                <w:szCs w:val="14"/>
                <w:lang w:val="es-ES_tradnl"/>
              </w:rPr>
            </w:pPr>
            <w:r w:rsidRPr="005210C6">
              <w:rPr>
                <w:rFonts w:ascii="Montserrat" w:hAnsi="Montserrat"/>
                <w:sz w:val="14"/>
                <w:szCs w:val="14"/>
                <w:lang w:val="es-ES_tradnl"/>
              </w:rPr>
              <w:t>01</w:t>
            </w:r>
          </w:p>
        </w:tc>
        <w:tc>
          <w:tcPr>
            <w:tcW w:w="708" w:type="dxa"/>
            <w:tcBorders>
              <w:top w:val="nil"/>
              <w:left w:val="nil"/>
              <w:bottom w:val="nil"/>
              <w:right w:val="nil"/>
            </w:tcBorders>
            <w:shd w:val="clear" w:color="auto" w:fill="F2F2F2" w:themeFill="background1" w:themeFillShade="F2"/>
            <w:noWrap/>
            <w:vAlign w:val="bottom"/>
          </w:tcPr>
          <w:p w14:paraId="73EB1E6F" w14:textId="77777777" w:rsidR="009C3C24" w:rsidRPr="005210C6" w:rsidRDefault="009C3C24" w:rsidP="002F797B">
            <w:pPr>
              <w:spacing w:after="0" w:line="240" w:lineRule="exact"/>
              <w:jc w:val="center"/>
              <w:rPr>
                <w:rFonts w:ascii="Montserrat" w:hAnsi="Montserrat"/>
                <w:sz w:val="14"/>
                <w:szCs w:val="14"/>
                <w:lang w:val="es-ES_tradnl"/>
              </w:rPr>
            </w:pPr>
            <w:r w:rsidRPr="005210C6">
              <w:rPr>
                <w:rFonts w:ascii="Montserrat" w:hAnsi="Montserrat"/>
                <w:sz w:val="14"/>
                <w:szCs w:val="14"/>
                <w:lang w:val="es-ES_tradnl"/>
              </w:rPr>
              <w:t>00</w:t>
            </w:r>
          </w:p>
        </w:tc>
        <w:tc>
          <w:tcPr>
            <w:tcW w:w="756" w:type="dxa"/>
            <w:tcBorders>
              <w:top w:val="nil"/>
              <w:left w:val="nil"/>
              <w:bottom w:val="nil"/>
              <w:right w:val="nil"/>
            </w:tcBorders>
            <w:shd w:val="clear" w:color="auto" w:fill="F2F2F2" w:themeFill="background1" w:themeFillShade="F2"/>
            <w:noWrap/>
            <w:vAlign w:val="bottom"/>
          </w:tcPr>
          <w:p w14:paraId="1DFB6D68" w14:textId="77777777" w:rsidR="009C3C24" w:rsidRPr="005210C6" w:rsidRDefault="009C3C24" w:rsidP="002F797B">
            <w:pPr>
              <w:spacing w:after="0" w:line="240" w:lineRule="exact"/>
              <w:jc w:val="center"/>
              <w:rPr>
                <w:rFonts w:ascii="Montserrat" w:hAnsi="Montserrat"/>
                <w:sz w:val="14"/>
                <w:szCs w:val="14"/>
                <w:lang w:val="es-ES_tradnl"/>
              </w:rPr>
            </w:pPr>
            <w:r w:rsidRPr="005210C6">
              <w:rPr>
                <w:rFonts w:ascii="Montserrat" w:hAnsi="Montserrat"/>
                <w:sz w:val="14"/>
                <w:szCs w:val="14"/>
                <w:lang w:val="es-ES_tradnl"/>
              </w:rPr>
              <w:t>00</w:t>
            </w:r>
          </w:p>
        </w:tc>
        <w:tc>
          <w:tcPr>
            <w:tcW w:w="662" w:type="dxa"/>
            <w:tcBorders>
              <w:top w:val="nil"/>
              <w:left w:val="nil"/>
              <w:bottom w:val="nil"/>
              <w:right w:val="nil"/>
            </w:tcBorders>
            <w:shd w:val="clear" w:color="auto" w:fill="F2F2F2" w:themeFill="background1" w:themeFillShade="F2"/>
            <w:noWrap/>
            <w:vAlign w:val="bottom"/>
          </w:tcPr>
          <w:p w14:paraId="51A0E39B" w14:textId="7554A133" w:rsidR="009C3C24" w:rsidRPr="005210C6" w:rsidRDefault="009D2BD9" w:rsidP="002F797B">
            <w:pPr>
              <w:spacing w:after="0" w:line="240" w:lineRule="exact"/>
              <w:jc w:val="center"/>
              <w:rPr>
                <w:rFonts w:ascii="Montserrat" w:hAnsi="Montserrat"/>
                <w:sz w:val="14"/>
                <w:szCs w:val="14"/>
                <w:lang w:val="es-ES_tradnl"/>
              </w:rPr>
            </w:pPr>
            <w:r w:rsidRPr="009D2BD9">
              <w:rPr>
                <w:rFonts w:ascii="Montserrat" w:hAnsi="Montserrat"/>
                <w:sz w:val="14"/>
                <w:szCs w:val="14"/>
                <w:lang w:val="es-ES_tradnl"/>
              </w:rPr>
              <w:t>7.11%</w:t>
            </w:r>
          </w:p>
        </w:tc>
        <w:tc>
          <w:tcPr>
            <w:tcW w:w="850" w:type="dxa"/>
            <w:tcBorders>
              <w:top w:val="nil"/>
              <w:left w:val="nil"/>
              <w:bottom w:val="nil"/>
              <w:right w:val="nil"/>
            </w:tcBorders>
            <w:shd w:val="clear" w:color="auto" w:fill="F2F2F2" w:themeFill="background1" w:themeFillShade="F2"/>
            <w:noWrap/>
            <w:vAlign w:val="bottom"/>
          </w:tcPr>
          <w:p w14:paraId="24488D53" w14:textId="77777777" w:rsidR="009C3C24" w:rsidRPr="005210C6" w:rsidRDefault="009C3C24" w:rsidP="002F797B">
            <w:pPr>
              <w:spacing w:after="0" w:line="240" w:lineRule="exact"/>
              <w:rPr>
                <w:rFonts w:ascii="Montserrat" w:hAnsi="Montserrat"/>
                <w:sz w:val="14"/>
                <w:szCs w:val="14"/>
                <w:lang w:val="es-ES_tradnl"/>
              </w:rPr>
            </w:pPr>
          </w:p>
        </w:tc>
        <w:tc>
          <w:tcPr>
            <w:tcW w:w="567" w:type="dxa"/>
            <w:tcBorders>
              <w:top w:val="nil"/>
              <w:left w:val="nil"/>
              <w:bottom w:val="nil"/>
              <w:right w:val="nil"/>
            </w:tcBorders>
            <w:shd w:val="clear" w:color="auto" w:fill="F2F2F2" w:themeFill="background1" w:themeFillShade="F2"/>
            <w:noWrap/>
            <w:vAlign w:val="bottom"/>
          </w:tcPr>
          <w:p w14:paraId="0E625EBB" w14:textId="77777777" w:rsidR="009C3C24" w:rsidRPr="005210C6" w:rsidRDefault="009C3C24" w:rsidP="002F797B">
            <w:pPr>
              <w:spacing w:after="0" w:line="240" w:lineRule="exact"/>
              <w:jc w:val="right"/>
              <w:rPr>
                <w:rFonts w:ascii="Montserrat" w:hAnsi="Montserrat"/>
                <w:sz w:val="14"/>
                <w:szCs w:val="14"/>
                <w:lang w:val="es-ES_tradnl"/>
              </w:rPr>
            </w:pPr>
          </w:p>
        </w:tc>
        <w:tc>
          <w:tcPr>
            <w:tcW w:w="567" w:type="dxa"/>
            <w:tcBorders>
              <w:top w:val="nil"/>
              <w:left w:val="nil"/>
              <w:bottom w:val="nil"/>
              <w:right w:val="nil"/>
            </w:tcBorders>
            <w:shd w:val="clear" w:color="auto" w:fill="F2F2F2" w:themeFill="background1" w:themeFillShade="F2"/>
            <w:noWrap/>
            <w:vAlign w:val="bottom"/>
          </w:tcPr>
          <w:p w14:paraId="6ED8DA89" w14:textId="77777777" w:rsidR="009C3C24" w:rsidRPr="005210C6" w:rsidRDefault="009C3C24" w:rsidP="002F797B">
            <w:pPr>
              <w:spacing w:after="0" w:line="240" w:lineRule="exact"/>
              <w:jc w:val="right"/>
              <w:rPr>
                <w:rFonts w:ascii="Montserrat" w:hAnsi="Montserrat"/>
                <w:sz w:val="14"/>
                <w:szCs w:val="14"/>
                <w:lang w:val="es-ES_tradnl"/>
              </w:rPr>
            </w:pPr>
          </w:p>
        </w:tc>
        <w:tc>
          <w:tcPr>
            <w:tcW w:w="567" w:type="dxa"/>
            <w:gridSpan w:val="2"/>
            <w:tcBorders>
              <w:top w:val="nil"/>
              <w:left w:val="nil"/>
              <w:bottom w:val="nil"/>
              <w:right w:val="nil"/>
            </w:tcBorders>
            <w:shd w:val="clear" w:color="auto" w:fill="F2F2F2" w:themeFill="background1" w:themeFillShade="F2"/>
            <w:noWrap/>
            <w:vAlign w:val="bottom"/>
          </w:tcPr>
          <w:p w14:paraId="1044B93A" w14:textId="77777777" w:rsidR="009C3C24" w:rsidRPr="005210C6" w:rsidRDefault="009C3C24" w:rsidP="002F797B">
            <w:pPr>
              <w:spacing w:after="0" w:line="240" w:lineRule="exact"/>
              <w:jc w:val="right"/>
              <w:rPr>
                <w:rFonts w:ascii="Montserrat" w:hAnsi="Montserrat"/>
                <w:sz w:val="14"/>
                <w:szCs w:val="14"/>
                <w:lang w:val="es-ES_tradnl"/>
              </w:rPr>
            </w:pPr>
          </w:p>
        </w:tc>
        <w:tc>
          <w:tcPr>
            <w:tcW w:w="567" w:type="dxa"/>
            <w:gridSpan w:val="2"/>
            <w:tcBorders>
              <w:top w:val="nil"/>
              <w:left w:val="nil"/>
              <w:bottom w:val="nil"/>
              <w:right w:val="nil"/>
            </w:tcBorders>
            <w:shd w:val="clear" w:color="auto" w:fill="F2F2F2" w:themeFill="background1" w:themeFillShade="F2"/>
            <w:noWrap/>
            <w:vAlign w:val="bottom"/>
          </w:tcPr>
          <w:p w14:paraId="3782987F" w14:textId="77777777" w:rsidR="009C3C24" w:rsidRPr="005210C6" w:rsidRDefault="009C3C24" w:rsidP="002F797B">
            <w:pPr>
              <w:spacing w:after="0" w:line="240" w:lineRule="exact"/>
              <w:jc w:val="right"/>
              <w:rPr>
                <w:rFonts w:ascii="Montserrat" w:hAnsi="Montserrat"/>
                <w:sz w:val="14"/>
                <w:szCs w:val="14"/>
                <w:lang w:val="es-ES_tradnl"/>
              </w:rPr>
            </w:pPr>
          </w:p>
        </w:tc>
        <w:tc>
          <w:tcPr>
            <w:tcW w:w="567" w:type="dxa"/>
            <w:tcBorders>
              <w:top w:val="nil"/>
              <w:left w:val="nil"/>
              <w:bottom w:val="nil"/>
              <w:right w:val="nil"/>
            </w:tcBorders>
            <w:shd w:val="clear" w:color="auto" w:fill="F2F2F2" w:themeFill="background1" w:themeFillShade="F2"/>
            <w:noWrap/>
            <w:vAlign w:val="bottom"/>
          </w:tcPr>
          <w:p w14:paraId="28212358" w14:textId="77777777" w:rsidR="009C3C24" w:rsidRPr="005210C6" w:rsidRDefault="009C3C24" w:rsidP="002F797B">
            <w:pPr>
              <w:spacing w:after="0" w:line="240" w:lineRule="exact"/>
              <w:jc w:val="right"/>
              <w:rPr>
                <w:rFonts w:ascii="Montserrat" w:hAnsi="Montserrat"/>
                <w:sz w:val="14"/>
                <w:szCs w:val="14"/>
                <w:lang w:val="es-ES_tradnl"/>
              </w:rPr>
            </w:pPr>
          </w:p>
        </w:tc>
        <w:tc>
          <w:tcPr>
            <w:tcW w:w="709" w:type="dxa"/>
            <w:tcBorders>
              <w:top w:val="nil"/>
              <w:left w:val="nil"/>
              <w:bottom w:val="nil"/>
            </w:tcBorders>
            <w:shd w:val="clear" w:color="auto" w:fill="F2F2F2" w:themeFill="background1" w:themeFillShade="F2"/>
            <w:noWrap/>
            <w:vAlign w:val="bottom"/>
          </w:tcPr>
          <w:p w14:paraId="1A55AD54" w14:textId="77777777" w:rsidR="009C3C24" w:rsidRPr="005210C6" w:rsidRDefault="009C3C24" w:rsidP="002F797B">
            <w:pPr>
              <w:spacing w:after="0" w:line="240" w:lineRule="exact"/>
              <w:jc w:val="right"/>
              <w:rPr>
                <w:rFonts w:ascii="Montserrat" w:hAnsi="Montserrat"/>
                <w:sz w:val="14"/>
                <w:szCs w:val="14"/>
                <w:lang w:val="es-ES_tradnl"/>
              </w:rPr>
            </w:pPr>
          </w:p>
        </w:tc>
      </w:tr>
      <w:tr w:rsidR="009C3C24" w:rsidRPr="005210C6" w14:paraId="0FF40AA1" w14:textId="77777777" w:rsidTr="0023764E">
        <w:trPr>
          <w:trHeight w:val="240"/>
        </w:trPr>
        <w:tc>
          <w:tcPr>
            <w:tcW w:w="923" w:type="dxa"/>
            <w:tcBorders>
              <w:top w:val="nil"/>
              <w:bottom w:val="nil"/>
              <w:right w:val="nil"/>
            </w:tcBorders>
            <w:shd w:val="clear" w:color="auto" w:fill="F2F2F2" w:themeFill="background1" w:themeFillShade="F2"/>
            <w:noWrap/>
            <w:vAlign w:val="bottom"/>
            <w:hideMark/>
          </w:tcPr>
          <w:p w14:paraId="386F36D4" w14:textId="77777777" w:rsidR="009C3C24" w:rsidRPr="005210C6" w:rsidRDefault="009C3C24" w:rsidP="002F797B">
            <w:pPr>
              <w:spacing w:after="0" w:line="240" w:lineRule="exact"/>
              <w:rPr>
                <w:rFonts w:ascii="Montserrat" w:hAnsi="Montserrat"/>
                <w:sz w:val="14"/>
                <w:szCs w:val="14"/>
                <w:lang w:val="es-ES_tradnl"/>
              </w:rPr>
            </w:pPr>
          </w:p>
        </w:tc>
        <w:tc>
          <w:tcPr>
            <w:tcW w:w="567" w:type="dxa"/>
            <w:tcBorders>
              <w:top w:val="nil"/>
              <w:left w:val="nil"/>
              <w:bottom w:val="nil"/>
              <w:right w:val="nil"/>
            </w:tcBorders>
            <w:shd w:val="clear" w:color="auto" w:fill="F2F2F2" w:themeFill="background1" w:themeFillShade="F2"/>
            <w:noWrap/>
            <w:vAlign w:val="bottom"/>
          </w:tcPr>
          <w:p w14:paraId="1D9742ED" w14:textId="77777777" w:rsidR="009C3C24" w:rsidRPr="005210C6" w:rsidRDefault="009C3C24" w:rsidP="002F797B">
            <w:pPr>
              <w:spacing w:after="0" w:line="240" w:lineRule="exact"/>
              <w:rPr>
                <w:rFonts w:ascii="Montserrat" w:hAnsi="Montserrat"/>
                <w:sz w:val="14"/>
                <w:szCs w:val="14"/>
                <w:lang w:val="es-ES_tradnl"/>
              </w:rPr>
            </w:pPr>
          </w:p>
        </w:tc>
        <w:tc>
          <w:tcPr>
            <w:tcW w:w="425" w:type="dxa"/>
            <w:tcBorders>
              <w:top w:val="nil"/>
              <w:left w:val="nil"/>
              <w:bottom w:val="nil"/>
              <w:right w:val="nil"/>
            </w:tcBorders>
            <w:shd w:val="clear" w:color="auto" w:fill="F2F2F2" w:themeFill="background1" w:themeFillShade="F2"/>
            <w:noWrap/>
            <w:vAlign w:val="bottom"/>
          </w:tcPr>
          <w:p w14:paraId="4EEF44C1" w14:textId="77777777" w:rsidR="009C3C24" w:rsidRPr="005210C6" w:rsidRDefault="009C3C24" w:rsidP="002F797B">
            <w:pPr>
              <w:spacing w:after="0" w:line="240" w:lineRule="exact"/>
              <w:rPr>
                <w:rFonts w:ascii="Montserrat" w:hAnsi="Montserrat"/>
                <w:sz w:val="14"/>
                <w:szCs w:val="14"/>
                <w:lang w:val="es-ES_tradnl"/>
              </w:rPr>
            </w:pPr>
          </w:p>
        </w:tc>
        <w:tc>
          <w:tcPr>
            <w:tcW w:w="709" w:type="dxa"/>
            <w:tcBorders>
              <w:top w:val="nil"/>
              <w:left w:val="nil"/>
              <w:bottom w:val="nil"/>
              <w:right w:val="nil"/>
            </w:tcBorders>
            <w:shd w:val="clear" w:color="auto" w:fill="F2F2F2" w:themeFill="background1" w:themeFillShade="F2"/>
            <w:noWrap/>
            <w:vAlign w:val="bottom"/>
          </w:tcPr>
          <w:p w14:paraId="4C2D84F7" w14:textId="77777777" w:rsidR="009C3C24" w:rsidRPr="005210C6" w:rsidRDefault="009C3C24" w:rsidP="002F797B">
            <w:pPr>
              <w:spacing w:after="0" w:line="240" w:lineRule="exact"/>
              <w:rPr>
                <w:rFonts w:ascii="Montserrat" w:hAnsi="Montserrat"/>
                <w:sz w:val="14"/>
                <w:szCs w:val="14"/>
                <w:lang w:val="es-ES_tradnl"/>
              </w:rPr>
            </w:pPr>
          </w:p>
        </w:tc>
        <w:tc>
          <w:tcPr>
            <w:tcW w:w="1345" w:type="dxa"/>
            <w:tcBorders>
              <w:top w:val="nil"/>
              <w:left w:val="nil"/>
              <w:bottom w:val="nil"/>
              <w:right w:val="nil"/>
            </w:tcBorders>
            <w:shd w:val="clear" w:color="auto" w:fill="F2F2F2" w:themeFill="background1" w:themeFillShade="F2"/>
            <w:noWrap/>
            <w:vAlign w:val="bottom"/>
          </w:tcPr>
          <w:p w14:paraId="0952E44E" w14:textId="77777777" w:rsidR="009C3C24" w:rsidRPr="005210C6" w:rsidRDefault="009C3C24" w:rsidP="002F797B">
            <w:pPr>
              <w:spacing w:after="0" w:line="240" w:lineRule="exact"/>
              <w:rPr>
                <w:rFonts w:ascii="Montserrat" w:hAnsi="Montserrat"/>
                <w:sz w:val="14"/>
                <w:szCs w:val="14"/>
                <w:lang w:val="es-ES_tradnl"/>
              </w:rPr>
            </w:pPr>
          </w:p>
        </w:tc>
        <w:tc>
          <w:tcPr>
            <w:tcW w:w="1560" w:type="dxa"/>
            <w:tcBorders>
              <w:top w:val="nil"/>
              <w:left w:val="nil"/>
              <w:bottom w:val="nil"/>
              <w:right w:val="nil"/>
            </w:tcBorders>
            <w:shd w:val="clear" w:color="auto" w:fill="F2F2F2" w:themeFill="background1" w:themeFillShade="F2"/>
            <w:noWrap/>
            <w:vAlign w:val="bottom"/>
          </w:tcPr>
          <w:p w14:paraId="4C0D3F61" w14:textId="4AB90A34" w:rsidR="009C3C24" w:rsidRPr="005210C6" w:rsidRDefault="009D2BD9" w:rsidP="002F797B">
            <w:pPr>
              <w:spacing w:after="0" w:line="240" w:lineRule="exact"/>
              <w:jc w:val="right"/>
              <w:rPr>
                <w:rFonts w:ascii="Montserrat" w:hAnsi="Montserrat"/>
                <w:sz w:val="14"/>
                <w:szCs w:val="14"/>
                <w:lang w:val="es-ES_tradnl"/>
              </w:rPr>
            </w:pPr>
            <w:r w:rsidRPr="009D2BD9">
              <w:rPr>
                <w:rFonts w:ascii="Montserrat" w:hAnsi="Montserrat"/>
                <w:sz w:val="14"/>
                <w:szCs w:val="14"/>
                <w:lang w:val="es-ES_tradnl"/>
              </w:rPr>
              <w:t>183</w:t>
            </w:r>
            <w:r w:rsidR="00070196">
              <w:rPr>
                <w:rFonts w:ascii="Montserrat" w:hAnsi="Montserrat"/>
                <w:sz w:val="14"/>
                <w:szCs w:val="14"/>
                <w:lang w:val="es-ES_tradnl"/>
              </w:rPr>
              <w:t>,</w:t>
            </w:r>
            <w:r w:rsidRPr="009D2BD9">
              <w:rPr>
                <w:rFonts w:ascii="Montserrat" w:hAnsi="Montserrat"/>
                <w:sz w:val="14"/>
                <w:szCs w:val="14"/>
                <w:lang w:val="es-ES_tradnl"/>
              </w:rPr>
              <w:t>144</w:t>
            </w:r>
            <w:r w:rsidR="00070196">
              <w:rPr>
                <w:rFonts w:ascii="Montserrat" w:hAnsi="Montserrat"/>
                <w:sz w:val="14"/>
                <w:szCs w:val="14"/>
                <w:lang w:val="es-ES_tradnl"/>
              </w:rPr>
              <w:t>,</w:t>
            </w:r>
            <w:r w:rsidRPr="009D2BD9">
              <w:rPr>
                <w:rFonts w:ascii="Montserrat" w:hAnsi="Montserrat"/>
                <w:sz w:val="14"/>
                <w:szCs w:val="14"/>
                <w:lang w:val="es-ES_tradnl"/>
              </w:rPr>
              <w:t>587</w:t>
            </w:r>
            <w:r w:rsidR="00070196">
              <w:rPr>
                <w:rFonts w:ascii="Montserrat" w:hAnsi="Montserrat"/>
                <w:sz w:val="14"/>
                <w:szCs w:val="14"/>
                <w:lang w:val="es-ES_tradnl"/>
              </w:rPr>
              <w:t>,</w:t>
            </w:r>
            <w:r w:rsidRPr="009D2BD9">
              <w:rPr>
                <w:rFonts w:ascii="Montserrat" w:hAnsi="Montserrat"/>
                <w:sz w:val="14"/>
                <w:szCs w:val="14"/>
                <w:lang w:val="es-ES_tradnl"/>
              </w:rPr>
              <w:t>359</w:t>
            </w:r>
          </w:p>
        </w:tc>
        <w:tc>
          <w:tcPr>
            <w:tcW w:w="662" w:type="dxa"/>
            <w:tcBorders>
              <w:top w:val="nil"/>
              <w:left w:val="nil"/>
              <w:bottom w:val="nil"/>
              <w:right w:val="nil"/>
            </w:tcBorders>
            <w:shd w:val="clear" w:color="auto" w:fill="F2F2F2" w:themeFill="background1" w:themeFillShade="F2"/>
            <w:noWrap/>
            <w:vAlign w:val="bottom"/>
          </w:tcPr>
          <w:p w14:paraId="33454B2C" w14:textId="77777777" w:rsidR="009C3C24" w:rsidRPr="005210C6" w:rsidRDefault="009C3C24" w:rsidP="002F797B">
            <w:pPr>
              <w:spacing w:after="0" w:line="240" w:lineRule="exact"/>
              <w:jc w:val="center"/>
              <w:rPr>
                <w:rFonts w:ascii="Montserrat" w:hAnsi="Montserrat"/>
                <w:sz w:val="14"/>
                <w:szCs w:val="14"/>
                <w:lang w:val="es-ES_tradnl"/>
              </w:rPr>
            </w:pPr>
            <w:r w:rsidRPr="005210C6">
              <w:rPr>
                <w:rFonts w:ascii="Montserrat" w:hAnsi="Montserrat"/>
                <w:sz w:val="14"/>
                <w:szCs w:val="14"/>
                <w:lang w:val="es-ES_tradnl"/>
              </w:rPr>
              <w:t>00</w:t>
            </w:r>
          </w:p>
        </w:tc>
        <w:tc>
          <w:tcPr>
            <w:tcW w:w="709" w:type="dxa"/>
            <w:tcBorders>
              <w:top w:val="nil"/>
              <w:left w:val="nil"/>
              <w:bottom w:val="nil"/>
              <w:right w:val="nil"/>
            </w:tcBorders>
            <w:shd w:val="clear" w:color="auto" w:fill="F2F2F2" w:themeFill="background1" w:themeFillShade="F2"/>
            <w:noWrap/>
            <w:vAlign w:val="bottom"/>
          </w:tcPr>
          <w:p w14:paraId="0461B626" w14:textId="77777777" w:rsidR="009C3C24" w:rsidRPr="005210C6" w:rsidRDefault="009C3C24" w:rsidP="002F797B">
            <w:pPr>
              <w:spacing w:after="0" w:line="240" w:lineRule="exact"/>
              <w:jc w:val="center"/>
              <w:rPr>
                <w:rFonts w:ascii="Montserrat" w:hAnsi="Montserrat"/>
                <w:sz w:val="14"/>
                <w:szCs w:val="14"/>
                <w:lang w:val="es-ES_tradnl"/>
              </w:rPr>
            </w:pPr>
            <w:r w:rsidRPr="005210C6">
              <w:rPr>
                <w:rFonts w:ascii="Montserrat" w:hAnsi="Montserrat"/>
                <w:sz w:val="14"/>
                <w:szCs w:val="14"/>
                <w:lang w:val="es-ES_tradnl"/>
              </w:rPr>
              <w:t>03</w:t>
            </w:r>
          </w:p>
        </w:tc>
        <w:tc>
          <w:tcPr>
            <w:tcW w:w="708" w:type="dxa"/>
            <w:tcBorders>
              <w:top w:val="nil"/>
              <w:left w:val="nil"/>
              <w:bottom w:val="nil"/>
              <w:right w:val="nil"/>
            </w:tcBorders>
            <w:shd w:val="clear" w:color="auto" w:fill="F2F2F2" w:themeFill="background1" w:themeFillShade="F2"/>
            <w:noWrap/>
            <w:vAlign w:val="bottom"/>
          </w:tcPr>
          <w:p w14:paraId="33957725" w14:textId="77777777" w:rsidR="009C3C24" w:rsidRPr="005210C6" w:rsidRDefault="009C3C24" w:rsidP="002F797B">
            <w:pPr>
              <w:spacing w:after="0" w:line="240" w:lineRule="exact"/>
              <w:jc w:val="center"/>
              <w:rPr>
                <w:rFonts w:ascii="Montserrat" w:hAnsi="Montserrat"/>
                <w:sz w:val="14"/>
                <w:szCs w:val="14"/>
                <w:lang w:val="es-ES_tradnl"/>
              </w:rPr>
            </w:pPr>
            <w:r w:rsidRPr="005210C6">
              <w:rPr>
                <w:rFonts w:ascii="Montserrat" w:hAnsi="Montserrat"/>
                <w:sz w:val="14"/>
                <w:szCs w:val="14"/>
                <w:lang w:val="es-ES_tradnl"/>
              </w:rPr>
              <w:t>00</w:t>
            </w:r>
          </w:p>
        </w:tc>
        <w:tc>
          <w:tcPr>
            <w:tcW w:w="756" w:type="dxa"/>
            <w:tcBorders>
              <w:top w:val="nil"/>
              <w:left w:val="nil"/>
              <w:bottom w:val="nil"/>
              <w:right w:val="nil"/>
            </w:tcBorders>
            <w:shd w:val="clear" w:color="auto" w:fill="F2F2F2" w:themeFill="background1" w:themeFillShade="F2"/>
            <w:noWrap/>
            <w:vAlign w:val="bottom"/>
          </w:tcPr>
          <w:p w14:paraId="080887C8" w14:textId="77777777" w:rsidR="009C3C24" w:rsidRPr="005210C6" w:rsidRDefault="009C3C24" w:rsidP="002F797B">
            <w:pPr>
              <w:spacing w:after="0" w:line="240" w:lineRule="exact"/>
              <w:jc w:val="center"/>
              <w:rPr>
                <w:rFonts w:ascii="Montserrat" w:hAnsi="Montserrat"/>
                <w:sz w:val="14"/>
                <w:szCs w:val="14"/>
                <w:lang w:val="es-ES_tradnl"/>
              </w:rPr>
            </w:pPr>
            <w:r w:rsidRPr="005210C6">
              <w:rPr>
                <w:rFonts w:ascii="Montserrat" w:hAnsi="Montserrat"/>
                <w:sz w:val="14"/>
                <w:szCs w:val="14"/>
                <w:lang w:val="es-ES_tradnl"/>
              </w:rPr>
              <w:t>00</w:t>
            </w:r>
          </w:p>
        </w:tc>
        <w:tc>
          <w:tcPr>
            <w:tcW w:w="662" w:type="dxa"/>
            <w:tcBorders>
              <w:top w:val="nil"/>
              <w:left w:val="nil"/>
              <w:bottom w:val="nil"/>
              <w:right w:val="nil"/>
            </w:tcBorders>
            <w:shd w:val="clear" w:color="auto" w:fill="F2F2F2" w:themeFill="background1" w:themeFillShade="F2"/>
            <w:noWrap/>
            <w:vAlign w:val="bottom"/>
          </w:tcPr>
          <w:p w14:paraId="4A4DC61E" w14:textId="37C93D4A" w:rsidR="009C3C24" w:rsidRPr="005210C6" w:rsidRDefault="009D2BD9" w:rsidP="002F797B">
            <w:pPr>
              <w:spacing w:after="0" w:line="240" w:lineRule="exact"/>
              <w:jc w:val="center"/>
              <w:rPr>
                <w:rFonts w:ascii="Montserrat" w:hAnsi="Montserrat"/>
                <w:sz w:val="14"/>
                <w:szCs w:val="14"/>
                <w:lang w:val="es-ES_tradnl"/>
              </w:rPr>
            </w:pPr>
            <w:r w:rsidRPr="009D2BD9">
              <w:rPr>
                <w:rFonts w:ascii="Montserrat" w:hAnsi="Montserrat"/>
                <w:sz w:val="14"/>
                <w:szCs w:val="14"/>
                <w:lang w:val="es-ES_tradnl"/>
              </w:rPr>
              <w:t>7.46%</w:t>
            </w:r>
          </w:p>
        </w:tc>
        <w:tc>
          <w:tcPr>
            <w:tcW w:w="850" w:type="dxa"/>
            <w:tcBorders>
              <w:top w:val="nil"/>
              <w:left w:val="nil"/>
              <w:bottom w:val="nil"/>
              <w:right w:val="nil"/>
            </w:tcBorders>
            <w:shd w:val="clear" w:color="auto" w:fill="F2F2F2" w:themeFill="background1" w:themeFillShade="F2"/>
            <w:noWrap/>
            <w:vAlign w:val="bottom"/>
          </w:tcPr>
          <w:p w14:paraId="24B64B29" w14:textId="77777777" w:rsidR="009C3C24" w:rsidRPr="005210C6" w:rsidRDefault="009C3C24" w:rsidP="002F797B">
            <w:pPr>
              <w:spacing w:after="0" w:line="240" w:lineRule="exact"/>
              <w:rPr>
                <w:rFonts w:ascii="Montserrat" w:hAnsi="Montserrat"/>
                <w:sz w:val="14"/>
                <w:szCs w:val="14"/>
                <w:lang w:val="es-ES_tradnl"/>
              </w:rPr>
            </w:pPr>
          </w:p>
        </w:tc>
        <w:tc>
          <w:tcPr>
            <w:tcW w:w="567" w:type="dxa"/>
            <w:tcBorders>
              <w:top w:val="nil"/>
              <w:left w:val="nil"/>
              <w:bottom w:val="nil"/>
              <w:right w:val="nil"/>
            </w:tcBorders>
            <w:shd w:val="clear" w:color="auto" w:fill="F2F2F2" w:themeFill="background1" w:themeFillShade="F2"/>
            <w:noWrap/>
            <w:vAlign w:val="bottom"/>
          </w:tcPr>
          <w:p w14:paraId="006E2AB5" w14:textId="77777777" w:rsidR="009C3C24" w:rsidRPr="005210C6" w:rsidRDefault="009C3C24" w:rsidP="002F797B">
            <w:pPr>
              <w:spacing w:after="0" w:line="240" w:lineRule="exact"/>
              <w:jc w:val="right"/>
              <w:rPr>
                <w:rFonts w:ascii="Montserrat" w:hAnsi="Montserrat"/>
                <w:sz w:val="14"/>
                <w:szCs w:val="14"/>
                <w:lang w:val="es-ES_tradnl"/>
              </w:rPr>
            </w:pPr>
          </w:p>
        </w:tc>
        <w:tc>
          <w:tcPr>
            <w:tcW w:w="567" w:type="dxa"/>
            <w:tcBorders>
              <w:top w:val="nil"/>
              <w:left w:val="nil"/>
              <w:bottom w:val="nil"/>
              <w:right w:val="nil"/>
            </w:tcBorders>
            <w:shd w:val="clear" w:color="auto" w:fill="F2F2F2" w:themeFill="background1" w:themeFillShade="F2"/>
            <w:noWrap/>
            <w:vAlign w:val="bottom"/>
          </w:tcPr>
          <w:p w14:paraId="1D6907D2" w14:textId="77777777" w:rsidR="009C3C24" w:rsidRPr="005210C6" w:rsidRDefault="009C3C24" w:rsidP="002F797B">
            <w:pPr>
              <w:spacing w:after="0" w:line="240" w:lineRule="exact"/>
              <w:jc w:val="right"/>
              <w:rPr>
                <w:rFonts w:ascii="Montserrat" w:hAnsi="Montserrat"/>
                <w:sz w:val="14"/>
                <w:szCs w:val="14"/>
                <w:lang w:val="es-ES_tradnl"/>
              </w:rPr>
            </w:pPr>
          </w:p>
        </w:tc>
        <w:tc>
          <w:tcPr>
            <w:tcW w:w="567" w:type="dxa"/>
            <w:gridSpan w:val="2"/>
            <w:tcBorders>
              <w:top w:val="nil"/>
              <w:left w:val="nil"/>
              <w:bottom w:val="nil"/>
              <w:right w:val="nil"/>
            </w:tcBorders>
            <w:shd w:val="clear" w:color="auto" w:fill="F2F2F2" w:themeFill="background1" w:themeFillShade="F2"/>
            <w:noWrap/>
            <w:vAlign w:val="bottom"/>
          </w:tcPr>
          <w:p w14:paraId="615DC141" w14:textId="77777777" w:rsidR="009C3C24" w:rsidRPr="005210C6" w:rsidRDefault="009C3C24" w:rsidP="002F797B">
            <w:pPr>
              <w:spacing w:after="0" w:line="240" w:lineRule="exact"/>
              <w:jc w:val="right"/>
              <w:rPr>
                <w:rFonts w:ascii="Montserrat" w:hAnsi="Montserrat"/>
                <w:sz w:val="14"/>
                <w:szCs w:val="14"/>
                <w:lang w:val="es-ES_tradnl"/>
              </w:rPr>
            </w:pPr>
          </w:p>
        </w:tc>
        <w:tc>
          <w:tcPr>
            <w:tcW w:w="567" w:type="dxa"/>
            <w:gridSpan w:val="2"/>
            <w:tcBorders>
              <w:top w:val="nil"/>
              <w:left w:val="nil"/>
              <w:bottom w:val="nil"/>
              <w:right w:val="nil"/>
            </w:tcBorders>
            <w:shd w:val="clear" w:color="auto" w:fill="F2F2F2" w:themeFill="background1" w:themeFillShade="F2"/>
            <w:noWrap/>
            <w:vAlign w:val="bottom"/>
          </w:tcPr>
          <w:p w14:paraId="64CBC845" w14:textId="77777777" w:rsidR="009C3C24" w:rsidRPr="005210C6" w:rsidRDefault="009C3C24" w:rsidP="002F797B">
            <w:pPr>
              <w:spacing w:after="0" w:line="240" w:lineRule="exact"/>
              <w:jc w:val="right"/>
              <w:rPr>
                <w:rFonts w:ascii="Montserrat" w:hAnsi="Montserrat"/>
                <w:sz w:val="14"/>
                <w:szCs w:val="14"/>
                <w:lang w:val="es-ES_tradnl"/>
              </w:rPr>
            </w:pPr>
          </w:p>
        </w:tc>
        <w:tc>
          <w:tcPr>
            <w:tcW w:w="567" w:type="dxa"/>
            <w:tcBorders>
              <w:top w:val="nil"/>
              <w:left w:val="nil"/>
              <w:bottom w:val="nil"/>
              <w:right w:val="nil"/>
            </w:tcBorders>
            <w:shd w:val="clear" w:color="auto" w:fill="F2F2F2" w:themeFill="background1" w:themeFillShade="F2"/>
            <w:noWrap/>
            <w:vAlign w:val="bottom"/>
          </w:tcPr>
          <w:p w14:paraId="78CEE591" w14:textId="77777777" w:rsidR="009C3C24" w:rsidRPr="005210C6" w:rsidRDefault="009C3C24" w:rsidP="002F797B">
            <w:pPr>
              <w:spacing w:after="0" w:line="240" w:lineRule="exact"/>
              <w:jc w:val="right"/>
              <w:rPr>
                <w:rFonts w:ascii="Montserrat" w:hAnsi="Montserrat"/>
                <w:sz w:val="14"/>
                <w:szCs w:val="14"/>
                <w:lang w:val="es-ES_tradnl"/>
              </w:rPr>
            </w:pPr>
          </w:p>
        </w:tc>
        <w:tc>
          <w:tcPr>
            <w:tcW w:w="709" w:type="dxa"/>
            <w:tcBorders>
              <w:top w:val="nil"/>
              <w:left w:val="nil"/>
              <w:bottom w:val="nil"/>
            </w:tcBorders>
            <w:shd w:val="clear" w:color="auto" w:fill="F2F2F2" w:themeFill="background1" w:themeFillShade="F2"/>
            <w:noWrap/>
            <w:vAlign w:val="bottom"/>
          </w:tcPr>
          <w:p w14:paraId="3449D819" w14:textId="77777777" w:rsidR="009C3C24" w:rsidRPr="005210C6" w:rsidRDefault="009C3C24" w:rsidP="002F797B">
            <w:pPr>
              <w:spacing w:after="0" w:line="240" w:lineRule="exact"/>
              <w:jc w:val="right"/>
              <w:rPr>
                <w:rFonts w:ascii="Montserrat" w:hAnsi="Montserrat"/>
                <w:sz w:val="14"/>
                <w:szCs w:val="14"/>
                <w:lang w:val="es-ES_tradnl"/>
              </w:rPr>
            </w:pPr>
          </w:p>
        </w:tc>
      </w:tr>
      <w:tr w:rsidR="009C3C24" w:rsidRPr="005210C6" w14:paraId="6C006311" w14:textId="77777777" w:rsidTr="0023764E">
        <w:trPr>
          <w:trHeight w:val="240"/>
        </w:trPr>
        <w:tc>
          <w:tcPr>
            <w:tcW w:w="923" w:type="dxa"/>
            <w:tcBorders>
              <w:top w:val="nil"/>
              <w:bottom w:val="nil"/>
              <w:right w:val="nil"/>
            </w:tcBorders>
            <w:shd w:val="clear" w:color="auto" w:fill="F2F2F2" w:themeFill="background1" w:themeFillShade="F2"/>
            <w:noWrap/>
            <w:vAlign w:val="bottom"/>
            <w:hideMark/>
          </w:tcPr>
          <w:p w14:paraId="20488A46" w14:textId="77777777" w:rsidR="009C3C24" w:rsidRPr="005210C6" w:rsidRDefault="009C3C24" w:rsidP="002F797B">
            <w:pPr>
              <w:spacing w:after="0" w:line="240" w:lineRule="exact"/>
              <w:rPr>
                <w:rFonts w:ascii="Montserrat" w:hAnsi="Montserrat"/>
                <w:sz w:val="14"/>
                <w:szCs w:val="14"/>
                <w:lang w:val="es-ES_tradnl"/>
              </w:rPr>
            </w:pPr>
          </w:p>
        </w:tc>
        <w:tc>
          <w:tcPr>
            <w:tcW w:w="567" w:type="dxa"/>
            <w:tcBorders>
              <w:top w:val="nil"/>
              <w:left w:val="nil"/>
              <w:bottom w:val="nil"/>
              <w:right w:val="nil"/>
            </w:tcBorders>
            <w:shd w:val="clear" w:color="auto" w:fill="F2F2F2" w:themeFill="background1" w:themeFillShade="F2"/>
            <w:noWrap/>
            <w:vAlign w:val="bottom"/>
          </w:tcPr>
          <w:p w14:paraId="19ED535C" w14:textId="77777777" w:rsidR="009C3C24" w:rsidRPr="005210C6" w:rsidRDefault="009C3C24" w:rsidP="002F797B">
            <w:pPr>
              <w:spacing w:after="0" w:line="240" w:lineRule="exact"/>
              <w:rPr>
                <w:rFonts w:ascii="Montserrat" w:hAnsi="Montserrat"/>
                <w:sz w:val="14"/>
                <w:szCs w:val="14"/>
                <w:lang w:val="es-ES_tradnl"/>
              </w:rPr>
            </w:pPr>
          </w:p>
        </w:tc>
        <w:tc>
          <w:tcPr>
            <w:tcW w:w="425" w:type="dxa"/>
            <w:tcBorders>
              <w:top w:val="nil"/>
              <w:left w:val="nil"/>
              <w:bottom w:val="nil"/>
              <w:right w:val="nil"/>
            </w:tcBorders>
            <w:shd w:val="clear" w:color="auto" w:fill="F2F2F2" w:themeFill="background1" w:themeFillShade="F2"/>
            <w:noWrap/>
            <w:vAlign w:val="bottom"/>
          </w:tcPr>
          <w:p w14:paraId="40A39F2D" w14:textId="77777777" w:rsidR="009C3C24" w:rsidRPr="005210C6" w:rsidRDefault="009C3C24" w:rsidP="002F797B">
            <w:pPr>
              <w:spacing w:after="0" w:line="240" w:lineRule="exact"/>
              <w:rPr>
                <w:rFonts w:ascii="Montserrat" w:hAnsi="Montserrat"/>
                <w:sz w:val="14"/>
                <w:szCs w:val="14"/>
                <w:lang w:val="es-ES_tradnl"/>
              </w:rPr>
            </w:pPr>
          </w:p>
        </w:tc>
        <w:tc>
          <w:tcPr>
            <w:tcW w:w="709" w:type="dxa"/>
            <w:tcBorders>
              <w:top w:val="nil"/>
              <w:left w:val="nil"/>
              <w:bottom w:val="nil"/>
              <w:right w:val="nil"/>
            </w:tcBorders>
            <w:shd w:val="clear" w:color="auto" w:fill="F2F2F2" w:themeFill="background1" w:themeFillShade="F2"/>
            <w:noWrap/>
            <w:vAlign w:val="bottom"/>
          </w:tcPr>
          <w:p w14:paraId="601E685F" w14:textId="77777777" w:rsidR="009C3C24" w:rsidRPr="005210C6" w:rsidRDefault="009C3C24" w:rsidP="002F797B">
            <w:pPr>
              <w:spacing w:after="0" w:line="240" w:lineRule="exact"/>
              <w:rPr>
                <w:rFonts w:ascii="Montserrat" w:hAnsi="Montserrat"/>
                <w:sz w:val="14"/>
                <w:szCs w:val="14"/>
                <w:lang w:val="es-ES_tradnl"/>
              </w:rPr>
            </w:pPr>
          </w:p>
        </w:tc>
        <w:tc>
          <w:tcPr>
            <w:tcW w:w="1345" w:type="dxa"/>
            <w:tcBorders>
              <w:top w:val="nil"/>
              <w:left w:val="nil"/>
              <w:bottom w:val="nil"/>
              <w:right w:val="nil"/>
            </w:tcBorders>
            <w:shd w:val="clear" w:color="auto" w:fill="F2F2F2" w:themeFill="background1" w:themeFillShade="F2"/>
            <w:noWrap/>
            <w:vAlign w:val="bottom"/>
          </w:tcPr>
          <w:p w14:paraId="0996FB5A" w14:textId="77777777" w:rsidR="009C3C24" w:rsidRPr="005210C6" w:rsidRDefault="009C3C24" w:rsidP="002F797B">
            <w:pPr>
              <w:spacing w:after="0" w:line="240" w:lineRule="exact"/>
              <w:rPr>
                <w:rFonts w:ascii="Montserrat" w:hAnsi="Montserrat"/>
                <w:sz w:val="14"/>
                <w:szCs w:val="14"/>
                <w:lang w:val="es-ES_tradnl"/>
              </w:rPr>
            </w:pPr>
          </w:p>
        </w:tc>
        <w:tc>
          <w:tcPr>
            <w:tcW w:w="1560" w:type="dxa"/>
            <w:tcBorders>
              <w:top w:val="nil"/>
              <w:left w:val="nil"/>
              <w:bottom w:val="nil"/>
              <w:right w:val="nil"/>
            </w:tcBorders>
            <w:shd w:val="clear" w:color="auto" w:fill="F2F2F2" w:themeFill="background1" w:themeFillShade="F2"/>
            <w:noWrap/>
            <w:vAlign w:val="bottom"/>
          </w:tcPr>
          <w:p w14:paraId="00356252" w14:textId="3E4115E7" w:rsidR="009C3C24" w:rsidRPr="005210C6" w:rsidRDefault="009D2BD9" w:rsidP="002F797B">
            <w:pPr>
              <w:spacing w:after="0" w:line="240" w:lineRule="exact"/>
              <w:jc w:val="right"/>
              <w:rPr>
                <w:rFonts w:ascii="Montserrat" w:hAnsi="Montserrat"/>
                <w:sz w:val="14"/>
                <w:szCs w:val="14"/>
                <w:lang w:val="es-ES_tradnl"/>
              </w:rPr>
            </w:pPr>
            <w:r w:rsidRPr="009D2BD9">
              <w:rPr>
                <w:rFonts w:ascii="Montserrat" w:hAnsi="Montserrat"/>
                <w:sz w:val="14"/>
                <w:szCs w:val="14"/>
                <w:lang w:val="es-ES_tradnl"/>
              </w:rPr>
              <w:t>403</w:t>
            </w:r>
            <w:r w:rsidR="00070196">
              <w:rPr>
                <w:rFonts w:ascii="Montserrat" w:hAnsi="Montserrat"/>
                <w:sz w:val="14"/>
                <w:szCs w:val="14"/>
                <w:lang w:val="es-ES_tradnl"/>
              </w:rPr>
              <w:t>,</w:t>
            </w:r>
            <w:r w:rsidRPr="009D2BD9">
              <w:rPr>
                <w:rFonts w:ascii="Montserrat" w:hAnsi="Montserrat"/>
                <w:sz w:val="14"/>
                <w:szCs w:val="14"/>
                <w:lang w:val="es-ES_tradnl"/>
              </w:rPr>
              <w:t>008</w:t>
            </w:r>
            <w:r w:rsidR="00070196">
              <w:rPr>
                <w:rFonts w:ascii="Montserrat" w:hAnsi="Montserrat"/>
                <w:sz w:val="14"/>
                <w:szCs w:val="14"/>
                <w:lang w:val="es-ES_tradnl"/>
              </w:rPr>
              <w:t>,</w:t>
            </w:r>
            <w:r w:rsidRPr="009D2BD9">
              <w:rPr>
                <w:rFonts w:ascii="Montserrat" w:hAnsi="Montserrat"/>
                <w:sz w:val="14"/>
                <w:szCs w:val="14"/>
                <w:lang w:val="es-ES_tradnl"/>
              </w:rPr>
              <w:t>083</w:t>
            </w:r>
            <w:r w:rsidR="00070196">
              <w:rPr>
                <w:rFonts w:ascii="Montserrat" w:hAnsi="Montserrat"/>
                <w:sz w:val="14"/>
                <w:szCs w:val="14"/>
                <w:lang w:val="es-ES_tradnl"/>
              </w:rPr>
              <w:t>,</w:t>
            </w:r>
            <w:r w:rsidRPr="009D2BD9">
              <w:rPr>
                <w:rFonts w:ascii="Montserrat" w:hAnsi="Montserrat"/>
                <w:sz w:val="14"/>
                <w:szCs w:val="14"/>
                <w:lang w:val="es-ES_tradnl"/>
              </w:rPr>
              <w:t>325</w:t>
            </w:r>
          </w:p>
        </w:tc>
        <w:tc>
          <w:tcPr>
            <w:tcW w:w="662" w:type="dxa"/>
            <w:tcBorders>
              <w:top w:val="nil"/>
              <w:left w:val="nil"/>
              <w:bottom w:val="nil"/>
              <w:right w:val="nil"/>
            </w:tcBorders>
            <w:shd w:val="clear" w:color="auto" w:fill="F2F2F2" w:themeFill="background1" w:themeFillShade="F2"/>
            <w:noWrap/>
            <w:vAlign w:val="bottom"/>
          </w:tcPr>
          <w:p w14:paraId="1B09A73A" w14:textId="77777777" w:rsidR="009C3C24" w:rsidRPr="005210C6" w:rsidRDefault="009C3C24" w:rsidP="002F797B">
            <w:pPr>
              <w:spacing w:after="0" w:line="240" w:lineRule="exact"/>
              <w:jc w:val="center"/>
              <w:rPr>
                <w:rFonts w:ascii="Montserrat" w:hAnsi="Montserrat"/>
                <w:sz w:val="14"/>
                <w:szCs w:val="14"/>
                <w:lang w:val="es-ES_tradnl"/>
              </w:rPr>
            </w:pPr>
            <w:r w:rsidRPr="005210C6">
              <w:rPr>
                <w:rFonts w:ascii="Montserrat" w:hAnsi="Montserrat"/>
                <w:sz w:val="14"/>
                <w:szCs w:val="14"/>
                <w:lang w:val="es-ES_tradnl"/>
              </w:rPr>
              <w:t>00</w:t>
            </w:r>
          </w:p>
        </w:tc>
        <w:tc>
          <w:tcPr>
            <w:tcW w:w="709" w:type="dxa"/>
            <w:tcBorders>
              <w:top w:val="nil"/>
              <w:left w:val="nil"/>
              <w:bottom w:val="nil"/>
              <w:right w:val="nil"/>
            </w:tcBorders>
            <w:shd w:val="clear" w:color="auto" w:fill="F2F2F2" w:themeFill="background1" w:themeFillShade="F2"/>
            <w:noWrap/>
            <w:vAlign w:val="bottom"/>
          </w:tcPr>
          <w:p w14:paraId="5C6121D4" w14:textId="77777777" w:rsidR="009C3C24" w:rsidRPr="005210C6" w:rsidRDefault="009C3C24" w:rsidP="002F797B">
            <w:pPr>
              <w:spacing w:after="0" w:line="240" w:lineRule="exact"/>
              <w:jc w:val="center"/>
              <w:rPr>
                <w:rFonts w:ascii="Montserrat" w:hAnsi="Montserrat"/>
                <w:sz w:val="14"/>
                <w:szCs w:val="14"/>
                <w:lang w:val="es-ES_tradnl"/>
              </w:rPr>
            </w:pPr>
            <w:r w:rsidRPr="005210C6">
              <w:rPr>
                <w:rFonts w:ascii="Montserrat" w:hAnsi="Montserrat"/>
                <w:sz w:val="14"/>
                <w:szCs w:val="14"/>
                <w:lang w:val="es-ES_tradnl"/>
              </w:rPr>
              <w:t>06</w:t>
            </w:r>
          </w:p>
        </w:tc>
        <w:tc>
          <w:tcPr>
            <w:tcW w:w="708" w:type="dxa"/>
            <w:tcBorders>
              <w:top w:val="nil"/>
              <w:left w:val="nil"/>
              <w:bottom w:val="nil"/>
              <w:right w:val="nil"/>
            </w:tcBorders>
            <w:shd w:val="clear" w:color="auto" w:fill="F2F2F2" w:themeFill="background1" w:themeFillShade="F2"/>
            <w:noWrap/>
            <w:vAlign w:val="bottom"/>
          </w:tcPr>
          <w:p w14:paraId="155BAE5D" w14:textId="77777777" w:rsidR="009C3C24" w:rsidRPr="005210C6" w:rsidRDefault="009C3C24" w:rsidP="002F797B">
            <w:pPr>
              <w:spacing w:after="0" w:line="240" w:lineRule="exact"/>
              <w:jc w:val="center"/>
              <w:rPr>
                <w:rFonts w:ascii="Montserrat" w:hAnsi="Montserrat"/>
                <w:sz w:val="14"/>
                <w:szCs w:val="14"/>
                <w:lang w:val="es-ES_tradnl"/>
              </w:rPr>
            </w:pPr>
            <w:r w:rsidRPr="005210C6">
              <w:rPr>
                <w:rFonts w:ascii="Montserrat" w:hAnsi="Montserrat"/>
                <w:sz w:val="14"/>
                <w:szCs w:val="14"/>
                <w:lang w:val="es-ES_tradnl"/>
              </w:rPr>
              <w:t>00</w:t>
            </w:r>
          </w:p>
        </w:tc>
        <w:tc>
          <w:tcPr>
            <w:tcW w:w="756" w:type="dxa"/>
            <w:tcBorders>
              <w:top w:val="nil"/>
              <w:left w:val="nil"/>
              <w:bottom w:val="nil"/>
              <w:right w:val="nil"/>
            </w:tcBorders>
            <w:shd w:val="clear" w:color="auto" w:fill="F2F2F2" w:themeFill="background1" w:themeFillShade="F2"/>
            <w:noWrap/>
            <w:vAlign w:val="bottom"/>
          </w:tcPr>
          <w:p w14:paraId="793CF249" w14:textId="77777777" w:rsidR="009C3C24" w:rsidRPr="005210C6" w:rsidRDefault="009C3C24" w:rsidP="002F797B">
            <w:pPr>
              <w:spacing w:after="0" w:line="240" w:lineRule="exact"/>
              <w:jc w:val="center"/>
              <w:rPr>
                <w:rFonts w:ascii="Montserrat" w:hAnsi="Montserrat"/>
                <w:sz w:val="14"/>
                <w:szCs w:val="14"/>
                <w:lang w:val="es-ES_tradnl"/>
              </w:rPr>
            </w:pPr>
            <w:r w:rsidRPr="005210C6">
              <w:rPr>
                <w:rFonts w:ascii="Montserrat" w:hAnsi="Montserrat"/>
                <w:sz w:val="14"/>
                <w:szCs w:val="14"/>
                <w:lang w:val="es-ES_tradnl"/>
              </w:rPr>
              <w:t>00</w:t>
            </w:r>
          </w:p>
        </w:tc>
        <w:tc>
          <w:tcPr>
            <w:tcW w:w="662" w:type="dxa"/>
            <w:tcBorders>
              <w:top w:val="nil"/>
              <w:left w:val="nil"/>
              <w:bottom w:val="nil"/>
              <w:right w:val="nil"/>
            </w:tcBorders>
            <w:shd w:val="clear" w:color="auto" w:fill="F2F2F2" w:themeFill="background1" w:themeFillShade="F2"/>
            <w:noWrap/>
            <w:vAlign w:val="bottom"/>
          </w:tcPr>
          <w:p w14:paraId="3227C5D1" w14:textId="61F20679" w:rsidR="009C3C24" w:rsidRPr="005210C6" w:rsidRDefault="009D2BD9" w:rsidP="002F797B">
            <w:pPr>
              <w:spacing w:after="0" w:line="240" w:lineRule="exact"/>
              <w:jc w:val="center"/>
              <w:rPr>
                <w:rFonts w:ascii="Montserrat" w:hAnsi="Montserrat"/>
                <w:sz w:val="14"/>
                <w:szCs w:val="14"/>
                <w:lang w:val="es-ES_tradnl"/>
              </w:rPr>
            </w:pPr>
            <w:r w:rsidRPr="009D2BD9">
              <w:rPr>
                <w:rFonts w:ascii="Montserrat" w:hAnsi="Montserrat"/>
                <w:sz w:val="14"/>
                <w:szCs w:val="14"/>
                <w:lang w:val="es-ES_tradnl"/>
              </w:rPr>
              <w:t>7.23%</w:t>
            </w:r>
          </w:p>
        </w:tc>
        <w:tc>
          <w:tcPr>
            <w:tcW w:w="850" w:type="dxa"/>
            <w:tcBorders>
              <w:top w:val="nil"/>
              <w:left w:val="nil"/>
              <w:bottom w:val="nil"/>
              <w:right w:val="nil"/>
            </w:tcBorders>
            <w:shd w:val="clear" w:color="auto" w:fill="F2F2F2" w:themeFill="background1" w:themeFillShade="F2"/>
            <w:noWrap/>
            <w:vAlign w:val="bottom"/>
          </w:tcPr>
          <w:p w14:paraId="3ADCC0F6" w14:textId="77777777" w:rsidR="009C3C24" w:rsidRPr="005210C6" w:rsidRDefault="009C3C24" w:rsidP="002F797B">
            <w:pPr>
              <w:spacing w:after="0" w:line="240" w:lineRule="exact"/>
              <w:rPr>
                <w:rFonts w:ascii="Montserrat" w:hAnsi="Montserrat"/>
                <w:sz w:val="14"/>
                <w:szCs w:val="14"/>
                <w:lang w:val="es-ES_tradnl"/>
              </w:rPr>
            </w:pPr>
          </w:p>
        </w:tc>
        <w:tc>
          <w:tcPr>
            <w:tcW w:w="567" w:type="dxa"/>
            <w:tcBorders>
              <w:top w:val="nil"/>
              <w:left w:val="nil"/>
              <w:bottom w:val="nil"/>
              <w:right w:val="nil"/>
            </w:tcBorders>
            <w:shd w:val="clear" w:color="auto" w:fill="F2F2F2" w:themeFill="background1" w:themeFillShade="F2"/>
            <w:noWrap/>
            <w:vAlign w:val="bottom"/>
          </w:tcPr>
          <w:p w14:paraId="41E375A2" w14:textId="77777777" w:rsidR="009C3C24" w:rsidRPr="005210C6" w:rsidRDefault="009C3C24" w:rsidP="002F797B">
            <w:pPr>
              <w:spacing w:after="0" w:line="240" w:lineRule="exact"/>
              <w:jc w:val="right"/>
              <w:rPr>
                <w:rFonts w:ascii="Montserrat" w:hAnsi="Montserrat"/>
                <w:sz w:val="14"/>
                <w:szCs w:val="14"/>
                <w:lang w:val="es-ES_tradnl"/>
              </w:rPr>
            </w:pPr>
          </w:p>
        </w:tc>
        <w:tc>
          <w:tcPr>
            <w:tcW w:w="567" w:type="dxa"/>
            <w:tcBorders>
              <w:top w:val="nil"/>
              <w:left w:val="nil"/>
              <w:bottom w:val="nil"/>
              <w:right w:val="nil"/>
            </w:tcBorders>
            <w:shd w:val="clear" w:color="auto" w:fill="F2F2F2" w:themeFill="background1" w:themeFillShade="F2"/>
            <w:noWrap/>
            <w:vAlign w:val="bottom"/>
          </w:tcPr>
          <w:p w14:paraId="4E24A0A4" w14:textId="77777777" w:rsidR="009C3C24" w:rsidRPr="005210C6" w:rsidRDefault="009C3C24" w:rsidP="002F797B">
            <w:pPr>
              <w:spacing w:after="0" w:line="240" w:lineRule="exact"/>
              <w:jc w:val="right"/>
              <w:rPr>
                <w:rFonts w:ascii="Montserrat" w:hAnsi="Montserrat"/>
                <w:sz w:val="14"/>
                <w:szCs w:val="14"/>
                <w:lang w:val="es-ES_tradnl"/>
              </w:rPr>
            </w:pPr>
          </w:p>
        </w:tc>
        <w:tc>
          <w:tcPr>
            <w:tcW w:w="567" w:type="dxa"/>
            <w:gridSpan w:val="2"/>
            <w:tcBorders>
              <w:top w:val="nil"/>
              <w:left w:val="nil"/>
              <w:bottom w:val="nil"/>
              <w:right w:val="nil"/>
            </w:tcBorders>
            <w:shd w:val="clear" w:color="auto" w:fill="F2F2F2" w:themeFill="background1" w:themeFillShade="F2"/>
            <w:noWrap/>
            <w:vAlign w:val="bottom"/>
          </w:tcPr>
          <w:p w14:paraId="6E3396C8" w14:textId="77777777" w:rsidR="009C3C24" w:rsidRPr="005210C6" w:rsidRDefault="009C3C24" w:rsidP="002F797B">
            <w:pPr>
              <w:spacing w:after="0" w:line="240" w:lineRule="exact"/>
              <w:jc w:val="right"/>
              <w:rPr>
                <w:rFonts w:ascii="Montserrat" w:hAnsi="Montserrat"/>
                <w:sz w:val="14"/>
                <w:szCs w:val="14"/>
                <w:lang w:val="es-ES_tradnl"/>
              </w:rPr>
            </w:pPr>
          </w:p>
        </w:tc>
        <w:tc>
          <w:tcPr>
            <w:tcW w:w="567" w:type="dxa"/>
            <w:gridSpan w:val="2"/>
            <w:tcBorders>
              <w:top w:val="nil"/>
              <w:left w:val="nil"/>
              <w:bottom w:val="nil"/>
              <w:right w:val="nil"/>
            </w:tcBorders>
            <w:shd w:val="clear" w:color="auto" w:fill="F2F2F2" w:themeFill="background1" w:themeFillShade="F2"/>
            <w:noWrap/>
            <w:vAlign w:val="bottom"/>
          </w:tcPr>
          <w:p w14:paraId="4C2C6360" w14:textId="77777777" w:rsidR="009C3C24" w:rsidRPr="005210C6" w:rsidRDefault="009C3C24" w:rsidP="002F797B">
            <w:pPr>
              <w:spacing w:after="0" w:line="240" w:lineRule="exact"/>
              <w:jc w:val="right"/>
              <w:rPr>
                <w:rFonts w:ascii="Montserrat" w:hAnsi="Montserrat"/>
                <w:sz w:val="14"/>
                <w:szCs w:val="14"/>
                <w:lang w:val="es-ES_tradnl"/>
              </w:rPr>
            </w:pPr>
          </w:p>
        </w:tc>
        <w:tc>
          <w:tcPr>
            <w:tcW w:w="567" w:type="dxa"/>
            <w:tcBorders>
              <w:top w:val="nil"/>
              <w:left w:val="nil"/>
              <w:bottom w:val="nil"/>
              <w:right w:val="nil"/>
            </w:tcBorders>
            <w:shd w:val="clear" w:color="auto" w:fill="F2F2F2" w:themeFill="background1" w:themeFillShade="F2"/>
            <w:noWrap/>
            <w:vAlign w:val="bottom"/>
          </w:tcPr>
          <w:p w14:paraId="5DED494B" w14:textId="77777777" w:rsidR="009C3C24" w:rsidRPr="005210C6" w:rsidRDefault="009C3C24" w:rsidP="002F797B">
            <w:pPr>
              <w:spacing w:after="0" w:line="240" w:lineRule="exact"/>
              <w:jc w:val="right"/>
              <w:rPr>
                <w:rFonts w:ascii="Montserrat" w:hAnsi="Montserrat"/>
                <w:sz w:val="14"/>
                <w:szCs w:val="14"/>
                <w:lang w:val="es-ES_tradnl"/>
              </w:rPr>
            </w:pPr>
          </w:p>
        </w:tc>
        <w:tc>
          <w:tcPr>
            <w:tcW w:w="709" w:type="dxa"/>
            <w:tcBorders>
              <w:top w:val="nil"/>
              <w:left w:val="nil"/>
              <w:bottom w:val="nil"/>
            </w:tcBorders>
            <w:shd w:val="clear" w:color="auto" w:fill="F2F2F2" w:themeFill="background1" w:themeFillShade="F2"/>
            <w:noWrap/>
            <w:vAlign w:val="bottom"/>
          </w:tcPr>
          <w:p w14:paraId="73219FE7" w14:textId="77777777" w:rsidR="009C3C24" w:rsidRPr="005210C6" w:rsidRDefault="009C3C24" w:rsidP="002F797B">
            <w:pPr>
              <w:spacing w:after="0" w:line="240" w:lineRule="exact"/>
              <w:jc w:val="right"/>
              <w:rPr>
                <w:rFonts w:ascii="Montserrat" w:hAnsi="Montserrat"/>
                <w:sz w:val="14"/>
                <w:szCs w:val="14"/>
                <w:lang w:val="es-ES_tradnl"/>
              </w:rPr>
            </w:pPr>
          </w:p>
        </w:tc>
      </w:tr>
      <w:tr w:rsidR="009C3C24" w:rsidRPr="005210C6" w14:paraId="16CBFD16" w14:textId="77777777" w:rsidTr="0023764E">
        <w:trPr>
          <w:trHeight w:val="240"/>
        </w:trPr>
        <w:tc>
          <w:tcPr>
            <w:tcW w:w="923" w:type="dxa"/>
            <w:tcBorders>
              <w:top w:val="nil"/>
              <w:bottom w:val="nil"/>
              <w:right w:val="nil"/>
            </w:tcBorders>
            <w:shd w:val="clear" w:color="auto" w:fill="F2F2F2" w:themeFill="background1" w:themeFillShade="F2"/>
            <w:noWrap/>
            <w:vAlign w:val="bottom"/>
            <w:hideMark/>
          </w:tcPr>
          <w:p w14:paraId="65E570A5" w14:textId="77777777" w:rsidR="009C3C24" w:rsidRPr="005210C6" w:rsidRDefault="009C3C24" w:rsidP="002F797B">
            <w:pPr>
              <w:spacing w:after="0" w:line="240" w:lineRule="exact"/>
              <w:rPr>
                <w:rFonts w:ascii="Montserrat" w:hAnsi="Montserrat"/>
                <w:sz w:val="14"/>
                <w:szCs w:val="14"/>
                <w:lang w:val="es-ES_tradnl"/>
              </w:rPr>
            </w:pPr>
          </w:p>
        </w:tc>
        <w:tc>
          <w:tcPr>
            <w:tcW w:w="567" w:type="dxa"/>
            <w:tcBorders>
              <w:top w:val="nil"/>
              <w:left w:val="nil"/>
              <w:bottom w:val="nil"/>
              <w:right w:val="nil"/>
            </w:tcBorders>
            <w:shd w:val="clear" w:color="auto" w:fill="F2F2F2" w:themeFill="background1" w:themeFillShade="F2"/>
            <w:noWrap/>
            <w:vAlign w:val="bottom"/>
          </w:tcPr>
          <w:p w14:paraId="2E1F5251" w14:textId="77777777" w:rsidR="009C3C24" w:rsidRPr="005210C6" w:rsidRDefault="009C3C24" w:rsidP="002F797B">
            <w:pPr>
              <w:spacing w:after="0" w:line="240" w:lineRule="exact"/>
              <w:rPr>
                <w:rFonts w:ascii="Montserrat" w:hAnsi="Montserrat"/>
                <w:sz w:val="14"/>
                <w:szCs w:val="14"/>
                <w:lang w:val="es-ES_tradnl"/>
              </w:rPr>
            </w:pPr>
          </w:p>
        </w:tc>
        <w:tc>
          <w:tcPr>
            <w:tcW w:w="425" w:type="dxa"/>
            <w:tcBorders>
              <w:top w:val="nil"/>
              <w:left w:val="nil"/>
              <w:bottom w:val="nil"/>
              <w:right w:val="nil"/>
            </w:tcBorders>
            <w:shd w:val="clear" w:color="auto" w:fill="F2F2F2" w:themeFill="background1" w:themeFillShade="F2"/>
            <w:noWrap/>
            <w:vAlign w:val="bottom"/>
          </w:tcPr>
          <w:p w14:paraId="02A5C83E" w14:textId="77777777" w:rsidR="009C3C24" w:rsidRPr="005210C6" w:rsidRDefault="009C3C24" w:rsidP="002F797B">
            <w:pPr>
              <w:spacing w:after="0" w:line="240" w:lineRule="exact"/>
              <w:rPr>
                <w:rFonts w:ascii="Montserrat" w:hAnsi="Montserrat"/>
                <w:sz w:val="14"/>
                <w:szCs w:val="14"/>
                <w:lang w:val="es-ES_tradnl"/>
              </w:rPr>
            </w:pPr>
          </w:p>
        </w:tc>
        <w:tc>
          <w:tcPr>
            <w:tcW w:w="709" w:type="dxa"/>
            <w:tcBorders>
              <w:top w:val="nil"/>
              <w:left w:val="nil"/>
              <w:bottom w:val="nil"/>
              <w:right w:val="nil"/>
            </w:tcBorders>
            <w:shd w:val="clear" w:color="auto" w:fill="F2F2F2" w:themeFill="background1" w:themeFillShade="F2"/>
            <w:noWrap/>
            <w:vAlign w:val="bottom"/>
          </w:tcPr>
          <w:p w14:paraId="2CFFABB2" w14:textId="77777777" w:rsidR="009C3C24" w:rsidRPr="005210C6" w:rsidRDefault="009C3C24" w:rsidP="002F797B">
            <w:pPr>
              <w:spacing w:after="0" w:line="240" w:lineRule="exact"/>
              <w:rPr>
                <w:rFonts w:ascii="Montserrat" w:hAnsi="Montserrat"/>
                <w:sz w:val="14"/>
                <w:szCs w:val="14"/>
                <w:lang w:val="es-ES_tradnl"/>
              </w:rPr>
            </w:pPr>
          </w:p>
        </w:tc>
        <w:tc>
          <w:tcPr>
            <w:tcW w:w="1345" w:type="dxa"/>
            <w:tcBorders>
              <w:top w:val="nil"/>
              <w:left w:val="nil"/>
              <w:bottom w:val="nil"/>
              <w:right w:val="nil"/>
            </w:tcBorders>
            <w:shd w:val="clear" w:color="auto" w:fill="F2F2F2" w:themeFill="background1" w:themeFillShade="F2"/>
            <w:noWrap/>
            <w:vAlign w:val="bottom"/>
          </w:tcPr>
          <w:p w14:paraId="676A95D8" w14:textId="77777777" w:rsidR="009C3C24" w:rsidRPr="005210C6" w:rsidRDefault="009C3C24" w:rsidP="002F797B">
            <w:pPr>
              <w:spacing w:after="0" w:line="240" w:lineRule="exact"/>
              <w:rPr>
                <w:rFonts w:ascii="Montserrat" w:hAnsi="Montserrat"/>
                <w:sz w:val="14"/>
                <w:szCs w:val="14"/>
                <w:lang w:val="es-ES_tradnl"/>
              </w:rPr>
            </w:pPr>
          </w:p>
        </w:tc>
        <w:tc>
          <w:tcPr>
            <w:tcW w:w="1560" w:type="dxa"/>
            <w:tcBorders>
              <w:top w:val="nil"/>
              <w:left w:val="nil"/>
              <w:bottom w:val="nil"/>
              <w:right w:val="nil"/>
            </w:tcBorders>
            <w:shd w:val="clear" w:color="auto" w:fill="F2F2F2" w:themeFill="background1" w:themeFillShade="F2"/>
            <w:noWrap/>
            <w:vAlign w:val="bottom"/>
          </w:tcPr>
          <w:p w14:paraId="7F036990" w14:textId="1CEF3BB5" w:rsidR="009C3C24" w:rsidRPr="005210C6" w:rsidRDefault="009D2BD9" w:rsidP="002F797B">
            <w:pPr>
              <w:spacing w:after="0" w:line="240" w:lineRule="exact"/>
              <w:jc w:val="right"/>
              <w:rPr>
                <w:rFonts w:ascii="Montserrat" w:hAnsi="Montserrat"/>
                <w:sz w:val="14"/>
                <w:szCs w:val="14"/>
                <w:lang w:val="es-ES_tradnl"/>
              </w:rPr>
            </w:pPr>
            <w:r w:rsidRPr="009D2BD9">
              <w:rPr>
                <w:rFonts w:ascii="Montserrat" w:hAnsi="Montserrat"/>
                <w:sz w:val="14"/>
                <w:szCs w:val="14"/>
                <w:lang w:val="es-ES_tradnl"/>
              </w:rPr>
              <w:t>186</w:t>
            </w:r>
            <w:r w:rsidR="00070196">
              <w:rPr>
                <w:rFonts w:ascii="Montserrat" w:hAnsi="Montserrat"/>
                <w:sz w:val="14"/>
                <w:szCs w:val="14"/>
                <w:lang w:val="es-ES_tradnl"/>
              </w:rPr>
              <w:t>,</w:t>
            </w:r>
            <w:r w:rsidRPr="009D2BD9">
              <w:rPr>
                <w:rFonts w:ascii="Montserrat" w:hAnsi="Montserrat"/>
                <w:sz w:val="14"/>
                <w:szCs w:val="14"/>
                <w:lang w:val="es-ES_tradnl"/>
              </w:rPr>
              <w:t>732</w:t>
            </w:r>
            <w:r w:rsidR="00070196">
              <w:rPr>
                <w:rFonts w:ascii="Montserrat" w:hAnsi="Montserrat"/>
                <w:sz w:val="14"/>
                <w:szCs w:val="14"/>
                <w:lang w:val="es-ES_tradnl"/>
              </w:rPr>
              <w:t>,</w:t>
            </w:r>
            <w:r w:rsidRPr="009D2BD9">
              <w:rPr>
                <w:rFonts w:ascii="Montserrat" w:hAnsi="Montserrat"/>
                <w:sz w:val="14"/>
                <w:szCs w:val="14"/>
                <w:lang w:val="es-ES_tradnl"/>
              </w:rPr>
              <w:t>964</w:t>
            </w:r>
            <w:r w:rsidR="00070196">
              <w:rPr>
                <w:rFonts w:ascii="Montserrat" w:hAnsi="Montserrat"/>
                <w:sz w:val="14"/>
                <w:szCs w:val="14"/>
                <w:lang w:val="es-ES_tradnl"/>
              </w:rPr>
              <w:t>,</w:t>
            </w:r>
            <w:r w:rsidRPr="009D2BD9">
              <w:rPr>
                <w:rFonts w:ascii="Montserrat" w:hAnsi="Montserrat"/>
                <w:sz w:val="14"/>
                <w:szCs w:val="14"/>
                <w:lang w:val="es-ES_tradnl"/>
              </w:rPr>
              <w:t>741</w:t>
            </w:r>
          </w:p>
        </w:tc>
        <w:tc>
          <w:tcPr>
            <w:tcW w:w="662" w:type="dxa"/>
            <w:tcBorders>
              <w:top w:val="nil"/>
              <w:left w:val="nil"/>
              <w:bottom w:val="nil"/>
              <w:right w:val="nil"/>
            </w:tcBorders>
            <w:shd w:val="clear" w:color="auto" w:fill="F2F2F2" w:themeFill="background1" w:themeFillShade="F2"/>
            <w:noWrap/>
            <w:vAlign w:val="bottom"/>
          </w:tcPr>
          <w:p w14:paraId="40F5C14F" w14:textId="77777777" w:rsidR="009C3C24" w:rsidRPr="005210C6" w:rsidRDefault="009C3C24" w:rsidP="002F797B">
            <w:pPr>
              <w:spacing w:after="0" w:line="240" w:lineRule="exact"/>
              <w:jc w:val="center"/>
              <w:rPr>
                <w:rFonts w:ascii="Montserrat" w:hAnsi="Montserrat"/>
                <w:sz w:val="14"/>
                <w:szCs w:val="14"/>
                <w:lang w:val="es-ES_tradnl"/>
              </w:rPr>
            </w:pPr>
            <w:r w:rsidRPr="005210C6">
              <w:rPr>
                <w:rFonts w:ascii="Montserrat" w:hAnsi="Montserrat"/>
                <w:sz w:val="14"/>
                <w:szCs w:val="14"/>
                <w:lang w:val="es-ES_tradnl"/>
              </w:rPr>
              <w:t>01</w:t>
            </w:r>
          </w:p>
        </w:tc>
        <w:tc>
          <w:tcPr>
            <w:tcW w:w="709" w:type="dxa"/>
            <w:tcBorders>
              <w:top w:val="nil"/>
              <w:left w:val="nil"/>
              <w:bottom w:val="nil"/>
              <w:right w:val="nil"/>
            </w:tcBorders>
            <w:shd w:val="clear" w:color="auto" w:fill="F2F2F2" w:themeFill="background1" w:themeFillShade="F2"/>
            <w:noWrap/>
            <w:vAlign w:val="bottom"/>
          </w:tcPr>
          <w:p w14:paraId="2F05C140" w14:textId="77777777" w:rsidR="009C3C24" w:rsidRPr="005210C6" w:rsidRDefault="009C3C24" w:rsidP="002F797B">
            <w:pPr>
              <w:spacing w:after="0" w:line="240" w:lineRule="exact"/>
              <w:jc w:val="center"/>
              <w:rPr>
                <w:rFonts w:ascii="Montserrat" w:hAnsi="Montserrat"/>
                <w:sz w:val="14"/>
                <w:szCs w:val="14"/>
                <w:lang w:val="es-ES_tradnl"/>
              </w:rPr>
            </w:pPr>
            <w:r w:rsidRPr="005210C6">
              <w:rPr>
                <w:rFonts w:ascii="Montserrat" w:hAnsi="Montserrat"/>
                <w:sz w:val="14"/>
                <w:szCs w:val="14"/>
                <w:lang w:val="es-ES_tradnl"/>
              </w:rPr>
              <w:t>00</w:t>
            </w:r>
          </w:p>
        </w:tc>
        <w:tc>
          <w:tcPr>
            <w:tcW w:w="708" w:type="dxa"/>
            <w:tcBorders>
              <w:top w:val="nil"/>
              <w:left w:val="nil"/>
              <w:bottom w:val="nil"/>
              <w:right w:val="nil"/>
            </w:tcBorders>
            <w:shd w:val="clear" w:color="auto" w:fill="F2F2F2" w:themeFill="background1" w:themeFillShade="F2"/>
            <w:noWrap/>
            <w:vAlign w:val="bottom"/>
          </w:tcPr>
          <w:p w14:paraId="0AD38E05" w14:textId="77777777" w:rsidR="009C3C24" w:rsidRPr="005210C6" w:rsidRDefault="009C3C24" w:rsidP="002F797B">
            <w:pPr>
              <w:spacing w:after="0" w:line="240" w:lineRule="exact"/>
              <w:jc w:val="center"/>
              <w:rPr>
                <w:rFonts w:ascii="Montserrat" w:hAnsi="Montserrat"/>
                <w:sz w:val="14"/>
                <w:szCs w:val="14"/>
                <w:lang w:val="es-ES_tradnl"/>
              </w:rPr>
            </w:pPr>
            <w:r w:rsidRPr="005210C6">
              <w:rPr>
                <w:rFonts w:ascii="Montserrat" w:hAnsi="Montserrat"/>
                <w:sz w:val="14"/>
                <w:szCs w:val="14"/>
                <w:lang w:val="es-ES_tradnl"/>
              </w:rPr>
              <w:t>00</w:t>
            </w:r>
          </w:p>
        </w:tc>
        <w:tc>
          <w:tcPr>
            <w:tcW w:w="756" w:type="dxa"/>
            <w:tcBorders>
              <w:top w:val="nil"/>
              <w:left w:val="nil"/>
              <w:bottom w:val="nil"/>
              <w:right w:val="nil"/>
            </w:tcBorders>
            <w:shd w:val="clear" w:color="auto" w:fill="F2F2F2" w:themeFill="background1" w:themeFillShade="F2"/>
            <w:noWrap/>
            <w:vAlign w:val="bottom"/>
          </w:tcPr>
          <w:p w14:paraId="70FBFA27" w14:textId="77777777" w:rsidR="009C3C24" w:rsidRPr="005210C6" w:rsidRDefault="009C3C24" w:rsidP="002F797B">
            <w:pPr>
              <w:spacing w:after="0" w:line="240" w:lineRule="exact"/>
              <w:jc w:val="center"/>
              <w:rPr>
                <w:rFonts w:ascii="Montserrat" w:hAnsi="Montserrat"/>
                <w:sz w:val="14"/>
                <w:szCs w:val="14"/>
                <w:lang w:val="es-ES_tradnl"/>
              </w:rPr>
            </w:pPr>
            <w:r w:rsidRPr="005210C6">
              <w:rPr>
                <w:rFonts w:ascii="Montserrat" w:hAnsi="Montserrat"/>
                <w:sz w:val="14"/>
                <w:szCs w:val="14"/>
                <w:lang w:val="es-ES_tradnl"/>
              </w:rPr>
              <w:t>00</w:t>
            </w:r>
          </w:p>
        </w:tc>
        <w:tc>
          <w:tcPr>
            <w:tcW w:w="662" w:type="dxa"/>
            <w:tcBorders>
              <w:top w:val="nil"/>
              <w:left w:val="nil"/>
              <w:bottom w:val="nil"/>
              <w:right w:val="nil"/>
            </w:tcBorders>
            <w:shd w:val="clear" w:color="auto" w:fill="F2F2F2" w:themeFill="background1" w:themeFillShade="F2"/>
            <w:noWrap/>
            <w:vAlign w:val="bottom"/>
          </w:tcPr>
          <w:p w14:paraId="0DB8AE0C" w14:textId="20D249E0" w:rsidR="009C3C24" w:rsidRPr="005210C6" w:rsidRDefault="009D2BD9" w:rsidP="002F797B">
            <w:pPr>
              <w:spacing w:after="0" w:line="240" w:lineRule="exact"/>
              <w:jc w:val="center"/>
              <w:rPr>
                <w:rFonts w:ascii="Montserrat" w:hAnsi="Montserrat"/>
                <w:sz w:val="14"/>
                <w:szCs w:val="14"/>
                <w:lang w:val="es-ES_tradnl"/>
              </w:rPr>
            </w:pPr>
            <w:r w:rsidRPr="009D2BD9">
              <w:rPr>
                <w:rFonts w:ascii="Montserrat" w:hAnsi="Montserrat"/>
                <w:sz w:val="14"/>
                <w:szCs w:val="14"/>
                <w:lang w:val="es-ES_tradnl"/>
              </w:rPr>
              <w:t>6.59%</w:t>
            </w:r>
          </w:p>
        </w:tc>
        <w:tc>
          <w:tcPr>
            <w:tcW w:w="850" w:type="dxa"/>
            <w:tcBorders>
              <w:top w:val="nil"/>
              <w:left w:val="nil"/>
              <w:bottom w:val="nil"/>
              <w:right w:val="nil"/>
            </w:tcBorders>
            <w:shd w:val="clear" w:color="auto" w:fill="F2F2F2" w:themeFill="background1" w:themeFillShade="F2"/>
            <w:noWrap/>
            <w:vAlign w:val="bottom"/>
          </w:tcPr>
          <w:p w14:paraId="00F9A9DA" w14:textId="77777777" w:rsidR="009C3C24" w:rsidRPr="005210C6" w:rsidRDefault="009C3C24" w:rsidP="002F797B">
            <w:pPr>
              <w:spacing w:after="0" w:line="240" w:lineRule="exact"/>
              <w:rPr>
                <w:rFonts w:ascii="Montserrat" w:hAnsi="Montserrat"/>
                <w:sz w:val="14"/>
                <w:szCs w:val="14"/>
                <w:lang w:val="es-ES_tradnl"/>
              </w:rPr>
            </w:pPr>
          </w:p>
        </w:tc>
        <w:tc>
          <w:tcPr>
            <w:tcW w:w="567" w:type="dxa"/>
            <w:tcBorders>
              <w:top w:val="nil"/>
              <w:left w:val="nil"/>
              <w:bottom w:val="nil"/>
              <w:right w:val="nil"/>
            </w:tcBorders>
            <w:shd w:val="clear" w:color="auto" w:fill="F2F2F2" w:themeFill="background1" w:themeFillShade="F2"/>
            <w:noWrap/>
            <w:vAlign w:val="bottom"/>
          </w:tcPr>
          <w:p w14:paraId="04F5B91C" w14:textId="77777777" w:rsidR="009C3C24" w:rsidRPr="005210C6" w:rsidRDefault="009C3C24" w:rsidP="002F797B">
            <w:pPr>
              <w:spacing w:after="0" w:line="240" w:lineRule="exact"/>
              <w:jc w:val="right"/>
              <w:rPr>
                <w:rFonts w:ascii="Montserrat" w:hAnsi="Montserrat"/>
                <w:sz w:val="14"/>
                <w:szCs w:val="14"/>
                <w:lang w:val="es-ES_tradnl"/>
              </w:rPr>
            </w:pPr>
          </w:p>
        </w:tc>
        <w:tc>
          <w:tcPr>
            <w:tcW w:w="567" w:type="dxa"/>
            <w:tcBorders>
              <w:top w:val="nil"/>
              <w:left w:val="nil"/>
              <w:bottom w:val="nil"/>
              <w:right w:val="nil"/>
            </w:tcBorders>
            <w:shd w:val="clear" w:color="auto" w:fill="F2F2F2" w:themeFill="background1" w:themeFillShade="F2"/>
            <w:noWrap/>
            <w:vAlign w:val="bottom"/>
          </w:tcPr>
          <w:p w14:paraId="61CB2164" w14:textId="77777777" w:rsidR="009C3C24" w:rsidRPr="005210C6" w:rsidRDefault="009C3C24" w:rsidP="002F797B">
            <w:pPr>
              <w:spacing w:after="0" w:line="240" w:lineRule="exact"/>
              <w:jc w:val="right"/>
              <w:rPr>
                <w:rFonts w:ascii="Montserrat" w:hAnsi="Montserrat"/>
                <w:sz w:val="14"/>
                <w:szCs w:val="14"/>
                <w:lang w:val="es-ES_tradnl"/>
              </w:rPr>
            </w:pPr>
          </w:p>
        </w:tc>
        <w:tc>
          <w:tcPr>
            <w:tcW w:w="567" w:type="dxa"/>
            <w:gridSpan w:val="2"/>
            <w:tcBorders>
              <w:top w:val="nil"/>
              <w:left w:val="nil"/>
              <w:bottom w:val="nil"/>
              <w:right w:val="nil"/>
            </w:tcBorders>
            <w:shd w:val="clear" w:color="auto" w:fill="F2F2F2" w:themeFill="background1" w:themeFillShade="F2"/>
            <w:noWrap/>
            <w:vAlign w:val="bottom"/>
          </w:tcPr>
          <w:p w14:paraId="48CCE3D5" w14:textId="77777777" w:rsidR="009C3C24" w:rsidRPr="005210C6" w:rsidRDefault="009C3C24" w:rsidP="002F797B">
            <w:pPr>
              <w:spacing w:after="0" w:line="240" w:lineRule="exact"/>
              <w:jc w:val="right"/>
              <w:rPr>
                <w:rFonts w:ascii="Montserrat" w:hAnsi="Montserrat"/>
                <w:sz w:val="14"/>
                <w:szCs w:val="14"/>
                <w:lang w:val="es-ES_tradnl"/>
              </w:rPr>
            </w:pPr>
          </w:p>
        </w:tc>
        <w:tc>
          <w:tcPr>
            <w:tcW w:w="567" w:type="dxa"/>
            <w:gridSpan w:val="2"/>
            <w:tcBorders>
              <w:top w:val="nil"/>
              <w:left w:val="nil"/>
              <w:bottom w:val="nil"/>
              <w:right w:val="nil"/>
            </w:tcBorders>
            <w:shd w:val="clear" w:color="auto" w:fill="F2F2F2" w:themeFill="background1" w:themeFillShade="F2"/>
            <w:noWrap/>
            <w:vAlign w:val="bottom"/>
          </w:tcPr>
          <w:p w14:paraId="774D4F8C" w14:textId="77777777" w:rsidR="009C3C24" w:rsidRPr="005210C6" w:rsidRDefault="009C3C24" w:rsidP="002F797B">
            <w:pPr>
              <w:spacing w:after="0" w:line="240" w:lineRule="exact"/>
              <w:jc w:val="right"/>
              <w:rPr>
                <w:rFonts w:ascii="Montserrat" w:hAnsi="Montserrat"/>
                <w:sz w:val="14"/>
                <w:szCs w:val="14"/>
                <w:lang w:val="es-ES_tradnl"/>
              </w:rPr>
            </w:pPr>
          </w:p>
        </w:tc>
        <w:tc>
          <w:tcPr>
            <w:tcW w:w="567" w:type="dxa"/>
            <w:tcBorders>
              <w:top w:val="nil"/>
              <w:left w:val="nil"/>
              <w:bottom w:val="nil"/>
              <w:right w:val="nil"/>
            </w:tcBorders>
            <w:shd w:val="clear" w:color="auto" w:fill="F2F2F2" w:themeFill="background1" w:themeFillShade="F2"/>
            <w:noWrap/>
            <w:vAlign w:val="bottom"/>
          </w:tcPr>
          <w:p w14:paraId="6BF1A0A6" w14:textId="77777777" w:rsidR="009C3C24" w:rsidRPr="005210C6" w:rsidRDefault="009C3C24" w:rsidP="002F797B">
            <w:pPr>
              <w:spacing w:after="0" w:line="240" w:lineRule="exact"/>
              <w:jc w:val="right"/>
              <w:rPr>
                <w:rFonts w:ascii="Montserrat" w:hAnsi="Montserrat"/>
                <w:sz w:val="14"/>
                <w:szCs w:val="14"/>
                <w:lang w:val="es-ES_tradnl"/>
              </w:rPr>
            </w:pPr>
          </w:p>
        </w:tc>
        <w:tc>
          <w:tcPr>
            <w:tcW w:w="709" w:type="dxa"/>
            <w:tcBorders>
              <w:top w:val="nil"/>
              <w:left w:val="nil"/>
              <w:bottom w:val="nil"/>
            </w:tcBorders>
            <w:shd w:val="clear" w:color="auto" w:fill="F2F2F2" w:themeFill="background1" w:themeFillShade="F2"/>
            <w:noWrap/>
            <w:vAlign w:val="bottom"/>
          </w:tcPr>
          <w:p w14:paraId="2FACE4A3" w14:textId="77777777" w:rsidR="009C3C24" w:rsidRPr="005210C6" w:rsidRDefault="009C3C24" w:rsidP="002F797B">
            <w:pPr>
              <w:spacing w:after="0" w:line="240" w:lineRule="exact"/>
              <w:jc w:val="right"/>
              <w:rPr>
                <w:rFonts w:ascii="Montserrat" w:hAnsi="Montserrat"/>
                <w:sz w:val="14"/>
                <w:szCs w:val="14"/>
                <w:lang w:val="es-ES_tradnl"/>
              </w:rPr>
            </w:pPr>
          </w:p>
        </w:tc>
      </w:tr>
      <w:tr w:rsidR="009C3C24" w:rsidRPr="005210C6" w14:paraId="30E60617" w14:textId="77777777" w:rsidTr="0023764E">
        <w:trPr>
          <w:trHeight w:val="240"/>
        </w:trPr>
        <w:tc>
          <w:tcPr>
            <w:tcW w:w="923" w:type="dxa"/>
            <w:tcBorders>
              <w:right w:val="nil"/>
            </w:tcBorders>
            <w:shd w:val="clear" w:color="auto" w:fill="F2F2F2" w:themeFill="background1" w:themeFillShade="F2"/>
            <w:noWrap/>
            <w:vAlign w:val="bottom"/>
            <w:hideMark/>
          </w:tcPr>
          <w:p w14:paraId="2AB8ED7D" w14:textId="77777777" w:rsidR="009C3C24" w:rsidRPr="005210C6" w:rsidRDefault="009C3C24" w:rsidP="002F797B">
            <w:pPr>
              <w:spacing w:after="0" w:line="240" w:lineRule="exact"/>
              <w:rPr>
                <w:rFonts w:ascii="Montserrat" w:hAnsi="Montserrat"/>
                <w:bCs/>
                <w:sz w:val="14"/>
                <w:szCs w:val="14"/>
                <w:lang w:val="es-ES_tradnl"/>
              </w:rPr>
            </w:pPr>
            <w:r w:rsidRPr="005210C6">
              <w:rPr>
                <w:rFonts w:ascii="Montserrat" w:hAnsi="Montserrat"/>
                <w:bCs/>
                <w:sz w:val="14"/>
                <w:szCs w:val="14"/>
                <w:lang w:val="es-ES_tradnl"/>
              </w:rPr>
              <w:t>Bondes</w:t>
            </w:r>
          </w:p>
        </w:tc>
        <w:tc>
          <w:tcPr>
            <w:tcW w:w="567" w:type="dxa"/>
            <w:tcBorders>
              <w:left w:val="nil"/>
              <w:right w:val="nil"/>
            </w:tcBorders>
            <w:shd w:val="clear" w:color="auto" w:fill="F2F2F2" w:themeFill="background1" w:themeFillShade="F2"/>
            <w:noWrap/>
          </w:tcPr>
          <w:p w14:paraId="137BAC9B" w14:textId="77777777" w:rsidR="009C3C24" w:rsidRPr="005210C6" w:rsidRDefault="009C3C24" w:rsidP="002F797B">
            <w:pPr>
              <w:spacing w:after="0" w:line="240" w:lineRule="exact"/>
              <w:ind w:left="-358" w:firstLine="358"/>
              <w:rPr>
                <w:rFonts w:ascii="Montserrat" w:hAnsi="Montserrat"/>
                <w:sz w:val="14"/>
                <w:szCs w:val="14"/>
                <w:lang w:val="es-ES_tradnl"/>
              </w:rPr>
            </w:pPr>
          </w:p>
          <w:p w14:paraId="0A9961C5" w14:textId="77777777" w:rsidR="009C3C24" w:rsidRPr="005210C6" w:rsidRDefault="009C3C24" w:rsidP="002F797B">
            <w:pPr>
              <w:spacing w:after="0" w:line="240" w:lineRule="exact"/>
              <w:ind w:left="-358" w:firstLine="358"/>
              <w:rPr>
                <w:rFonts w:ascii="Montserrat" w:hAnsi="Montserrat"/>
                <w:sz w:val="14"/>
                <w:szCs w:val="14"/>
                <w:lang w:val="es-ES_tradnl"/>
              </w:rPr>
            </w:pPr>
            <w:r w:rsidRPr="005210C6">
              <w:rPr>
                <w:rFonts w:ascii="Montserrat" w:hAnsi="Montserrat"/>
                <w:sz w:val="14"/>
                <w:szCs w:val="14"/>
                <w:lang w:val="es-ES_tradnl"/>
              </w:rPr>
              <w:t>Mex.</w:t>
            </w:r>
          </w:p>
        </w:tc>
        <w:tc>
          <w:tcPr>
            <w:tcW w:w="425" w:type="dxa"/>
            <w:tcBorders>
              <w:left w:val="nil"/>
              <w:right w:val="nil"/>
            </w:tcBorders>
            <w:shd w:val="clear" w:color="auto" w:fill="F2F2F2" w:themeFill="background1" w:themeFillShade="F2"/>
            <w:noWrap/>
          </w:tcPr>
          <w:p w14:paraId="39488388" w14:textId="77777777" w:rsidR="009C3C24" w:rsidRPr="005210C6" w:rsidRDefault="009C3C24" w:rsidP="002F797B">
            <w:pPr>
              <w:spacing w:after="0" w:line="240" w:lineRule="exact"/>
              <w:ind w:left="-358" w:firstLine="358"/>
              <w:rPr>
                <w:rFonts w:ascii="Montserrat" w:hAnsi="Montserrat"/>
                <w:sz w:val="14"/>
                <w:szCs w:val="14"/>
                <w:lang w:val="es-ES_tradnl"/>
              </w:rPr>
            </w:pPr>
          </w:p>
          <w:p w14:paraId="2DEABE64" w14:textId="77777777" w:rsidR="009C3C24" w:rsidRPr="005210C6" w:rsidRDefault="009C3C24" w:rsidP="002F797B">
            <w:pPr>
              <w:spacing w:after="0" w:line="240" w:lineRule="exact"/>
              <w:ind w:left="-358" w:firstLine="358"/>
              <w:rPr>
                <w:rFonts w:ascii="Montserrat" w:hAnsi="Montserrat"/>
                <w:sz w:val="14"/>
                <w:szCs w:val="14"/>
                <w:lang w:val="es-ES_tradnl"/>
              </w:rPr>
            </w:pPr>
            <w:r w:rsidRPr="005210C6">
              <w:rPr>
                <w:rFonts w:ascii="Montserrat" w:hAnsi="Montserrat"/>
                <w:sz w:val="14"/>
                <w:szCs w:val="14"/>
                <w:lang w:val="es-ES_tradnl"/>
              </w:rPr>
              <w:t>Pso.</w:t>
            </w:r>
          </w:p>
        </w:tc>
        <w:tc>
          <w:tcPr>
            <w:tcW w:w="709" w:type="dxa"/>
            <w:tcBorders>
              <w:left w:val="nil"/>
              <w:right w:val="nil"/>
            </w:tcBorders>
            <w:shd w:val="clear" w:color="auto" w:fill="F2F2F2" w:themeFill="background1" w:themeFillShade="F2"/>
            <w:noWrap/>
          </w:tcPr>
          <w:p w14:paraId="2196CED5" w14:textId="77777777" w:rsidR="009C3C24" w:rsidRPr="005210C6" w:rsidRDefault="009C3C24" w:rsidP="002F797B">
            <w:pPr>
              <w:spacing w:after="0" w:line="240" w:lineRule="exact"/>
              <w:ind w:left="-358" w:firstLine="358"/>
              <w:rPr>
                <w:rFonts w:ascii="Montserrat" w:hAnsi="Montserrat"/>
                <w:sz w:val="14"/>
                <w:szCs w:val="14"/>
                <w:lang w:val="es-ES_tradnl"/>
              </w:rPr>
            </w:pPr>
          </w:p>
        </w:tc>
        <w:tc>
          <w:tcPr>
            <w:tcW w:w="1345" w:type="dxa"/>
            <w:tcBorders>
              <w:left w:val="nil"/>
              <w:right w:val="nil"/>
            </w:tcBorders>
            <w:shd w:val="clear" w:color="auto" w:fill="F2F2F2" w:themeFill="background1" w:themeFillShade="F2"/>
            <w:noWrap/>
          </w:tcPr>
          <w:p w14:paraId="31898650" w14:textId="77777777" w:rsidR="009C3C24" w:rsidRPr="005210C6" w:rsidRDefault="009C3C24" w:rsidP="002F797B">
            <w:pPr>
              <w:spacing w:after="0" w:line="240" w:lineRule="exact"/>
              <w:ind w:left="-358" w:firstLine="358"/>
              <w:rPr>
                <w:rFonts w:ascii="Montserrat" w:hAnsi="Montserrat"/>
                <w:sz w:val="14"/>
                <w:szCs w:val="14"/>
                <w:lang w:val="es-ES_tradnl"/>
              </w:rPr>
            </w:pPr>
          </w:p>
          <w:p w14:paraId="03F2891A" w14:textId="77777777" w:rsidR="009C3C24" w:rsidRPr="005210C6" w:rsidRDefault="009C3C24" w:rsidP="002F797B">
            <w:pPr>
              <w:spacing w:after="0" w:line="240" w:lineRule="exact"/>
              <w:jc w:val="center"/>
              <w:rPr>
                <w:rFonts w:ascii="Montserrat" w:hAnsi="Montserrat"/>
                <w:sz w:val="14"/>
                <w:szCs w:val="14"/>
                <w:lang w:val="es-ES_tradnl"/>
              </w:rPr>
            </w:pPr>
            <w:r w:rsidRPr="005210C6">
              <w:rPr>
                <w:rFonts w:ascii="Montserrat" w:hAnsi="Montserrat"/>
                <w:sz w:val="14"/>
                <w:szCs w:val="14"/>
                <w:lang w:val="es-ES_tradnl"/>
              </w:rPr>
              <w:t>Banco de México.</w:t>
            </w:r>
          </w:p>
        </w:tc>
        <w:tc>
          <w:tcPr>
            <w:tcW w:w="1560" w:type="dxa"/>
            <w:tcBorders>
              <w:left w:val="nil"/>
              <w:right w:val="nil"/>
            </w:tcBorders>
            <w:shd w:val="clear" w:color="auto" w:fill="F2F2F2" w:themeFill="background1" w:themeFillShade="F2"/>
            <w:noWrap/>
            <w:vAlign w:val="bottom"/>
          </w:tcPr>
          <w:p w14:paraId="0A825C5A" w14:textId="3E68D5EA" w:rsidR="009C3C24" w:rsidRPr="005210C6" w:rsidRDefault="00545FF7" w:rsidP="002F797B">
            <w:pPr>
              <w:spacing w:after="0" w:line="240" w:lineRule="exact"/>
              <w:jc w:val="right"/>
              <w:rPr>
                <w:rFonts w:ascii="Montserrat" w:hAnsi="Montserrat"/>
                <w:sz w:val="14"/>
                <w:szCs w:val="14"/>
                <w:lang w:val="es-ES_tradnl"/>
              </w:rPr>
            </w:pPr>
            <w:r w:rsidRPr="00545FF7">
              <w:rPr>
                <w:rFonts w:ascii="Montserrat" w:hAnsi="Montserrat"/>
                <w:sz w:val="14"/>
                <w:szCs w:val="14"/>
                <w:lang w:val="es-ES_tradnl"/>
              </w:rPr>
              <w:t>158</w:t>
            </w:r>
            <w:r w:rsidR="00070196">
              <w:rPr>
                <w:rFonts w:ascii="Montserrat" w:hAnsi="Montserrat"/>
                <w:sz w:val="14"/>
                <w:szCs w:val="14"/>
                <w:lang w:val="es-ES_tradnl"/>
              </w:rPr>
              <w:t>,</w:t>
            </w:r>
            <w:r w:rsidRPr="00545FF7">
              <w:rPr>
                <w:rFonts w:ascii="Montserrat" w:hAnsi="Montserrat"/>
                <w:sz w:val="14"/>
                <w:szCs w:val="14"/>
                <w:lang w:val="es-ES_tradnl"/>
              </w:rPr>
              <w:t>555</w:t>
            </w:r>
            <w:r w:rsidR="00070196">
              <w:rPr>
                <w:rFonts w:ascii="Montserrat" w:hAnsi="Montserrat"/>
                <w:sz w:val="14"/>
                <w:szCs w:val="14"/>
                <w:lang w:val="es-ES_tradnl"/>
              </w:rPr>
              <w:t>,</w:t>
            </w:r>
            <w:r w:rsidRPr="00545FF7">
              <w:rPr>
                <w:rFonts w:ascii="Montserrat" w:hAnsi="Montserrat"/>
                <w:sz w:val="14"/>
                <w:szCs w:val="14"/>
                <w:lang w:val="es-ES_tradnl"/>
              </w:rPr>
              <w:t>582</w:t>
            </w:r>
            <w:r w:rsidR="00070196">
              <w:rPr>
                <w:rFonts w:ascii="Montserrat" w:hAnsi="Montserrat"/>
                <w:sz w:val="14"/>
                <w:szCs w:val="14"/>
                <w:lang w:val="es-ES_tradnl"/>
              </w:rPr>
              <w:t>,</w:t>
            </w:r>
            <w:r w:rsidRPr="00545FF7">
              <w:rPr>
                <w:rFonts w:ascii="Montserrat" w:hAnsi="Montserrat"/>
                <w:sz w:val="14"/>
                <w:szCs w:val="14"/>
                <w:lang w:val="es-ES_tradnl"/>
              </w:rPr>
              <w:t>742</w:t>
            </w:r>
          </w:p>
        </w:tc>
        <w:tc>
          <w:tcPr>
            <w:tcW w:w="662" w:type="dxa"/>
            <w:tcBorders>
              <w:left w:val="nil"/>
              <w:right w:val="nil"/>
            </w:tcBorders>
            <w:shd w:val="clear" w:color="auto" w:fill="F2F2F2" w:themeFill="background1" w:themeFillShade="F2"/>
            <w:noWrap/>
            <w:vAlign w:val="bottom"/>
          </w:tcPr>
          <w:p w14:paraId="461D9B1F" w14:textId="77777777" w:rsidR="009C3C24" w:rsidRPr="005210C6" w:rsidRDefault="009C3C24" w:rsidP="002F797B">
            <w:pPr>
              <w:spacing w:after="0" w:line="240" w:lineRule="exact"/>
              <w:jc w:val="center"/>
              <w:rPr>
                <w:rFonts w:ascii="Montserrat" w:hAnsi="Montserrat"/>
                <w:sz w:val="14"/>
                <w:szCs w:val="14"/>
                <w:lang w:val="es-ES_tradnl"/>
              </w:rPr>
            </w:pPr>
          </w:p>
        </w:tc>
        <w:tc>
          <w:tcPr>
            <w:tcW w:w="709" w:type="dxa"/>
            <w:tcBorders>
              <w:left w:val="nil"/>
              <w:right w:val="nil"/>
            </w:tcBorders>
            <w:shd w:val="clear" w:color="auto" w:fill="F2F2F2" w:themeFill="background1" w:themeFillShade="F2"/>
            <w:noWrap/>
            <w:vAlign w:val="bottom"/>
          </w:tcPr>
          <w:p w14:paraId="78D4D777" w14:textId="77777777" w:rsidR="009C3C24" w:rsidRPr="005210C6" w:rsidRDefault="009C3C24" w:rsidP="002F797B">
            <w:pPr>
              <w:spacing w:after="0" w:line="240" w:lineRule="exact"/>
              <w:jc w:val="center"/>
              <w:rPr>
                <w:rFonts w:ascii="Montserrat" w:hAnsi="Montserrat"/>
                <w:sz w:val="14"/>
                <w:szCs w:val="14"/>
                <w:lang w:val="es-ES_tradnl"/>
              </w:rPr>
            </w:pPr>
          </w:p>
        </w:tc>
        <w:tc>
          <w:tcPr>
            <w:tcW w:w="708" w:type="dxa"/>
            <w:tcBorders>
              <w:left w:val="nil"/>
              <w:right w:val="nil"/>
            </w:tcBorders>
            <w:shd w:val="clear" w:color="auto" w:fill="F2F2F2" w:themeFill="background1" w:themeFillShade="F2"/>
            <w:noWrap/>
            <w:vAlign w:val="bottom"/>
          </w:tcPr>
          <w:p w14:paraId="185ADCF4" w14:textId="77777777" w:rsidR="009C3C24" w:rsidRPr="005210C6" w:rsidRDefault="009C3C24" w:rsidP="002F797B">
            <w:pPr>
              <w:spacing w:after="0" w:line="240" w:lineRule="exact"/>
              <w:jc w:val="center"/>
              <w:rPr>
                <w:rFonts w:ascii="Montserrat" w:hAnsi="Montserrat"/>
                <w:sz w:val="14"/>
                <w:szCs w:val="14"/>
                <w:lang w:val="es-ES_tradnl"/>
              </w:rPr>
            </w:pPr>
          </w:p>
        </w:tc>
        <w:tc>
          <w:tcPr>
            <w:tcW w:w="756" w:type="dxa"/>
            <w:tcBorders>
              <w:left w:val="nil"/>
              <w:right w:val="nil"/>
            </w:tcBorders>
            <w:shd w:val="clear" w:color="auto" w:fill="F2F2F2" w:themeFill="background1" w:themeFillShade="F2"/>
            <w:noWrap/>
            <w:vAlign w:val="bottom"/>
          </w:tcPr>
          <w:p w14:paraId="70DB45B1" w14:textId="77777777" w:rsidR="009C3C24" w:rsidRPr="005210C6" w:rsidRDefault="009C3C24" w:rsidP="002F797B">
            <w:pPr>
              <w:spacing w:after="0" w:line="240" w:lineRule="exact"/>
              <w:jc w:val="center"/>
              <w:rPr>
                <w:rFonts w:ascii="Montserrat" w:hAnsi="Montserrat"/>
                <w:sz w:val="14"/>
                <w:szCs w:val="14"/>
                <w:lang w:val="es-ES_tradnl"/>
              </w:rPr>
            </w:pPr>
          </w:p>
        </w:tc>
        <w:tc>
          <w:tcPr>
            <w:tcW w:w="662" w:type="dxa"/>
            <w:vMerge w:val="restart"/>
            <w:tcBorders>
              <w:left w:val="nil"/>
              <w:right w:val="nil"/>
            </w:tcBorders>
            <w:shd w:val="clear" w:color="auto" w:fill="F2F2F2" w:themeFill="background1" w:themeFillShade="F2"/>
            <w:noWrap/>
          </w:tcPr>
          <w:p w14:paraId="270D9B54" w14:textId="77777777" w:rsidR="009C3C24" w:rsidRPr="005210C6" w:rsidRDefault="009C3C24" w:rsidP="002F797B">
            <w:pPr>
              <w:spacing w:after="0" w:line="240" w:lineRule="exact"/>
              <w:jc w:val="right"/>
              <w:rPr>
                <w:rFonts w:ascii="Montserrat" w:hAnsi="Montserrat"/>
                <w:sz w:val="14"/>
                <w:szCs w:val="14"/>
                <w:lang w:val="es-ES_tradnl"/>
              </w:rPr>
            </w:pPr>
            <w:r w:rsidRPr="005210C6">
              <w:rPr>
                <w:rFonts w:ascii="Montserrat" w:hAnsi="Montserrat"/>
                <w:noProof/>
                <w:sz w:val="14"/>
                <w:szCs w:val="14"/>
                <w:lang w:val="es-MX" w:eastAsia="es-MX"/>
              </w:rPr>
              <mc:AlternateContent>
                <mc:Choice Requires="wps">
                  <w:drawing>
                    <wp:anchor distT="0" distB="0" distL="114300" distR="114300" simplePos="0" relativeHeight="251659264" behindDoc="0" locked="0" layoutInCell="1" allowOverlap="1" wp14:anchorId="6B1244E8" wp14:editId="36EA59C4">
                      <wp:simplePos x="0" y="0"/>
                      <wp:positionH relativeFrom="column">
                        <wp:posOffset>206375</wp:posOffset>
                      </wp:positionH>
                      <wp:positionV relativeFrom="paragraph">
                        <wp:posOffset>301625</wp:posOffset>
                      </wp:positionV>
                      <wp:extent cx="86360" cy="233045"/>
                      <wp:effectExtent l="0" t="0" r="27940" b="14605"/>
                      <wp:wrapNone/>
                      <wp:docPr id="5" name="Cerrar llav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6360" cy="233045"/>
                              </a:xfrm>
                              <a:prstGeom prst="rightBrace">
                                <a:avLst/>
                              </a:prstGeom>
                              <a:noFill/>
                              <a:ln w="9525" cap="flat" cmpd="sng" algn="ctr">
                                <a:solidFill>
                                  <a:srgbClr val="4F81BD">
                                    <a:shade val="95000"/>
                                    <a:satMod val="10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72837F24"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Cerrar llave 5" o:spid="_x0000_s1026" type="#_x0000_t88" style="position:absolute;margin-left:16.25pt;margin-top:23.75pt;width:6.8pt;height:1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" adj="667" strokecolor="#4a7ebb"/>
                  </w:pict>
                </mc:Fallback>
              </mc:AlternateContent>
            </w:r>
          </w:p>
        </w:tc>
        <w:tc>
          <w:tcPr>
            <w:tcW w:w="850" w:type="dxa"/>
            <w:tcBorders>
              <w:left w:val="nil"/>
              <w:right w:val="nil"/>
            </w:tcBorders>
            <w:shd w:val="clear" w:color="auto" w:fill="F2F2F2" w:themeFill="background1" w:themeFillShade="F2"/>
            <w:noWrap/>
            <w:vAlign w:val="bottom"/>
          </w:tcPr>
          <w:p w14:paraId="500C9B17" w14:textId="77777777" w:rsidR="009C3C24" w:rsidRPr="005210C6" w:rsidRDefault="009C3C24" w:rsidP="002F797B">
            <w:pPr>
              <w:spacing w:after="0" w:line="240" w:lineRule="exact"/>
              <w:rPr>
                <w:rFonts w:ascii="Montserrat" w:hAnsi="Montserrat"/>
                <w:sz w:val="14"/>
                <w:szCs w:val="14"/>
                <w:lang w:val="es-ES_tradnl"/>
              </w:rPr>
            </w:pPr>
          </w:p>
        </w:tc>
        <w:tc>
          <w:tcPr>
            <w:tcW w:w="567" w:type="dxa"/>
            <w:tcBorders>
              <w:left w:val="nil"/>
              <w:right w:val="nil"/>
            </w:tcBorders>
            <w:shd w:val="clear" w:color="auto" w:fill="F2F2F2" w:themeFill="background1" w:themeFillShade="F2"/>
            <w:noWrap/>
            <w:vAlign w:val="bottom"/>
          </w:tcPr>
          <w:p w14:paraId="0EA69654" w14:textId="77777777" w:rsidR="009C3C24" w:rsidRPr="005210C6" w:rsidRDefault="004E4051" w:rsidP="002F797B">
            <w:pPr>
              <w:spacing w:after="0" w:line="240" w:lineRule="exact"/>
              <w:jc w:val="right"/>
              <w:rPr>
                <w:rFonts w:ascii="Montserrat" w:hAnsi="Montserrat"/>
                <w:sz w:val="14"/>
                <w:szCs w:val="14"/>
                <w:lang w:val="es-ES_tradnl"/>
              </w:rPr>
            </w:pPr>
            <w:r w:rsidRPr="005210C6">
              <w:rPr>
                <w:rFonts w:ascii="Montserrat" w:hAnsi="Montserrat"/>
                <w:noProof/>
                <w:sz w:val="14"/>
                <w:szCs w:val="14"/>
                <w:lang w:val="es-MX" w:eastAsia="es-MX"/>
              </w:rPr>
              <mc:AlternateContent>
                <mc:Choice Requires="wps">
                  <w:drawing>
                    <wp:anchor distT="0" distB="0" distL="114300" distR="114300" simplePos="0" relativeHeight="251660288" behindDoc="0" locked="0" layoutInCell="1" allowOverlap="1" wp14:anchorId="578273D1" wp14:editId="4278C9C5">
                      <wp:simplePos x="0" y="0"/>
                      <wp:positionH relativeFrom="column">
                        <wp:posOffset>-631190</wp:posOffset>
                      </wp:positionH>
                      <wp:positionV relativeFrom="paragraph">
                        <wp:posOffset>226060</wp:posOffset>
                      </wp:positionV>
                      <wp:extent cx="1360170" cy="347980"/>
                      <wp:effectExtent l="0" t="0" r="0" b="0"/>
                      <wp:wrapNone/>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60170" cy="348018"/>
                              </a:xfrm>
                              <a:prstGeom prst="rect">
                                <a:avLst/>
                              </a:prstGeom>
                              <a:solidFill>
                                <a:schemeClr val="bg1">
                                  <a:lumMod val="95000"/>
                                </a:schemeClr>
                              </a:solidFill>
                              <a:ln w="6350">
                                <a:noFill/>
                              </a:ln>
                              <a:effectLst/>
                            </wps:spPr>
                            <wps:txbx>
                              <w:txbxContent>
                                <w:p w14:paraId="6C204E8E" w14:textId="77777777" w:rsidR="005E508C" w:rsidRDefault="005E508C" w:rsidP="004E4051">
                                  <w:pPr>
                                    <w:spacing w:after="0" w:line="240" w:lineRule="auto"/>
                                    <w:jc w:val="center"/>
                                    <w:rPr>
                                      <w:sz w:val="10"/>
                                      <w:szCs w:val="10"/>
                                    </w:rPr>
                                  </w:pPr>
                                  <w:r w:rsidRPr="00EF39D7">
                                    <w:rPr>
                                      <w:sz w:val="10"/>
                                      <w:szCs w:val="10"/>
                                    </w:rPr>
                                    <w:t>Tasa de Fondeo</w:t>
                                  </w:r>
                                  <w:r>
                                    <w:rPr>
                                      <w:sz w:val="10"/>
                                      <w:szCs w:val="10"/>
                                    </w:rPr>
                                    <w:br/>
                                  </w:r>
                                  <w:r w:rsidRPr="00EF39D7">
                                    <w:rPr>
                                      <w:sz w:val="10"/>
                                      <w:szCs w:val="10"/>
                                    </w:rPr>
                                    <w:t>Promedio Ponderado</w:t>
                                  </w:r>
                                </w:p>
                                <w:p w14:paraId="2E729433" w14:textId="77777777" w:rsidR="005E508C" w:rsidRPr="00EF39D7" w:rsidRDefault="005E508C" w:rsidP="004E4051">
                                  <w:pPr>
                                    <w:spacing w:after="0" w:line="240" w:lineRule="auto"/>
                                    <w:jc w:val="center"/>
                                    <w:rPr>
                                      <w:sz w:val="10"/>
                                      <w:szCs w:val="10"/>
                                    </w:rPr>
                                  </w:pPr>
                                  <w:r w:rsidRPr="00EF39D7">
                                    <w:rPr>
                                      <w:sz w:val="10"/>
                                      <w:szCs w:val="10"/>
                                    </w:rPr>
                                    <w:t>Bancario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8273D1" id="_x0000_t202" coordsize="21600,21600" o:spt="202" path="m,l,21600r21600,l21600,xe">
                      <v:stroke joinstyle="miter"/>
                      <v:path gradientshapeok="t" o:connecttype="rect"/>
                    </v:shapetype>
                    <v:shape id="Cuadro de texto 6" o:spid="_x0000_s1026" type="#_x0000_t202" style="position:absolute;left:0;text-align:left;margin-left:-49.7pt;margin-top:17.8pt;width:107.1pt;height:27.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" fillcolor="#f2f2f2 [3052]" stroked="f" strokeweight=".5pt">
                      <v:path arrowok="t"/>
                      <v:textbox>
                        <w:txbxContent>
                          <w:p w14:paraId="6C204E8E" w14:textId="77777777" w:rsidR="005E508C" w:rsidRDefault="005E508C" w:rsidP="004E4051">
                            <w:pPr>
                              <w:spacing w:after="0" w:line="240" w:lineRule="auto"/>
                              <w:jc w:val="center"/>
                              <w:rPr>
                                <w:sz w:val="10"/>
                                <w:szCs w:val="10"/>
                              </w:rPr>
                            </w:pPr>
                            <w:r w:rsidRPr="00EF39D7">
                              <w:rPr>
                                <w:sz w:val="10"/>
                                <w:szCs w:val="10"/>
                              </w:rPr>
                              <w:t>Tasa de Fondeo</w:t>
                            </w:r>
                            <w:r>
                              <w:rPr>
                                <w:sz w:val="10"/>
                                <w:szCs w:val="10"/>
                              </w:rPr>
                              <w:br/>
                            </w:r>
                            <w:r w:rsidRPr="00EF39D7">
                              <w:rPr>
                                <w:sz w:val="10"/>
                                <w:szCs w:val="10"/>
                              </w:rPr>
                              <w:t>Promedio Ponderado</w:t>
                            </w:r>
                          </w:p>
                          <w:p w14:paraId="2E729433" w14:textId="77777777" w:rsidR="005E508C" w:rsidRPr="00EF39D7" w:rsidRDefault="005E508C" w:rsidP="004E4051">
                            <w:pPr>
                              <w:spacing w:after="0" w:line="240" w:lineRule="auto"/>
                              <w:jc w:val="center"/>
                              <w:rPr>
                                <w:sz w:val="10"/>
                                <w:szCs w:val="10"/>
                              </w:rPr>
                            </w:pPr>
                            <w:r w:rsidRPr="00EF39D7">
                              <w:rPr>
                                <w:sz w:val="10"/>
                                <w:szCs w:val="10"/>
                              </w:rPr>
                              <w:t>Bancario</w:t>
                            </w:r>
                          </w:p>
                        </w:txbxContent>
                      </v:textbox>
                    </v:shape>
                  </w:pict>
                </mc:Fallback>
              </mc:AlternateContent>
            </w:r>
          </w:p>
        </w:tc>
        <w:tc>
          <w:tcPr>
            <w:tcW w:w="567" w:type="dxa"/>
            <w:tcBorders>
              <w:left w:val="nil"/>
              <w:right w:val="nil"/>
            </w:tcBorders>
            <w:shd w:val="clear" w:color="auto" w:fill="F2F2F2" w:themeFill="background1" w:themeFillShade="F2"/>
            <w:noWrap/>
            <w:vAlign w:val="bottom"/>
          </w:tcPr>
          <w:p w14:paraId="27E1C73E" w14:textId="77777777" w:rsidR="009C3C24" w:rsidRPr="005210C6" w:rsidRDefault="009C3C24" w:rsidP="002F797B">
            <w:pPr>
              <w:spacing w:after="0" w:line="240" w:lineRule="exact"/>
              <w:jc w:val="right"/>
              <w:rPr>
                <w:rFonts w:ascii="Montserrat" w:hAnsi="Montserrat"/>
                <w:sz w:val="14"/>
                <w:szCs w:val="14"/>
                <w:lang w:val="es-ES_tradnl"/>
              </w:rPr>
            </w:pPr>
          </w:p>
        </w:tc>
        <w:tc>
          <w:tcPr>
            <w:tcW w:w="567" w:type="dxa"/>
            <w:gridSpan w:val="2"/>
            <w:tcBorders>
              <w:left w:val="nil"/>
              <w:right w:val="nil"/>
            </w:tcBorders>
            <w:shd w:val="clear" w:color="auto" w:fill="F2F2F2" w:themeFill="background1" w:themeFillShade="F2"/>
            <w:noWrap/>
            <w:vAlign w:val="bottom"/>
          </w:tcPr>
          <w:p w14:paraId="1BA56E3E" w14:textId="77777777" w:rsidR="009C3C24" w:rsidRPr="005210C6" w:rsidRDefault="009C3C24" w:rsidP="002F797B">
            <w:pPr>
              <w:spacing w:after="0" w:line="240" w:lineRule="exact"/>
              <w:jc w:val="right"/>
              <w:rPr>
                <w:rFonts w:ascii="Montserrat" w:hAnsi="Montserrat"/>
                <w:sz w:val="14"/>
                <w:szCs w:val="14"/>
                <w:lang w:val="es-ES_tradnl"/>
              </w:rPr>
            </w:pPr>
          </w:p>
        </w:tc>
        <w:tc>
          <w:tcPr>
            <w:tcW w:w="567" w:type="dxa"/>
            <w:gridSpan w:val="2"/>
            <w:tcBorders>
              <w:left w:val="nil"/>
              <w:right w:val="nil"/>
            </w:tcBorders>
            <w:shd w:val="clear" w:color="auto" w:fill="F2F2F2" w:themeFill="background1" w:themeFillShade="F2"/>
            <w:noWrap/>
            <w:vAlign w:val="bottom"/>
          </w:tcPr>
          <w:p w14:paraId="3482F666" w14:textId="77777777" w:rsidR="009C3C24" w:rsidRPr="005210C6" w:rsidRDefault="009C3C24" w:rsidP="002F797B">
            <w:pPr>
              <w:spacing w:after="0" w:line="240" w:lineRule="exact"/>
              <w:jc w:val="right"/>
              <w:rPr>
                <w:rFonts w:ascii="Montserrat" w:hAnsi="Montserrat"/>
                <w:sz w:val="14"/>
                <w:szCs w:val="14"/>
                <w:lang w:val="es-ES_tradnl"/>
              </w:rPr>
            </w:pPr>
          </w:p>
        </w:tc>
        <w:tc>
          <w:tcPr>
            <w:tcW w:w="567" w:type="dxa"/>
            <w:tcBorders>
              <w:left w:val="nil"/>
              <w:right w:val="nil"/>
            </w:tcBorders>
            <w:shd w:val="clear" w:color="auto" w:fill="F2F2F2" w:themeFill="background1" w:themeFillShade="F2"/>
            <w:noWrap/>
            <w:vAlign w:val="bottom"/>
          </w:tcPr>
          <w:p w14:paraId="1F337189" w14:textId="77777777" w:rsidR="009C3C24" w:rsidRPr="005210C6" w:rsidRDefault="009C3C24" w:rsidP="002F797B">
            <w:pPr>
              <w:spacing w:after="0" w:line="240" w:lineRule="exact"/>
              <w:jc w:val="right"/>
              <w:rPr>
                <w:rFonts w:ascii="Montserrat" w:hAnsi="Montserrat"/>
                <w:sz w:val="14"/>
                <w:szCs w:val="14"/>
                <w:lang w:val="es-ES_tradnl"/>
              </w:rPr>
            </w:pPr>
          </w:p>
        </w:tc>
        <w:tc>
          <w:tcPr>
            <w:tcW w:w="709" w:type="dxa"/>
            <w:tcBorders>
              <w:left w:val="nil"/>
            </w:tcBorders>
            <w:shd w:val="clear" w:color="auto" w:fill="F2F2F2" w:themeFill="background1" w:themeFillShade="F2"/>
            <w:noWrap/>
            <w:vAlign w:val="bottom"/>
          </w:tcPr>
          <w:p w14:paraId="13975D61" w14:textId="77777777" w:rsidR="009C3C24" w:rsidRPr="005210C6" w:rsidRDefault="009C3C24" w:rsidP="002F797B">
            <w:pPr>
              <w:spacing w:after="0" w:line="240" w:lineRule="exact"/>
              <w:jc w:val="right"/>
              <w:rPr>
                <w:rFonts w:ascii="Montserrat" w:hAnsi="Montserrat"/>
                <w:sz w:val="14"/>
                <w:szCs w:val="14"/>
                <w:lang w:val="es-ES_tradnl"/>
              </w:rPr>
            </w:pPr>
          </w:p>
        </w:tc>
      </w:tr>
      <w:tr w:rsidR="009C3C24" w:rsidRPr="005210C6" w14:paraId="1DD2B790" w14:textId="77777777" w:rsidTr="0023764E">
        <w:trPr>
          <w:trHeight w:val="70"/>
        </w:trPr>
        <w:tc>
          <w:tcPr>
            <w:tcW w:w="923" w:type="dxa"/>
            <w:tcBorders>
              <w:top w:val="nil"/>
              <w:bottom w:val="nil"/>
              <w:right w:val="nil"/>
            </w:tcBorders>
            <w:shd w:val="clear" w:color="auto" w:fill="F2F2F2" w:themeFill="background1" w:themeFillShade="F2"/>
            <w:noWrap/>
            <w:vAlign w:val="bottom"/>
            <w:hideMark/>
          </w:tcPr>
          <w:p w14:paraId="03846E82" w14:textId="77777777" w:rsidR="009C3C24" w:rsidRPr="005210C6" w:rsidRDefault="009C3C24" w:rsidP="002F797B">
            <w:pPr>
              <w:spacing w:after="0" w:line="240" w:lineRule="exact"/>
              <w:rPr>
                <w:rFonts w:ascii="Montserrat" w:hAnsi="Montserrat"/>
                <w:sz w:val="14"/>
                <w:szCs w:val="14"/>
                <w:lang w:val="es-ES_tradnl"/>
              </w:rPr>
            </w:pPr>
          </w:p>
        </w:tc>
        <w:tc>
          <w:tcPr>
            <w:tcW w:w="567" w:type="dxa"/>
            <w:tcBorders>
              <w:top w:val="nil"/>
              <w:left w:val="nil"/>
              <w:bottom w:val="nil"/>
              <w:right w:val="nil"/>
            </w:tcBorders>
            <w:shd w:val="clear" w:color="auto" w:fill="F2F2F2" w:themeFill="background1" w:themeFillShade="F2"/>
            <w:noWrap/>
            <w:vAlign w:val="bottom"/>
          </w:tcPr>
          <w:p w14:paraId="0A903604" w14:textId="77777777" w:rsidR="009C3C24" w:rsidRPr="005210C6" w:rsidRDefault="009C3C24" w:rsidP="002F797B">
            <w:pPr>
              <w:spacing w:after="0" w:line="240" w:lineRule="exact"/>
              <w:rPr>
                <w:rFonts w:ascii="Montserrat" w:hAnsi="Montserrat"/>
                <w:sz w:val="14"/>
                <w:szCs w:val="14"/>
                <w:lang w:val="es-ES_tradnl"/>
              </w:rPr>
            </w:pPr>
          </w:p>
        </w:tc>
        <w:tc>
          <w:tcPr>
            <w:tcW w:w="425" w:type="dxa"/>
            <w:tcBorders>
              <w:top w:val="nil"/>
              <w:left w:val="nil"/>
              <w:bottom w:val="nil"/>
              <w:right w:val="nil"/>
            </w:tcBorders>
            <w:shd w:val="clear" w:color="auto" w:fill="F2F2F2" w:themeFill="background1" w:themeFillShade="F2"/>
            <w:noWrap/>
            <w:vAlign w:val="bottom"/>
          </w:tcPr>
          <w:p w14:paraId="5974E130" w14:textId="77777777" w:rsidR="009C3C24" w:rsidRPr="005210C6" w:rsidRDefault="009C3C24" w:rsidP="002F797B">
            <w:pPr>
              <w:spacing w:after="0" w:line="240" w:lineRule="exact"/>
              <w:rPr>
                <w:rFonts w:ascii="Montserrat" w:hAnsi="Montserrat"/>
                <w:sz w:val="14"/>
                <w:szCs w:val="14"/>
                <w:lang w:val="es-ES_tradnl"/>
              </w:rPr>
            </w:pPr>
          </w:p>
        </w:tc>
        <w:tc>
          <w:tcPr>
            <w:tcW w:w="709" w:type="dxa"/>
            <w:tcBorders>
              <w:top w:val="nil"/>
              <w:left w:val="nil"/>
              <w:bottom w:val="nil"/>
              <w:right w:val="nil"/>
            </w:tcBorders>
            <w:shd w:val="clear" w:color="auto" w:fill="F2F2F2" w:themeFill="background1" w:themeFillShade="F2"/>
            <w:noWrap/>
            <w:vAlign w:val="bottom"/>
          </w:tcPr>
          <w:p w14:paraId="73EFCEF1" w14:textId="77777777" w:rsidR="009C3C24" w:rsidRPr="005210C6" w:rsidRDefault="009C3C24" w:rsidP="002F797B">
            <w:pPr>
              <w:spacing w:after="0" w:line="240" w:lineRule="exact"/>
              <w:rPr>
                <w:rFonts w:ascii="Montserrat" w:hAnsi="Montserrat"/>
                <w:sz w:val="14"/>
                <w:szCs w:val="14"/>
                <w:lang w:val="es-ES_tradnl"/>
              </w:rPr>
            </w:pPr>
          </w:p>
        </w:tc>
        <w:tc>
          <w:tcPr>
            <w:tcW w:w="1345" w:type="dxa"/>
            <w:tcBorders>
              <w:top w:val="nil"/>
              <w:left w:val="nil"/>
              <w:bottom w:val="nil"/>
              <w:right w:val="nil"/>
            </w:tcBorders>
            <w:shd w:val="clear" w:color="auto" w:fill="F2F2F2" w:themeFill="background1" w:themeFillShade="F2"/>
            <w:noWrap/>
            <w:vAlign w:val="bottom"/>
          </w:tcPr>
          <w:p w14:paraId="51E2F1F4" w14:textId="77777777" w:rsidR="009C3C24" w:rsidRPr="005210C6" w:rsidRDefault="009C3C24" w:rsidP="002F797B">
            <w:pPr>
              <w:spacing w:after="0" w:line="240" w:lineRule="exact"/>
              <w:rPr>
                <w:rFonts w:ascii="Montserrat" w:hAnsi="Montserrat"/>
                <w:sz w:val="14"/>
                <w:szCs w:val="14"/>
                <w:lang w:val="es-ES_tradnl"/>
              </w:rPr>
            </w:pPr>
          </w:p>
        </w:tc>
        <w:tc>
          <w:tcPr>
            <w:tcW w:w="1560" w:type="dxa"/>
            <w:tcBorders>
              <w:top w:val="nil"/>
              <w:left w:val="nil"/>
              <w:bottom w:val="nil"/>
              <w:right w:val="nil"/>
            </w:tcBorders>
            <w:shd w:val="clear" w:color="auto" w:fill="F2F2F2" w:themeFill="background1" w:themeFillShade="F2"/>
            <w:noWrap/>
            <w:vAlign w:val="bottom"/>
          </w:tcPr>
          <w:p w14:paraId="0A6907F8" w14:textId="690F936F" w:rsidR="009C3C24" w:rsidRPr="005210C6" w:rsidRDefault="00545FF7" w:rsidP="002F797B">
            <w:pPr>
              <w:spacing w:after="0" w:line="240" w:lineRule="exact"/>
              <w:jc w:val="right"/>
              <w:rPr>
                <w:rFonts w:ascii="Montserrat" w:hAnsi="Montserrat"/>
                <w:sz w:val="14"/>
                <w:szCs w:val="14"/>
                <w:lang w:val="es-ES_tradnl"/>
              </w:rPr>
            </w:pPr>
            <w:r w:rsidRPr="00545FF7">
              <w:rPr>
                <w:rFonts w:ascii="Montserrat" w:hAnsi="Montserrat"/>
                <w:sz w:val="14"/>
                <w:szCs w:val="14"/>
                <w:lang w:val="es-ES_tradnl"/>
              </w:rPr>
              <w:t>158</w:t>
            </w:r>
            <w:r w:rsidR="00070196">
              <w:rPr>
                <w:rFonts w:ascii="Montserrat" w:hAnsi="Montserrat"/>
                <w:sz w:val="14"/>
                <w:szCs w:val="14"/>
                <w:lang w:val="es-ES_tradnl"/>
              </w:rPr>
              <w:t>,</w:t>
            </w:r>
            <w:r w:rsidRPr="00545FF7">
              <w:rPr>
                <w:rFonts w:ascii="Montserrat" w:hAnsi="Montserrat"/>
                <w:sz w:val="14"/>
                <w:szCs w:val="14"/>
                <w:lang w:val="es-ES_tradnl"/>
              </w:rPr>
              <w:t>555</w:t>
            </w:r>
            <w:r w:rsidR="00070196">
              <w:rPr>
                <w:rFonts w:ascii="Montserrat" w:hAnsi="Montserrat"/>
                <w:sz w:val="14"/>
                <w:szCs w:val="14"/>
                <w:lang w:val="es-ES_tradnl"/>
              </w:rPr>
              <w:t>,</w:t>
            </w:r>
            <w:r w:rsidRPr="00545FF7">
              <w:rPr>
                <w:rFonts w:ascii="Montserrat" w:hAnsi="Montserrat"/>
                <w:sz w:val="14"/>
                <w:szCs w:val="14"/>
                <w:lang w:val="es-ES_tradnl"/>
              </w:rPr>
              <w:t>582</w:t>
            </w:r>
            <w:r w:rsidR="00070196">
              <w:rPr>
                <w:rFonts w:ascii="Montserrat" w:hAnsi="Montserrat"/>
                <w:sz w:val="14"/>
                <w:szCs w:val="14"/>
                <w:lang w:val="es-ES_tradnl"/>
              </w:rPr>
              <w:t>,</w:t>
            </w:r>
            <w:r w:rsidRPr="00545FF7">
              <w:rPr>
                <w:rFonts w:ascii="Montserrat" w:hAnsi="Montserrat"/>
                <w:sz w:val="14"/>
                <w:szCs w:val="14"/>
                <w:lang w:val="es-ES_tradnl"/>
              </w:rPr>
              <w:t>742</w:t>
            </w:r>
          </w:p>
        </w:tc>
        <w:tc>
          <w:tcPr>
            <w:tcW w:w="662" w:type="dxa"/>
            <w:tcBorders>
              <w:top w:val="nil"/>
              <w:left w:val="nil"/>
              <w:bottom w:val="nil"/>
              <w:right w:val="nil"/>
            </w:tcBorders>
            <w:shd w:val="clear" w:color="auto" w:fill="F2F2F2" w:themeFill="background1" w:themeFillShade="F2"/>
            <w:noWrap/>
            <w:vAlign w:val="bottom"/>
          </w:tcPr>
          <w:p w14:paraId="7A635EE7" w14:textId="77777777" w:rsidR="009C3C24" w:rsidRPr="005210C6" w:rsidRDefault="009C3C24" w:rsidP="002F797B">
            <w:pPr>
              <w:spacing w:after="0" w:line="240" w:lineRule="exact"/>
              <w:jc w:val="center"/>
              <w:rPr>
                <w:rFonts w:ascii="Montserrat" w:hAnsi="Montserrat"/>
                <w:sz w:val="14"/>
                <w:szCs w:val="14"/>
                <w:lang w:val="es-ES_tradnl"/>
              </w:rPr>
            </w:pPr>
            <w:r w:rsidRPr="005210C6">
              <w:rPr>
                <w:rFonts w:ascii="Montserrat" w:hAnsi="Montserrat"/>
                <w:sz w:val="14"/>
                <w:szCs w:val="14"/>
                <w:lang w:val="es-ES_tradnl"/>
              </w:rPr>
              <w:t>05</w:t>
            </w:r>
          </w:p>
        </w:tc>
        <w:tc>
          <w:tcPr>
            <w:tcW w:w="709" w:type="dxa"/>
            <w:tcBorders>
              <w:top w:val="nil"/>
              <w:left w:val="nil"/>
              <w:bottom w:val="nil"/>
              <w:right w:val="nil"/>
            </w:tcBorders>
            <w:shd w:val="clear" w:color="auto" w:fill="F2F2F2" w:themeFill="background1" w:themeFillShade="F2"/>
            <w:noWrap/>
            <w:vAlign w:val="bottom"/>
          </w:tcPr>
          <w:p w14:paraId="513CAB65" w14:textId="77777777" w:rsidR="009C3C24" w:rsidRPr="005210C6" w:rsidRDefault="009C3C24" w:rsidP="002F797B">
            <w:pPr>
              <w:spacing w:after="0" w:line="240" w:lineRule="exact"/>
              <w:jc w:val="center"/>
              <w:rPr>
                <w:rFonts w:ascii="Montserrat" w:hAnsi="Montserrat"/>
                <w:sz w:val="14"/>
                <w:szCs w:val="14"/>
                <w:lang w:val="es-ES_tradnl"/>
              </w:rPr>
            </w:pPr>
            <w:r w:rsidRPr="005210C6">
              <w:rPr>
                <w:rFonts w:ascii="Montserrat" w:hAnsi="Montserrat"/>
                <w:sz w:val="14"/>
                <w:szCs w:val="14"/>
                <w:lang w:val="es-ES_tradnl"/>
              </w:rPr>
              <w:t>00</w:t>
            </w:r>
          </w:p>
        </w:tc>
        <w:tc>
          <w:tcPr>
            <w:tcW w:w="708" w:type="dxa"/>
            <w:tcBorders>
              <w:top w:val="nil"/>
              <w:left w:val="nil"/>
              <w:bottom w:val="nil"/>
              <w:right w:val="nil"/>
            </w:tcBorders>
            <w:shd w:val="clear" w:color="auto" w:fill="F2F2F2" w:themeFill="background1" w:themeFillShade="F2"/>
            <w:noWrap/>
            <w:vAlign w:val="bottom"/>
          </w:tcPr>
          <w:p w14:paraId="1F8815B0" w14:textId="77777777" w:rsidR="009C3C24" w:rsidRPr="005210C6" w:rsidRDefault="009C3C24" w:rsidP="002F797B">
            <w:pPr>
              <w:spacing w:after="0" w:line="240" w:lineRule="exact"/>
              <w:jc w:val="center"/>
              <w:rPr>
                <w:rFonts w:ascii="Montserrat" w:hAnsi="Montserrat"/>
                <w:sz w:val="14"/>
                <w:szCs w:val="14"/>
                <w:lang w:val="es-ES_tradnl"/>
              </w:rPr>
            </w:pPr>
            <w:r w:rsidRPr="005210C6">
              <w:rPr>
                <w:rFonts w:ascii="Montserrat" w:hAnsi="Montserrat"/>
                <w:sz w:val="14"/>
                <w:szCs w:val="14"/>
                <w:lang w:val="es-ES_tradnl"/>
              </w:rPr>
              <w:t>00</w:t>
            </w:r>
          </w:p>
        </w:tc>
        <w:tc>
          <w:tcPr>
            <w:tcW w:w="756" w:type="dxa"/>
            <w:tcBorders>
              <w:top w:val="nil"/>
              <w:left w:val="nil"/>
              <w:bottom w:val="nil"/>
              <w:right w:val="nil"/>
            </w:tcBorders>
            <w:shd w:val="clear" w:color="auto" w:fill="F2F2F2" w:themeFill="background1" w:themeFillShade="F2"/>
            <w:noWrap/>
            <w:vAlign w:val="bottom"/>
          </w:tcPr>
          <w:p w14:paraId="42B4CC2A" w14:textId="77777777" w:rsidR="009C3C24" w:rsidRPr="005210C6" w:rsidRDefault="009C3C24" w:rsidP="002F797B">
            <w:pPr>
              <w:spacing w:after="0" w:line="240" w:lineRule="exact"/>
              <w:jc w:val="center"/>
              <w:rPr>
                <w:rFonts w:ascii="Montserrat" w:hAnsi="Montserrat"/>
                <w:sz w:val="14"/>
                <w:szCs w:val="14"/>
                <w:lang w:val="es-ES_tradnl"/>
              </w:rPr>
            </w:pPr>
            <w:r w:rsidRPr="005210C6">
              <w:rPr>
                <w:rFonts w:ascii="Montserrat" w:hAnsi="Montserrat"/>
                <w:sz w:val="14"/>
                <w:szCs w:val="14"/>
                <w:lang w:val="es-ES_tradnl"/>
              </w:rPr>
              <w:t>00</w:t>
            </w:r>
          </w:p>
        </w:tc>
        <w:tc>
          <w:tcPr>
            <w:tcW w:w="662" w:type="dxa"/>
            <w:vMerge/>
            <w:tcBorders>
              <w:top w:val="nil"/>
              <w:left w:val="nil"/>
              <w:bottom w:val="nil"/>
              <w:right w:val="nil"/>
            </w:tcBorders>
            <w:shd w:val="clear" w:color="auto" w:fill="F2F2F2" w:themeFill="background1" w:themeFillShade="F2"/>
            <w:vAlign w:val="center"/>
          </w:tcPr>
          <w:p w14:paraId="2D094F2F" w14:textId="77777777" w:rsidR="009C3C24" w:rsidRPr="005210C6" w:rsidRDefault="009C3C24" w:rsidP="002F797B">
            <w:pPr>
              <w:spacing w:after="0" w:line="240" w:lineRule="exact"/>
              <w:rPr>
                <w:rFonts w:ascii="Montserrat" w:hAnsi="Montserrat"/>
                <w:sz w:val="14"/>
                <w:szCs w:val="14"/>
                <w:lang w:val="es-ES_tradnl"/>
              </w:rPr>
            </w:pPr>
          </w:p>
        </w:tc>
        <w:tc>
          <w:tcPr>
            <w:tcW w:w="2551" w:type="dxa"/>
            <w:gridSpan w:val="5"/>
            <w:tcBorders>
              <w:top w:val="nil"/>
              <w:left w:val="nil"/>
              <w:right w:val="nil"/>
            </w:tcBorders>
            <w:shd w:val="clear" w:color="auto" w:fill="F2F2F2" w:themeFill="background1" w:themeFillShade="F2"/>
            <w:vAlign w:val="center"/>
          </w:tcPr>
          <w:p w14:paraId="592F9570" w14:textId="77777777" w:rsidR="009C3C24" w:rsidRPr="005210C6" w:rsidRDefault="009C3C24" w:rsidP="002F797B">
            <w:pPr>
              <w:spacing w:after="0" w:line="240" w:lineRule="exact"/>
              <w:jc w:val="center"/>
              <w:rPr>
                <w:rFonts w:ascii="Montserrat" w:hAnsi="Montserrat"/>
                <w:sz w:val="14"/>
                <w:szCs w:val="14"/>
                <w:lang w:val="es-ES_tradnl"/>
              </w:rPr>
            </w:pPr>
          </w:p>
        </w:tc>
        <w:tc>
          <w:tcPr>
            <w:tcW w:w="567" w:type="dxa"/>
            <w:gridSpan w:val="2"/>
            <w:tcBorders>
              <w:top w:val="nil"/>
              <w:left w:val="nil"/>
              <w:bottom w:val="nil"/>
              <w:right w:val="nil"/>
            </w:tcBorders>
            <w:shd w:val="clear" w:color="auto" w:fill="F2F2F2" w:themeFill="background1" w:themeFillShade="F2"/>
            <w:noWrap/>
            <w:vAlign w:val="bottom"/>
          </w:tcPr>
          <w:p w14:paraId="1184E1F3" w14:textId="77777777" w:rsidR="009C3C24" w:rsidRPr="005210C6" w:rsidRDefault="009C3C24" w:rsidP="002F797B">
            <w:pPr>
              <w:spacing w:after="0" w:line="240" w:lineRule="exact"/>
              <w:jc w:val="right"/>
              <w:rPr>
                <w:rFonts w:ascii="Montserrat" w:hAnsi="Montserrat"/>
                <w:sz w:val="14"/>
                <w:szCs w:val="14"/>
                <w:lang w:val="es-ES_tradnl"/>
              </w:rPr>
            </w:pPr>
          </w:p>
        </w:tc>
        <w:tc>
          <w:tcPr>
            <w:tcW w:w="567" w:type="dxa"/>
            <w:tcBorders>
              <w:top w:val="nil"/>
              <w:left w:val="nil"/>
              <w:bottom w:val="nil"/>
              <w:right w:val="nil"/>
            </w:tcBorders>
            <w:shd w:val="clear" w:color="auto" w:fill="F2F2F2" w:themeFill="background1" w:themeFillShade="F2"/>
            <w:noWrap/>
            <w:vAlign w:val="bottom"/>
          </w:tcPr>
          <w:p w14:paraId="31DCEF36" w14:textId="77777777" w:rsidR="009C3C24" w:rsidRPr="005210C6" w:rsidRDefault="009C3C24" w:rsidP="002F797B">
            <w:pPr>
              <w:spacing w:after="0" w:line="240" w:lineRule="exact"/>
              <w:jc w:val="right"/>
              <w:rPr>
                <w:rFonts w:ascii="Montserrat" w:hAnsi="Montserrat"/>
                <w:sz w:val="14"/>
                <w:szCs w:val="14"/>
                <w:lang w:val="es-ES_tradnl"/>
              </w:rPr>
            </w:pPr>
          </w:p>
        </w:tc>
        <w:tc>
          <w:tcPr>
            <w:tcW w:w="709" w:type="dxa"/>
            <w:tcBorders>
              <w:top w:val="nil"/>
              <w:left w:val="nil"/>
              <w:bottom w:val="nil"/>
            </w:tcBorders>
            <w:shd w:val="clear" w:color="auto" w:fill="F2F2F2" w:themeFill="background1" w:themeFillShade="F2"/>
            <w:noWrap/>
            <w:vAlign w:val="bottom"/>
          </w:tcPr>
          <w:p w14:paraId="03D1AC7C" w14:textId="77777777" w:rsidR="009C3C24" w:rsidRPr="005210C6" w:rsidRDefault="009C3C24" w:rsidP="002F797B">
            <w:pPr>
              <w:spacing w:after="0" w:line="240" w:lineRule="exact"/>
              <w:jc w:val="right"/>
              <w:rPr>
                <w:rFonts w:ascii="Montserrat" w:hAnsi="Montserrat"/>
                <w:sz w:val="14"/>
                <w:szCs w:val="14"/>
                <w:lang w:val="es-ES_tradnl"/>
              </w:rPr>
            </w:pPr>
          </w:p>
        </w:tc>
      </w:tr>
      <w:tr w:rsidR="009C3C24" w:rsidRPr="005210C6" w14:paraId="54115F90" w14:textId="77777777" w:rsidTr="0023764E">
        <w:trPr>
          <w:trHeight w:val="240"/>
        </w:trPr>
        <w:tc>
          <w:tcPr>
            <w:tcW w:w="923" w:type="dxa"/>
            <w:tcBorders>
              <w:right w:val="nil"/>
            </w:tcBorders>
            <w:shd w:val="clear" w:color="auto" w:fill="F2F2F2" w:themeFill="background1" w:themeFillShade="F2"/>
            <w:noWrap/>
            <w:vAlign w:val="bottom"/>
            <w:hideMark/>
          </w:tcPr>
          <w:p w14:paraId="37D8D0BA" w14:textId="77777777" w:rsidR="009C3C24" w:rsidRPr="005210C6" w:rsidRDefault="009C3C24" w:rsidP="002F797B">
            <w:pPr>
              <w:spacing w:after="0" w:line="240" w:lineRule="exact"/>
              <w:rPr>
                <w:rFonts w:ascii="Montserrat" w:hAnsi="Montserrat"/>
                <w:bCs/>
                <w:sz w:val="14"/>
                <w:szCs w:val="14"/>
                <w:lang w:val="es-ES_tradnl"/>
              </w:rPr>
            </w:pPr>
            <w:r w:rsidRPr="005210C6">
              <w:rPr>
                <w:rFonts w:ascii="Montserrat" w:hAnsi="Montserrat"/>
                <w:bCs/>
                <w:sz w:val="14"/>
                <w:szCs w:val="14"/>
                <w:lang w:val="es-ES_tradnl"/>
              </w:rPr>
              <w:t>BonoTasa Fija</w:t>
            </w:r>
          </w:p>
        </w:tc>
        <w:tc>
          <w:tcPr>
            <w:tcW w:w="567" w:type="dxa"/>
            <w:tcBorders>
              <w:left w:val="nil"/>
              <w:right w:val="nil"/>
            </w:tcBorders>
            <w:shd w:val="clear" w:color="auto" w:fill="F2F2F2" w:themeFill="background1" w:themeFillShade="F2"/>
            <w:noWrap/>
          </w:tcPr>
          <w:p w14:paraId="13CC3901" w14:textId="77777777" w:rsidR="009C3C24" w:rsidRPr="005210C6" w:rsidRDefault="009C3C24" w:rsidP="002F797B">
            <w:pPr>
              <w:spacing w:after="0" w:line="240" w:lineRule="exact"/>
              <w:ind w:left="-358" w:firstLine="358"/>
              <w:rPr>
                <w:rFonts w:ascii="Montserrat" w:hAnsi="Montserrat"/>
                <w:sz w:val="14"/>
                <w:szCs w:val="14"/>
                <w:lang w:val="es-ES_tradnl"/>
              </w:rPr>
            </w:pPr>
          </w:p>
          <w:p w14:paraId="1CB38F24" w14:textId="77777777" w:rsidR="009C3C24" w:rsidRPr="005210C6" w:rsidRDefault="009C3C24" w:rsidP="002F797B">
            <w:pPr>
              <w:spacing w:after="0" w:line="240" w:lineRule="exact"/>
              <w:ind w:left="-358" w:firstLine="358"/>
              <w:rPr>
                <w:rFonts w:ascii="Montserrat" w:hAnsi="Montserrat"/>
                <w:sz w:val="14"/>
                <w:szCs w:val="14"/>
                <w:lang w:val="es-ES_tradnl"/>
              </w:rPr>
            </w:pPr>
            <w:r w:rsidRPr="005210C6">
              <w:rPr>
                <w:rFonts w:ascii="Montserrat" w:hAnsi="Montserrat"/>
                <w:sz w:val="14"/>
                <w:szCs w:val="14"/>
                <w:lang w:val="es-ES_tradnl"/>
              </w:rPr>
              <w:t>Mex.</w:t>
            </w:r>
          </w:p>
        </w:tc>
        <w:tc>
          <w:tcPr>
            <w:tcW w:w="425" w:type="dxa"/>
            <w:tcBorders>
              <w:left w:val="nil"/>
              <w:right w:val="nil"/>
            </w:tcBorders>
            <w:shd w:val="clear" w:color="auto" w:fill="F2F2F2" w:themeFill="background1" w:themeFillShade="F2"/>
            <w:noWrap/>
          </w:tcPr>
          <w:p w14:paraId="2F871F43" w14:textId="77777777" w:rsidR="009C3C24" w:rsidRPr="005210C6" w:rsidRDefault="009C3C24" w:rsidP="002F797B">
            <w:pPr>
              <w:spacing w:after="0" w:line="240" w:lineRule="exact"/>
              <w:ind w:left="-358" w:firstLine="358"/>
              <w:rPr>
                <w:rFonts w:ascii="Montserrat" w:hAnsi="Montserrat"/>
                <w:sz w:val="14"/>
                <w:szCs w:val="14"/>
                <w:lang w:val="es-ES_tradnl"/>
              </w:rPr>
            </w:pPr>
          </w:p>
          <w:p w14:paraId="6DC7163E" w14:textId="77777777" w:rsidR="009C3C24" w:rsidRPr="005210C6" w:rsidRDefault="009C3C24" w:rsidP="002F797B">
            <w:pPr>
              <w:spacing w:after="0" w:line="240" w:lineRule="exact"/>
              <w:ind w:left="-358" w:firstLine="358"/>
              <w:rPr>
                <w:rFonts w:ascii="Montserrat" w:hAnsi="Montserrat"/>
                <w:sz w:val="14"/>
                <w:szCs w:val="14"/>
                <w:lang w:val="es-ES_tradnl"/>
              </w:rPr>
            </w:pPr>
            <w:r w:rsidRPr="005210C6">
              <w:rPr>
                <w:rFonts w:ascii="Montserrat" w:hAnsi="Montserrat"/>
                <w:sz w:val="14"/>
                <w:szCs w:val="14"/>
                <w:lang w:val="es-ES_tradnl"/>
              </w:rPr>
              <w:t>Pso.</w:t>
            </w:r>
          </w:p>
        </w:tc>
        <w:tc>
          <w:tcPr>
            <w:tcW w:w="709" w:type="dxa"/>
            <w:tcBorders>
              <w:left w:val="nil"/>
              <w:right w:val="nil"/>
            </w:tcBorders>
            <w:shd w:val="clear" w:color="auto" w:fill="F2F2F2" w:themeFill="background1" w:themeFillShade="F2"/>
            <w:noWrap/>
          </w:tcPr>
          <w:p w14:paraId="09AD3E9D" w14:textId="77777777" w:rsidR="009C3C24" w:rsidRPr="005210C6" w:rsidRDefault="009C3C24" w:rsidP="002F797B">
            <w:pPr>
              <w:spacing w:after="0" w:line="240" w:lineRule="exact"/>
              <w:ind w:left="-358" w:firstLine="358"/>
              <w:rPr>
                <w:rFonts w:ascii="Montserrat" w:hAnsi="Montserrat"/>
                <w:sz w:val="14"/>
                <w:szCs w:val="14"/>
                <w:lang w:val="es-ES_tradnl"/>
              </w:rPr>
            </w:pPr>
          </w:p>
        </w:tc>
        <w:tc>
          <w:tcPr>
            <w:tcW w:w="1345" w:type="dxa"/>
            <w:tcBorders>
              <w:left w:val="nil"/>
              <w:right w:val="nil"/>
            </w:tcBorders>
            <w:shd w:val="clear" w:color="auto" w:fill="F2F2F2" w:themeFill="background1" w:themeFillShade="F2"/>
            <w:noWrap/>
          </w:tcPr>
          <w:p w14:paraId="5647CAB3" w14:textId="77777777" w:rsidR="009C3C24" w:rsidRPr="005210C6" w:rsidRDefault="009C3C24" w:rsidP="002F797B">
            <w:pPr>
              <w:spacing w:after="0" w:line="240" w:lineRule="exact"/>
              <w:jc w:val="center"/>
              <w:rPr>
                <w:rFonts w:ascii="Montserrat" w:hAnsi="Montserrat"/>
                <w:sz w:val="14"/>
                <w:szCs w:val="14"/>
                <w:lang w:val="es-ES_tradnl"/>
              </w:rPr>
            </w:pPr>
          </w:p>
          <w:p w14:paraId="1B3821AD" w14:textId="77777777" w:rsidR="009C3C24" w:rsidRPr="005210C6" w:rsidRDefault="009C3C24" w:rsidP="002F797B">
            <w:pPr>
              <w:spacing w:after="0" w:line="240" w:lineRule="exact"/>
              <w:jc w:val="center"/>
              <w:rPr>
                <w:rFonts w:ascii="Montserrat" w:hAnsi="Montserrat"/>
                <w:sz w:val="14"/>
                <w:szCs w:val="14"/>
                <w:lang w:val="es-ES_tradnl"/>
              </w:rPr>
            </w:pPr>
            <w:r w:rsidRPr="005210C6">
              <w:rPr>
                <w:rFonts w:ascii="Montserrat" w:hAnsi="Montserrat"/>
                <w:sz w:val="14"/>
                <w:szCs w:val="14"/>
                <w:lang w:val="es-ES_tradnl"/>
              </w:rPr>
              <w:t>Banco de México.</w:t>
            </w:r>
          </w:p>
        </w:tc>
        <w:tc>
          <w:tcPr>
            <w:tcW w:w="1560" w:type="dxa"/>
            <w:tcBorders>
              <w:left w:val="nil"/>
              <w:right w:val="nil"/>
            </w:tcBorders>
            <w:shd w:val="clear" w:color="auto" w:fill="F2F2F2" w:themeFill="background1" w:themeFillShade="F2"/>
            <w:noWrap/>
            <w:vAlign w:val="bottom"/>
          </w:tcPr>
          <w:p w14:paraId="5370ABDC" w14:textId="1597ED82" w:rsidR="009C3C24" w:rsidRPr="005210C6" w:rsidRDefault="00545FF7" w:rsidP="002F797B">
            <w:pPr>
              <w:spacing w:after="0" w:line="240" w:lineRule="exact"/>
              <w:jc w:val="right"/>
              <w:rPr>
                <w:rFonts w:ascii="Montserrat" w:hAnsi="Montserrat"/>
                <w:sz w:val="14"/>
                <w:szCs w:val="14"/>
                <w:lang w:val="es-ES_tradnl"/>
              </w:rPr>
            </w:pPr>
            <w:r w:rsidRPr="00545FF7">
              <w:rPr>
                <w:rFonts w:ascii="Montserrat" w:hAnsi="Montserrat"/>
                <w:sz w:val="14"/>
                <w:szCs w:val="14"/>
                <w:lang w:val="es-ES_tradnl"/>
              </w:rPr>
              <w:t>508</w:t>
            </w:r>
            <w:r w:rsidR="00070196">
              <w:rPr>
                <w:rFonts w:ascii="Montserrat" w:hAnsi="Montserrat"/>
                <w:sz w:val="14"/>
                <w:szCs w:val="14"/>
                <w:lang w:val="es-ES_tradnl"/>
              </w:rPr>
              <w:t>,</w:t>
            </w:r>
            <w:r w:rsidRPr="00545FF7">
              <w:rPr>
                <w:rFonts w:ascii="Montserrat" w:hAnsi="Montserrat"/>
                <w:sz w:val="14"/>
                <w:szCs w:val="14"/>
                <w:lang w:val="es-ES_tradnl"/>
              </w:rPr>
              <w:t>102</w:t>
            </w:r>
            <w:r w:rsidR="00070196">
              <w:rPr>
                <w:rFonts w:ascii="Montserrat" w:hAnsi="Montserrat"/>
                <w:sz w:val="14"/>
                <w:szCs w:val="14"/>
                <w:lang w:val="es-ES_tradnl"/>
              </w:rPr>
              <w:t>,</w:t>
            </w:r>
            <w:r w:rsidRPr="00545FF7">
              <w:rPr>
                <w:rFonts w:ascii="Montserrat" w:hAnsi="Montserrat"/>
                <w:sz w:val="14"/>
                <w:szCs w:val="14"/>
                <w:lang w:val="es-ES_tradnl"/>
              </w:rPr>
              <w:t>291</w:t>
            </w:r>
            <w:r w:rsidR="00070196">
              <w:rPr>
                <w:rFonts w:ascii="Montserrat" w:hAnsi="Montserrat"/>
                <w:sz w:val="14"/>
                <w:szCs w:val="14"/>
                <w:lang w:val="es-ES_tradnl"/>
              </w:rPr>
              <w:t>,</w:t>
            </w:r>
            <w:r w:rsidRPr="00545FF7">
              <w:rPr>
                <w:rFonts w:ascii="Montserrat" w:hAnsi="Montserrat"/>
                <w:sz w:val="14"/>
                <w:szCs w:val="14"/>
                <w:lang w:val="es-ES_tradnl"/>
              </w:rPr>
              <w:t>709</w:t>
            </w:r>
          </w:p>
        </w:tc>
        <w:tc>
          <w:tcPr>
            <w:tcW w:w="662" w:type="dxa"/>
            <w:tcBorders>
              <w:left w:val="nil"/>
              <w:right w:val="nil"/>
            </w:tcBorders>
            <w:shd w:val="clear" w:color="auto" w:fill="F2F2F2" w:themeFill="background1" w:themeFillShade="F2"/>
            <w:noWrap/>
            <w:vAlign w:val="bottom"/>
          </w:tcPr>
          <w:p w14:paraId="247DF1BD" w14:textId="77777777" w:rsidR="009C3C24" w:rsidRPr="005210C6" w:rsidRDefault="009C3C24" w:rsidP="002F797B">
            <w:pPr>
              <w:spacing w:after="0" w:line="240" w:lineRule="exact"/>
              <w:jc w:val="center"/>
              <w:rPr>
                <w:rFonts w:ascii="Montserrat" w:hAnsi="Montserrat"/>
                <w:sz w:val="14"/>
                <w:szCs w:val="14"/>
                <w:lang w:val="es-ES_tradnl"/>
              </w:rPr>
            </w:pPr>
          </w:p>
        </w:tc>
        <w:tc>
          <w:tcPr>
            <w:tcW w:w="709" w:type="dxa"/>
            <w:tcBorders>
              <w:left w:val="nil"/>
              <w:right w:val="nil"/>
            </w:tcBorders>
            <w:shd w:val="clear" w:color="auto" w:fill="F2F2F2" w:themeFill="background1" w:themeFillShade="F2"/>
            <w:noWrap/>
            <w:vAlign w:val="bottom"/>
          </w:tcPr>
          <w:p w14:paraId="0EAF98D5" w14:textId="77777777" w:rsidR="009C3C24" w:rsidRPr="005210C6" w:rsidRDefault="009C3C24" w:rsidP="002F797B">
            <w:pPr>
              <w:spacing w:after="0" w:line="240" w:lineRule="exact"/>
              <w:jc w:val="center"/>
              <w:rPr>
                <w:rFonts w:ascii="Montserrat" w:hAnsi="Montserrat"/>
                <w:sz w:val="14"/>
                <w:szCs w:val="14"/>
                <w:lang w:val="es-ES_tradnl"/>
              </w:rPr>
            </w:pPr>
          </w:p>
        </w:tc>
        <w:tc>
          <w:tcPr>
            <w:tcW w:w="708" w:type="dxa"/>
            <w:tcBorders>
              <w:left w:val="nil"/>
              <w:right w:val="nil"/>
            </w:tcBorders>
            <w:shd w:val="clear" w:color="auto" w:fill="F2F2F2" w:themeFill="background1" w:themeFillShade="F2"/>
            <w:noWrap/>
            <w:vAlign w:val="bottom"/>
          </w:tcPr>
          <w:p w14:paraId="0186ED90" w14:textId="77777777" w:rsidR="009C3C24" w:rsidRPr="005210C6" w:rsidRDefault="009C3C24" w:rsidP="002F797B">
            <w:pPr>
              <w:spacing w:after="0" w:line="240" w:lineRule="exact"/>
              <w:jc w:val="center"/>
              <w:rPr>
                <w:rFonts w:ascii="Montserrat" w:hAnsi="Montserrat"/>
                <w:sz w:val="14"/>
                <w:szCs w:val="14"/>
                <w:lang w:val="es-ES_tradnl"/>
              </w:rPr>
            </w:pPr>
          </w:p>
        </w:tc>
        <w:tc>
          <w:tcPr>
            <w:tcW w:w="756" w:type="dxa"/>
            <w:tcBorders>
              <w:left w:val="nil"/>
              <w:right w:val="nil"/>
            </w:tcBorders>
            <w:shd w:val="clear" w:color="auto" w:fill="F2F2F2" w:themeFill="background1" w:themeFillShade="F2"/>
            <w:noWrap/>
            <w:vAlign w:val="bottom"/>
          </w:tcPr>
          <w:p w14:paraId="30545A0C" w14:textId="77777777" w:rsidR="009C3C24" w:rsidRPr="005210C6" w:rsidRDefault="009C3C24" w:rsidP="002F797B">
            <w:pPr>
              <w:spacing w:after="0" w:line="240" w:lineRule="exact"/>
              <w:jc w:val="center"/>
              <w:rPr>
                <w:rFonts w:ascii="Montserrat" w:hAnsi="Montserrat"/>
                <w:sz w:val="14"/>
                <w:szCs w:val="14"/>
                <w:lang w:val="es-ES_tradnl"/>
              </w:rPr>
            </w:pPr>
          </w:p>
        </w:tc>
        <w:tc>
          <w:tcPr>
            <w:tcW w:w="662" w:type="dxa"/>
            <w:tcBorders>
              <w:left w:val="nil"/>
              <w:right w:val="nil"/>
            </w:tcBorders>
            <w:shd w:val="clear" w:color="auto" w:fill="F2F2F2" w:themeFill="background1" w:themeFillShade="F2"/>
            <w:noWrap/>
            <w:vAlign w:val="bottom"/>
          </w:tcPr>
          <w:p w14:paraId="2F0F42B2" w14:textId="77777777" w:rsidR="009C3C24" w:rsidRPr="005210C6" w:rsidRDefault="009C3C24" w:rsidP="002F797B">
            <w:pPr>
              <w:spacing w:after="0" w:line="240" w:lineRule="exact"/>
              <w:rPr>
                <w:rFonts w:ascii="Montserrat" w:hAnsi="Montserrat"/>
                <w:sz w:val="14"/>
                <w:szCs w:val="14"/>
                <w:lang w:val="es-ES_tradnl"/>
              </w:rPr>
            </w:pPr>
          </w:p>
        </w:tc>
        <w:tc>
          <w:tcPr>
            <w:tcW w:w="850" w:type="dxa"/>
            <w:tcBorders>
              <w:left w:val="nil"/>
              <w:right w:val="nil"/>
            </w:tcBorders>
            <w:shd w:val="clear" w:color="auto" w:fill="F2F2F2" w:themeFill="background1" w:themeFillShade="F2"/>
            <w:noWrap/>
            <w:vAlign w:val="bottom"/>
          </w:tcPr>
          <w:p w14:paraId="777E7ED0" w14:textId="77777777" w:rsidR="009C3C24" w:rsidRPr="005210C6" w:rsidRDefault="009C3C24" w:rsidP="002F797B">
            <w:pPr>
              <w:spacing w:after="0" w:line="240" w:lineRule="exact"/>
              <w:rPr>
                <w:rFonts w:ascii="Montserrat" w:hAnsi="Montserrat"/>
                <w:sz w:val="14"/>
                <w:szCs w:val="14"/>
                <w:lang w:val="es-ES_tradnl"/>
              </w:rPr>
            </w:pPr>
          </w:p>
        </w:tc>
        <w:tc>
          <w:tcPr>
            <w:tcW w:w="567" w:type="dxa"/>
            <w:tcBorders>
              <w:left w:val="nil"/>
              <w:right w:val="nil"/>
            </w:tcBorders>
            <w:shd w:val="clear" w:color="auto" w:fill="F2F2F2" w:themeFill="background1" w:themeFillShade="F2"/>
            <w:noWrap/>
            <w:vAlign w:val="bottom"/>
          </w:tcPr>
          <w:p w14:paraId="4AD3F972" w14:textId="77777777" w:rsidR="009C3C24" w:rsidRPr="005210C6" w:rsidRDefault="009C3C24" w:rsidP="002F797B">
            <w:pPr>
              <w:spacing w:after="0" w:line="240" w:lineRule="exact"/>
              <w:jc w:val="right"/>
              <w:rPr>
                <w:rFonts w:ascii="Montserrat" w:hAnsi="Montserrat"/>
                <w:sz w:val="14"/>
                <w:szCs w:val="14"/>
                <w:lang w:val="es-ES_tradnl"/>
              </w:rPr>
            </w:pPr>
          </w:p>
        </w:tc>
        <w:tc>
          <w:tcPr>
            <w:tcW w:w="1043" w:type="dxa"/>
            <w:gridSpan w:val="2"/>
            <w:tcBorders>
              <w:left w:val="nil"/>
              <w:right w:val="nil"/>
            </w:tcBorders>
            <w:shd w:val="clear" w:color="auto" w:fill="F2F2F2" w:themeFill="background1" w:themeFillShade="F2"/>
            <w:noWrap/>
            <w:vAlign w:val="bottom"/>
          </w:tcPr>
          <w:p w14:paraId="411560A8" w14:textId="77777777" w:rsidR="009C3C24" w:rsidRPr="005210C6" w:rsidRDefault="009C3C24" w:rsidP="002F797B">
            <w:pPr>
              <w:spacing w:after="0" w:line="240" w:lineRule="exact"/>
              <w:jc w:val="right"/>
              <w:rPr>
                <w:rFonts w:ascii="Montserrat" w:hAnsi="Montserrat"/>
                <w:sz w:val="14"/>
                <w:szCs w:val="14"/>
                <w:lang w:val="es-ES_tradnl"/>
              </w:rPr>
            </w:pPr>
          </w:p>
        </w:tc>
        <w:tc>
          <w:tcPr>
            <w:tcW w:w="160" w:type="dxa"/>
            <w:gridSpan w:val="2"/>
            <w:tcBorders>
              <w:left w:val="nil"/>
              <w:right w:val="nil"/>
            </w:tcBorders>
            <w:shd w:val="clear" w:color="auto" w:fill="F2F2F2" w:themeFill="background1" w:themeFillShade="F2"/>
            <w:noWrap/>
            <w:vAlign w:val="bottom"/>
          </w:tcPr>
          <w:p w14:paraId="6C29E97E" w14:textId="77777777" w:rsidR="009C3C24" w:rsidRPr="005210C6" w:rsidRDefault="009C3C24" w:rsidP="002F797B">
            <w:pPr>
              <w:spacing w:after="0" w:line="240" w:lineRule="exact"/>
              <w:jc w:val="right"/>
              <w:rPr>
                <w:rFonts w:ascii="Montserrat" w:hAnsi="Montserrat"/>
                <w:sz w:val="14"/>
                <w:szCs w:val="14"/>
                <w:lang w:val="es-ES_tradnl"/>
              </w:rPr>
            </w:pPr>
          </w:p>
        </w:tc>
        <w:tc>
          <w:tcPr>
            <w:tcW w:w="498" w:type="dxa"/>
            <w:tcBorders>
              <w:left w:val="nil"/>
              <w:right w:val="nil"/>
            </w:tcBorders>
            <w:shd w:val="clear" w:color="auto" w:fill="F2F2F2" w:themeFill="background1" w:themeFillShade="F2"/>
            <w:noWrap/>
            <w:vAlign w:val="bottom"/>
          </w:tcPr>
          <w:p w14:paraId="1EEF6629" w14:textId="77777777" w:rsidR="009C3C24" w:rsidRPr="005210C6" w:rsidRDefault="009C3C24" w:rsidP="002F797B">
            <w:pPr>
              <w:spacing w:after="0" w:line="240" w:lineRule="exact"/>
              <w:jc w:val="right"/>
              <w:rPr>
                <w:rFonts w:ascii="Montserrat" w:hAnsi="Montserrat"/>
                <w:sz w:val="14"/>
                <w:szCs w:val="14"/>
                <w:lang w:val="es-ES_tradnl"/>
              </w:rPr>
            </w:pPr>
          </w:p>
        </w:tc>
        <w:tc>
          <w:tcPr>
            <w:tcW w:w="567" w:type="dxa"/>
            <w:tcBorders>
              <w:left w:val="nil"/>
              <w:right w:val="nil"/>
            </w:tcBorders>
            <w:shd w:val="clear" w:color="auto" w:fill="F2F2F2" w:themeFill="background1" w:themeFillShade="F2"/>
            <w:noWrap/>
            <w:vAlign w:val="bottom"/>
          </w:tcPr>
          <w:p w14:paraId="612EEF36" w14:textId="77777777" w:rsidR="009C3C24" w:rsidRPr="005210C6" w:rsidRDefault="009C3C24" w:rsidP="002F797B">
            <w:pPr>
              <w:spacing w:after="0" w:line="240" w:lineRule="exact"/>
              <w:jc w:val="right"/>
              <w:rPr>
                <w:rFonts w:ascii="Montserrat" w:hAnsi="Montserrat"/>
                <w:sz w:val="14"/>
                <w:szCs w:val="14"/>
                <w:lang w:val="es-ES_tradnl"/>
              </w:rPr>
            </w:pPr>
          </w:p>
        </w:tc>
        <w:tc>
          <w:tcPr>
            <w:tcW w:w="709" w:type="dxa"/>
            <w:tcBorders>
              <w:left w:val="nil"/>
            </w:tcBorders>
            <w:shd w:val="clear" w:color="auto" w:fill="F2F2F2" w:themeFill="background1" w:themeFillShade="F2"/>
            <w:noWrap/>
            <w:vAlign w:val="bottom"/>
          </w:tcPr>
          <w:p w14:paraId="609BCCEC" w14:textId="77777777" w:rsidR="009C3C24" w:rsidRPr="005210C6" w:rsidRDefault="009C3C24" w:rsidP="002F797B">
            <w:pPr>
              <w:spacing w:after="0" w:line="240" w:lineRule="exact"/>
              <w:jc w:val="right"/>
              <w:rPr>
                <w:rFonts w:ascii="Montserrat" w:hAnsi="Montserrat"/>
                <w:sz w:val="14"/>
                <w:szCs w:val="14"/>
                <w:lang w:val="es-ES_tradnl"/>
              </w:rPr>
            </w:pPr>
          </w:p>
        </w:tc>
      </w:tr>
      <w:tr w:rsidR="00545FF7" w:rsidRPr="005210C6" w14:paraId="079F8400" w14:textId="77777777" w:rsidTr="0023764E">
        <w:trPr>
          <w:trHeight w:val="240"/>
        </w:trPr>
        <w:tc>
          <w:tcPr>
            <w:tcW w:w="923" w:type="dxa"/>
            <w:tcBorders>
              <w:top w:val="nil"/>
              <w:bottom w:val="nil"/>
              <w:right w:val="nil"/>
            </w:tcBorders>
            <w:shd w:val="clear" w:color="auto" w:fill="F2F2F2" w:themeFill="background1" w:themeFillShade="F2"/>
            <w:noWrap/>
            <w:vAlign w:val="bottom"/>
            <w:hideMark/>
          </w:tcPr>
          <w:p w14:paraId="398BEB62" w14:textId="77777777" w:rsidR="00545FF7" w:rsidRPr="005210C6" w:rsidRDefault="00545FF7" w:rsidP="00545FF7">
            <w:pPr>
              <w:spacing w:after="0" w:line="240" w:lineRule="exact"/>
              <w:rPr>
                <w:rFonts w:ascii="Montserrat" w:hAnsi="Montserrat"/>
                <w:sz w:val="14"/>
                <w:szCs w:val="14"/>
                <w:lang w:val="es-ES_tradnl"/>
              </w:rPr>
            </w:pPr>
          </w:p>
        </w:tc>
        <w:tc>
          <w:tcPr>
            <w:tcW w:w="567" w:type="dxa"/>
            <w:tcBorders>
              <w:top w:val="nil"/>
              <w:left w:val="nil"/>
              <w:bottom w:val="nil"/>
              <w:right w:val="nil"/>
            </w:tcBorders>
            <w:shd w:val="clear" w:color="auto" w:fill="F2F2F2" w:themeFill="background1" w:themeFillShade="F2"/>
            <w:noWrap/>
            <w:vAlign w:val="bottom"/>
          </w:tcPr>
          <w:p w14:paraId="47D1E0CC" w14:textId="77777777" w:rsidR="00545FF7" w:rsidRPr="005210C6" w:rsidRDefault="00545FF7" w:rsidP="00545FF7">
            <w:pPr>
              <w:spacing w:after="0" w:line="240" w:lineRule="exact"/>
              <w:rPr>
                <w:rFonts w:ascii="Montserrat" w:hAnsi="Montserrat"/>
                <w:sz w:val="14"/>
                <w:szCs w:val="14"/>
                <w:lang w:val="es-ES_tradnl"/>
              </w:rPr>
            </w:pPr>
          </w:p>
        </w:tc>
        <w:tc>
          <w:tcPr>
            <w:tcW w:w="425" w:type="dxa"/>
            <w:tcBorders>
              <w:top w:val="nil"/>
              <w:left w:val="nil"/>
              <w:bottom w:val="nil"/>
              <w:right w:val="nil"/>
            </w:tcBorders>
            <w:shd w:val="clear" w:color="auto" w:fill="F2F2F2" w:themeFill="background1" w:themeFillShade="F2"/>
            <w:noWrap/>
            <w:vAlign w:val="bottom"/>
          </w:tcPr>
          <w:p w14:paraId="59A9D5EA" w14:textId="77777777" w:rsidR="00545FF7" w:rsidRPr="005210C6" w:rsidRDefault="00545FF7" w:rsidP="00545FF7">
            <w:pPr>
              <w:spacing w:after="0" w:line="240" w:lineRule="exact"/>
              <w:rPr>
                <w:rFonts w:ascii="Montserrat" w:hAnsi="Montserrat"/>
                <w:sz w:val="14"/>
                <w:szCs w:val="14"/>
                <w:lang w:val="es-ES_tradnl"/>
              </w:rPr>
            </w:pPr>
          </w:p>
        </w:tc>
        <w:tc>
          <w:tcPr>
            <w:tcW w:w="709" w:type="dxa"/>
            <w:tcBorders>
              <w:top w:val="nil"/>
              <w:left w:val="nil"/>
              <w:bottom w:val="nil"/>
              <w:right w:val="nil"/>
            </w:tcBorders>
            <w:shd w:val="clear" w:color="auto" w:fill="F2F2F2" w:themeFill="background1" w:themeFillShade="F2"/>
            <w:noWrap/>
            <w:vAlign w:val="bottom"/>
          </w:tcPr>
          <w:p w14:paraId="638049BF" w14:textId="77777777" w:rsidR="00545FF7" w:rsidRPr="005210C6" w:rsidRDefault="00545FF7" w:rsidP="00545FF7">
            <w:pPr>
              <w:spacing w:after="0" w:line="240" w:lineRule="exact"/>
              <w:rPr>
                <w:rFonts w:ascii="Montserrat" w:hAnsi="Montserrat"/>
                <w:sz w:val="14"/>
                <w:szCs w:val="14"/>
                <w:lang w:val="es-ES_tradnl"/>
              </w:rPr>
            </w:pPr>
          </w:p>
        </w:tc>
        <w:tc>
          <w:tcPr>
            <w:tcW w:w="1345" w:type="dxa"/>
            <w:tcBorders>
              <w:top w:val="nil"/>
              <w:left w:val="nil"/>
              <w:bottom w:val="nil"/>
              <w:right w:val="nil"/>
            </w:tcBorders>
            <w:shd w:val="clear" w:color="auto" w:fill="F2F2F2" w:themeFill="background1" w:themeFillShade="F2"/>
            <w:noWrap/>
            <w:vAlign w:val="bottom"/>
          </w:tcPr>
          <w:p w14:paraId="4B9A1920" w14:textId="77777777" w:rsidR="00545FF7" w:rsidRPr="005210C6" w:rsidRDefault="00545FF7" w:rsidP="00545FF7">
            <w:pPr>
              <w:spacing w:after="0" w:line="240" w:lineRule="exact"/>
              <w:rPr>
                <w:rFonts w:ascii="Montserrat" w:hAnsi="Montserrat"/>
                <w:sz w:val="14"/>
                <w:szCs w:val="14"/>
                <w:lang w:val="es-ES_tradnl"/>
              </w:rPr>
            </w:pPr>
          </w:p>
        </w:tc>
        <w:tc>
          <w:tcPr>
            <w:tcW w:w="1560" w:type="dxa"/>
            <w:tcBorders>
              <w:top w:val="nil"/>
              <w:left w:val="nil"/>
              <w:bottom w:val="nil"/>
              <w:right w:val="nil"/>
            </w:tcBorders>
            <w:shd w:val="clear" w:color="auto" w:fill="F2F2F2" w:themeFill="background1" w:themeFillShade="F2"/>
            <w:noWrap/>
            <w:vAlign w:val="bottom"/>
          </w:tcPr>
          <w:p w14:paraId="71C2BA50" w14:textId="007F4216" w:rsidR="00545FF7" w:rsidRPr="005210C6" w:rsidRDefault="00545FF7" w:rsidP="00545FF7">
            <w:pPr>
              <w:spacing w:after="0" w:line="240" w:lineRule="exact"/>
              <w:jc w:val="right"/>
              <w:rPr>
                <w:rFonts w:ascii="Montserrat" w:hAnsi="Montserrat"/>
                <w:sz w:val="14"/>
                <w:szCs w:val="14"/>
                <w:lang w:val="es-ES_tradnl"/>
              </w:rPr>
            </w:pPr>
            <w:r w:rsidRPr="00545FF7">
              <w:rPr>
                <w:rFonts w:ascii="Montserrat" w:hAnsi="Montserrat"/>
                <w:sz w:val="14"/>
                <w:szCs w:val="14"/>
                <w:lang w:val="es-ES_tradnl"/>
              </w:rPr>
              <w:t>149</w:t>
            </w:r>
            <w:r w:rsidR="00070196">
              <w:rPr>
                <w:rFonts w:ascii="Montserrat" w:hAnsi="Montserrat"/>
                <w:sz w:val="14"/>
                <w:szCs w:val="14"/>
                <w:lang w:val="es-ES_tradnl"/>
              </w:rPr>
              <w:t>,</w:t>
            </w:r>
            <w:r w:rsidRPr="00545FF7">
              <w:rPr>
                <w:rFonts w:ascii="Montserrat" w:hAnsi="Montserrat"/>
                <w:sz w:val="14"/>
                <w:szCs w:val="14"/>
                <w:lang w:val="es-ES_tradnl"/>
              </w:rPr>
              <w:t>246</w:t>
            </w:r>
            <w:r w:rsidR="00070196">
              <w:rPr>
                <w:rFonts w:ascii="Montserrat" w:hAnsi="Montserrat"/>
                <w:sz w:val="14"/>
                <w:szCs w:val="14"/>
                <w:lang w:val="es-ES_tradnl"/>
              </w:rPr>
              <w:t>,</w:t>
            </w:r>
            <w:r w:rsidRPr="00545FF7">
              <w:rPr>
                <w:rFonts w:ascii="Montserrat" w:hAnsi="Montserrat"/>
                <w:sz w:val="14"/>
                <w:szCs w:val="14"/>
                <w:lang w:val="es-ES_tradnl"/>
              </w:rPr>
              <w:t>144</w:t>
            </w:r>
            <w:r w:rsidR="00070196">
              <w:rPr>
                <w:rFonts w:ascii="Montserrat" w:hAnsi="Montserrat"/>
                <w:sz w:val="14"/>
                <w:szCs w:val="14"/>
                <w:lang w:val="es-ES_tradnl"/>
              </w:rPr>
              <w:t>,</w:t>
            </w:r>
            <w:r w:rsidRPr="00545FF7">
              <w:rPr>
                <w:rFonts w:ascii="Montserrat" w:hAnsi="Montserrat"/>
                <w:sz w:val="14"/>
                <w:szCs w:val="14"/>
                <w:lang w:val="es-ES_tradnl"/>
              </w:rPr>
              <w:t>444</w:t>
            </w:r>
          </w:p>
        </w:tc>
        <w:tc>
          <w:tcPr>
            <w:tcW w:w="662" w:type="dxa"/>
            <w:tcBorders>
              <w:top w:val="nil"/>
              <w:left w:val="nil"/>
              <w:bottom w:val="nil"/>
              <w:right w:val="nil"/>
            </w:tcBorders>
            <w:shd w:val="clear" w:color="auto" w:fill="F2F2F2" w:themeFill="background1" w:themeFillShade="F2"/>
            <w:noWrap/>
            <w:vAlign w:val="bottom"/>
          </w:tcPr>
          <w:p w14:paraId="56727929" w14:textId="77777777" w:rsidR="00545FF7" w:rsidRPr="005210C6" w:rsidRDefault="00545FF7" w:rsidP="00545FF7">
            <w:pPr>
              <w:spacing w:after="0" w:line="240" w:lineRule="exact"/>
              <w:jc w:val="center"/>
              <w:rPr>
                <w:rFonts w:ascii="Montserrat" w:hAnsi="Montserrat"/>
                <w:sz w:val="14"/>
                <w:szCs w:val="14"/>
                <w:lang w:val="es-ES_tradnl"/>
              </w:rPr>
            </w:pPr>
            <w:r w:rsidRPr="005210C6">
              <w:rPr>
                <w:rFonts w:ascii="Montserrat" w:hAnsi="Montserrat"/>
                <w:sz w:val="14"/>
                <w:szCs w:val="14"/>
                <w:lang w:val="es-ES_tradnl"/>
              </w:rPr>
              <w:t>03</w:t>
            </w:r>
          </w:p>
        </w:tc>
        <w:tc>
          <w:tcPr>
            <w:tcW w:w="709" w:type="dxa"/>
            <w:tcBorders>
              <w:top w:val="nil"/>
              <w:left w:val="nil"/>
              <w:bottom w:val="nil"/>
              <w:right w:val="nil"/>
            </w:tcBorders>
            <w:shd w:val="clear" w:color="auto" w:fill="F2F2F2" w:themeFill="background1" w:themeFillShade="F2"/>
            <w:noWrap/>
            <w:vAlign w:val="bottom"/>
          </w:tcPr>
          <w:p w14:paraId="009EFB88" w14:textId="77777777" w:rsidR="00545FF7" w:rsidRPr="005210C6" w:rsidRDefault="00545FF7" w:rsidP="00545FF7">
            <w:pPr>
              <w:spacing w:after="0" w:line="240" w:lineRule="exact"/>
              <w:jc w:val="center"/>
              <w:rPr>
                <w:rFonts w:ascii="Montserrat" w:hAnsi="Montserrat"/>
                <w:sz w:val="14"/>
                <w:szCs w:val="14"/>
                <w:lang w:val="es-ES_tradnl"/>
              </w:rPr>
            </w:pPr>
            <w:r w:rsidRPr="005210C6">
              <w:rPr>
                <w:rFonts w:ascii="Montserrat" w:hAnsi="Montserrat"/>
                <w:sz w:val="14"/>
                <w:szCs w:val="14"/>
                <w:lang w:val="es-ES_tradnl"/>
              </w:rPr>
              <w:t>00</w:t>
            </w:r>
          </w:p>
        </w:tc>
        <w:tc>
          <w:tcPr>
            <w:tcW w:w="708" w:type="dxa"/>
            <w:tcBorders>
              <w:top w:val="nil"/>
              <w:left w:val="nil"/>
              <w:bottom w:val="nil"/>
              <w:right w:val="nil"/>
            </w:tcBorders>
            <w:shd w:val="clear" w:color="auto" w:fill="F2F2F2" w:themeFill="background1" w:themeFillShade="F2"/>
            <w:noWrap/>
            <w:vAlign w:val="bottom"/>
          </w:tcPr>
          <w:p w14:paraId="6E243784" w14:textId="77777777" w:rsidR="00545FF7" w:rsidRPr="005210C6" w:rsidRDefault="00545FF7" w:rsidP="00545FF7">
            <w:pPr>
              <w:spacing w:after="0" w:line="240" w:lineRule="exact"/>
              <w:jc w:val="center"/>
              <w:rPr>
                <w:rFonts w:ascii="Montserrat" w:hAnsi="Montserrat"/>
                <w:sz w:val="14"/>
                <w:szCs w:val="14"/>
                <w:lang w:val="es-ES_tradnl"/>
              </w:rPr>
            </w:pPr>
            <w:r w:rsidRPr="005210C6">
              <w:rPr>
                <w:rFonts w:ascii="Montserrat" w:hAnsi="Montserrat"/>
                <w:sz w:val="14"/>
                <w:szCs w:val="14"/>
                <w:lang w:val="es-ES_tradnl"/>
              </w:rPr>
              <w:t>00</w:t>
            </w:r>
          </w:p>
        </w:tc>
        <w:tc>
          <w:tcPr>
            <w:tcW w:w="756" w:type="dxa"/>
            <w:tcBorders>
              <w:top w:val="nil"/>
              <w:left w:val="nil"/>
              <w:bottom w:val="nil"/>
              <w:right w:val="nil"/>
            </w:tcBorders>
            <w:shd w:val="clear" w:color="auto" w:fill="F2F2F2" w:themeFill="background1" w:themeFillShade="F2"/>
            <w:noWrap/>
            <w:vAlign w:val="bottom"/>
          </w:tcPr>
          <w:p w14:paraId="7E72BC1C" w14:textId="77777777" w:rsidR="00545FF7" w:rsidRPr="005210C6" w:rsidRDefault="00545FF7" w:rsidP="00545FF7">
            <w:pPr>
              <w:spacing w:after="0" w:line="240" w:lineRule="exact"/>
              <w:jc w:val="center"/>
              <w:rPr>
                <w:rFonts w:ascii="Montserrat" w:hAnsi="Montserrat"/>
                <w:sz w:val="14"/>
                <w:szCs w:val="14"/>
                <w:lang w:val="es-ES_tradnl"/>
              </w:rPr>
            </w:pPr>
            <w:r w:rsidRPr="005210C6">
              <w:rPr>
                <w:rFonts w:ascii="Montserrat" w:hAnsi="Montserrat"/>
                <w:sz w:val="14"/>
                <w:szCs w:val="14"/>
                <w:lang w:val="es-ES_tradnl"/>
              </w:rPr>
              <w:t>00</w:t>
            </w:r>
          </w:p>
        </w:tc>
        <w:tc>
          <w:tcPr>
            <w:tcW w:w="662" w:type="dxa"/>
            <w:tcBorders>
              <w:top w:val="nil"/>
              <w:left w:val="nil"/>
              <w:bottom w:val="nil"/>
              <w:right w:val="nil"/>
            </w:tcBorders>
            <w:shd w:val="clear" w:color="auto" w:fill="F2F2F2" w:themeFill="background1" w:themeFillShade="F2"/>
            <w:noWrap/>
            <w:vAlign w:val="bottom"/>
          </w:tcPr>
          <w:p w14:paraId="12A77EFA" w14:textId="2D16FFC3" w:rsidR="00545FF7" w:rsidRPr="005210C6" w:rsidRDefault="00545FF7" w:rsidP="00545FF7">
            <w:pPr>
              <w:spacing w:after="0" w:line="240" w:lineRule="exact"/>
              <w:jc w:val="center"/>
              <w:rPr>
                <w:rFonts w:ascii="Montserrat" w:hAnsi="Montserrat"/>
                <w:sz w:val="14"/>
                <w:szCs w:val="14"/>
                <w:lang w:val="es-ES_tradnl"/>
              </w:rPr>
            </w:pPr>
            <w:r w:rsidRPr="000F0321">
              <w:rPr>
                <w:rFonts w:ascii="Montserrat" w:hAnsi="Montserrat"/>
                <w:sz w:val="14"/>
                <w:szCs w:val="14"/>
                <w:lang w:val="es-ES_tradnl"/>
              </w:rPr>
              <w:t>7.15%</w:t>
            </w:r>
          </w:p>
        </w:tc>
        <w:tc>
          <w:tcPr>
            <w:tcW w:w="850" w:type="dxa"/>
            <w:tcBorders>
              <w:top w:val="nil"/>
              <w:left w:val="nil"/>
              <w:bottom w:val="nil"/>
              <w:right w:val="nil"/>
            </w:tcBorders>
            <w:shd w:val="clear" w:color="auto" w:fill="F2F2F2" w:themeFill="background1" w:themeFillShade="F2"/>
            <w:noWrap/>
            <w:vAlign w:val="bottom"/>
          </w:tcPr>
          <w:p w14:paraId="3EBEF996" w14:textId="77777777" w:rsidR="00545FF7" w:rsidRPr="005210C6" w:rsidRDefault="00545FF7" w:rsidP="00545FF7">
            <w:pPr>
              <w:spacing w:after="0" w:line="240" w:lineRule="exact"/>
              <w:rPr>
                <w:rFonts w:ascii="Montserrat" w:hAnsi="Montserrat"/>
                <w:sz w:val="14"/>
                <w:szCs w:val="14"/>
                <w:lang w:val="es-ES_tradnl"/>
              </w:rPr>
            </w:pPr>
          </w:p>
        </w:tc>
        <w:tc>
          <w:tcPr>
            <w:tcW w:w="567" w:type="dxa"/>
            <w:tcBorders>
              <w:top w:val="nil"/>
              <w:left w:val="nil"/>
              <w:bottom w:val="nil"/>
              <w:right w:val="nil"/>
            </w:tcBorders>
            <w:shd w:val="clear" w:color="auto" w:fill="F2F2F2" w:themeFill="background1" w:themeFillShade="F2"/>
            <w:noWrap/>
            <w:vAlign w:val="bottom"/>
          </w:tcPr>
          <w:p w14:paraId="3F79D53F" w14:textId="77777777" w:rsidR="00545FF7" w:rsidRPr="005210C6" w:rsidRDefault="00545FF7" w:rsidP="00545FF7">
            <w:pPr>
              <w:spacing w:after="0" w:line="240" w:lineRule="exact"/>
              <w:jc w:val="right"/>
              <w:rPr>
                <w:rFonts w:ascii="Montserrat" w:hAnsi="Montserrat"/>
                <w:sz w:val="14"/>
                <w:szCs w:val="14"/>
                <w:lang w:val="es-ES_tradnl"/>
              </w:rPr>
            </w:pPr>
          </w:p>
        </w:tc>
        <w:tc>
          <w:tcPr>
            <w:tcW w:w="1043" w:type="dxa"/>
            <w:gridSpan w:val="2"/>
            <w:tcBorders>
              <w:top w:val="nil"/>
              <w:left w:val="nil"/>
              <w:bottom w:val="nil"/>
              <w:right w:val="nil"/>
            </w:tcBorders>
            <w:shd w:val="clear" w:color="auto" w:fill="F2F2F2" w:themeFill="background1" w:themeFillShade="F2"/>
            <w:noWrap/>
            <w:vAlign w:val="bottom"/>
          </w:tcPr>
          <w:p w14:paraId="3FF69EFD" w14:textId="77777777" w:rsidR="00545FF7" w:rsidRPr="005210C6" w:rsidRDefault="00545FF7" w:rsidP="00545FF7">
            <w:pPr>
              <w:spacing w:after="0" w:line="240" w:lineRule="exact"/>
              <w:jc w:val="right"/>
              <w:rPr>
                <w:rFonts w:ascii="Montserrat" w:hAnsi="Montserrat"/>
                <w:sz w:val="14"/>
                <w:szCs w:val="14"/>
                <w:lang w:val="es-ES_tradnl"/>
              </w:rPr>
            </w:pPr>
          </w:p>
        </w:tc>
        <w:tc>
          <w:tcPr>
            <w:tcW w:w="160" w:type="dxa"/>
            <w:gridSpan w:val="2"/>
            <w:tcBorders>
              <w:top w:val="nil"/>
              <w:left w:val="nil"/>
              <w:bottom w:val="nil"/>
              <w:right w:val="nil"/>
            </w:tcBorders>
            <w:shd w:val="clear" w:color="auto" w:fill="F2F2F2" w:themeFill="background1" w:themeFillShade="F2"/>
            <w:noWrap/>
            <w:vAlign w:val="bottom"/>
          </w:tcPr>
          <w:p w14:paraId="733E263A" w14:textId="77777777" w:rsidR="00545FF7" w:rsidRPr="005210C6" w:rsidRDefault="00545FF7" w:rsidP="00545FF7">
            <w:pPr>
              <w:spacing w:after="0" w:line="240" w:lineRule="exact"/>
              <w:jc w:val="right"/>
              <w:rPr>
                <w:rFonts w:ascii="Montserrat" w:hAnsi="Montserrat"/>
                <w:sz w:val="14"/>
                <w:szCs w:val="14"/>
                <w:lang w:val="es-ES_tradnl"/>
              </w:rPr>
            </w:pPr>
          </w:p>
        </w:tc>
        <w:tc>
          <w:tcPr>
            <w:tcW w:w="498" w:type="dxa"/>
            <w:tcBorders>
              <w:top w:val="nil"/>
              <w:left w:val="nil"/>
              <w:bottom w:val="nil"/>
              <w:right w:val="nil"/>
            </w:tcBorders>
            <w:shd w:val="clear" w:color="auto" w:fill="F2F2F2" w:themeFill="background1" w:themeFillShade="F2"/>
            <w:noWrap/>
            <w:vAlign w:val="bottom"/>
          </w:tcPr>
          <w:p w14:paraId="324D6280" w14:textId="77777777" w:rsidR="00545FF7" w:rsidRPr="005210C6" w:rsidRDefault="00545FF7" w:rsidP="00545FF7">
            <w:pPr>
              <w:spacing w:after="0" w:line="240" w:lineRule="exact"/>
              <w:jc w:val="right"/>
              <w:rPr>
                <w:rFonts w:ascii="Montserrat" w:hAnsi="Montserrat"/>
                <w:sz w:val="14"/>
                <w:szCs w:val="14"/>
                <w:lang w:val="es-ES_tradnl"/>
              </w:rPr>
            </w:pPr>
          </w:p>
        </w:tc>
        <w:tc>
          <w:tcPr>
            <w:tcW w:w="567" w:type="dxa"/>
            <w:tcBorders>
              <w:top w:val="nil"/>
              <w:left w:val="nil"/>
              <w:bottom w:val="nil"/>
              <w:right w:val="nil"/>
            </w:tcBorders>
            <w:shd w:val="clear" w:color="auto" w:fill="F2F2F2" w:themeFill="background1" w:themeFillShade="F2"/>
            <w:noWrap/>
            <w:vAlign w:val="bottom"/>
          </w:tcPr>
          <w:p w14:paraId="5DC8A3D6" w14:textId="77777777" w:rsidR="00545FF7" w:rsidRPr="005210C6" w:rsidRDefault="00545FF7" w:rsidP="00545FF7">
            <w:pPr>
              <w:spacing w:after="0" w:line="240" w:lineRule="exact"/>
              <w:jc w:val="right"/>
              <w:rPr>
                <w:rFonts w:ascii="Montserrat" w:hAnsi="Montserrat"/>
                <w:sz w:val="14"/>
                <w:szCs w:val="14"/>
                <w:lang w:val="es-ES_tradnl"/>
              </w:rPr>
            </w:pPr>
          </w:p>
        </w:tc>
        <w:tc>
          <w:tcPr>
            <w:tcW w:w="709" w:type="dxa"/>
            <w:tcBorders>
              <w:top w:val="nil"/>
              <w:left w:val="nil"/>
              <w:bottom w:val="nil"/>
            </w:tcBorders>
            <w:shd w:val="clear" w:color="auto" w:fill="F2F2F2" w:themeFill="background1" w:themeFillShade="F2"/>
            <w:noWrap/>
            <w:vAlign w:val="bottom"/>
          </w:tcPr>
          <w:p w14:paraId="754232B0" w14:textId="77777777" w:rsidR="00545FF7" w:rsidRPr="005210C6" w:rsidRDefault="00545FF7" w:rsidP="00545FF7">
            <w:pPr>
              <w:spacing w:after="0" w:line="240" w:lineRule="exact"/>
              <w:jc w:val="right"/>
              <w:rPr>
                <w:rFonts w:ascii="Montserrat" w:hAnsi="Montserrat"/>
                <w:sz w:val="14"/>
                <w:szCs w:val="14"/>
                <w:lang w:val="es-ES_tradnl"/>
              </w:rPr>
            </w:pPr>
          </w:p>
        </w:tc>
      </w:tr>
      <w:tr w:rsidR="00545FF7" w:rsidRPr="005210C6" w14:paraId="75CEB2FB" w14:textId="77777777" w:rsidTr="0023764E">
        <w:trPr>
          <w:trHeight w:val="240"/>
        </w:trPr>
        <w:tc>
          <w:tcPr>
            <w:tcW w:w="923" w:type="dxa"/>
            <w:tcBorders>
              <w:top w:val="nil"/>
              <w:bottom w:val="nil"/>
              <w:right w:val="nil"/>
            </w:tcBorders>
            <w:shd w:val="clear" w:color="auto" w:fill="F2F2F2" w:themeFill="background1" w:themeFillShade="F2"/>
            <w:noWrap/>
            <w:vAlign w:val="bottom"/>
            <w:hideMark/>
          </w:tcPr>
          <w:p w14:paraId="0D97A36F" w14:textId="77777777" w:rsidR="00545FF7" w:rsidRPr="005210C6" w:rsidRDefault="00545FF7" w:rsidP="00545FF7">
            <w:pPr>
              <w:spacing w:after="0" w:line="240" w:lineRule="exact"/>
              <w:rPr>
                <w:rFonts w:ascii="Montserrat" w:hAnsi="Montserrat"/>
                <w:sz w:val="14"/>
                <w:szCs w:val="14"/>
                <w:lang w:val="es-ES_tradnl"/>
              </w:rPr>
            </w:pPr>
          </w:p>
        </w:tc>
        <w:tc>
          <w:tcPr>
            <w:tcW w:w="567" w:type="dxa"/>
            <w:tcBorders>
              <w:top w:val="nil"/>
              <w:left w:val="nil"/>
              <w:bottom w:val="nil"/>
              <w:right w:val="nil"/>
            </w:tcBorders>
            <w:shd w:val="clear" w:color="auto" w:fill="F2F2F2" w:themeFill="background1" w:themeFillShade="F2"/>
            <w:noWrap/>
            <w:vAlign w:val="bottom"/>
          </w:tcPr>
          <w:p w14:paraId="0D658BFB" w14:textId="77777777" w:rsidR="00545FF7" w:rsidRPr="005210C6" w:rsidRDefault="00545FF7" w:rsidP="00545FF7">
            <w:pPr>
              <w:spacing w:after="0" w:line="240" w:lineRule="exact"/>
              <w:rPr>
                <w:rFonts w:ascii="Montserrat" w:hAnsi="Montserrat"/>
                <w:sz w:val="14"/>
                <w:szCs w:val="14"/>
                <w:lang w:val="es-ES_tradnl"/>
              </w:rPr>
            </w:pPr>
          </w:p>
        </w:tc>
        <w:tc>
          <w:tcPr>
            <w:tcW w:w="425" w:type="dxa"/>
            <w:tcBorders>
              <w:top w:val="nil"/>
              <w:left w:val="nil"/>
              <w:bottom w:val="nil"/>
              <w:right w:val="nil"/>
            </w:tcBorders>
            <w:shd w:val="clear" w:color="auto" w:fill="F2F2F2" w:themeFill="background1" w:themeFillShade="F2"/>
            <w:noWrap/>
            <w:vAlign w:val="bottom"/>
          </w:tcPr>
          <w:p w14:paraId="0BB7C792" w14:textId="77777777" w:rsidR="00545FF7" w:rsidRPr="005210C6" w:rsidRDefault="00545FF7" w:rsidP="00545FF7">
            <w:pPr>
              <w:spacing w:after="0" w:line="240" w:lineRule="exact"/>
              <w:rPr>
                <w:rFonts w:ascii="Montserrat" w:hAnsi="Montserrat"/>
                <w:sz w:val="14"/>
                <w:szCs w:val="14"/>
                <w:lang w:val="es-ES_tradnl"/>
              </w:rPr>
            </w:pPr>
          </w:p>
        </w:tc>
        <w:tc>
          <w:tcPr>
            <w:tcW w:w="709" w:type="dxa"/>
            <w:tcBorders>
              <w:top w:val="nil"/>
              <w:left w:val="nil"/>
              <w:bottom w:val="nil"/>
              <w:right w:val="nil"/>
            </w:tcBorders>
            <w:shd w:val="clear" w:color="auto" w:fill="F2F2F2" w:themeFill="background1" w:themeFillShade="F2"/>
            <w:noWrap/>
            <w:vAlign w:val="bottom"/>
          </w:tcPr>
          <w:p w14:paraId="246FE609" w14:textId="77777777" w:rsidR="00545FF7" w:rsidRPr="005210C6" w:rsidRDefault="00545FF7" w:rsidP="00545FF7">
            <w:pPr>
              <w:spacing w:after="0" w:line="240" w:lineRule="exact"/>
              <w:rPr>
                <w:rFonts w:ascii="Montserrat" w:hAnsi="Montserrat"/>
                <w:sz w:val="14"/>
                <w:szCs w:val="14"/>
                <w:lang w:val="es-ES_tradnl"/>
              </w:rPr>
            </w:pPr>
          </w:p>
        </w:tc>
        <w:tc>
          <w:tcPr>
            <w:tcW w:w="1345" w:type="dxa"/>
            <w:tcBorders>
              <w:top w:val="nil"/>
              <w:left w:val="nil"/>
              <w:bottom w:val="nil"/>
              <w:right w:val="nil"/>
            </w:tcBorders>
            <w:shd w:val="clear" w:color="auto" w:fill="F2F2F2" w:themeFill="background1" w:themeFillShade="F2"/>
            <w:noWrap/>
            <w:vAlign w:val="bottom"/>
          </w:tcPr>
          <w:p w14:paraId="73D8B15F" w14:textId="77777777" w:rsidR="00545FF7" w:rsidRPr="005210C6" w:rsidRDefault="00545FF7" w:rsidP="00545FF7">
            <w:pPr>
              <w:spacing w:after="0" w:line="240" w:lineRule="exact"/>
              <w:rPr>
                <w:rFonts w:ascii="Montserrat" w:hAnsi="Montserrat"/>
                <w:sz w:val="14"/>
                <w:szCs w:val="14"/>
                <w:lang w:val="es-ES_tradnl"/>
              </w:rPr>
            </w:pPr>
          </w:p>
        </w:tc>
        <w:tc>
          <w:tcPr>
            <w:tcW w:w="1560" w:type="dxa"/>
            <w:tcBorders>
              <w:top w:val="nil"/>
              <w:left w:val="nil"/>
              <w:bottom w:val="nil"/>
              <w:right w:val="nil"/>
            </w:tcBorders>
            <w:shd w:val="clear" w:color="auto" w:fill="F2F2F2" w:themeFill="background1" w:themeFillShade="F2"/>
            <w:noWrap/>
            <w:vAlign w:val="bottom"/>
          </w:tcPr>
          <w:p w14:paraId="5B197C00" w14:textId="665EB767" w:rsidR="00545FF7" w:rsidRPr="005210C6" w:rsidRDefault="00545FF7" w:rsidP="00545FF7">
            <w:pPr>
              <w:spacing w:after="0" w:line="240" w:lineRule="exact"/>
              <w:jc w:val="right"/>
              <w:rPr>
                <w:rFonts w:ascii="Montserrat" w:hAnsi="Montserrat"/>
                <w:sz w:val="14"/>
                <w:szCs w:val="14"/>
                <w:lang w:val="es-ES_tradnl"/>
              </w:rPr>
            </w:pPr>
            <w:r w:rsidRPr="00545FF7">
              <w:rPr>
                <w:rFonts w:ascii="Montserrat" w:hAnsi="Montserrat"/>
                <w:sz w:val="14"/>
                <w:szCs w:val="14"/>
                <w:lang w:val="es-ES_tradnl"/>
              </w:rPr>
              <w:t>181</w:t>
            </w:r>
            <w:r w:rsidR="00070196">
              <w:rPr>
                <w:rFonts w:ascii="Montserrat" w:hAnsi="Montserrat"/>
                <w:sz w:val="14"/>
                <w:szCs w:val="14"/>
                <w:lang w:val="es-ES_tradnl"/>
              </w:rPr>
              <w:t>,</w:t>
            </w:r>
            <w:r w:rsidRPr="00545FF7">
              <w:rPr>
                <w:rFonts w:ascii="Montserrat" w:hAnsi="Montserrat"/>
                <w:sz w:val="14"/>
                <w:szCs w:val="14"/>
                <w:lang w:val="es-ES_tradnl"/>
              </w:rPr>
              <w:t>492</w:t>
            </w:r>
            <w:r w:rsidR="00070196">
              <w:rPr>
                <w:rFonts w:ascii="Montserrat" w:hAnsi="Montserrat"/>
                <w:sz w:val="14"/>
                <w:szCs w:val="14"/>
                <w:lang w:val="es-ES_tradnl"/>
              </w:rPr>
              <w:t>,</w:t>
            </w:r>
            <w:r w:rsidRPr="00545FF7">
              <w:rPr>
                <w:rFonts w:ascii="Montserrat" w:hAnsi="Montserrat"/>
                <w:sz w:val="14"/>
                <w:szCs w:val="14"/>
                <w:lang w:val="es-ES_tradnl"/>
              </w:rPr>
              <w:t>642</w:t>
            </w:r>
            <w:r w:rsidR="00070196">
              <w:rPr>
                <w:rFonts w:ascii="Montserrat" w:hAnsi="Montserrat"/>
                <w:sz w:val="14"/>
                <w:szCs w:val="14"/>
                <w:lang w:val="es-ES_tradnl"/>
              </w:rPr>
              <w:t>,</w:t>
            </w:r>
            <w:r w:rsidRPr="00545FF7">
              <w:rPr>
                <w:rFonts w:ascii="Montserrat" w:hAnsi="Montserrat"/>
                <w:sz w:val="14"/>
                <w:szCs w:val="14"/>
                <w:lang w:val="es-ES_tradnl"/>
              </w:rPr>
              <w:t>000</w:t>
            </w:r>
          </w:p>
        </w:tc>
        <w:tc>
          <w:tcPr>
            <w:tcW w:w="662" w:type="dxa"/>
            <w:tcBorders>
              <w:top w:val="nil"/>
              <w:left w:val="nil"/>
              <w:bottom w:val="nil"/>
              <w:right w:val="nil"/>
            </w:tcBorders>
            <w:shd w:val="clear" w:color="auto" w:fill="F2F2F2" w:themeFill="background1" w:themeFillShade="F2"/>
            <w:noWrap/>
            <w:vAlign w:val="bottom"/>
          </w:tcPr>
          <w:p w14:paraId="7BB6FAD1" w14:textId="77777777" w:rsidR="00545FF7" w:rsidRPr="005210C6" w:rsidRDefault="00545FF7" w:rsidP="00545FF7">
            <w:pPr>
              <w:spacing w:after="0" w:line="240" w:lineRule="exact"/>
              <w:jc w:val="center"/>
              <w:rPr>
                <w:rFonts w:ascii="Montserrat" w:hAnsi="Montserrat"/>
                <w:sz w:val="14"/>
                <w:szCs w:val="14"/>
                <w:lang w:val="es-ES_tradnl"/>
              </w:rPr>
            </w:pPr>
            <w:r w:rsidRPr="005210C6">
              <w:rPr>
                <w:rFonts w:ascii="Montserrat" w:hAnsi="Montserrat"/>
                <w:sz w:val="14"/>
                <w:szCs w:val="14"/>
                <w:lang w:val="es-ES_tradnl"/>
              </w:rPr>
              <w:t>05</w:t>
            </w:r>
          </w:p>
        </w:tc>
        <w:tc>
          <w:tcPr>
            <w:tcW w:w="709" w:type="dxa"/>
            <w:tcBorders>
              <w:top w:val="nil"/>
              <w:left w:val="nil"/>
              <w:bottom w:val="nil"/>
              <w:right w:val="nil"/>
            </w:tcBorders>
            <w:shd w:val="clear" w:color="auto" w:fill="F2F2F2" w:themeFill="background1" w:themeFillShade="F2"/>
            <w:noWrap/>
            <w:vAlign w:val="bottom"/>
          </w:tcPr>
          <w:p w14:paraId="35C11691" w14:textId="77777777" w:rsidR="00545FF7" w:rsidRPr="005210C6" w:rsidRDefault="00545FF7" w:rsidP="00545FF7">
            <w:pPr>
              <w:spacing w:after="0" w:line="240" w:lineRule="exact"/>
              <w:jc w:val="center"/>
              <w:rPr>
                <w:rFonts w:ascii="Montserrat" w:hAnsi="Montserrat"/>
                <w:sz w:val="14"/>
                <w:szCs w:val="14"/>
                <w:lang w:val="es-ES_tradnl"/>
              </w:rPr>
            </w:pPr>
            <w:r w:rsidRPr="005210C6">
              <w:rPr>
                <w:rFonts w:ascii="Montserrat" w:hAnsi="Montserrat"/>
                <w:sz w:val="14"/>
                <w:szCs w:val="14"/>
                <w:lang w:val="es-ES_tradnl"/>
              </w:rPr>
              <w:t>00</w:t>
            </w:r>
          </w:p>
        </w:tc>
        <w:tc>
          <w:tcPr>
            <w:tcW w:w="708" w:type="dxa"/>
            <w:tcBorders>
              <w:top w:val="nil"/>
              <w:left w:val="nil"/>
              <w:bottom w:val="nil"/>
              <w:right w:val="nil"/>
            </w:tcBorders>
            <w:shd w:val="clear" w:color="auto" w:fill="F2F2F2" w:themeFill="background1" w:themeFillShade="F2"/>
            <w:noWrap/>
            <w:vAlign w:val="bottom"/>
          </w:tcPr>
          <w:p w14:paraId="4B8B8F38" w14:textId="77777777" w:rsidR="00545FF7" w:rsidRPr="005210C6" w:rsidRDefault="00545FF7" w:rsidP="00545FF7">
            <w:pPr>
              <w:spacing w:after="0" w:line="240" w:lineRule="exact"/>
              <w:jc w:val="center"/>
              <w:rPr>
                <w:rFonts w:ascii="Montserrat" w:hAnsi="Montserrat"/>
                <w:sz w:val="14"/>
                <w:szCs w:val="14"/>
                <w:lang w:val="es-ES_tradnl"/>
              </w:rPr>
            </w:pPr>
            <w:r w:rsidRPr="005210C6">
              <w:rPr>
                <w:rFonts w:ascii="Montserrat" w:hAnsi="Montserrat"/>
                <w:sz w:val="14"/>
                <w:szCs w:val="14"/>
                <w:lang w:val="es-ES_tradnl"/>
              </w:rPr>
              <w:t>00</w:t>
            </w:r>
          </w:p>
        </w:tc>
        <w:tc>
          <w:tcPr>
            <w:tcW w:w="756" w:type="dxa"/>
            <w:tcBorders>
              <w:top w:val="nil"/>
              <w:left w:val="nil"/>
              <w:bottom w:val="nil"/>
              <w:right w:val="nil"/>
            </w:tcBorders>
            <w:shd w:val="clear" w:color="auto" w:fill="F2F2F2" w:themeFill="background1" w:themeFillShade="F2"/>
            <w:noWrap/>
            <w:vAlign w:val="bottom"/>
          </w:tcPr>
          <w:p w14:paraId="44022951" w14:textId="77777777" w:rsidR="00545FF7" w:rsidRPr="005210C6" w:rsidRDefault="00545FF7" w:rsidP="00545FF7">
            <w:pPr>
              <w:spacing w:after="0" w:line="240" w:lineRule="exact"/>
              <w:jc w:val="center"/>
              <w:rPr>
                <w:rFonts w:ascii="Montserrat" w:hAnsi="Montserrat"/>
                <w:sz w:val="14"/>
                <w:szCs w:val="14"/>
                <w:lang w:val="es-ES_tradnl"/>
              </w:rPr>
            </w:pPr>
            <w:r w:rsidRPr="005210C6">
              <w:rPr>
                <w:rFonts w:ascii="Montserrat" w:hAnsi="Montserrat"/>
                <w:sz w:val="14"/>
                <w:szCs w:val="14"/>
                <w:lang w:val="es-ES_tradnl"/>
              </w:rPr>
              <w:t>00</w:t>
            </w:r>
          </w:p>
        </w:tc>
        <w:tc>
          <w:tcPr>
            <w:tcW w:w="662" w:type="dxa"/>
            <w:tcBorders>
              <w:top w:val="nil"/>
              <w:left w:val="nil"/>
              <w:bottom w:val="nil"/>
              <w:right w:val="nil"/>
            </w:tcBorders>
            <w:shd w:val="clear" w:color="auto" w:fill="F2F2F2" w:themeFill="background1" w:themeFillShade="F2"/>
            <w:noWrap/>
            <w:vAlign w:val="bottom"/>
          </w:tcPr>
          <w:p w14:paraId="21F7D754" w14:textId="5AAECE69" w:rsidR="00545FF7" w:rsidRPr="005210C6" w:rsidRDefault="00545FF7" w:rsidP="00545FF7">
            <w:pPr>
              <w:spacing w:after="0" w:line="240" w:lineRule="exact"/>
              <w:jc w:val="center"/>
              <w:rPr>
                <w:rFonts w:ascii="Montserrat" w:hAnsi="Montserrat"/>
                <w:sz w:val="14"/>
                <w:szCs w:val="14"/>
                <w:lang w:val="es-ES_tradnl"/>
              </w:rPr>
            </w:pPr>
            <w:r w:rsidRPr="000F0321">
              <w:rPr>
                <w:rFonts w:ascii="Montserrat" w:hAnsi="Montserrat"/>
                <w:sz w:val="14"/>
                <w:szCs w:val="14"/>
                <w:lang w:val="es-ES_tradnl"/>
              </w:rPr>
              <w:t>7.97%</w:t>
            </w:r>
          </w:p>
        </w:tc>
        <w:tc>
          <w:tcPr>
            <w:tcW w:w="850" w:type="dxa"/>
            <w:tcBorders>
              <w:top w:val="nil"/>
              <w:left w:val="nil"/>
              <w:bottom w:val="nil"/>
              <w:right w:val="nil"/>
            </w:tcBorders>
            <w:shd w:val="clear" w:color="auto" w:fill="F2F2F2" w:themeFill="background1" w:themeFillShade="F2"/>
            <w:noWrap/>
            <w:vAlign w:val="bottom"/>
          </w:tcPr>
          <w:p w14:paraId="3C0C6F42" w14:textId="77777777" w:rsidR="00545FF7" w:rsidRPr="005210C6" w:rsidRDefault="00545FF7" w:rsidP="00545FF7">
            <w:pPr>
              <w:spacing w:after="0" w:line="240" w:lineRule="exact"/>
              <w:rPr>
                <w:rFonts w:ascii="Montserrat" w:hAnsi="Montserrat"/>
                <w:sz w:val="14"/>
                <w:szCs w:val="14"/>
                <w:lang w:val="es-ES_tradnl"/>
              </w:rPr>
            </w:pPr>
          </w:p>
        </w:tc>
        <w:tc>
          <w:tcPr>
            <w:tcW w:w="567" w:type="dxa"/>
            <w:tcBorders>
              <w:top w:val="nil"/>
              <w:left w:val="nil"/>
              <w:bottom w:val="nil"/>
              <w:right w:val="nil"/>
            </w:tcBorders>
            <w:shd w:val="clear" w:color="auto" w:fill="F2F2F2" w:themeFill="background1" w:themeFillShade="F2"/>
            <w:noWrap/>
            <w:vAlign w:val="bottom"/>
          </w:tcPr>
          <w:p w14:paraId="4415043A" w14:textId="77777777" w:rsidR="00545FF7" w:rsidRPr="005210C6" w:rsidRDefault="00545FF7" w:rsidP="00545FF7">
            <w:pPr>
              <w:spacing w:after="0" w:line="240" w:lineRule="exact"/>
              <w:jc w:val="right"/>
              <w:rPr>
                <w:rFonts w:ascii="Montserrat" w:hAnsi="Montserrat"/>
                <w:sz w:val="14"/>
                <w:szCs w:val="14"/>
                <w:lang w:val="es-ES_tradnl"/>
              </w:rPr>
            </w:pPr>
          </w:p>
        </w:tc>
        <w:tc>
          <w:tcPr>
            <w:tcW w:w="1043" w:type="dxa"/>
            <w:gridSpan w:val="2"/>
            <w:tcBorders>
              <w:top w:val="nil"/>
              <w:left w:val="nil"/>
              <w:bottom w:val="nil"/>
              <w:right w:val="nil"/>
            </w:tcBorders>
            <w:shd w:val="clear" w:color="auto" w:fill="F2F2F2" w:themeFill="background1" w:themeFillShade="F2"/>
            <w:noWrap/>
            <w:vAlign w:val="bottom"/>
          </w:tcPr>
          <w:p w14:paraId="75500952" w14:textId="77777777" w:rsidR="00545FF7" w:rsidRPr="005210C6" w:rsidRDefault="00545FF7" w:rsidP="00545FF7">
            <w:pPr>
              <w:spacing w:after="0" w:line="240" w:lineRule="exact"/>
              <w:jc w:val="right"/>
              <w:rPr>
                <w:rFonts w:ascii="Montserrat" w:hAnsi="Montserrat"/>
                <w:sz w:val="14"/>
                <w:szCs w:val="14"/>
                <w:lang w:val="es-ES_tradnl"/>
              </w:rPr>
            </w:pPr>
          </w:p>
        </w:tc>
        <w:tc>
          <w:tcPr>
            <w:tcW w:w="160" w:type="dxa"/>
            <w:gridSpan w:val="2"/>
            <w:tcBorders>
              <w:top w:val="nil"/>
              <w:left w:val="nil"/>
              <w:bottom w:val="nil"/>
              <w:right w:val="nil"/>
            </w:tcBorders>
            <w:shd w:val="clear" w:color="auto" w:fill="F2F2F2" w:themeFill="background1" w:themeFillShade="F2"/>
            <w:noWrap/>
            <w:vAlign w:val="bottom"/>
          </w:tcPr>
          <w:p w14:paraId="1A829058" w14:textId="77777777" w:rsidR="00545FF7" w:rsidRPr="005210C6" w:rsidRDefault="00545FF7" w:rsidP="00545FF7">
            <w:pPr>
              <w:spacing w:after="0" w:line="240" w:lineRule="exact"/>
              <w:jc w:val="right"/>
              <w:rPr>
                <w:rFonts w:ascii="Montserrat" w:hAnsi="Montserrat"/>
                <w:sz w:val="14"/>
                <w:szCs w:val="14"/>
                <w:lang w:val="es-ES_tradnl"/>
              </w:rPr>
            </w:pPr>
          </w:p>
        </w:tc>
        <w:tc>
          <w:tcPr>
            <w:tcW w:w="498" w:type="dxa"/>
            <w:tcBorders>
              <w:top w:val="nil"/>
              <w:left w:val="nil"/>
              <w:bottom w:val="nil"/>
              <w:right w:val="nil"/>
            </w:tcBorders>
            <w:shd w:val="clear" w:color="auto" w:fill="F2F2F2" w:themeFill="background1" w:themeFillShade="F2"/>
            <w:noWrap/>
            <w:vAlign w:val="bottom"/>
          </w:tcPr>
          <w:p w14:paraId="1DE835B2" w14:textId="77777777" w:rsidR="00545FF7" w:rsidRPr="005210C6" w:rsidRDefault="00545FF7" w:rsidP="00545FF7">
            <w:pPr>
              <w:spacing w:after="0" w:line="240" w:lineRule="exact"/>
              <w:jc w:val="right"/>
              <w:rPr>
                <w:rFonts w:ascii="Montserrat" w:hAnsi="Montserrat"/>
                <w:sz w:val="14"/>
                <w:szCs w:val="14"/>
                <w:lang w:val="es-ES_tradnl"/>
              </w:rPr>
            </w:pPr>
          </w:p>
        </w:tc>
        <w:tc>
          <w:tcPr>
            <w:tcW w:w="567" w:type="dxa"/>
            <w:tcBorders>
              <w:top w:val="nil"/>
              <w:left w:val="nil"/>
              <w:bottom w:val="nil"/>
              <w:right w:val="nil"/>
            </w:tcBorders>
            <w:shd w:val="clear" w:color="auto" w:fill="F2F2F2" w:themeFill="background1" w:themeFillShade="F2"/>
            <w:noWrap/>
            <w:vAlign w:val="bottom"/>
          </w:tcPr>
          <w:p w14:paraId="7060AA34" w14:textId="77777777" w:rsidR="00545FF7" w:rsidRPr="005210C6" w:rsidRDefault="00545FF7" w:rsidP="00545FF7">
            <w:pPr>
              <w:spacing w:after="0" w:line="240" w:lineRule="exact"/>
              <w:jc w:val="right"/>
              <w:rPr>
                <w:rFonts w:ascii="Montserrat" w:hAnsi="Montserrat"/>
                <w:sz w:val="14"/>
                <w:szCs w:val="14"/>
                <w:lang w:val="es-ES_tradnl"/>
              </w:rPr>
            </w:pPr>
          </w:p>
        </w:tc>
        <w:tc>
          <w:tcPr>
            <w:tcW w:w="709" w:type="dxa"/>
            <w:tcBorders>
              <w:top w:val="nil"/>
              <w:left w:val="nil"/>
              <w:bottom w:val="nil"/>
            </w:tcBorders>
            <w:shd w:val="clear" w:color="auto" w:fill="F2F2F2" w:themeFill="background1" w:themeFillShade="F2"/>
            <w:noWrap/>
            <w:vAlign w:val="bottom"/>
          </w:tcPr>
          <w:p w14:paraId="476E841A" w14:textId="77777777" w:rsidR="00545FF7" w:rsidRPr="005210C6" w:rsidRDefault="00545FF7" w:rsidP="00545FF7">
            <w:pPr>
              <w:spacing w:after="0" w:line="240" w:lineRule="exact"/>
              <w:jc w:val="right"/>
              <w:rPr>
                <w:rFonts w:ascii="Montserrat" w:hAnsi="Montserrat"/>
                <w:sz w:val="14"/>
                <w:szCs w:val="14"/>
                <w:lang w:val="es-ES_tradnl"/>
              </w:rPr>
            </w:pPr>
          </w:p>
        </w:tc>
      </w:tr>
      <w:tr w:rsidR="00545FF7" w:rsidRPr="005210C6" w14:paraId="79DB702D" w14:textId="77777777" w:rsidTr="0023764E">
        <w:trPr>
          <w:trHeight w:val="240"/>
        </w:trPr>
        <w:tc>
          <w:tcPr>
            <w:tcW w:w="923" w:type="dxa"/>
            <w:tcBorders>
              <w:top w:val="nil"/>
              <w:bottom w:val="nil"/>
              <w:right w:val="nil"/>
            </w:tcBorders>
            <w:shd w:val="clear" w:color="auto" w:fill="F2F2F2" w:themeFill="background1" w:themeFillShade="F2"/>
            <w:noWrap/>
            <w:vAlign w:val="bottom"/>
            <w:hideMark/>
          </w:tcPr>
          <w:p w14:paraId="15B549B6" w14:textId="77777777" w:rsidR="00545FF7" w:rsidRPr="005210C6" w:rsidRDefault="00545FF7" w:rsidP="00545FF7">
            <w:pPr>
              <w:spacing w:after="0" w:line="240" w:lineRule="exact"/>
              <w:rPr>
                <w:rFonts w:ascii="Montserrat" w:hAnsi="Montserrat"/>
                <w:sz w:val="14"/>
                <w:szCs w:val="14"/>
                <w:lang w:val="es-ES_tradnl"/>
              </w:rPr>
            </w:pPr>
          </w:p>
        </w:tc>
        <w:tc>
          <w:tcPr>
            <w:tcW w:w="567" w:type="dxa"/>
            <w:tcBorders>
              <w:top w:val="nil"/>
              <w:left w:val="nil"/>
              <w:bottom w:val="nil"/>
              <w:right w:val="nil"/>
            </w:tcBorders>
            <w:shd w:val="clear" w:color="auto" w:fill="F2F2F2" w:themeFill="background1" w:themeFillShade="F2"/>
            <w:noWrap/>
            <w:vAlign w:val="bottom"/>
          </w:tcPr>
          <w:p w14:paraId="66D98EC7" w14:textId="77777777" w:rsidR="00545FF7" w:rsidRPr="005210C6" w:rsidRDefault="00545FF7" w:rsidP="00545FF7">
            <w:pPr>
              <w:spacing w:after="0" w:line="240" w:lineRule="exact"/>
              <w:rPr>
                <w:rFonts w:ascii="Montserrat" w:hAnsi="Montserrat"/>
                <w:sz w:val="14"/>
                <w:szCs w:val="14"/>
                <w:lang w:val="es-ES_tradnl"/>
              </w:rPr>
            </w:pPr>
          </w:p>
        </w:tc>
        <w:tc>
          <w:tcPr>
            <w:tcW w:w="425" w:type="dxa"/>
            <w:tcBorders>
              <w:top w:val="nil"/>
              <w:left w:val="nil"/>
              <w:bottom w:val="nil"/>
              <w:right w:val="nil"/>
            </w:tcBorders>
            <w:shd w:val="clear" w:color="auto" w:fill="F2F2F2" w:themeFill="background1" w:themeFillShade="F2"/>
            <w:noWrap/>
            <w:vAlign w:val="bottom"/>
          </w:tcPr>
          <w:p w14:paraId="434742F5" w14:textId="77777777" w:rsidR="00545FF7" w:rsidRPr="005210C6" w:rsidRDefault="00545FF7" w:rsidP="00545FF7">
            <w:pPr>
              <w:spacing w:after="0" w:line="240" w:lineRule="exact"/>
              <w:rPr>
                <w:rFonts w:ascii="Montserrat" w:hAnsi="Montserrat"/>
                <w:sz w:val="14"/>
                <w:szCs w:val="14"/>
                <w:lang w:val="es-ES_tradnl"/>
              </w:rPr>
            </w:pPr>
          </w:p>
        </w:tc>
        <w:tc>
          <w:tcPr>
            <w:tcW w:w="709" w:type="dxa"/>
            <w:tcBorders>
              <w:top w:val="nil"/>
              <w:left w:val="nil"/>
              <w:bottom w:val="nil"/>
              <w:right w:val="nil"/>
            </w:tcBorders>
            <w:shd w:val="clear" w:color="auto" w:fill="F2F2F2" w:themeFill="background1" w:themeFillShade="F2"/>
            <w:noWrap/>
            <w:vAlign w:val="bottom"/>
          </w:tcPr>
          <w:p w14:paraId="1FE0829A" w14:textId="77777777" w:rsidR="00545FF7" w:rsidRPr="005210C6" w:rsidRDefault="00545FF7" w:rsidP="00545FF7">
            <w:pPr>
              <w:spacing w:after="0" w:line="240" w:lineRule="exact"/>
              <w:rPr>
                <w:rFonts w:ascii="Montserrat" w:hAnsi="Montserrat"/>
                <w:sz w:val="14"/>
                <w:szCs w:val="14"/>
                <w:lang w:val="es-ES_tradnl"/>
              </w:rPr>
            </w:pPr>
          </w:p>
        </w:tc>
        <w:tc>
          <w:tcPr>
            <w:tcW w:w="1345" w:type="dxa"/>
            <w:tcBorders>
              <w:top w:val="nil"/>
              <w:left w:val="nil"/>
              <w:bottom w:val="nil"/>
              <w:right w:val="nil"/>
            </w:tcBorders>
            <w:shd w:val="clear" w:color="auto" w:fill="F2F2F2" w:themeFill="background1" w:themeFillShade="F2"/>
            <w:noWrap/>
            <w:vAlign w:val="bottom"/>
          </w:tcPr>
          <w:p w14:paraId="02FF205F" w14:textId="77777777" w:rsidR="00545FF7" w:rsidRPr="005210C6" w:rsidRDefault="00545FF7" w:rsidP="00545FF7">
            <w:pPr>
              <w:spacing w:after="0" w:line="240" w:lineRule="exact"/>
              <w:rPr>
                <w:rFonts w:ascii="Montserrat" w:hAnsi="Montserrat"/>
                <w:sz w:val="14"/>
                <w:szCs w:val="14"/>
                <w:lang w:val="es-ES_tradnl"/>
              </w:rPr>
            </w:pPr>
          </w:p>
        </w:tc>
        <w:tc>
          <w:tcPr>
            <w:tcW w:w="1560" w:type="dxa"/>
            <w:tcBorders>
              <w:top w:val="nil"/>
              <w:left w:val="nil"/>
              <w:bottom w:val="nil"/>
              <w:right w:val="nil"/>
            </w:tcBorders>
            <w:shd w:val="clear" w:color="auto" w:fill="F2F2F2" w:themeFill="background1" w:themeFillShade="F2"/>
            <w:noWrap/>
            <w:vAlign w:val="bottom"/>
          </w:tcPr>
          <w:p w14:paraId="1089887F" w14:textId="7F316829" w:rsidR="00545FF7" w:rsidRPr="005210C6" w:rsidRDefault="00545FF7" w:rsidP="00545FF7">
            <w:pPr>
              <w:spacing w:after="0" w:line="240" w:lineRule="exact"/>
              <w:jc w:val="right"/>
              <w:rPr>
                <w:rFonts w:ascii="Montserrat" w:hAnsi="Montserrat"/>
                <w:sz w:val="14"/>
                <w:szCs w:val="14"/>
                <w:lang w:val="es-ES_tradnl"/>
              </w:rPr>
            </w:pPr>
            <w:r w:rsidRPr="00545FF7">
              <w:rPr>
                <w:rFonts w:ascii="Montserrat" w:hAnsi="Montserrat"/>
                <w:sz w:val="14"/>
                <w:szCs w:val="14"/>
                <w:lang w:val="es-ES_tradnl"/>
              </w:rPr>
              <w:t>108</w:t>
            </w:r>
            <w:r w:rsidR="00070196">
              <w:rPr>
                <w:rFonts w:ascii="Montserrat" w:hAnsi="Montserrat"/>
                <w:sz w:val="14"/>
                <w:szCs w:val="14"/>
                <w:lang w:val="es-ES_tradnl"/>
              </w:rPr>
              <w:t>,</w:t>
            </w:r>
            <w:r w:rsidRPr="00545FF7">
              <w:rPr>
                <w:rFonts w:ascii="Montserrat" w:hAnsi="Montserrat"/>
                <w:sz w:val="14"/>
                <w:szCs w:val="14"/>
                <w:lang w:val="es-ES_tradnl"/>
              </w:rPr>
              <w:t>597</w:t>
            </w:r>
            <w:r w:rsidR="00070196">
              <w:rPr>
                <w:rFonts w:ascii="Montserrat" w:hAnsi="Montserrat"/>
                <w:sz w:val="14"/>
                <w:szCs w:val="14"/>
                <w:lang w:val="es-ES_tradnl"/>
              </w:rPr>
              <w:t>,</w:t>
            </w:r>
            <w:r w:rsidRPr="00545FF7">
              <w:rPr>
                <w:rFonts w:ascii="Montserrat" w:hAnsi="Montserrat"/>
                <w:sz w:val="14"/>
                <w:szCs w:val="14"/>
                <w:lang w:val="es-ES_tradnl"/>
              </w:rPr>
              <w:t>834</w:t>
            </w:r>
            <w:r w:rsidR="00070196">
              <w:rPr>
                <w:rFonts w:ascii="Montserrat" w:hAnsi="Montserrat"/>
                <w:sz w:val="14"/>
                <w:szCs w:val="14"/>
                <w:lang w:val="es-ES_tradnl"/>
              </w:rPr>
              <w:t>,</w:t>
            </w:r>
            <w:r w:rsidRPr="00545FF7">
              <w:rPr>
                <w:rFonts w:ascii="Montserrat" w:hAnsi="Montserrat"/>
                <w:sz w:val="14"/>
                <w:szCs w:val="14"/>
                <w:lang w:val="es-ES_tradnl"/>
              </w:rPr>
              <w:t>812</w:t>
            </w:r>
          </w:p>
        </w:tc>
        <w:tc>
          <w:tcPr>
            <w:tcW w:w="662" w:type="dxa"/>
            <w:tcBorders>
              <w:top w:val="nil"/>
              <w:left w:val="nil"/>
              <w:bottom w:val="nil"/>
              <w:right w:val="nil"/>
            </w:tcBorders>
            <w:shd w:val="clear" w:color="auto" w:fill="F2F2F2" w:themeFill="background1" w:themeFillShade="F2"/>
            <w:noWrap/>
            <w:vAlign w:val="bottom"/>
          </w:tcPr>
          <w:p w14:paraId="07463B85" w14:textId="77777777" w:rsidR="00545FF7" w:rsidRPr="005210C6" w:rsidRDefault="00545FF7" w:rsidP="00545FF7">
            <w:pPr>
              <w:spacing w:after="0" w:line="240" w:lineRule="exact"/>
              <w:jc w:val="center"/>
              <w:rPr>
                <w:rFonts w:ascii="Montserrat" w:hAnsi="Montserrat"/>
                <w:sz w:val="14"/>
                <w:szCs w:val="14"/>
                <w:lang w:val="es-ES_tradnl"/>
              </w:rPr>
            </w:pPr>
            <w:r w:rsidRPr="005210C6">
              <w:rPr>
                <w:rFonts w:ascii="Montserrat" w:hAnsi="Montserrat"/>
                <w:sz w:val="14"/>
                <w:szCs w:val="14"/>
                <w:lang w:val="es-ES_tradnl"/>
              </w:rPr>
              <w:t>10</w:t>
            </w:r>
          </w:p>
        </w:tc>
        <w:tc>
          <w:tcPr>
            <w:tcW w:w="709" w:type="dxa"/>
            <w:tcBorders>
              <w:top w:val="nil"/>
              <w:left w:val="nil"/>
              <w:bottom w:val="nil"/>
              <w:right w:val="nil"/>
            </w:tcBorders>
            <w:shd w:val="clear" w:color="auto" w:fill="F2F2F2" w:themeFill="background1" w:themeFillShade="F2"/>
            <w:noWrap/>
            <w:vAlign w:val="bottom"/>
          </w:tcPr>
          <w:p w14:paraId="2C661D75" w14:textId="77777777" w:rsidR="00545FF7" w:rsidRPr="005210C6" w:rsidRDefault="00545FF7" w:rsidP="00545FF7">
            <w:pPr>
              <w:spacing w:after="0" w:line="240" w:lineRule="exact"/>
              <w:jc w:val="center"/>
              <w:rPr>
                <w:rFonts w:ascii="Montserrat" w:hAnsi="Montserrat"/>
                <w:sz w:val="14"/>
                <w:szCs w:val="14"/>
                <w:lang w:val="es-ES_tradnl"/>
              </w:rPr>
            </w:pPr>
            <w:r w:rsidRPr="005210C6">
              <w:rPr>
                <w:rFonts w:ascii="Montserrat" w:hAnsi="Montserrat"/>
                <w:sz w:val="14"/>
                <w:szCs w:val="14"/>
                <w:lang w:val="es-ES_tradnl"/>
              </w:rPr>
              <w:t>00</w:t>
            </w:r>
          </w:p>
        </w:tc>
        <w:tc>
          <w:tcPr>
            <w:tcW w:w="708" w:type="dxa"/>
            <w:tcBorders>
              <w:top w:val="nil"/>
              <w:left w:val="nil"/>
              <w:bottom w:val="nil"/>
              <w:right w:val="nil"/>
            </w:tcBorders>
            <w:shd w:val="clear" w:color="auto" w:fill="F2F2F2" w:themeFill="background1" w:themeFillShade="F2"/>
            <w:noWrap/>
            <w:vAlign w:val="bottom"/>
          </w:tcPr>
          <w:p w14:paraId="6484D78F" w14:textId="77777777" w:rsidR="00545FF7" w:rsidRPr="005210C6" w:rsidRDefault="00545FF7" w:rsidP="00545FF7">
            <w:pPr>
              <w:spacing w:after="0" w:line="240" w:lineRule="exact"/>
              <w:jc w:val="center"/>
              <w:rPr>
                <w:rFonts w:ascii="Montserrat" w:hAnsi="Montserrat"/>
                <w:sz w:val="14"/>
                <w:szCs w:val="14"/>
                <w:lang w:val="es-ES_tradnl"/>
              </w:rPr>
            </w:pPr>
            <w:r w:rsidRPr="005210C6">
              <w:rPr>
                <w:rFonts w:ascii="Montserrat" w:hAnsi="Montserrat"/>
                <w:sz w:val="14"/>
                <w:szCs w:val="14"/>
                <w:lang w:val="es-ES_tradnl"/>
              </w:rPr>
              <w:t>00</w:t>
            </w:r>
          </w:p>
        </w:tc>
        <w:tc>
          <w:tcPr>
            <w:tcW w:w="756" w:type="dxa"/>
            <w:tcBorders>
              <w:top w:val="nil"/>
              <w:left w:val="nil"/>
              <w:bottom w:val="nil"/>
              <w:right w:val="nil"/>
            </w:tcBorders>
            <w:shd w:val="clear" w:color="auto" w:fill="F2F2F2" w:themeFill="background1" w:themeFillShade="F2"/>
            <w:noWrap/>
            <w:vAlign w:val="bottom"/>
          </w:tcPr>
          <w:p w14:paraId="574E82C8" w14:textId="77777777" w:rsidR="00545FF7" w:rsidRPr="005210C6" w:rsidRDefault="00545FF7" w:rsidP="00545FF7">
            <w:pPr>
              <w:spacing w:after="0" w:line="240" w:lineRule="exact"/>
              <w:jc w:val="center"/>
              <w:rPr>
                <w:rFonts w:ascii="Montserrat" w:hAnsi="Montserrat"/>
                <w:sz w:val="14"/>
                <w:szCs w:val="14"/>
                <w:lang w:val="es-ES_tradnl"/>
              </w:rPr>
            </w:pPr>
            <w:r w:rsidRPr="005210C6">
              <w:rPr>
                <w:rFonts w:ascii="Montserrat" w:hAnsi="Montserrat"/>
                <w:sz w:val="14"/>
                <w:szCs w:val="14"/>
                <w:lang w:val="es-ES_tradnl"/>
              </w:rPr>
              <w:t>00</w:t>
            </w:r>
          </w:p>
        </w:tc>
        <w:tc>
          <w:tcPr>
            <w:tcW w:w="662" w:type="dxa"/>
            <w:tcBorders>
              <w:top w:val="nil"/>
              <w:left w:val="nil"/>
              <w:bottom w:val="nil"/>
              <w:right w:val="nil"/>
            </w:tcBorders>
            <w:shd w:val="clear" w:color="auto" w:fill="F2F2F2" w:themeFill="background1" w:themeFillShade="F2"/>
            <w:noWrap/>
            <w:vAlign w:val="bottom"/>
          </w:tcPr>
          <w:p w14:paraId="79FC19D4" w14:textId="2575DAD1" w:rsidR="00545FF7" w:rsidRPr="005210C6" w:rsidRDefault="00545FF7" w:rsidP="00545FF7">
            <w:pPr>
              <w:spacing w:after="0" w:line="240" w:lineRule="exact"/>
              <w:jc w:val="center"/>
              <w:rPr>
                <w:rFonts w:ascii="Montserrat" w:hAnsi="Montserrat"/>
                <w:sz w:val="14"/>
                <w:szCs w:val="14"/>
                <w:lang w:val="es-ES_tradnl"/>
              </w:rPr>
            </w:pPr>
            <w:r w:rsidRPr="000F0321">
              <w:rPr>
                <w:rFonts w:ascii="Montserrat" w:hAnsi="Montserrat"/>
                <w:sz w:val="14"/>
                <w:szCs w:val="14"/>
                <w:lang w:val="es-ES_tradnl"/>
              </w:rPr>
              <w:t>8.50%</w:t>
            </w:r>
          </w:p>
        </w:tc>
        <w:tc>
          <w:tcPr>
            <w:tcW w:w="850" w:type="dxa"/>
            <w:tcBorders>
              <w:top w:val="nil"/>
              <w:left w:val="nil"/>
              <w:bottom w:val="nil"/>
              <w:right w:val="nil"/>
            </w:tcBorders>
            <w:shd w:val="clear" w:color="auto" w:fill="F2F2F2" w:themeFill="background1" w:themeFillShade="F2"/>
            <w:noWrap/>
            <w:vAlign w:val="bottom"/>
          </w:tcPr>
          <w:p w14:paraId="5777DECA" w14:textId="77777777" w:rsidR="00545FF7" w:rsidRPr="005210C6" w:rsidRDefault="00545FF7" w:rsidP="00545FF7">
            <w:pPr>
              <w:spacing w:after="0" w:line="240" w:lineRule="exact"/>
              <w:rPr>
                <w:rFonts w:ascii="Montserrat" w:hAnsi="Montserrat"/>
                <w:sz w:val="14"/>
                <w:szCs w:val="14"/>
                <w:lang w:val="es-ES_tradnl"/>
              </w:rPr>
            </w:pPr>
          </w:p>
        </w:tc>
        <w:tc>
          <w:tcPr>
            <w:tcW w:w="567" w:type="dxa"/>
            <w:tcBorders>
              <w:top w:val="nil"/>
              <w:left w:val="nil"/>
              <w:bottom w:val="nil"/>
              <w:right w:val="nil"/>
            </w:tcBorders>
            <w:shd w:val="clear" w:color="auto" w:fill="F2F2F2" w:themeFill="background1" w:themeFillShade="F2"/>
            <w:noWrap/>
            <w:vAlign w:val="bottom"/>
          </w:tcPr>
          <w:p w14:paraId="2CAAC021" w14:textId="77777777" w:rsidR="00545FF7" w:rsidRPr="005210C6" w:rsidRDefault="00545FF7" w:rsidP="00545FF7">
            <w:pPr>
              <w:spacing w:after="0" w:line="240" w:lineRule="exact"/>
              <w:jc w:val="right"/>
              <w:rPr>
                <w:rFonts w:ascii="Montserrat" w:hAnsi="Montserrat"/>
                <w:sz w:val="14"/>
                <w:szCs w:val="14"/>
                <w:lang w:val="es-ES_tradnl"/>
              </w:rPr>
            </w:pPr>
          </w:p>
        </w:tc>
        <w:tc>
          <w:tcPr>
            <w:tcW w:w="1043" w:type="dxa"/>
            <w:gridSpan w:val="2"/>
            <w:tcBorders>
              <w:top w:val="nil"/>
              <w:left w:val="nil"/>
              <w:bottom w:val="nil"/>
              <w:right w:val="nil"/>
            </w:tcBorders>
            <w:shd w:val="clear" w:color="auto" w:fill="F2F2F2" w:themeFill="background1" w:themeFillShade="F2"/>
            <w:noWrap/>
            <w:vAlign w:val="bottom"/>
            <w:hideMark/>
          </w:tcPr>
          <w:p w14:paraId="2D99762D" w14:textId="77777777" w:rsidR="00545FF7" w:rsidRPr="005210C6" w:rsidRDefault="00545FF7" w:rsidP="00545FF7">
            <w:pPr>
              <w:spacing w:after="0" w:line="240" w:lineRule="exact"/>
              <w:jc w:val="right"/>
              <w:rPr>
                <w:rFonts w:ascii="Montserrat" w:hAnsi="Montserrat"/>
                <w:sz w:val="14"/>
                <w:szCs w:val="14"/>
                <w:lang w:val="es-ES_tradnl"/>
              </w:rPr>
            </w:pPr>
          </w:p>
        </w:tc>
        <w:tc>
          <w:tcPr>
            <w:tcW w:w="160" w:type="dxa"/>
            <w:gridSpan w:val="2"/>
            <w:tcBorders>
              <w:top w:val="nil"/>
              <w:left w:val="nil"/>
              <w:bottom w:val="nil"/>
              <w:right w:val="nil"/>
            </w:tcBorders>
            <w:shd w:val="clear" w:color="auto" w:fill="F2F2F2" w:themeFill="background1" w:themeFillShade="F2"/>
            <w:noWrap/>
            <w:vAlign w:val="bottom"/>
            <w:hideMark/>
          </w:tcPr>
          <w:p w14:paraId="73575B0F" w14:textId="77777777" w:rsidR="00545FF7" w:rsidRPr="005210C6" w:rsidRDefault="00545FF7" w:rsidP="00545FF7">
            <w:pPr>
              <w:spacing w:after="0" w:line="240" w:lineRule="exact"/>
              <w:jc w:val="right"/>
              <w:rPr>
                <w:rFonts w:ascii="Montserrat" w:hAnsi="Montserrat"/>
                <w:sz w:val="14"/>
                <w:szCs w:val="14"/>
                <w:lang w:val="es-ES_tradnl"/>
              </w:rPr>
            </w:pPr>
          </w:p>
        </w:tc>
        <w:tc>
          <w:tcPr>
            <w:tcW w:w="498" w:type="dxa"/>
            <w:tcBorders>
              <w:top w:val="nil"/>
              <w:left w:val="nil"/>
              <w:bottom w:val="nil"/>
              <w:right w:val="nil"/>
            </w:tcBorders>
            <w:shd w:val="clear" w:color="auto" w:fill="F2F2F2" w:themeFill="background1" w:themeFillShade="F2"/>
            <w:noWrap/>
            <w:vAlign w:val="bottom"/>
            <w:hideMark/>
          </w:tcPr>
          <w:p w14:paraId="794D4FEC" w14:textId="77777777" w:rsidR="00545FF7" w:rsidRPr="005210C6" w:rsidRDefault="00545FF7" w:rsidP="00545FF7">
            <w:pPr>
              <w:spacing w:after="0" w:line="240" w:lineRule="exact"/>
              <w:jc w:val="right"/>
              <w:rPr>
                <w:rFonts w:ascii="Montserrat" w:hAnsi="Montserrat"/>
                <w:sz w:val="14"/>
                <w:szCs w:val="14"/>
                <w:lang w:val="es-ES_tradnl"/>
              </w:rPr>
            </w:pPr>
          </w:p>
        </w:tc>
        <w:tc>
          <w:tcPr>
            <w:tcW w:w="567" w:type="dxa"/>
            <w:tcBorders>
              <w:top w:val="nil"/>
              <w:left w:val="nil"/>
              <w:bottom w:val="nil"/>
              <w:right w:val="nil"/>
            </w:tcBorders>
            <w:shd w:val="clear" w:color="auto" w:fill="F2F2F2" w:themeFill="background1" w:themeFillShade="F2"/>
            <w:noWrap/>
            <w:vAlign w:val="bottom"/>
            <w:hideMark/>
          </w:tcPr>
          <w:p w14:paraId="26000C25" w14:textId="77777777" w:rsidR="00545FF7" w:rsidRPr="005210C6" w:rsidRDefault="00545FF7" w:rsidP="00545FF7">
            <w:pPr>
              <w:spacing w:after="0" w:line="240" w:lineRule="exact"/>
              <w:jc w:val="right"/>
              <w:rPr>
                <w:rFonts w:ascii="Montserrat" w:hAnsi="Montserrat"/>
                <w:sz w:val="14"/>
                <w:szCs w:val="14"/>
                <w:lang w:val="es-ES_tradnl"/>
              </w:rPr>
            </w:pPr>
          </w:p>
        </w:tc>
        <w:tc>
          <w:tcPr>
            <w:tcW w:w="709" w:type="dxa"/>
            <w:tcBorders>
              <w:top w:val="nil"/>
              <w:left w:val="nil"/>
              <w:bottom w:val="nil"/>
            </w:tcBorders>
            <w:shd w:val="clear" w:color="auto" w:fill="F2F2F2" w:themeFill="background1" w:themeFillShade="F2"/>
            <w:noWrap/>
            <w:vAlign w:val="bottom"/>
            <w:hideMark/>
          </w:tcPr>
          <w:p w14:paraId="6ADEA135" w14:textId="77777777" w:rsidR="00545FF7" w:rsidRPr="005210C6" w:rsidRDefault="00545FF7" w:rsidP="00545FF7">
            <w:pPr>
              <w:spacing w:after="0" w:line="240" w:lineRule="exact"/>
              <w:jc w:val="right"/>
              <w:rPr>
                <w:rFonts w:ascii="Montserrat" w:hAnsi="Montserrat"/>
                <w:sz w:val="14"/>
                <w:szCs w:val="14"/>
                <w:lang w:val="es-ES_tradnl"/>
              </w:rPr>
            </w:pPr>
          </w:p>
        </w:tc>
      </w:tr>
      <w:tr w:rsidR="00545FF7" w:rsidRPr="005210C6" w14:paraId="440087D7" w14:textId="77777777" w:rsidTr="0023764E">
        <w:trPr>
          <w:trHeight w:val="240"/>
        </w:trPr>
        <w:tc>
          <w:tcPr>
            <w:tcW w:w="923" w:type="dxa"/>
            <w:tcBorders>
              <w:top w:val="nil"/>
              <w:bottom w:val="nil"/>
              <w:right w:val="nil"/>
            </w:tcBorders>
            <w:shd w:val="clear" w:color="auto" w:fill="F2F2F2" w:themeFill="background1" w:themeFillShade="F2"/>
            <w:noWrap/>
            <w:vAlign w:val="bottom"/>
            <w:hideMark/>
          </w:tcPr>
          <w:p w14:paraId="726B6D59" w14:textId="77777777" w:rsidR="00545FF7" w:rsidRPr="005210C6" w:rsidRDefault="00545FF7" w:rsidP="00545FF7">
            <w:pPr>
              <w:spacing w:after="0" w:line="240" w:lineRule="exact"/>
              <w:rPr>
                <w:rFonts w:ascii="Montserrat" w:hAnsi="Montserrat"/>
                <w:sz w:val="14"/>
                <w:szCs w:val="14"/>
                <w:lang w:val="es-ES_tradnl"/>
              </w:rPr>
            </w:pPr>
          </w:p>
        </w:tc>
        <w:tc>
          <w:tcPr>
            <w:tcW w:w="567" w:type="dxa"/>
            <w:tcBorders>
              <w:top w:val="nil"/>
              <w:left w:val="nil"/>
              <w:bottom w:val="nil"/>
              <w:right w:val="nil"/>
            </w:tcBorders>
            <w:shd w:val="clear" w:color="auto" w:fill="F2F2F2" w:themeFill="background1" w:themeFillShade="F2"/>
            <w:noWrap/>
            <w:vAlign w:val="bottom"/>
          </w:tcPr>
          <w:p w14:paraId="1E4EEB0B" w14:textId="77777777" w:rsidR="00545FF7" w:rsidRPr="005210C6" w:rsidRDefault="00545FF7" w:rsidP="00545FF7">
            <w:pPr>
              <w:spacing w:after="0" w:line="240" w:lineRule="exact"/>
              <w:rPr>
                <w:rFonts w:ascii="Montserrat" w:hAnsi="Montserrat"/>
                <w:sz w:val="14"/>
                <w:szCs w:val="14"/>
                <w:lang w:val="es-ES_tradnl"/>
              </w:rPr>
            </w:pPr>
          </w:p>
        </w:tc>
        <w:tc>
          <w:tcPr>
            <w:tcW w:w="425" w:type="dxa"/>
            <w:tcBorders>
              <w:top w:val="nil"/>
              <w:left w:val="nil"/>
              <w:bottom w:val="nil"/>
              <w:right w:val="nil"/>
            </w:tcBorders>
            <w:shd w:val="clear" w:color="auto" w:fill="F2F2F2" w:themeFill="background1" w:themeFillShade="F2"/>
            <w:noWrap/>
            <w:vAlign w:val="bottom"/>
          </w:tcPr>
          <w:p w14:paraId="549BB446" w14:textId="77777777" w:rsidR="00545FF7" w:rsidRPr="005210C6" w:rsidRDefault="00545FF7" w:rsidP="00545FF7">
            <w:pPr>
              <w:spacing w:after="0" w:line="240" w:lineRule="exact"/>
              <w:rPr>
                <w:rFonts w:ascii="Montserrat" w:hAnsi="Montserrat"/>
                <w:sz w:val="14"/>
                <w:szCs w:val="14"/>
                <w:lang w:val="es-ES_tradnl"/>
              </w:rPr>
            </w:pPr>
          </w:p>
        </w:tc>
        <w:tc>
          <w:tcPr>
            <w:tcW w:w="709" w:type="dxa"/>
            <w:tcBorders>
              <w:top w:val="nil"/>
              <w:left w:val="nil"/>
              <w:bottom w:val="nil"/>
              <w:right w:val="nil"/>
            </w:tcBorders>
            <w:shd w:val="clear" w:color="auto" w:fill="F2F2F2" w:themeFill="background1" w:themeFillShade="F2"/>
            <w:noWrap/>
            <w:vAlign w:val="bottom"/>
          </w:tcPr>
          <w:p w14:paraId="745FD2DE" w14:textId="77777777" w:rsidR="00545FF7" w:rsidRPr="005210C6" w:rsidRDefault="00545FF7" w:rsidP="00545FF7">
            <w:pPr>
              <w:spacing w:after="0" w:line="240" w:lineRule="exact"/>
              <w:rPr>
                <w:rFonts w:ascii="Montserrat" w:hAnsi="Montserrat"/>
                <w:sz w:val="14"/>
                <w:szCs w:val="14"/>
                <w:lang w:val="es-ES_tradnl"/>
              </w:rPr>
            </w:pPr>
          </w:p>
        </w:tc>
        <w:tc>
          <w:tcPr>
            <w:tcW w:w="1345" w:type="dxa"/>
            <w:tcBorders>
              <w:top w:val="nil"/>
              <w:left w:val="nil"/>
              <w:bottom w:val="nil"/>
              <w:right w:val="nil"/>
            </w:tcBorders>
            <w:shd w:val="clear" w:color="auto" w:fill="F2F2F2" w:themeFill="background1" w:themeFillShade="F2"/>
            <w:noWrap/>
            <w:vAlign w:val="bottom"/>
          </w:tcPr>
          <w:p w14:paraId="1B298F01" w14:textId="77777777" w:rsidR="00545FF7" w:rsidRPr="005210C6" w:rsidRDefault="00545FF7" w:rsidP="00545FF7">
            <w:pPr>
              <w:spacing w:after="0" w:line="240" w:lineRule="exact"/>
              <w:rPr>
                <w:rFonts w:ascii="Montserrat" w:hAnsi="Montserrat"/>
                <w:sz w:val="14"/>
                <w:szCs w:val="14"/>
                <w:lang w:val="es-ES_tradnl"/>
              </w:rPr>
            </w:pPr>
          </w:p>
        </w:tc>
        <w:tc>
          <w:tcPr>
            <w:tcW w:w="1560" w:type="dxa"/>
            <w:tcBorders>
              <w:top w:val="nil"/>
              <w:left w:val="nil"/>
              <w:bottom w:val="nil"/>
              <w:right w:val="nil"/>
            </w:tcBorders>
            <w:shd w:val="clear" w:color="auto" w:fill="F2F2F2" w:themeFill="background1" w:themeFillShade="F2"/>
            <w:noWrap/>
            <w:vAlign w:val="bottom"/>
          </w:tcPr>
          <w:p w14:paraId="245FD2AF" w14:textId="35584963" w:rsidR="00545FF7" w:rsidRPr="005210C6" w:rsidRDefault="00545FF7" w:rsidP="00545FF7">
            <w:pPr>
              <w:spacing w:after="0" w:line="240" w:lineRule="exact"/>
              <w:jc w:val="right"/>
              <w:rPr>
                <w:rFonts w:ascii="Montserrat" w:hAnsi="Montserrat"/>
                <w:sz w:val="14"/>
                <w:szCs w:val="14"/>
                <w:lang w:val="es-ES_tradnl"/>
              </w:rPr>
            </w:pPr>
            <w:r w:rsidRPr="00545FF7">
              <w:rPr>
                <w:rFonts w:ascii="Montserrat" w:hAnsi="Montserrat"/>
                <w:sz w:val="14"/>
                <w:szCs w:val="14"/>
                <w:lang w:val="es-ES_tradnl"/>
              </w:rPr>
              <w:t>33</w:t>
            </w:r>
            <w:r w:rsidR="00070196">
              <w:rPr>
                <w:rFonts w:ascii="Montserrat" w:hAnsi="Montserrat"/>
                <w:sz w:val="14"/>
                <w:szCs w:val="14"/>
                <w:lang w:val="es-ES_tradnl"/>
              </w:rPr>
              <w:t>,</w:t>
            </w:r>
            <w:r w:rsidRPr="00545FF7">
              <w:rPr>
                <w:rFonts w:ascii="Montserrat" w:hAnsi="Montserrat"/>
                <w:sz w:val="14"/>
                <w:szCs w:val="14"/>
                <w:lang w:val="es-ES_tradnl"/>
              </w:rPr>
              <w:t>316</w:t>
            </w:r>
            <w:r w:rsidR="00070196">
              <w:rPr>
                <w:rFonts w:ascii="Montserrat" w:hAnsi="Montserrat"/>
                <w:sz w:val="14"/>
                <w:szCs w:val="14"/>
                <w:lang w:val="es-ES_tradnl"/>
              </w:rPr>
              <w:t>,</w:t>
            </w:r>
            <w:r w:rsidRPr="00545FF7">
              <w:rPr>
                <w:rFonts w:ascii="Montserrat" w:hAnsi="Montserrat"/>
                <w:sz w:val="14"/>
                <w:szCs w:val="14"/>
                <w:lang w:val="es-ES_tradnl"/>
              </w:rPr>
              <w:t>438</w:t>
            </w:r>
            <w:r w:rsidR="00070196">
              <w:rPr>
                <w:rFonts w:ascii="Montserrat" w:hAnsi="Montserrat"/>
                <w:sz w:val="14"/>
                <w:szCs w:val="14"/>
                <w:lang w:val="es-ES_tradnl"/>
              </w:rPr>
              <w:t>,</w:t>
            </w:r>
            <w:r w:rsidRPr="00545FF7">
              <w:rPr>
                <w:rFonts w:ascii="Montserrat" w:hAnsi="Montserrat"/>
                <w:sz w:val="14"/>
                <w:szCs w:val="14"/>
                <w:lang w:val="es-ES_tradnl"/>
              </w:rPr>
              <w:t>240</w:t>
            </w:r>
          </w:p>
        </w:tc>
        <w:tc>
          <w:tcPr>
            <w:tcW w:w="662" w:type="dxa"/>
            <w:tcBorders>
              <w:top w:val="nil"/>
              <w:left w:val="nil"/>
              <w:bottom w:val="nil"/>
              <w:right w:val="nil"/>
            </w:tcBorders>
            <w:shd w:val="clear" w:color="auto" w:fill="F2F2F2" w:themeFill="background1" w:themeFillShade="F2"/>
            <w:noWrap/>
            <w:vAlign w:val="bottom"/>
          </w:tcPr>
          <w:p w14:paraId="0B225BB2" w14:textId="77777777" w:rsidR="00545FF7" w:rsidRPr="005210C6" w:rsidRDefault="00545FF7" w:rsidP="00545FF7">
            <w:pPr>
              <w:spacing w:after="0" w:line="240" w:lineRule="exact"/>
              <w:jc w:val="center"/>
              <w:rPr>
                <w:rFonts w:ascii="Montserrat" w:hAnsi="Montserrat"/>
                <w:sz w:val="14"/>
                <w:szCs w:val="14"/>
                <w:lang w:val="es-ES_tradnl"/>
              </w:rPr>
            </w:pPr>
            <w:r w:rsidRPr="005210C6">
              <w:rPr>
                <w:rFonts w:ascii="Montserrat" w:hAnsi="Montserrat"/>
                <w:sz w:val="14"/>
                <w:szCs w:val="14"/>
                <w:lang w:val="es-ES_tradnl"/>
              </w:rPr>
              <w:t>20</w:t>
            </w:r>
          </w:p>
        </w:tc>
        <w:tc>
          <w:tcPr>
            <w:tcW w:w="709" w:type="dxa"/>
            <w:tcBorders>
              <w:top w:val="nil"/>
              <w:left w:val="nil"/>
              <w:bottom w:val="nil"/>
              <w:right w:val="nil"/>
            </w:tcBorders>
            <w:shd w:val="clear" w:color="auto" w:fill="F2F2F2" w:themeFill="background1" w:themeFillShade="F2"/>
            <w:noWrap/>
            <w:vAlign w:val="bottom"/>
          </w:tcPr>
          <w:p w14:paraId="40246028" w14:textId="77777777" w:rsidR="00545FF7" w:rsidRPr="005210C6" w:rsidRDefault="00545FF7" w:rsidP="00545FF7">
            <w:pPr>
              <w:spacing w:after="0" w:line="240" w:lineRule="exact"/>
              <w:jc w:val="center"/>
              <w:rPr>
                <w:rFonts w:ascii="Montserrat" w:hAnsi="Montserrat"/>
                <w:sz w:val="14"/>
                <w:szCs w:val="14"/>
                <w:lang w:val="es-ES_tradnl"/>
              </w:rPr>
            </w:pPr>
            <w:r w:rsidRPr="005210C6">
              <w:rPr>
                <w:rFonts w:ascii="Montserrat" w:hAnsi="Montserrat"/>
                <w:sz w:val="14"/>
                <w:szCs w:val="14"/>
                <w:lang w:val="es-ES_tradnl"/>
              </w:rPr>
              <w:t>00</w:t>
            </w:r>
          </w:p>
        </w:tc>
        <w:tc>
          <w:tcPr>
            <w:tcW w:w="708" w:type="dxa"/>
            <w:tcBorders>
              <w:top w:val="nil"/>
              <w:left w:val="nil"/>
              <w:bottom w:val="nil"/>
              <w:right w:val="nil"/>
            </w:tcBorders>
            <w:shd w:val="clear" w:color="auto" w:fill="F2F2F2" w:themeFill="background1" w:themeFillShade="F2"/>
            <w:noWrap/>
            <w:vAlign w:val="bottom"/>
          </w:tcPr>
          <w:p w14:paraId="4E89A39D" w14:textId="77777777" w:rsidR="00545FF7" w:rsidRPr="005210C6" w:rsidRDefault="00545FF7" w:rsidP="00545FF7">
            <w:pPr>
              <w:spacing w:after="0" w:line="240" w:lineRule="exact"/>
              <w:jc w:val="center"/>
              <w:rPr>
                <w:rFonts w:ascii="Montserrat" w:hAnsi="Montserrat"/>
                <w:sz w:val="14"/>
                <w:szCs w:val="14"/>
                <w:lang w:val="es-ES_tradnl"/>
              </w:rPr>
            </w:pPr>
            <w:r w:rsidRPr="005210C6">
              <w:rPr>
                <w:rFonts w:ascii="Montserrat" w:hAnsi="Montserrat"/>
                <w:sz w:val="14"/>
                <w:szCs w:val="14"/>
                <w:lang w:val="es-ES_tradnl"/>
              </w:rPr>
              <w:t>00</w:t>
            </w:r>
          </w:p>
        </w:tc>
        <w:tc>
          <w:tcPr>
            <w:tcW w:w="756" w:type="dxa"/>
            <w:tcBorders>
              <w:top w:val="nil"/>
              <w:left w:val="nil"/>
              <w:bottom w:val="nil"/>
              <w:right w:val="nil"/>
            </w:tcBorders>
            <w:shd w:val="clear" w:color="auto" w:fill="F2F2F2" w:themeFill="background1" w:themeFillShade="F2"/>
            <w:noWrap/>
            <w:vAlign w:val="bottom"/>
          </w:tcPr>
          <w:p w14:paraId="1156AA03" w14:textId="77777777" w:rsidR="00545FF7" w:rsidRPr="005210C6" w:rsidRDefault="00545FF7" w:rsidP="00545FF7">
            <w:pPr>
              <w:spacing w:after="0" w:line="240" w:lineRule="exact"/>
              <w:jc w:val="center"/>
              <w:rPr>
                <w:rFonts w:ascii="Montserrat" w:hAnsi="Montserrat"/>
                <w:sz w:val="14"/>
                <w:szCs w:val="14"/>
                <w:lang w:val="es-ES_tradnl"/>
              </w:rPr>
            </w:pPr>
            <w:r w:rsidRPr="005210C6">
              <w:rPr>
                <w:rFonts w:ascii="Montserrat" w:hAnsi="Montserrat"/>
                <w:sz w:val="14"/>
                <w:szCs w:val="14"/>
                <w:lang w:val="es-ES_tradnl"/>
              </w:rPr>
              <w:t>00</w:t>
            </w:r>
          </w:p>
        </w:tc>
        <w:tc>
          <w:tcPr>
            <w:tcW w:w="662" w:type="dxa"/>
            <w:tcBorders>
              <w:top w:val="nil"/>
              <w:left w:val="nil"/>
              <w:bottom w:val="nil"/>
              <w:right w:val="nil"/>
            </w:tcBorders>
            <w:shd w:val="clear" w:color="auto" w:fill="F2F2F2" w:themeFill="background1" w:themeFillShade="F2"/>
            <w:noWrap/>
            <w:vAlign w:val="bottom"/>
          </w:tcPr>
          <w:p w14:paraId="44C4DEC0" w14:textId="17041D0E" w:rsidR="00545FF7" w:rsidRPr="005210C6" w:rsidRDefault="00545FF7" w:rsidP="00545FF7">
            <w:pPr>
              <w:spacing w:after="0" w:line="240" w:lineRule="exact"/>
              <w:jc w:val="center"/>
              <w:rPr>
                <w:rFonts w:ascii="Montserrat" w:hAnsi="Montserrat"/>
                <w:sz w:val="14"/>
                <w:szCs w:val="14"/>
                <w:lang w:val="es-ES_tradnl"/>
              </w:rPr>
            </w:pPr>
            <w:r w:rsidRPr="000F0321">
              <w:rPr>
                <w:rFonts w:ascii="Montserrat" w:hAnsi="Montserrat"/>
                <w:sz w:val="14"/>
                <w:szCs w:val="14"/>
                <w:lang w:val="es-ES_tradnl"/>
              </w:rPr>
              <w:t>8.50%</w:t>
            </w:r>
          </w:p>
        </w:tc>
        <w:tc>
          <w:tcPr>
            <w:tcW w:w="850" w:type="dxa"/>
            <w:tcBorders>
              <w:top w:val="nil"/>
              <w:left w:val="nil"/>
              <w:bottom w:val="nil"/>
              <w:right w:val="nil"/>
            </w:tcBorders>
            <w:shd w:val="clear" w:color="auto" w:fill="F2F2F2" w:themeFill="background1" w:themeFillShade="F2"/>
            <w:noWrap/>
            <w:vAlign w:val="bottom"/>
          </w:tcPr>
          <w:p w14:paraId="4FA2454A" w14:textId="77777777" w:rsidR="00545FF7" w:rsidRPr="005210C6" w:rsidRDefault="00545FF7" w:rsidP="00545FF7">
            <w:pPr>
              <w:spacing w:after="0" w:line="240" w:lineRule="exact"/>
              <w:rPr>
                <w:rFonts w:ascii="Montserrat" w:hAnsi="Montserrat"/>
                <w:sz w:val="14"/>
                <w:szCs w:val="14"/>
                <w:lang w:val="es-ES_tradnl"/>
              </w:rPr>
            </w:pPr>
          </w:p>
        </w:tc>
        <w:tc>
          <w:tcPr>
            <w:tcW w:w="567" w:type="dxa"/>
            <w:tcBorders>
              <w:top w:val="nil"/>
              <w:left w:val="nil"/>
              <w:bottom w:val="nil"/>
              <w:right w:val="nil"/>
            </w:tcBorders>
            <w:shd w:val="clear" w:color="auto" w:fill="F2F2F2" w:themeFill="background1" w:themeFillShade="F2"/>
            <w:noWrap/>
            <w:vAlign w:val="bottom"/>
          </w:tcPr>
          <w:p w14:paraId="1F49040C" w14:textId="77777777" w:rsidR="00545FF7" w:rsidRPr="005210C6" w:rsidRDefault="00545FF7" w:rsidP="00545FF7">
            <w:pPr>
              <w:spacing w:after="0" w:line="240" w:lineRule="exact"/>
              <w:jc w:val="right"/>
              <w:rPr>
                <w:rFonts w:ascii="Montserrat" w:hAnsi="Montserrat"/>
                <w:sz w:val="14"/>
                <w:szCs w:val="14"/>
                <w:lang w:val="es-ES_tradnl"/>
              </w:rPr>
            </w:pPr>
          </w:p>
        </w:tc>
        <w:tc>
          <w:tcPr>
            <w:tcW w:w="1043" w:type="dxa"/>
            <w:gridSpan w:val="2"/>
            <w:tcBorders>
              <w:top w:val="nil"/>
              <w:left w:val="nil"/>
              <w:bottom w:val="nil"/>
              <w:right w:val="nil"/>
            </w:tcBorders>
            <w:shd w:val="clear" w:color="auto" w:fill="F2F2F2" w:themeFill="background1" w:themeFillShade="F2"/>
            <w:noWrap/>
            <w:vAlign w:val="bottom"/>
            <w:hideMark/>
          </w:tcPr>
          <w:p w14:paraId="4F2D03DF" w14:textId="77777777" w:rsidR="00545FF7" w:rsidRPr="005210C6" w:rsidRDefault="00545FF7" w:rsidP="00545FF7">
            <w:pPr>
              <w:spacing w:after="0" w:line="240" w:lineRule="exact"/>
              <w:jc w:val="right"/>
              <w:rPr>
                <w:rFonts w:ascii="Montserrat" w:hAnsi="Montserrat"/>
                <w:sz w:val="14"/>
                <w:szCs w:val="14"/>
                <w:lang w:val="es-ES_tradnl"/>
              </w:rPr>
            </w:pPr>
          </w:p>
        </w:tc>
        <w:tc>
          <w:tcPr>
            <w:tcW w:w="160" w:type="dxa"/>
            <w:gridSpan w:val="2"/>
            <w:tcBorders>
              <w:top w:val="nil"/>
              <w:left w:val="nil"/>
              <w:bottom w:val="nil"/>
              <w:right w:val="nil"/>
            </w:tcBorders>
            <w:shd w:val="clear" w:color="auto" w:fill="F2F2F2" w:themeFill="background1" w:themeFillShade="F2"/>
            <w:noWrap/>
            <w:vAlign w:val="bottom"/>
            <w:hideMark/>
          </w:tcPr>
          <w:p w14:paraId="0CFA4EBE" w14:textId="77777777" w:rsidR="00545FF7" w:rsidRPr="005210C6" w:rsidRDefault="00545FF7" w:rsidP="00545FF7">
            <w:pPr>
              <w:spacing w:after="0" w:line="240" w:lineRule="exact"/>
              <w:jc w:val="right"/>
              <w:rPr>
                <w:rFonts w:ascii="Montserrat" w:hAnsi="Montserrat"/>
                <w:sz w:val="14"/>
                <w:szCs w:val="14"/>
                <w:lang w:val="es-ES_tradnl"/>
              </w:rPr>
            </w:pPr>
          </w:p>
        </w:tc>
        <w:tc>
          <w:tcPr>
            <w:tcW w:w="498" w:type="dxa"/>
            <w:tcBorders>
              <w:top w:val="nil"/>
              <w:left w:val="nil"/>
              <w:bottom w:val="nil"/>
              <w:right w:val="nil"/>
            </w:tcBorders>
            <w:shd w:val="clear" w:color="auto" w:fill="F2F2F2" w:themeFill="background1" w:themeFillShade="F2"/>
            <w:noWrap/>
            <w:vAlign w:val="bottom"/>
            <w:hideMark/>
          </w:tcPr>
          <w:p w14:paraId="79AB827F" w14:textId="77777777" w:rsidR="00545FF7" w:rsidRPr="005210C6" w:rsidRDefault="00545FF7" w:rsidP="00545FF7">
            <w:pPr>
              <w:spacing w:after="0" w:line="240" w:lineRule="exact"/>
              <w:jc w:val="right"/>
              <w:rPr>
                <w:rFonts w:ascii="Montserrat" w:hAnsi="Montserrat"/>
                <w:sz w:val="14"/>
                <w:szCs w:val="14"/>
                <w:lang w:val="es-ES_tradnl"/>
              </w:rPr>
            </w:pPr>
          </w:p>
        </w:tc>
        <w:tc>
          <w:tcPr>
            <w:tcW w:w="567" w:type="dxa"/>
            <w:tcBorders>
              <w:top w:val="nil"/>
              <w:left w:val="nil"/>
              <w:bottom w:val="nil"/>
              <w:right w:val="nil"/>
            </w:tcBorders>
            <w:shd w:val="clear" w:color="auto" w:fill="F2F2F2" w:themeFill="background1" w:themeFillShade="F2"/>
            <w:noWrap/>
            <w:vAlign w:val="bottom"/>
            <w:hideMark/>
          </w:tcPr>
          <w:p w14:paraId="43BA3A2C" w14:textId="77777777" w:rsidR="00545FF7" w:rsidRPr="005210C6" w:rsidRDefault="00545FF7" w:rsidP="00545FF7">
            <w:pPr>
              <w:spacing w:after="0" w:line="240" w:lineRule="exact"/>
              <w:jc w:val="right"/>
              <w:rPr>
                <w:rFonts w:ascii="Montserrat" w:hAnsi="Montserrat"/>
                <w:sz w:val="14"/>
                <w:szCs w:val="14"/>
                <w:lang w:val="es-ES_tradnl"/>
              </w:rPr>
            </w:pPr>
          </w:p>
        </w:tc>
        <w:tc>
          <w:tcPr>
            <w:tcW w:w="709" w:type="dxa"/>
            <w:tcBorders>
              <w:top w:val="nil"/>
              <w:left w:val="nil"/>
              <w:bottom w:val="nil"/>
            </w:tcBorders>
            <w:shd w:val="clear" w:color="auto" w:fill="F2F2F2" w:themeFill="background1" w:themeFillShade="F2"/>
            <w:noWrap/>
            <w:vAlign w:val="bottom"/>
            <w:hideMark/>
          </w:tcPr>
          <w:p w14:paraId="5A568386" w14:textId="77777777" w:rsidR="00545FF7" w:rsidRPr="005210C6" w:rsidRDefault="00545FF7" w:rsidP="00545FF7">
            <w:pPr>
              <w:spacing w:after="0" w:line="240" w:lineRule="exact"/>
              <w:jc w:val="right"/>
              <w:rPr>
                <w:rFonts w:ascii="Montserrat" w:hAnsi="Montserrat"/>
                <w:sz w:val="14"/>
                <w:szCs w:val="14"/>
                <w:lang w:val="es-ES_tradnl"/>
              </w:rPr>
            </w:pPr>
          </w:p>
        </w:tc>
      </w:tr>
      <w:tr w:rsidR="00545FF7" w:rsidRPr="005210C6" w14:paraId="641525B2" w14:textId="77777777" w:rsidTr="0023764E">
        <w:trPr>
          <w:trHeight w:val="240"/>
        </w:trPr>
        <w:tc>
          <w:tcPr>
            <w:tcW w:w="923" w:type="dxa"/>
            <w:tcBorders>
              <w:top w:val="nil"/>
              <w:bottom w:val="nil"/>
              <w:right w:val="nil"/>
            </w:tcBorders>
            <w:shd w:val="clear" w:color="auto" w:fill="F2F2F2" w:themeFill="background1" w:themeFillShade="F2"/>
            <w:noWrap/>
            <w:vAlign w:val="bottom"/>
            <w:hideMark/>
          </w:tcPr>
          <w:p w14:paraId="63682CFA" w14:textId="77777777" w:rsidR="00545FF7" w:rsidRPr="005210C6" w:rsidRDefault="00545FF7" w:rsidP="00545FF7">
            <w:pPr>
              <w:spacing w:after="0" w:line="240" w:lineRule="exact"/>
              <w:rPr>
                <w:rFonts w:ascii="Montserrat" w:hAnsi="Montserrat"/>
                <w:sz w:val="14"/>
                <w:szCs w:val="14"/>
                <w:lang w:val="es-ES_tradnl"/>
              </w:rPr>
            </w:pPr>
          </w:p>
        </w:tc>
        <w:tc>
          <w:tcPr>
            <w:tcW w:w="567" w:type="dxa"/>
            <w:tcBorders>
              <w:top w:val="nil"/>
              <w:left w:val="nil"/>
              <w:bottom w:val="nil"/>
              <w:right w:val="nil"/>
            </w:tcBorders>
            <w:shd w:val="clear" w:color="auto" w:fill="F2F2F2" w:themeFill="background1" w:themeFillShade="F2"/>
            <w:noWrap/>
            <w:vAlign w:val="bottom"/>
          </w:tcPr>
          <w:p w14:paraId="2E9265E9" w14:textId="77777777" w:rsidR="00545FF7" w:rsidRPr="005210C6" w:rsidRDefault="00545FF7" w:rsidP="00545FF7">
            <w:pPr>
              <w:spacing w:after="0" w:line="240" w:lineRule="exact"/>
              <w:rPr>
                <w:rFonts w:ascii="Montserrat" w:hAnsi="Montserrat"/>
                <w:sz w:val="14"/>
                <w:szCs w:val="14"/>
                <w:lang w:val="es-ES_tradnl"/>
              </w:rPr>
            </w:pPr>
          </w:p>
        </w:tc>
        <w:tc>
          <w:tcPr>
            <w:tcW w:w="425" w:type="dxa"/>
            <w:tcBorders>
              <w:top w:val="nil"/>
              <w:left w:val="nil"/>
              <w:bottom w:val="nil"/>
              <w:right w:val="nil"/>
            </w:tcBorders>
            <w:shd w:val="clear" w:color="auto" w:fill="F2F2F2" w:themeFill="background1" w:themeFillShade="F2"/>
            <w:noWrap/>
            <w:vAlign w:val="bottom"/>
          </w:tcPr>
          <w:p w14:paraId="415C757C" w14:textId="77777777" w:rsidR="00545FF7" w:rsidRPr="005210C6" w:rsidRDefault="00545FF7" w:rsidP="00545FF7">
            <w:pPr>
              <w:spacing w:after="0" w:line="240" w:lineRule="exact"/>
              <w:rPr>
                <w:rFonts w:ascii="Montserrat" w:hAnsi="Montserrat"/>
                <w:sz w:val="14"/>
                <w:szCs w:val="14"/>
                <w:lang w:val="es-ES_tradnl"/>
              </w:rPr>
            </w:pPr>
          </w:p>
        </w:tc>
        <w:tc>
          <w:tcPr>
            <w:tcW w:w="709" w:type="dxa"/>
            <w:tcBorders>
              <w:top w:val="nil"/>
              <w:left w:val="nil"/>
              <w:bottom w:val="nil"/>
              <w:right w:val="nil"/>
            </w:tcBorders>
            <w:shd w:val="clear" w:color="auto" w:fill="F2F2F2" w:themeFill="background1" w:themeFillShade="F2"/>
            <w:noWrap/>
            <w:vAlign w:val="bottom"/>
          </w:tcPr>
          <w:p w14:paraId="1313E7B9" w14:textId="77777777" w:rsidR="00545FF7" w:rsidRPr="005210C6" w:rsidRDefault="00545FF7" w:rsidP="00545FF7">
            <w:pPr>
              <w:spacing w:after="0" w:line="240" w:lineRule="exact"/>
              <w:rPr>
                <w:rFonts w:ascii="Montserrat" w:hAnsi="Montserrat"/>
                <w:sz w:val="14"/>
                <w:szCs w:val="14"/>
                <w:lang w:val="es-ES_tradnl"/>
              </w:rPr>
            </w:pPr>
          </w:p>
        </w:tc>
        <w:tc>
          <w:tcPr>
            <w:tcW w:w="1345" w:type="dxa"/>
            <w:tcBorders>
              <w:top w:val="nil"/>
              <w:left w:val="nil"/>
              <w:bottom w:val="nil"/>
              <w:right w:val="nil"/>
            </w:tcBorders>
            <w:shd w:val="clear" w:color="auto" w:fill="F2F2F2" w:themeFill="background1" w:themeFillShade="F2"/>
            <w:noWrap/>
            <w:vAlign w:val="bottom"/>
          </w:tcPr>
          <w:p w14:paraId="7DAD573B" w14:textId="77777777" w:rsidR="00545FF7" w:rsidRPr="005210C6" w:rsidRDefault="00545FF7" w:rsidP="00545FF7">
            <w:pPr>
              <w:spacing w:after="0" w:line="240" w:lineRule="exact"/>
              <w:rPr>
                <w:rFonts w:ascii="Montserrat" w:hAnsi="Montserrat"/>
                <w:sz w:val="14"/>
                <w:szCs w:val="14"/>
                <w:lang w:val="es-ES_tradnl"/>
              </w:rPr>
            </w:pPr>
          </w:p>
        </w:tc>
        <w:tc>
          <w:tcPr>
            <w:tcW w:w="1560" w:type="dxa"/>
            <w:tcBorders>
              <w:top w:val="nil"/>
              <w:left w:val="nil"/>
              <w:bottom w:val="nil"/>
              <w:right w:val="nil"/>
            </w:tcBorders>
            <w:shd w:val="clear" w:color="auto" w:fill="F2F2F2" w:themeFill="background1" w:themeFillShade="F2"/>
            <w:noWrap/>
            <w:vAlign w:val="bottom"/>
          </w:tcPr>
          <w:p w14:paraId="7DF86705" w14:textId="13DB5D82" w:rsidR="00545FF7" w:rsidRPr="005210C6" w:rsidRDefault="00545FF7" w:rsidP="00545FF7">
            <w:pPr>
              <w:spacing w:after="0" w:line="240" w:lineRule="exact"/>
              <w:jc w:val="right"/>
              <w:rPr>
                <w:rFonts w:ascii="Montserrat" w:hAnsi="Montserrat"/>
                <w:sz w:val="14"/>
                <w:szCs w:val="14"/>
                <w:lang w:val="es-ES_tradnl"/>
              </w:rPr>
            </w:pPr>
            <w:r w:rsidRPr="00545FF7">
              <w:rPr>
                <w:rFonts w:ascii="Montserrat" w:hAnsi="Montserrat"/>
                <w:sz w:val="14"/>
                <w:szCs w:val="14"/>
                <w:lang w:val="es-ES_tradnl"/>
              </w:rPr>
              <w:t>35</w:t>
            </w:r>
            <w:r w:rsidR="00070196">
              <w:rPr>
                <w:rFonts w:ascii="Montserrat" w:hAnsi="Montserrat"/>
                <w:sz w:val="14"/>
                <w:szCs w:val="14"/>
                <w:lang w:val="es-ES_tradnl"/>
              </w:rPr>
              <w:t>,</w:t>
            </w:r>
            <w:r w:rsidRPr="00545FF7">
              <w:rPr>
                <w:rFonts w:ascii="Montserrat" w:hAnsi="Montserrat"/>
                <w:sz w:val="14"/>
                <w:szCs w:val="14"/>
                <w:lang w:val="es-ES_tradnl"/>
              </w:rPr>
              <w:t>449</w:t>
            </w:r>
            <w:r w:rsidR="00070196">
              <w:rPr>
                <w:rFonts w:ascii="Montserrat" w:hAnsi="Montserrat"/>
                <w:sz w:val="14"/>
                <w:szCs w:val="14"/>
                <w:lang w:val="es-ES_tradnl"/>
              </w:rPr>
              <w:t>,</w:t>
            </w:r>
            <w:r w:rsidRPr="00545FF7">
              <w:rPr>
                <w:rFonts w:ascii="Montserrat" w:hAnsi="Montserrat"/>
                <w:sz w:val="14"/>
                <w:szCs w:val="14"/>
                <w:lang w:val="es-ES_tradnl"/>
              </w:rPr>
              <w:t>232</w:t>
            </w:r>
            <w:r w:rsidR="00070196">
              <w:rPr>
                <w:rFonts w:ascii="Montserrat" w:hAnsi="Montserrat"/>
                <w:sz w:val="14"/>
                <w:szCs w:val="14"/>
                <w:lang w:val="es-ES_tradnl"/>
              </w:rPr>
              <w:t>,</w:t>
            </w:r>
            <w:r w:rsidRPr="00545FF7">
              <w:rPr>
                <w:rFonts w:ascii="Montserrat" w:hAnsi="Montserrat"/>
                <w:sz w:val="14"/>
                <w:szCs w:val="14"/>
                <w:lang w:val="es-ES_tradnl"/>
              </w:rPr>
              <w:t>213</w:t>
            </w:r>
          </w:p>
        </w:tc>
        <w:tc>
          <w:tcPr>
            <w:tcW w:w="662" w:type="dxa"/>
            <w:tcBorders>
              <w:top w:val="nil"/>
              <w:left w:val="nil"/>
              <w:bottom w:val="nil"/>
              <w:right w:val="nil"/>
            </w:tcBorders>
            <w:shd w:val="clear" w:color="auto" w:fill="F2F2F2" w:themeFill="background1" w:themeFillShade="F2"/>
            <w:noWrap/>
            <w:vAlign w:val="bottom"/>
          </w:tcPr>
          <w:p w14:paraId="3D951CEF" w14:textId="77777777" w:rsidR="00545FF7" w:rsidRPr="005210C6" w:rsidRDefault="00545FF7" w:rsidP="00545FF7">
            <w:pPr>
              <w:spacing w:after="0" w:line="240" w:lineRule="exact"/>
              <w:jc w:val="center"/>
              <w:rPr>
                <w:rFonts w:ascii="Montserrat" w:hAnsi="Montserrat"/>
                <w:sz w:val="14"/>
                <w:szCs w:val="14"/>
                <w:lang w:val="es-ES_tradnl"/>
              </w:rPr>
            </w:pPr>
            <w:r w:rsidRPr="005210C6">
              <w:rPr>
                <w:rFonts w:ascii="Montserrat" w:hAnsi="Montserrat"/>
                <w:sz w:val="14"/>
                <w:szCs w:val="14"/>
                <w:lang w:val="es-ES_tradnl"/>
              </w:rPr>
              <w:t>30</w:t>
            </w:r>
          </w:p>
        </w:tc>
        <w:tc>
          <w:tcPr>
            <w:tcW w:w="709" w:type="dxa"/>
            <w:tcBorders>
              <w:top w:val="nil"/>
              <w:left w:val="nil"/>
              <w:bottom w:val="nil"/>
              <w:right w:val="nil"/>
            </w:tcBorders>
            <w:shd w:val="clear" w:color="auto" w:fill="F2F2F2" w:themeFill="background1" w:themeFillShade="F2"/>
            <w:noWrap/>
            <w:vAlign w:val="bottom"/>
          </w:tcPr>
          <w:p w14:paraId="1C83C8E1" w14:textId="77777777" w:rsidR="00545FF7" w:rsidRPr="005210C6" w:rsidRDefault="00545FF7" w:rsidP="00545FF7">
            <w:pPr>
              <w:spacing w:after="0" w:line="240" w:lineRule="exact"/>
              <w:jc w:val="center"/>
              <w:rPr>
                <w:rFonts w:ascii="Montserrat" w:hAnsi="Montserrat"/>
                <w:sz w:val="14"/>
                <w:szCs w:val="14"/>
                <w:lang w:val="es-ES_tradnl"/>
              </w:rPr>
            </w:pPr>
            <w:r w:rsidRPr="005210C6">
              <w:rPr>
                <w:rFonts w:ascii="Montserrat" w:hAnsi="Montserrat"/>
                <w:sz w:val="14"/>
                <w:szCs w:val="14"/>
                <w:lang w:val="es-ES_tradnl"/>
              </w:rPr>
              <w:t>00</w:t>
            </w:r>
          </w:p>
        </w:tc>
        <w:tc>
          <w:tcPr>
            <w:tcW w:w="708" w:type="dxa"/>
            <w:tcBorders>
              <w:top w:val="nil"/>
              <w:left w:val="nil"/>
              <w:bottom w:val="nil"/>
              <w:right w:val="nil"/>
            </w:tcBorders>
            <w:shd w:val="clear" w:color="auto" w:fill="F2F2F2" w:themeFill="background1" w:themeFillShade="F2"/>
            <w:noWrap/>
            <w:vAlign w:val="bottom"/>
          </w:tcPr>
          <w:p w14:paraId="06BE213B" w14:textId="77777777" w:rsidR="00545FF7" w:rsidRPr="005210C6" w:rsidRDefault="00545FF7" w:rsidP="00545FF7">
            <w:pPr>
              <w:spacing w:after="0" w:line="240" w:lineRule="exact"/>
              <w:jc w:val="center"/>
              <w:rPr>
                <w:rFonts w:ascii="Montserrat" w:hAnsi="Montserrat"/>
                <w:sz w:val="14"/>
                <w:szCs w:val="14"/>
                <w:lang w:val="es-ES_tradnl"/>
              </w:rPr>
            </w:pPr>
            <w:r w:rsidRPr="005210C6">
              <w:rPr>
                <w:rFonts w:ascii="Montserrat" w:hAnsi="Montserrat"/>
                <w:sz w:val="14"/>
                <w:szCs w:val="14"/>
                <w:lang w:val="es-ES_tradnl"/>
              </w:rPr>
              <w:t>00</w:t>
            </w:r>
          </w:p>
        </w:tc>
        <w:tc>
          <w:tcPr>
            <w:tcW w:w="756" w:type="dxa"/>
            <w:tcBorders>
              <w:top w:val="nil"/>
              <w:left w:val="nil"/>
              <w:bottom w:val="nil"/>
              <w:right w:val="nil"/>
            </w:tcBorders>
            <w:shd w:val="clear" w:color="auto" w:fill="F2F2F2" w:themeFill="background1" w:themeFillShade="F2"/>
            <w:noWrap/>
            <w:vAlign w:val="bottom"/>
          </w:tcPr>
          <w:p w14:paraId="470D7E78" w14:textId="77777777" w:rsidR="00545FF7" w:rsidRPr="005210C6" w:rsidRDefault="00545FF7" w:rsidP="00545FF7">
            <w:pPr>
              <w:spacing w:after="0" w:line="240" w:lineRule="exact"/>
              <w:jc w:val="center"/>
              <w:rPr>
                <w:rFonts w:ascii="Montserrat" w:hAnsi="Montserrat"/>
                <w:sz w:val="14"/>
                <w:szCs w:val="14"/>
                <w:lang w:val="es-ES_tradnl"/>
              </w:rPr>
            </w:pPr>
            <w:r w:rsidRPr="005210C6">
              <w:rPr>
                <w:rFonts w:ascii="Montserrat" w:hAnsi="Montserrat"/>
                <w:sz w:val="14"/>
                <w:szCs w:val="14"/>
                <w:lang w:val="es-ES_tradnl"/>
              </w:rPr>
              <w:t>00</w:t>
            </w:r>
          </w:p>
        </w:tc>
        <w:tc>
          <w:tcPr>
            <w:tcW w:w="662" w:type="dxa"/>
            <w:tcBorders>
              <w:top w:val="nil"/>
              <w:left w:val="nil"/>
              <w:bottom w:val="nil"/>
              <w:right w:val="nil"/>
            </w:tcBorders>
            <w:shd w:val="clear" w:color="auto" w:fill="F2F2F2" w:themeFill="background1" w:themeFillShade="F2"/>
            <w:noWrap/>
            <w:vAlign w:val="bottom"/>
          </w:tcPr>
          <w:p w14:paraId="6BB9979C" w14:textId="619EF946" w:rsidR="00545FF7" w:rsidRPr="005210C6" w:rsidRDefault="00545FF7" w:rsidP="00545FF7">
            <w:pPr>
              <w:spacing w:after="0" w:line="240" w:lineRule="exact"/>
              <w:jc w:val="center"/>
              <w:rPr>
                <w:rFonts w:ascii="Montserrat" w:hAnsi="Montserrat"/>
                <w:sz w:val="14"/>
                <w:szCs w:val="14"/>
                <w:lang w:val="es-ES_tradnl"/>
              </w:rPr>
            </w:pPr>
            <w:r w:rsidRPr="000F0321">
              <w:rPr>
                <w:rFonts w:ascii="Montserrat" w:hAnsi="Montserrat"/>
                <w:sz w:val="14"/>
                <w:szCs w:val="14"/>
                <w:lang w:val="es-ES_tradnl"/>
              </w:rPr>
              <w:t>8.00%</w:t>
            </w:r>
          </w:p>
        </w:tc>
        <w:tc>
          <w:tcPr>
            <w:tcW w:w="850" w:type="dxa"/>
            <w:tcBorders>
              <w:top w:val="nil"/>
              <w:left w:val="nil"/>
              <w:bottom w:val="nil"/>
              <w:right w:val="nil"/>
            </w:tcBorders>
            <w:shd w:val="clear" w:color="auto" w:fill="F2F2F2" w:themeFill="background1" w:themeFillShade="F2"/>
            <w:noWrap/>
            <w:vAlign w:val="bottom"/>
          </w:tcPr>
          <w:p w14:paraId="49FA2997" w14:textId="77777777" w:rsidR="00545FF7" w:rsidRPr="005210C6" w:rsidRDefault="00545FF7" w:rsidP="00545FF7">
            <w:pPr>
              <w:spacing w:after="0" w:line="240" w:lineRule="exact"/>
              <w:rPr>
                <w:rFonts w:ascii="Montserrat" w:hAnsi="Montserrat"/>
                <w:sz w:val="14"/>
                <w:szCs w:val="14"/>
                <w:lang w:val="es-ES_tradnl"/>
              </w:rPr>
            </w:pPr>
          </w:p>
        </w:tc>
        <w:tc>
          <w:tcPr>
            <w:tcW w:w="567" w:type="dxa"/>
            <w:tcBorders>
              <w:top w:val="nil"/>
              <w:left w:val="nil"/>
              <w:bottom w:val="nil"/>
              <w:right w:val="nil"/>
            </w:tcBorders>
            <w:shd w:val="clear" w:color="auto" w:fill="F2F2F2" w:themeFill="background1" w:themeFillShade="F2"/>
            <w:noWrap/>
            <w:vAlign w:val="bottom"/>
          </w:tcPr>
          <w:p w14:paraId="1D1A71AE" w14:textId="77777777" w:rsidR="00545FF7" w:rsidRPr="005210C6" w:rsidRDefault="00545FF7" w:rsidP="00545FF7">
            <w:pPr>
              <w:spacing w:after="0" w:line="240" w:lineRule="exact"/>
              <w:jc w:val="right"/>
              <w:rPr>
                <w:rFonts w:ascii="Montserrat" w:hAnsi="Montserrat"/>
                <w:sz w:val="14"/>
                <w:szCs w:val="14"/>
                <w:lang w:val="es-ES_tradnl"/>
              </w:rPr>
            </w:pPr>
          </w:p>
        </w:tc>
        <w:tc>
          <w:tcPr>
            <w:tcW w:w="1043" w:type="dxa"/>
            <w:gridSpan w:val="2"/>
            <w:tcBorders>
              <w:top w:val="nil"/>
              <w:left w:val="nil"/>
              <w:bottom w:val="nil"/>
              <w:right w:val="nil"/>
            </w:tcBorders>
            <w:shd w:val="clear" w:color="auto" w:fill="F2F2F2" w:themeFill="background1" w:themeFillShade="F2"/>
            <w:noWrap/>
            <w:vAlign w:val="bottom"/>
            <w:hideMark/>
          </w:tcPr>
          <w:p w14:paraId="1A87E24D" w14:textId="77777777" w:rsidR="00545FF7" w:rsidRPr="005210C6" w:rsidRDefault="00545FF7" w:rsidP="00545FF7">
            <w:pPr>
              <w:spacing w:after="0" w:line="240" w:lineRule="exact"/>
              <w:jc w:val="right"/>
              <w:rPr>
                <w:rFonts w:ascii="Montserrat" w:hAnsi="Montserrat"/>
                <w:sz w:val="14"/>
                <w:szCs w:val="14"/>
                <w:lang w:val="es-ES_tradnl"/>
              </w:rPr>
            </w:pPr>
          </w:p>
        </w:tc>
        <w:tc>
          <w:tcPr>
            <w:tcW w:w="160" w:type="dxa"/>
            <w:gridSpan w:val="2"/>
            <w:tcBorders>
              <w:top w:val="nil"/>
              <w:left w:val="nil"/>
              <w:bottom w:val="nil"/>
              <w:right w:val="nil"/>
            </w:tcBorders>
            <w:shd w:val="clear" w:color="auto" w:fill="F2F2F2" w:themeFill="background1" w:themeFillShade="F2"/>
            <w:noWrap/>
            <w:vAlign w:val="bottom"/>
            <w:hideMark/>
          </w:tcPr>
          <w:p w14:paraId="6A015F63" w14:textId="77777777" w:rsidR="00545FF7" w:rsidRPr="005210C6" w:rsidRDefault="00545FF7" w:rsidP="00545FF7">
            <w:pPr>
              <w:spacing w:after="0" w:line="240" w:lineRule="exact"/>
              <w:jc w:val="right"/>
              <w:rPr>
                <w:rFonts w:ascii="Montserrat" w:hAnsi="Montserrat"/>
                <w:sz w:val="14"/>
                <w:szCs w:val="14"/>
                <w:lang w:val="es-ES_tradnl"/>
              </w:rPr>
            </w:pPr>
          </w:p>
        </w:tc>
        <w:tc>
          <w:tcPr>
            <w:tcW w:w="498" w:type="dxa"/>
            <w:tcBorders>
              <w:top w:val="nil"/>
              <w:left w:val="nil"/>
              <w:bottom w:val="nil"/>
              <w:right w:val="nil"/>
            </w:tcBorders>
            <w:shd w:val="clear" w:color="auto" w:fill="F2F2F2" w:themeFill="background1" w:themeFillShade="F2"/>
            <w:noWrap/>
            <w:vAlign w:val="bottom"/>
            <w:hideMark/>
          </w:tcPr>
          <w:p w14:paraId="51B55ABD" w14:textId="77777777" w:rsidR="00545FF7" w:rsidRPr="005210C6" w:rsidRDefault="00545FF7" w:rsidP="00545FF7">
            <w:pPr>
              <w:spacing w:after="0" w:line="240" w:lineRule="exact"/>
              <w:jc w:val="right"/>
              <w:rPr>
                <w:rFonts w:ascii="Montserrat" w:hAnsi="Montserrat"/>
                <w:sz w:val="14"/>
                <w:szCs w:val="14"/>
                <w:lang w:val="es-ES_tradnl"/>
              </w:rPr>
            </w:pPr>
          </w:p>
        </w:tc>
        <w:tc>
          <w:tcPr>
            <w:tcW w:w="567" w:type="dxa"/>
            <w:tcBorders>
              <w:top w:val="nil"/>
              <w:left w:val="nil"/>
              <w:bottom w:val="nil"/>
              <w:right w:val="nil"/>
            </w:tcBorders>
            <w:shd w:val="clear" w:color="auto" w:fill="F2F2F2" w:themeFill="background1" w:themeFillShade="F2"/>
            <w:noWrap/>
            <w:vAlign w:val="bottom"/>
            <w:hideMark/>
          </w:tcPr>
          <w:p w14:paraId="3566F594" w14:textId="77777777" w:rsidR="00545FF7" w:rsidRPr="005210C6" w:rsidRDefault="00545FF7" w:rsidP="00545FF7">
            <w:pPr>
              <w:spacing w:after="0" w:line="240" w:lineRule="exact"/>
              <w:jc w:val="right"/>
              <w:rPr>
                <w:rFonts w:ascii="Montserrat" w:hAnsi="Montserrat"/>
                <w:sz w:val="14"/>
                <w:szCs w:val="14"/>
                <w:lang w:val="es-ES_tradnl"/>
              </w:rPr>
            </w:pPr>
          </w:p>
        </w:tc>
        <w:tc>
          <w:tcPr>
            <w:tcW w:w="709" w:type="dxa"/>
            <w:tcBorders>
              <w:top w:val="nil"/>
              <w:left w:val="nil"/>
              <w:bottom w:val="nil"/>
            </w:tcBorders>
            <w:shd w:val="clear" w:color="auto" w:fill="F2F2F2" w:themeFill="background1" w:themeFillShade="F2"/>
            <w:noWrap/>
            <w:vAlign w:val="bottom"/>
            <w:hideMark/>
          </w:tcPr>
          <w:p w14:paraId="49E7FE57" w14:textId="77777777" w:rsidR="00545FF7" w:rsidRPr="005210C6" w:rsidRDefault="00545FF7" w:rsidP="00545FF7">
            <w:pPr>
              <w:spacing w:after="0" w:line="240" w:lineRule="exact"/>
              <w:jc w:val="right"/>
              <w:rPr>
                <w:rFonts w:ascii="Montserrat" w:hAnsi="Montserrat"/>
                <w:sz w:val="14"/>
                <w:szCs w:val="14"/>
                <w:lang w:val="es-ES_tradnl"/>
              </w:rPr>
            </w:pPr>
          </w:p>
        </w:tc>
      </w:tr>
      <w:tr w:rsidR="009C3C24" w:rsidRPr="005210C6" w14:paraId="3EDB7A42" w14:textId="77777777" w:rsidTr="0023764E">
        <w:trPr>
          <w:trHeight w:val="240"/>
        </w:trPr>
        <w:tc>
          <w:tcPr>
            <w:tcW w:w="923" w:type="dxa"/>
            <w:tcBorders>
              <w:right w:val="nil"/>
            </w:tcBorders>
            <w:shd w:val="clear" w:color="auto" w:fill="F2F2F2" w:themeFill="background1" w:themeFillShade="F2"/>
            <w:noWrap/>
            <w:vAlign w:val="bottom"/>
            <w:hideMark/>
          </w:tcPr>
          <w:p w14:paraId="1A54128E" w14:textId="77777777" w:rsidR="009C3C24" w:rsidRPr="005210C6" w:rsidRDefault="009C3C24" w:rsidP="002F797B">
            <w:pPr>
              <w:spacing w:after="0" w:line="240" w:lineRule="exact"/>
              <w:rPr>
                <w:rFonts w:ascii="Montserrat" w:hAnsi="Montserrat"/>
                <w:bCs/>
                <w:sz w:val="14"/>
                <w:szCs w:val="14"/>
                <w:lang w:val="es-ES_tradnl"/>
              </w:rPr>
            </w:pPr>
            <w:r w:rsidRPr="005210C6">
              <w:rPr>
                <w:rFonts w:ascii="Montserrat" w:hAnsi="Montserrat"/>
                <w:bCs/>
                <w:sz w:val="14"/>
                <w:szCs w:val="14"/>
                <w:lang w:val="es-ES_tradnl"/>
              </w:rPr>
              <w:t>Udibonos</w:t>
            </w:r>
          </w:p>
        </w:tc>
        <w:tc>
          <w:tcPr>
            <w:tcW w:w="567" w:type="dxa"/>
            <w:tcBorders>
              <w:left w:val="nil"/>
              <w:right w:val="nil"/>
            </w:tcBorders>
            <w:shd w:val="clear" w:color="auto" w:fill="F2F2F2" w:themeFill="background1" w:themeFillShade="F2"/>
            <w:noWrap/>
          </w:tcPr>
          <w:p w14:paraId="265892DA" w14:textId="77777777" w:rsidR="009C3C24" w:rsidRPr="005210C6" w:rsidRDefault="009C3C24" w:rsidP="002F797B">
            <w:pPr>
              <w:spacing w:after="0" w:line="240" w:lineRule="exact"/>
              <w:ind w:left="-358" w:firstLine="358"/>
              <w:rPr>
                <w:rFonts w:ascii="Montserrat" w:hAnsi="Montserrat"/>
                <w:sz w:val="14"/>
                <w:szCs w:val="14"/>
                <w:lang w:val="es-ES_tradnl"/>
              </w:rPr>
            </w:pPr>
          </w:p>
          <w:p w14:paraId="2F0670B1" w14:textId="77777777" w:rsidR="009C3C24" w:rsidRPr="005210C6" w:rsidRDefault="009C3C24" w:rsidP="002F797B">
            <w:pPr>
              <w:spacing w:after="0" w:line="240" w:lineRule="exact"/>
              <w:ind w:left="-358" w:firstLine="358"/>
              <w:rPr>
                <w:rFonts w:ascii="Montserrat" w:hAnsi="Montserrat"/>
                <w:sz w:val="14"/>
                <w:szCs w:val="14"/>
                <w:lang w:val="es-ES_tradnl"/>
              </w:rPr>
            </w:pPr>
            <w:r w:rsidRPr="005210C6">
              <w:rPr>
                <w:rFonts w:ascii="Montserrat" w:hAnsi="Montserrat"/>
                <w:sz w:val="14"/>
                <w:szCs w:val="14"/>
                <w:lang w:val="es-ES_tradnl"/>
              </w:rPr>
              <w:t>Mex.</w:t>
            </w:r>
          </w:p>
        </w:tc>
        <w:tc>
          <w:tcPr>
            <w:tcW w:w="425" w:type="dxa"/>
            <w:tcBorders>
              <w:left w:val="nil"/>
              <w:right w:val="nil"/>
            </w:tcBorders>
            <w:shd w:val="clear" w:color="auto" w:fill="F2F2F2" w:themeFill="background1" w:themeFillShade="F2"/>
            <w:noWrap/>
          </w:tcPr>
          <w:p w14:paraId="251DF252" w14:textId="77777777" w:rsidR="009C3C24" w:rsidRPr="005210C6" w:rsidRDefault="009C3C24" w:rsidP="002F797B">
            <w:pPr>
              <w:spacing w:after="0" w:line="240" w:lineRule="exact"/>
              <w:ind w:left="-358" w:firstLine="358"/>
              <w:rPr>
                <w:rFonts w:ascii="Montserrat" w:hAnsi="Montserrat"/>
                <w:sz w:val="14"/>
                <w:szCs w:val="14"/>
                <w:lang w:val="es-ES_tradnl"/>
              </w:rPr>
            </w:pPr>
          </w:p>
          <w:p w14:paraId="08E5FA3A" w14:textId="77777777" w:rsidR="009C3C24" w:rsidRPr="005210C6" w:rsidRDefault="009C3C24" w:rsidP="002F797B">
            <w:pPr>
              <w:spacing w:after="0" w:line="240" w:lineRule="exact"/>
              <w:ind w:left="-358" w:firstLine="358"/>
              <w:rPr>
                <w:rFonts w:ascii="Montserrat" w:hAnsi="Montserrat"/>
                <w:sz w:val="14"/>
                <w:szCs w:val="14"/>
                <w:lang w:val="es-ES_tradnl"/>
              </w:rPr>
            </w:pPr>
            <w:r w:rsidRPr="005210C6">
              <w:rPr>
                <w:rFonts w:ascii="Montserrat" w:hAnsi="Montserrat"/>
                <w:sz w:val="14"/>
                <w:szCs w:val="14"/>
                <w:lang w:val="es-ES_tradnl"/>
              </w:rPr>
              <w:t>Pso.</w:t>
            </w:r>
          </w:p>
        </w:tc>
        <w:tc>
          <w:tcPr>
            <w:tcW w:w="709" w:type="dxa"/>
            <w:tcBorders>
              <w:left w:val="nil"/>
              <w:right w:val="nil"/>
            </w:tcBorders>
            <w:shd w:val="clear" w:color="auto" w:fill="F2F2F2" w:themeFill="background1" w:themeFillShade="F2"/>
            <w:noWrap/>
          </w:tcPr>
          <w:p w14:paraId="79BD2CA7" w14:textId="77777777" w:rsidR="009C3C24" w:rsidRPr="005210C6" w:rsidRDefault="009C3C24" w:rsidP="002F797B">
            <w:pPr>
              <w:spacing w:after="0" w:line="240" w:lineRule="exact"/>
              <w:ind w:left="-358" w:firstLine="358"/>
              <w:rPr>
                <w:rFonts w:ascii="Montserrat" w:hAnsi="Montserrat"/>
                <w:sz w:val="14"/>
                <w:szCs w:val="14"/>
                <w:lang w:val="es-ES_tradnl"/>
              </w:rPr>
            </w:pPr>
          </w:p>
        </w:tc>
        <w:tc>
          <w:tcPr>
            <w:tcW w:w="1345" w:type="dxa"/>
            <w:tcBorders>
              <w:left w:val="nil"/>
              <w:right w:val="nil"/>
            </w:tcBorders>
            <w:shd w:val="clear" w:color="auto" w:fill="F2F2F2" w:themeFill="background1" w:themeFillShade="F2"/>
            <w:noWrap/>
          </w:tcPr>
          <w:p w14:paraId="6966FB9A" w14:textId="77777777" w:rsidR="009C3C24" w:rsidRPr="005210C6" w:rsidRDefault="009C3C24" w:rsidP="002F797B">
            <w:pPr>
              <w:spacing w:after="0" w:line="240" w:lineRule="exact"/>
              <w:jc w:val="center"/>
              <w:rPr>
                <w:rFonts w:ascii="Montserrat" w:hAnsi="Montserrat"/>
                <w:sz w:val="14"/>
                <w:szCs w:val="14"/>
                <w:lang w:val="es-ES_tradnl"/>
              </w:rPr>
            </w:pPr>
          </w:p>
          <w:p w14:paraId="2ECF2361" w14:textId="77777777" w:rsidR="009C3C24" w:rsidRPr="005210C6" w:rsidRDefault="009C3C24" w:rsidP="002F797B">
            <w:pPr>
              <w:spacing w:after="0" w:line="240" w:lineRule="exact"/>
              <w:jc w:val="center"/>
              <w:rPr>
                <w:rFonts w:ascii="Montserrat" w:hAnsi="Montserrat"/>
                <w:sz w:val="14"/>
                <w:szCs w:val="14"/>
                <w:lang w:val="es-ES_tradnl"/>
              </w:rPr>
            </w:pPr>
            <w:r w:rsidRPr="005210C6">
              <w:rPr>
                <w:rFonts w:ascii="Montserrat" w:hAnsi="Montserrat"/>
                <w:sz w:val="14"/>
                <w:szCs w:val="14"/>
                <w:lang w:val="es-ES_tradnl"/>
              </w:rPr>
              <w:t>Banco de México.</w:t>
            </w:r>
          </w:p>
        </w:tc>
        <w:tc>
          <w:tcPr>
            <w:tcW w:w="1560" w:type="dxa"/>
            <w:tcBorders>
              <w:left w:val="nil"/>
              <w:right w:val="nil"/>
            </w:tcBorders>
            <w:shd w:val="clear" w:color="auto" w:fill="F2F2F2" w:themeFill="background1" w:themeFillShade="F2"/>
            <w:noWrap/>
            <w:vAlign w:val="bottom"/>
          </w:tcPr>
          <w:p w14:paraId="5B8D114F" w14:textId="2ACDE359" w:rsidR="009C3C24" w:rsidRPr="005210C6" w:rsidRDefault="00545FF7" w:rsidP="002F797B">
            <w:pPr>
              <w:spacing w:after="0" w:line="240" w:lineRule="exact"/>
              <w:jc w:val="right"/>
              <w:rPr>
                <w:rFonts w:ascii="Montserrat" w:hAnsi="Montserrat"/>
                <w:sz w:val="14"/>
                <w:szCs w:val="14"/>
                <w:lang w:val="es-ES_tradnl"/>
              </w:rPr>
            </w:pPr>
            <w:r w:rsidRPr="00545FF7">
              <w:rPr>
                <w:rFonts w:ascii="Montserrat" w:hAnsi="Montserrat"/>
                <w:sz w:val="14"/>
                <w:szCs w:val="14"/>
                <w:lang w:val="es-ES_tradnl"/>
              </w:rPr>
              <w:t>234</w:t>
            </w:r>
            <w:r w:rsidR="00070196">
              <w:rPr>
                <w:rFonts w:ascii="Montserrat" w:hAnsi="Montserrat"/>
                <w:sz w:val="14"/>
                <w:szCs w:val="14"/>
                <w:lang w:val="es-ES_tradnl"/>
              </w:rPr>
              <w:t>,</w:t>
            </w:r>
            <w:r w:rsidRPr="00545FF7">
              <w:rPr>
                <w:rFonts w:ascii="Montserrat" w:hAnsi="Montserrat"/>
                <w:sz w:val="14"/>
                <w:szCs w:val="14"/>
                <w:lang w:val="es-ES_tradnl"/>
              </w:rPr>
              <w:t>079</w:t>
            </w:r>
            <w:r w:rsidR="00070196">
              <w:rPr>
                <w:rFonts w:ascii="Montserrat" w:hAnsi="Montserrat"/>
                <w:sz w:val="14"/>
                <w:szCs w:val="14"/>
                <w:lang w:val="es-ES_tradnl"/>
              </w:rPr>
              <w:t>,</w:t>
            </w:r>
            <w:r w:rsidRPr="00545FF7">
              <w:rPr>
                <w:rFonts w:ascii="Montserrat" w:hAnsi="Montserrat"/>
                <w:sz w:val="14"/>
                <w:szCs w:val="14"/>
                <w:lang w:val="es-ES_tradnl"/>
              </w:rPr>
              <w:t>946</w:t>
            </w:r>
            <w:r w:rsidR="00070196">
              <w:rPr>
                <w:rFonts w:ascii="Montserrat" w:hAnsi="Montserrat"/>
                <w:sz w:val="14"/>
                <w:szCs w:val="14"/>
                <w:lang w:val="es-ES_tradnl"/>
              </w:rPr>
              <w:t>,</w:t>
            </w:r>
            <w:r w:rsidRPr="00545FF7">
              <w:rPr>
                <w:rFonts w:ascii="Montserrat" w:hAnsi="Montserrat"/>
                <w:sz w:val="14"/>
                <w:szCs w:val="14"/>
                <w:lang w:val="es-ES_tradnl"/>
              </w:rPr>
              <w:t>059</w:t>
            </w:r>
          </w:p>
        </w:tc>
        <w:tc>
          <w:tcPr>
            <w:tcW w:w="662" w:type="dxa"/>
            <w:tcBorders>
              <w:left w:val="nil"/>
              <w:right w:val="nil"/>
            </w:tcBorders>
            <w:shd w:val="clear" w:color="auto" w:fill="F2F2F2" w:themeFill="background1" w:themeFillShade="F2"/>
            <w:noWrap/>
            <w:vAlign w:val="bottom"/>
          </w:tcPr>
          <w:p w14:paraId="4DDDF211" w14:textId="77777777" w:rsidR="009C3C24" w:rsidRPr="005210C6" w:rsidRDefault="009C3C24" w:rsidP="002F797B">
            <w:pPr>
              <w:spacing w:after="0" w:line="240" w:lineRule="exact"/>
              <w:jc w:val="center"/>
              <w:rPr>
                <w:rFonts w:ascii="Montserrat" w:hAnsi="Montserrat"/>
                <w:sz w:val="14"/>
                <w:szCs w:val="14"/>
                <w:lang w:val="es-ES_tradnl"/>
              </w:rPr>
            </w:pPr>
          </w:p>
        </w:tc>
        <w:tc>
          <w:tcPr>
            <w:tcW w:w="709" w:type="dxa"/>
            <w:tcBorders>
              <w:left w:val="nil"/>
              <w:right w:val="nil"/>
            </w:tcBorders>
            <w:shd w:val="clear" w:color="auto" w:fill="F2F2F2" w:themeFill="background1" w:themeFillShade="F2"/>
            <w:noWrap/>
            <w:vAlign w:val="bottom"/>
          </w:tcPr>
          <w:p w14:paraId="569C655E" w14:textId="77777777" w:rsidR="009C3C24" w:rsidRPr="005210C6" w:rsidRDefault="009C3C24" w:rsidP="002F797B">
            <w:pPr>
              <w:spacing w:after="0" w:line="240" w:lineRule="exact"/>
              <w:jc w:val="center"/>
              <w:rPr>
                <w:rFonts w:ascii="Montserrat" w:hAnsi="Montserrat"/>
                <w:sz w:val="14"/>
                <w:szCs w:val="14"/>
                <w:lang w:val="es-ES_tradnl"/>
              </w:rPr>
            </w:pPr>
          </w:p>
        </w:tc>
        <w:tc>
          <w:tcPr>
            <w:tcW w:w="708" w:type="dxa"/>
            <w:tcBorders>
              <w:left w:val="nil"/>
              <w:right w:val="nil"/>
            </w:tcBorders>
            <w:shd w:val="clear" w:color="auto" w:fill="F2F2F2" w:themeFill="background1" w:themeFillShade="F2"/>
            <w:noWrap/>
            <w:vAlign w:val="bottom"/>
          </w:tcPr>
          <w:p w14:paraId="48E9B644" w14:textId="77777777" w:rsidR="009C3C24" w:rsidRPr="005210C6" w:rsidRDefault="009C3C24" w:rsidP="002F797B">
            <w:pPr>
              <w:spacing w:after="0" w:line="240" w:lineRule="exact"/>
              <w:jc w:val="center"/>
              <w:rPr>
                <w:rFonts w:ascii="Montserrat" w:hAnsi="Montserrat"/>
                <w:sz w:val="14"/>
                <w:szCs w:val="14"/>
                <w:lang w:val="es-ES_tradnl"/>
              </w:rPr>
            </w:pPr>
          </w:p>
        </w:tc>
        <w:tc>
          <w:tcPr>
            <w:tcW w:w="756" w:type="dxa"/>
            <w:tcBorders>
              <w:left w:val="nil"/>
              <w:right w:val="nil"/>
            </w:tcBorders>
            <w:shd w:val="clear" w:color="auto" w:fill="F2F2F2" w:themeFill="background1" w:themeFillShade="F2"/>
            <w:noWrap/>
            <w:vAlign w:val="bottom"/>
          </w:tcPr>
          <w:p w14:paraId="490236DA" w14:textId="77777777" w:rsidR="009C3C24" w:rsidRPr="005210C6" w:rsidRDefault="009C3C24" w:rsidP="002F797B">
            <w:pPr>
              <w:spacing w:after="0" w:line="240" w:lineRule="exact"/>
              <w:jc w:val="center"/>
              <w:rPr>
                <w:rFonts w:ascii="Montserrat" w:hAnsi="Montserrat"/>
                <w:sz w:val="14"/>
                <w:szCs w:val="14"/>
                <w:lang w:val="es-ES_tradnl"/>
              </w:rPr>
            </w:pPr>
          </w:p>
        </w:tc>
        <w:tc>
          <w:tcPr>
            <w:tcW w:w="662" w:type="dxa"/>
            <w:tcBorders>
              <w:left w:val="nil"/>
              <w:right w:val="nil"/>
            </w:tcBorders>
            <w:shd w:val="clear" w:color="auto" w:fill="F2F2F2" w:themeFill="background1" w:themeFillShade="F2"/>
            <w:noWrap/>
            <w:vAlign w:val="bottom"/>
          </w:tcPr>
          <w:p w14:paraId="74FF3577" w14:textId="77777777" w:rsidR="009C3C24" w:rsidRPr="005210C6" w:rsidRDefault="009C3C24" w:rsidP="002F797B">
            <w:pPr>
              <w:spacing w:after="0" w:line="240" w:lineRule="exact"/>
              <w:jc w:val="right"/>
              <w:rPr>
                <w:rFonts w:ascii="Montserrat" w:hAnsi="Montserrat"/>
                <w:sz w:val="14"/>
                <w:szCs w:val="14"/>
                <w:lang w:val="es-ES_tradnl"/>
              </w:rPr>
            </w:pPr>
          </w:p>
        </w:tc>
        <w:tc>
          <w:tcPr>
            <w:tcW w:w="850" w:type="dxa"/>
            <w:tcBorders>
              <w:left w:val="nil"/>
              <w:right w:val="nil"/>
            </w:tcBorders>
            <w:shd w:val="clear" w:color="auto" w:fill="F2F2F2" w:themeFill="background1" w:themeFillShade="F2"/>
            <w:noWrap/>
            <w:vAlign w:val="bottom"/>
          </w:tcPr>
          <w:p w14:paraId="7DB30220" w14:textId="77777777" w:rsidR="009C3C24" w:rsidRPr="005210C6" w:rsidRDefault="009C3C24" w:rsidP="002F797B">
            <w:pPr>
              <w:spacing w:after="0" w:line="240" w:lineRule="exact"/>
              <w:rPr>
                <w:rFonts w:ascii="Montserrat" w:hAnsi="Montserrat"/>
                <w:sz w:val="14"/>
                <w:szCs w:val="14"/>
                <w:lang w:val="es-ES_tradnl"/>
              </w:rPr>
            </w:pPr>
          </w:p>
        </w:tc>
        <w:tc>
          <w:tcPr>
            <w:tcW w:w="567" w:type="dxa"/>
            <w:tcBorders>
              <w:left w:val="nil"/>
              <w:right w:val="nil"/>
            </w:tcBorders>
            <w:shd w:val="clear" w:color="auto" w:fill="F2F2F2" w:themeFill="background1" w:themeFillShade="F2"/>
            <w:noWrap/>
            <w:vAlign w:val="bottom"/>
          </w:tcPr>
          <w:p w14:paraId="5765750B" w14:textId="77777777" w:rsidR="009C3C24" w:rsidRPr="005210C6" w:rsidRDefault="009C3C24" w:rsidP="002F797B">
            <w:pPr>
              <w:spacing w:after="0" w:line="240" w:lineRule="exact"/>
              <w:jc w:val="right"/>
              <w:rPr>
                <w:rFonts w:ascii="Montserrat" w:hAnsi="Montserrat"/>
                <w:sz w:val="14"/>
                <w:szCs w:val="14"/>
                <w:lang w:val="es-ES_tradnl"/>
              </w:rPr>
            </w:pPr>
          </w:p>
        </w:tc>
        <w:tc>
          <w:tcPr>
            <w:tcW w:w="1043" w:type="dxa"/>
            <w:gridSpan w:val="2"/>
            <w:tcBorders>
              <w:left w:val="nil"/>
              <w:right w:val="nil"/>
            </w:tcBorders>
            <w:shd w:val="clear" w:color="auto" w:fill="F2F2F2" w:themeFill="background1" w:themeFillShade="F2"/>
            <w:noWrap/>
            <w:vAlign w:val="bottom"/>
            <w:hideMark/>
          </w:tcPr>
          <w:p w14:paraId="6A4804BB" w14:textId="77777777" w:rsidR="009C3C24" w:rsidRPr="005210C6" w:rsidRDefault="009C3C24" w:rsidP="002F797B">
            <w:pPr>
              <w:spacing w:after="0" w:line="240" w:lineRule="exact"/>
              <w:jc w:val="right"/>
              <w:rPr>
                <w:rFonts w:ascii="Montserrat" w:hAnsi="Montserrat"/>
                <w:sz w:val="14"/>
                <w:szCs w:val="14"/>
                <w:lang w:val="es-ES_tradnl"/>
              </w:rPr>
            </w:pPr>
          </w:p>
        </w:tc>
        <w:tc>
          <w:tcPr>
            <w:tcW w:w="160" w:type="dxa"/>
            <w:gridSpan w:val="2"/>
            <w:tcBorders>
              <w:left w:val="nil"/>
              <w:right w:val="nil"/>
            </w:tcBorders>
            <w:shd w:val="clear" w:color="auto" w:fill="F2F2F2" w:themeFill="background1" w:themeFillShade="F2"/>
            <w:noWrap/>
            <w:vAlign w:val="bottom"/>
            <w:hideMark/>
          </w:tcPr>
          <w:p w14:paraId="67EA5CB0" w14:textId="77777777" w:rsidR="009C3C24" w:rsidRPr="005210C6" w:rsidRDefault="009C3C24" w:rsidP="002F797B">
            <w:pPr>
              <w:spacing w:after="0" w:line="240" w:lineRule="exact"/>
              <w:jc w:val="right"/>
              <w:rPr>
                <w:rFonts w:ascii="Montserrat" w:hAnsi="Montserrat"/>
                <w:sz w:val="14"/>
                <w:szCs w:val="14"/>
                <w:lang w:val="es-ES_tradnl"/>
              </w:rPr>
            </w:pPr>
          </w:p>
        </w:tc>
        <w:tc>
          <w:tcPr>
            <w:tcW w:w="498" w:type="dxa"/>
            <w:tcBorders>
              <w:left w:val="nil"/>
              <w:right w:val="nil"/>
            </w:tcBorders>
            <w:shd w:val="clear" w:color="auto" w:fill="F2F2F2" w:themeFill="background1" w:themeFillShade="F2"/>
            <w:noWrap/>
            <w:vAlign w:val="bottom"/>
            <w:hideMark/>
          </w:tcPr>
          <w:p w14:paraId="24F2B537" w14:textId="77777777" w:rsidR="009C3C24" w:rsidRPr="005210C6" w:rsidRDefault="009C3C24" w:rsidP="002F797B">
            <w:pPr>
              <w:spacing w:after="0" w:line="240" w:lineRule="exact"/>
              <w:jc w:val="right"/>
              <w:rPr>
                <w:rFonts w:ascii="Montserrat" w:hAnsi="Montserrat"/>
                <w:sz w:val="14"/>
                <w:szCs w:val="14"/>
                <w:lang w:val="es-ES_tradnl"/>
              </w:rPr>
            </w:pPr>
          </w:p>
        </w:tc>
        <w:tc>
          <w:tcPr>
            <w:tcW w:w="567" w:type="dxa"/>
            <w:tcBorders>
              <w:left w:val="nil"/>
              <w:right w:val="nil"/>
            </w:tcBorders>
            <w:shd w:val="clear" w:color="auto" w:fill="F2F2F2" w:themeFill="background1" w:themeFillShade="F2"/>
            <w:noWrap/>
            <w:vAlign w:val="bottom"/>
            <w:hideMark/>
          </w:tcPr>
          <w:p w14:paraId="0E1EBA54" w14:textId="77777777" w:rsidR="009C3C24" w:rsidRPr="005210C6" w:rsidRDefault="009C3C24" w:rsidP="002F797B">
            <w:pPr>
              <w:spacing w:after="0" w:line="240" w:lineRule="exact"/>
              <w:jc w:val="right"/>
              <w:rPr>
                <w:rFonts w:ascii="Montserrat" w:hAnsi="Montserrat"/>
                <w:sz w:val="14"/>
                <w:szCs w:val="14"/>
                <w:lang w:val="es-ES_tradnl"/>
              </w:rPr>
            </w:pPr>
          </w:p>
        </w:tc>
        <w:tc>
          <w:tcPr>
            <w:tcW w:w="709" w:type="dxa"/>
            <w:tcBorders>
              <w:left w:val="nil"/>
            </w:tcBorders>
            <w:shd w:val="clear" w:color="auto" w:fill="F2F2F2" w:themeFill="background1" w:themeFillShade="F2"/>
            <w:noWrap/>
            <w:vAlign w:val="bottom"/>
            <w:hideMark/>
          </w:tcPr>
          <w:p w14:paraId="4BDED699" w14:textId="77777777" w:rsidR="009C3C24" w:rsidRPr="005210C6" w:rsidRDefault="009C3C24" w:rsidP="002F797B">
            <w:pPr>
              <w:spacing w:after="0" w:line="240" w:lineRule="exact"/>
              <w:jc w:val="right"/>
              <w:rPr>
                <w:rFonts w:ascii="Montserrat" w:hAnsi="Montserrat"/>
                <w:sz w:val="14"/>
                <w:szCs w:val="14"/>
                <w:lang w:val="es-ES_tradnl"/>
              </w:rPr>
            </w:pPr>
          </w:p>
        </w:tc>
      </w:tr>
      <w:tr w:rsidR="009C3C24" w:rsidRPr="005210C6" w14:paraId="3A013519" w14:textId="77777777" w:rsidTr="0023764E">
        <w:trPr>
          <w:trHeight w:val="240"/>
        </w:trPr>
        <w:tc>
          <w:tcPr>
            <w:tcW w:w="923" w:type="dxa"/>
            <w:tcBorders>
              <w:top w:val="nil"/>
              <w:bottom w:val="nil"/>
              <w:right w:val="nil"/>
            </w:tcBorders>
            <w:shd w:val="clear" w:color="auto" w:fill="F2F2F2" w:themeFill="background1" w:themeFillShade="F2"/>
            <w:noWrap/>
            <w:vAlign w:val="bottom"/>
            <w:hideMark/>
          </w:tcPr>
          <w:p w14:paraId="04EE052E" w14:textId="77777777" w:rsidR="009C3C24" w:rsidRPr="005210C6" w:rsidRDefault="009C3C24" w:rsidP="002F797B">
            <w:pPr>
              <w:spacing w:after="0" w:line="240" w:lineRule="exact"/>
              <w:rPr>
                <w:rFonts w:ascii="Montserrat" w:hAnsi="Montserrat"/>
                <w:sz w:val="14"/>
                <w:szCs w:val="14"/>
                <w:lang w:val="es-ES_tradnl"/>
              </w:rPr>
            </w:pPr>
          </w:p>
        </w:tc>
        <w:tc>
          <w:tcPr>
            <w:tcW w:w="567" w:type="dxa"/>
            <w:tcBorders>
              <w:top w:val="nil"/>
              <w:left w:val="nil"/>
              <w:bottom w:val="nil"/>
              <w:right w:val="nil"/>
            </w:tcBorders>
            <w:shd w:val="clear" w:color="auto" w:fill="F2F2F2" w:themeFill="background1" w:themeFillShade="F2"/>
            <w:noWrap/>
            <w:vAlign w:val="bottom"/>
          </w:tcPr>
          <w:p w14:paraId="3A4968F6" w14:textId="77777777" w:rsidR="009C3C24" w:rsidRPr="005210C6" w:rsidRDefault="009C3C24" w:rsidP="002F797B">
            <w:pPr>
              <w:spacing w:after="0" w:line="240" w:lineRule="exact"/>
              <w:rPr>
                <w:rFonts w:ascii="Montserrat" w:hAnsi="Montserrat"/>
                <w:sz w:val="14"/>
                <w:szCs w:val="14"/>
                <w:lang w:val="es-ES_tradnl"/>
              </w:rPr>
            </w:pPr>
          </w:p>
        </w:tc>
        <w:tc>
          <w:tcPr>
            <w:tcW w:w="425" w:type="dxa"/>
            <w:tcBorders>
              <w:top w:val="nil"/>
              <w:left w:val="nil"/>
              <w:bottom w:val="nil"/>
              <w:right w:val="nil"/>
            </w:tcBorders>
            <w:shd w:val="clear" w:color="auto" w:fill="F2F2F2" w:themeFill="background1" w:themeFillShade="F2"/>
            <w:noWrap/>
            <w:vAlign w:val="bottom"/>
          </w:tcPr>
          <w:p w14:paraId="2D4C8880" w14:textId="77777777" w:rsidR="009C3C24" w:rsidRPr="005210C6" w:rsidRDefault="009C3C24" w:rsidP="002F797B">
            <w:pPr>
              <w:spacing w:after="0" w:line="240" w:lineRule="exact"/>
              <w:rPr>
                <w:rFonts w:ascii="Montserrat" w:hAnsi="Montserrat"/>
                <w:sz w:val="14"/>
                <w:szCs w:val="14"/>
                <w:lang w:val="es-ES_tradnl"/>
              </w:rPr>
            </w:pPr>
          </w:p>
        </w:tc>
        <w:tc>
          <w:tcPr>
            <w:tcW w:w="709" w:type="dxa"/>
            <w:tcBorders>
              <w:top w:val="nil"/>
              <w:left w:val="nil"/>
              <w:bottom w:val="nil"/>
              <w:right w:val="nil"/>
            </w:tcBorders>
            <w:shd w:val="clear" w:color="auto" w:fill="F2F2F2" w:themeFill="background1" w:themeFillShade="F2"/>
            <w:noWrap/>
            <w:vAlign w:val="bottom"/>
          </w:tcPr>
          <w:p w14:paraId="6C1D55E3" w14:textId="77777777" w:rsidR="009C3C24" w:rsidRPr="005210C6" w:rsidRDefault="009C3C24" w:rsidP="002F797B">
            <w:pPr>
              <w:spacing w:after="0" w:line="240" w:lineRule="exact"/>
              <w:rPr>
                <w:rFonts w:ascii="Montserrat" w:hAnsi="Montserrat"/>
                <w:sz w:val="14"/>
                <w:szCs w:val="14"/>
                <w:lang w:val="es-ES_tradnl"/>
              </w:rPr>
            </w:pPr>
          </w:p>
        </w:tc>
        <w:tc>
          <w:tcPr>
            <w:tcW w:w="1345" w:type="dxa"/>
            <w:tcBorders>
              <w:top w:val="nil"/>
              <w:left w:val="nil"/>
              <w:bottom w:val="nil"/>
              <w:right w:val="nil"/>
            </w:tcBorders>
            <w:shd w:val="clear" w:color="auto" w:fill="F2F2F2" w:themeFill="background1" w:themeFillShade="F2"/>
            <w:noWrap/>
            <w:vAlign w:val="bottom"/>
          </w:tcPr>
          <w:p w14:paraId="3C74D8EE" w14:textId="77777777" w:rsidR="009C3C24" w:rsidRPr="005210C6" w:rsidRDefault="009C3C24" w:rsidP="002F797B">
            <w:pPr>
              <w:spacing w:after="0" w:line="240" w:lineRule="exact"/>
              <w:rPr>
                <w:rFonts w:ascii="Montserrat" w:hAnsi="Montserrat"/>
                <w:sz w:val="14"/>
                <w:szCs w:val="14"/>
                <w:lang w:val="es-ES_tradnl"/>
              </w:rPr>
            </w:pPr>
          </w:p>
        </w:tc>
        <w:tc>
          <w:tcPr>
            <w:tcW w:w="1560" w:type="dxa"/>
            <w:tcBorders>
              <w:top w:val="nil"/>
              <w:left w:val="nil"/>
              <w:bottom w:val="nil"/>
              <w:right w:val="nil"/>
            </w:tcBorders>
            <w:shd w:val="clear" w:color="auto" w:fill="F2F2F2" w:themeFill="background1" w:themeFillShade="F2"/>
            <w:noWrap/>
            <w:vAlign w:val="bottom"/>
          </w:tcPr>
          <w:p w14:paraId="69B2F8DA" w14:textId="37979CE8" w:rsidR="009C3C24" w:rsidRPr="005210C6" w:rsidRDefault="00545FF7" w:rsidP="002F797B">
            <w:pPr>
              <w:spacing w:after="0" w:line="240" w:lineRule="exact"/>
              <w:jc w:val="right"/>
              <w:rPr>
                <w:rFonts w:ascii="Montserrat" w:hAnsi="Montserrat"/>
                <w:sz w:val="14"/>
                <w:szCs w:val="14"/>
                <w:lang w:val="es-ES_tradnl"/>
              </w:rPr>
            </w:pPr>
            <w:r w:rsidRPr="00545FF7">
              <w:rPr>
                <w:rFonts w:ascii="Montserrat" w:hAnsi="Montserrat"/>
                <w:sz w:val="14"/>
                <w:szCs w:val="14"/>
                <w:lang w:val="es-ES_tradnl"/>
              </w:rPr>
              <w:t>86</w:t>
            </w:r>
            <w:r w:rsidR="00070196">
              <w:rPr>
                <w:rFonts w:ascii="Montserrat" w:hAnsi="Montserrat"/>
                <w:sz w:val="14"/>
                <w:szCs w:val="14"/>
                <w:lang w:val="es-ES_tradnl"/>
              </w:rPr>
              <w:t>,</w:t>
            </w:r>
            <w:r w:rsidRPr="00545FF7">
              <w:rPr>
                <w:rFonts w:ascii="Montserrat" w:hAnsi="Montserrat"/>
                <w:sz w:val="14"/>
                <w:szCs w:val="14"/>
                <w:lang w:val="es-ES_tradnl"/>
              </w:rPr>
              <w:t>304</w:t>
            </w:r>
            <w:r w:rsidR="00070196">
              <w:rPr>
                <w:rFonts w:ascii="Montserrat" w:hAnsi="Montserrat"/>
                <w:sz w:val="14"/>
                <w:szCs w:val="14"/>
                <w:lang w:val="es-ES_tradnl"/>
              </w:rPr>
              <w:t>,</w:t>
            </w:r>
            <w:r w:rsidRPr="00545FF7">
              <w:rPr>
                <w:rFonts w:ascii="Montserrat" w:hAnsi="Montserrat"/>
                <w:sz w:val="14"/>
                <w:szCs w:val="14"/>
                <w:lang w:val="es-ES_tradnl"/>
              </w:rPr>
              <w:t>372</w:t>
            </w:r>
            <w:r w:rsidR="00070196">
              <w:rPr>
                <w:rFonts w:ascii="Montserrat" w:hAnsi="Montserrat"/>
                <w:sz w:val="14"/>
                <w:szCs w:val="14"/>
                <w:lang w:val="es-ES_tradnl"/>
              </w:rPr>
              <w:t>,</w:t>
            </w:r>
            <w:r w:rsidRPr="00545FF7">
              <w:rPr>
                <w:rFonts w:ascii="Montserrat" w:hAnsi="Montserrat"/>
                <w:sz w:val="14"/>
                <w:szCs w:val="14"/>
                <w:lang w:val="es-ES_tradnl"/>
              </w:rPr>
              <w:t>118</w:t>
            </w:r>
          </w:p>
        </w:tc>
        <w:tc>
          <w:tcPr>
            <w:tcW w:w="662" w:type="dxa"/>
            <w:tcBorders>
              <w:top w:val="nil"/>
              <w:left w:val="nil"/>
              <w:bottom w:val="nil"/>
              <w:right w:val="nil"/>
            </w:tcBorders>
            <w:shd w:val="clear" w:color="auto" w:fill="F2F2F2" w:themeFill="background1" w:themeFillShade="F2"/>
            <w:noWrap/>
            <w:vAlign w:val="bottom"/>
          </w:tcPr>
          <w:p w14:paraId="1201AD99" w14:textId="77777777" w:rsidR="009C3C24" w:rsidRPr="005210C6" w:rsidRDefault="009C3C24" w:rsidP="002F797B">
            <w:pPr>
              <w:spacing w:after="0" w:line="240" w:lineRule="exact"/>
              <w:jc w:val="center"/>
              <w:rPr>
                <w:rFonts w:ascii="Montserrat" w:hAnsi="Montserrat"/>
                <w:sz w:val="14"/>
                <w:szCs w:val="14"/>
                <w:lang w:val="es-ES_tradnl"/>
              </w:rPr>
            </w:pPr>
            <w:r w:rsidRPr="005210C6">
              <w:rPr>
                <w:rFonts w:ascii="Montserrat" w:hAnsi="Montserrat"/>
                <w:sz w:val="14"/>
                <w:szCs w:val="14"/>
                <w:lang w:val="es-ES_tradnl"/>
              </w:rPr>
              <w:t>03</w:t>
            </w:r>
          </w:p>
        </w:tc>
        <w:tc>
          <w:tcPr>
            <w:tcW w:w="709" w:type="dxa"/>
            <w:tcBorders>
              <w:top w:val="nil"/>
              <w:left w:val="nil"/>
              <w:bottom w:val="nil"/>
              <w:right w:val="nil"/>
            </w:tcBorders>
            <w:shd w:val="clear" w:color="auto" w:fill="F2F2F2" w:themeFill="background1" w:themeFillShade="F2"/>
            <w:noWrap/>
            <w:vAlign w:val="bottom"/>
          </w:tcPr>
          <w:p w14:paraId="656D775C" w14:textId="77777777" w:rsidR="009C3C24" w:rsidRPr="005210C6" w:rsidRDefault="009C3C24" w:rsidP="002F797B">
            <w:pPr>
              <w:spacing w:after="0" w:line="240" w:lineRule="exact"/>
              <w:jc w:val="center"/>
              <w:rPr>
                <w:rFonts w:ascii="Montserrat" w:hAnsi="Montserrat"/>
                <w:sz w:val="14"/>
                <w:szCs w:val="14"/>
                <w:lang w:val="es-ES_tradnl"/>
              </w:rPr>
            </w:pPr>
            <w:r w:rsidRPr="005210C6">
              <w:rPr>
                <w:rFonts w:ascii="Montserrat" w:hAnsi="Montserrat"/>
                <w:sz w:val="14"/>
                <w:szCs w:val="14"/>
                <w:lang w:val="es-ES_tradnl"/>
              </w:rPr>
              <w:t>00</w:t>
            </w:r>
          </w:p>
        </w:tc>
        <w:tc>
          <w:tcPr>
            <w:tcW w:w="708" w:type="dxa"/>
            <w:tcBorders>
              <w:top w:val="nil"/>
              <w:left w:val="nil"/>
              <w:bottom w:val="nil"/>
              <w:right w:val="nil"/>
            </w:tcBorders>
            <w:shd w:val="clear" w:color="auto" w:fill="F2F2F2" w:themeFill="background1" w:themeFillShade="F2"/>
            <w:noWrap/>
            <w:vAlign w:val="bottom"/>
          </w:tcPr>
          <w:p w14:paraId="3388E7C7" w14:textId="77777777" w:rsidR="009C3C24" w:rsidRPr="005210C6" w:rsidRDefault="009C3C24" w:rsidP="002F797B">
            <w:pPr>
              <w:spacing w:after="0" w:line="240" w:lineRule="exact"/>
              <w:jc w:val="center"/>
              <w:rPr>
                <w:rFonts w:ascii="Montserrat" w:hAnsi="Montserrat"/>
                <w:sz w:val="14"/>
                <w:szCs w:val="14"/>
                <w:lang w:val="es-ES_tradnl"/>
              </w:rPr>
            </w:pPr>
            <w:r w:rsidRPr="005210C6">
              <w:rPr>
                <w:rFonts w:ascii="Montserrat" w:hAnsi="Montserrat"/>
                <w:sz w:val="14"/>
                <w:szCs w:val="14"/>
                <w:lang w:val="es-ES_tradnl"/>
              </w:rPr>
              <w:t>00</w:t>
            </w:r>
          </w:p>
        </w:tc>
        <w:tc>
          <w:tcPr>
            <w:tcW w:w="756" w:type="dxa"/>
            <w:tcBorders>
              <w:top w:val="nil"/>
              <w:left w:val="nil"/>
              <w:bottom w:val="nil"/>
              <w:right w:val="nil"/>
            </w:tcBorders>
            <w:shd w:val="clear" w:color="auto" w:fill="F2F2F2" w:themeFill="background1" w:themeFillShade="F2"/>
            <w:noWrap/>
            <w:vAlign w:val="bottom"/>
          </w:tcPr>
          <w:p w14:paraId="26309197" w14:textId="77777777" w:rsidR="009C3C24" w:rsidRPr="005210C6" w:rsidRDefault="009C3C24" w:rsidP="002F797B">
            <w:pPr>
              <w:spacing w:after="0" w:line="240" w:lineRule="exact"/>
              <w:jc w:val="center"/>
              <w:rPr>
                <w:rFonts w:ascii="Montserrat" w:hAnsi="Montserrat"/>
                <w:sz w:val="14"/>
                <w:szCs w:val="14"/>
                <w:lang w:val="es-ES_tradnl"/>
              </w:rPr>
            </w:pPr>
            <w:r w:rsidRPr="005210C6">
              <w:rPr>
                <w:rFonts w:ascii="Montserrat" w:hAnsi="Montserrat"/>
                <w:sz w:val="14"/>
                <w:szCs w:val="14"/>
                <w:lang w:val="es-ES_tradnl"/>
              </w:rPr>
              <w:t>00</w:t>
            </w:r>
          </w:p>
        </w:tc>
        <w:tc>
          <w:tcPr>
            <w:tcW w:w="662" w:type="dxa"/>
            <w:tcBorders>
              <w:top w:val="nil"/>
              <w:left w:val="nil"/>
              <w:bottom w:val="nil"/>
              <w:right w:val="nil"/>
            </w:tcBorders>
            <w:shd w:val="clear" w:color="auto" w:fill="F2F2F2" w:themeFill="background1" w:themeFillShade="F2"/>
            <w:noWrap/>
            <w:vAlign w:val="bottom"/>
          </w:tcPr>
          <w:p w14:paraId="304E0E98" w14:textId="4E6B4660" w:rsidR="009C3C24" w:rsidRPr="005210C6" w:rsidRDefault="009C3C24" w:rsidP="002F797B">
            <w:pPr>
              <w:spacing w:after="0" w:line="240" w:lineRule="exact"/>
              <w:jc w:val="center"/>
              <w:rPr>
                <w:rFonts w:ascii="Montserrat" w:hAnsi="Montserrat"/>
                <w:sz w:val="14"/>
                <w:szCs w:val="14"/>
                <w:lang w:val="es-ES_tradnl"/>
              </w:rPr>
            </w:pPr>
            <w:r w:rsidRPr="005210C6">
              <w:rPr>
                <w:rFonts w:ascii="Montserrat" w:hAnsi="Montserrat"/>
                <w:sz w:val="14"/>
                <w:szCs w:val="14"/>
                <w:lang w:val="es-ES_tradnl"/>
              </w:rPr>
              <w:t>2.</w:t>
            </w:r>
            <w:r w:rsidR="00545FF7">
              <w:rPr>
                <w:rFonts w:ascii="Montserrat" w:hAnsi="Montserrat"/>
                <w:sz w:val="14"/>
                <w:szCs w:val="14"/>
                <w:lang w:val="es-ES_tradnl"/>
              </w:rPr>
              <w:t>0</w:t>
            </w:r>
            <w:r w:rsidRPr="005210C6">
              <w:rPr>
                <w:rFonts w:ascii="Montserrat" w:hAnsi="Montserrat"/>
                <w:sz w:val="14"/>
                <w:szCs w:val="14"/>
                <w:lang w:val="es-ES_tradnl"/>
              </w:rPr>
              <w:t>0%</w:t>
            </w:r>
          </w:p>
        </w:tc>
        <w:tc>
          <w:tcPr>
            <w:tcW w:w="850" w:type="dxa"/>
            <w:tcBorders>
              <w:top w:val="nil"/>
              <w:left w:val="nil"/>
              <w:bottom w:val="nil"/>
              <w:right w:val="nil"/>
            </w:tcBorders>
            <w:shd w:val="clear" w:color="auto" w:fill="F2F2F2" w:themeFill="background1" w:themeFillShade="F2"/>
            <w:noWrap/>
            <w:vAlign w:val="bottom"/>
          </w:tcPr>
          <w:p w14:paraId="3D92B4A9" w14:textId="77777777" w:rsidR="009C3C24" w:rsidRPr="005210C6" w:rsidRDefault="009C3C24" w:rsidP="002F797B">
            <w:pPr>
              <w:spacing w:after="0" w:line="240" w:lineRule="exact"/>
              <w:rPr>
                <w:rFonts w:ascii="Montserrat" w:hAnsi="Montserrat"/>
                <w:sz w:val="14"/>
                <w:szCs w:val="14"/>
                <w:lang w:val="es-ES_tradnl"/>
              </w:rPr>
            </w:pPr>
          </w:p>
        </w:tc>
        <w:tc>
          <w:tcPr>
            <w:tcW w:w="567" w:type="dxa"/>
            <w:tcBorders>
              <w:top w:val="nil"/>
              <w:left w:val="nil"/>
              <w:bottom w:val="nil"/>
              <w:right w:val="nil"/>
            </w:tcBorders>
            <w:shd w:val="clear" w:color="auto" w:fill="F2F2F2" w:themeFill="background1" w:themeFillShade="F2"/>
            <w:noWrap/>
            <w:vAlign w:val="bottom"/>
          </w:tcPr>
          <w:p w14:paraId="40299043" w14:textId="77777777" w:rsidR="009C3C24" w:rsidRPr="005210C6" w:rsidRDefault="009C3C24" w:rsidP="002F797B">
            <w:pPr>
              <w:spacing w:after="0" w:line="240" w:lineRule="exact"/>
              <w:jc w:val="right"/>
              <w:rPr>
                <w:rFonts w:ascii="Montserrat" w:hAnsi="Montserrat"/>
                <w:sz w:val="14"/>
                <w:szCs w:val="14"/>
                <w:lang w:val="es-ES_tradnl"/>
              </w:rPr>
            </w:pPr>
          </w:p>
        </w:tc>
        <w:tc>
          <w:tcPr>
            <w:tcW w:w="1043" w:type="dxa"/>
            <w:gridSpan w:val="2"/>
            <w:tcBorders>
              <w:top w:val="nil"/>
              <w:left w:val="nil"/>
              <w:bottom w:val="nil"/>
              <w:right w:val="nil"/>
            </w:tcBorders>
            <w:shd w:val="clear" w:color="auto" w:fill="F2F2F2" w:themeFill="background1" w:themeFillShade="F2"/>
            <w:noWrap/>
            <w:vAlign w:val="bottom"/>
            <w:hideMark/>
          </w:tcPr>
          <w:p w14:paraId="15901E27" w14:textId="77777777" w:rsidR="009C3C24" w:rsidRPr="005210C6" w:rsidRDefault="009C3C24" w:rsidP="002F797B">
            <w:pPr>
              <w:spacing w:after="0" w:line="240" w:lineRule="exact"/>
              <w:jc w:val="right"/>
              <w:rPr>
                <w:rFonts w:ascii="Montserrat" w:hAnsi="Montserrat"/>
                <w:sz w:val="14"/>
                <w:szCs w:val="14"/>
                <w:lang w:val="es-ES_tradnl"/>
              </w:rPr>
            </w:pPr>
          </w:p>
        </w:tc>
        <w:tc>
          <w:tcPr>
            <w:tcW w:w="160" w:type="dxa"/>
            <w:gridSpan w:val="2"/>
            <w:tcBorders>
              <w:top w:val="nil"/>
              <w:left w:val="nil"/>
              <w:bottom w:val="nil"/>
              <w:right w:val="nil"/>
            </w:tcBorders>
            <w:shd w:val="clear" w:color="auto" w:fill="F2F2F2" w:themeFill="background1" w:themeFillShade="F2"/>
            <w:noWrap/>
            <w:vAlign w:val="bottom"/>
            <w:hideMark/>
          </w:tcPr>
          <w:p w14:paraId="54E18067" w14:textId="77777777" w:rsidR="009C3C24" w:rsidRPr="005210C6" w:rsidRDefault="009C3C24" w:rsidP="002F797B">
            <w:pPr>
              <w:spacing w:after="0" w:line="240" w:lineRule="exact"/>
              <w:jc w:val="right"/>
              <w:rPr>
                <w:rFonts w:ascii="Montserrat" w:hAnsi="Montserrat"/>
                <w:sz w:val="14"/>
                <w:szCs w:val="14"/>
                <w:lang w:val="es-ES_tradnl"/>
              </w:rPr>
            </w:pPr>
          </w:p>
        </w:tc>
        <w:tc>
          <w:tcPr>
            <w:tcW w:w="498" w:type="dxa"/>
            <w:tcBorders>
              <w:top w:val="nil"/>
              <w:left w:val="nil"/>
              <w:bottom w:val="nil"/>
              <w:right w:val="nil"/>
            </w:tcBorders>
            <w:shd w:val="clear" w:color="auto" w:fill="F2F2F2" w:themeFill="background1" w:themeFillShade="F2"/>
            <w:noWrap/>
            <w:vAlign w:val="bottom"/>
            <w:hideMark/>
          </w:tcPr>
          <w:p w14:paraId="6A07DF22" w14:textId="77777777" w:rsidR="009C3C24" w:rsidRPr="005210C6" w:rsidRDefault="009C3C24" w:rsidP="002F797B">
            <w:pPr>
              <w:spacing w:after="0" w:line="240" w:lineRule="exact"/>
              <w:jc w:val="right"/>
              <w:rPr>
                <w:rFonts w:ascii="Montserrat" w:hAnsi="Montserrat"/>
                <w:sz w:val="14"/>
                <w:szCs w:val="14"/>
                <w:lang w:val="es-ES_tradnl"/>
              </w:rPr>
            </w:pPr>
          </w:p>
        </w:tc>
        <w:tc>
          <w:tcPr>
            <w:tcW w:w="567" w:type="dxa"/>
            <w:tcBorders>
              <w:top w:val="nil"/>
              <w:left w:val="nil"/>
              <w:bottom w:val="nil"/>
              <w:right w:val="nil"/>
            </w:tcBorders>
            <w:shd w:val="clear" w:color="auto" w:fill="F2F2F2" w:themeFill="background1" w:themeFillShade="F2"/>
            <w:noWrap/>
            <w:vAlign w:val="bottom"/>
            <w:hideMark/>
          </w:tcPr>
          <w:p w14:paraId="4B0814E3" w14:textId="77777777" w:rsidR="009C3C24" w:rsidRPr="005210C6" w:rsidRDefault="009C3C24" w:rsidP="002F797B">
            <w:pPr>
              <w:spacing w:after="0" w:line="240" w:lineRule="exact"/>
              <w:jc w:val="right"/>
              <w:rPr>
                <w:rFonts w:ascii="Montserrat" w:hAnsi="Montserrat"/>
                <w:sz w:val="14"/>
                <w:szCs w:val="14"/>
                <w:lang w:val="es-ES_tradnl"/>
              </w:rPr>
            </w:pPr>
          </w:p>
        </w:tc>
        <w:tc>
          <w:tcPr>
            <w:tcW w:w="709" w:type="dxa"/>
            <w:tcBorders>
              <w:top w:val="nil"/>
              <w:left w:val="nil"/>
              <w:bottom w:val="nil"/>
            </w:tcBorders>
            <w:shd w:val="clear" w:color="auto" w:fill="F2F2F2" w:themeFill="background1" w:themeFillShade="F2"/>
            <w:noWrap/>
            <w:vAlign w:val="bottom"/>
            <w:hideMark/>
          </w:tcPr>
          <w:p w14:paraId="101613C5" w14:textId="77777777" w:rsidR="009C3C24" w:rsidRPr="005210C6" w:rsidRDefault="009C3C24" w:rsidP="002F797B">
            <w:pPr>
              <w:spacing w:after="0" w:line="240" w:lineRule="exact"/>
              <w:jc w:val="right"/>
              <w:rPr>
                <w:rFonts w:ascii="Montserrat" w:hAnsi="Montserrat"/>
                <w:sz w:val="14"/>
                <w:szCs w:val="14"/>
                <w:lang w:val="es-ES_tradnl"/>
              </w:rPr>
            </w:pPr>
          </w:p>
        </w:tc>
      </w:tr>
      <w:tr w:rsidR="009C3C24" w:rsidRPr="005210C6" w14:paraId="72443726" w14:textId="77777777" w:rsidTr="0023764E">
        <w:trPr>
          <w:trHeight w:val="240"/>
        </w:trPr>
        <w:tc>
          <w:tcPr>
            <w:tcW w:w="923" w:type="dxa"/>
            <w:tcBorders>
              <w:top w:val="nil"/>
              <w:bottom w:val="nil"/>
              <w:right w:val="nil"/>
            </w:tcBorders>
            <w:shd w:val="clear" w:color="auto" w:fill="F2F2F2" w:themeFill="background1" w:themeFillShade="F2"/>
            <w:noWrap/>
            <w:vAlign w:val="bottom"/>
            <w:hideMark/>
          </w:tcPr>
          <w:p w14:paraId="5B5ED353" w14:textId="77777777" w:rsidR="009C3C24" w:rsidRPr="005210C6" w:rsidRDefault="009C3C24" w:rsidP="002F797B">
            <w:pPr>
              <w:spacing w:after="0" w:line="240" w:lineRule="exact"/>
              <w:rPr>
                <w:rFonts w:ascii="Montserrat" w:hAnsi="Montserrat"/>
                <w:sz w:val="14"/>
                <w:szCs w:val="14"/>
                <w:lang w:val="es-ES_tradnl"/>
              </w:rPr>
            </w:pPr>
          </w:p>
        </w:tc>
        <w:tc>
          <w:tcPr>
            <w:tcW w:w="567" w:type="dxa"/>
            <w:tcBorders>
              <w:top w:val="nil"/>
              <w:left w:val="nil"/>
              <w:bottom w:val="nil"/>
              <w:right w:val="nil"/>
            </w:tcBorders>
            <w:shd w:val="clear" w:color="auto" w:fill="F2F2F2" w:themeFill="background1" w:themeFillShade="F2"/>
            <w:noWrap/>
            <w:vAlign w:val="bottom"/>
          </w:tcPr>
          <w:p w14:paraId="5FDE0FC9" w14:textId="77777777" w:rsidR="009C3C24" w:rsidRPr="005210C6" w:rsidRDefault="009C3C24" w:rsidP="002F797B">
            <w:pPr>
              <w:spacing w:after="0" w:line="240" w:lineRule="exact"/>
              <w:rPr>
                <w:rFonts w:ascii="Montserrat" w:hAnsi="Montserrat"/>
                <w:sz w:val="14"/>
                <w:szCs w:val="14"/>
                <w:lang w:val="es-ES_tradnl"/>
              </w:rPr>
            </w:pPr>
          </w:p>
        </w:tc>
        <w:tc>
          <w:tcPr>
            <w:tcW w:w="425" w:type="dxa"/>
            <w:tcBorders>
              <w:top w:val="nil"/>
              <w:left w:val="nil"/>
              <w:bottom w:val="nil"/>
              <w:right w:val="nil"/>
            </w:tcBorders>
            <w:shd w:val="clear" w:color="auto" w:fill="F2F2F2" w:themeFill="background1" w:themeFillShade="F2"/>
            <w:noWrap/>
            <w:vAlign w:val="bottom"/>
          </w:tcPr>
          <w:p w14:paraId="65107CCA" w14:textId="77777777" w:rsidR="009C3C24" w:rsidRPr="005210C6" w:rsidRDefault="009C3C24" w:rsidP="002F797B">
            <w:pPr>
              <w:spacing w:after="0" w:line="240" w:lineRule="exact"/>
              <w:rPr>
                <w:rFonts w:ascii="Montserrat" w:hAnsi="Montserrat"/>
                <w:sz w:val="14"/>
                <w:szCs w:val="14"/>
                <w:lang w:val="es-ES_tradnl"/>
              </w:rPr>
            </w:pPr>
          </w:p>
        </w:tc>
        <w:tc>
          <w:tcPr>
            <w:tcW w:w="709" w:type="dxa"/>
            <w:tcBorders>
              <w:top w:val="nil"/>
              <w:left w:val="nil"/>
              <w:bottom w:val="nil"/>
              <w:right w:val="nil"/>
            </w:tcBorders>
            <w:shd w:val="clear" w:color="auto" w:fill="F2F2F2" w:themeFill="background1" w:themeFillShade="F2"/>
            <w:noWrap/>
            <w:vAlign w:val="bottom"/>
          </w:tcPr>
          <w:p w14:paraId="44904B5E" w14:textId="77777777" w:rsidR="009C3C24" w:rsidRPr="005210C6" w:rsidRDefault="009C3C24" w:rsidP="002F797B">
            <w:pPr>
              <w:spacing w:after="0" w:line="240" w:lineRule="exact"/>
              <w:rPr>
                <w:rFonts w:ascii="Montserrat" w:hAnsi="Montserrat"/>
                <w:sz w:val="14"/>
                <w:szCs w:val="14"/>
                <w:lang w:val="es-ES_tradnl"/>
              </w:rPr>
            </w:pPr>
          </w:p>
        </w:tc>
        <w:tc>
          <w:tcPr>
            <w:tcW w:w="1345" w:type="dxa"/>
            <w:tcBorders>
              <w:top w:val="nil"/>
              <w:left w:val="nil"/>
              <w:bottom w:val="nil"/>
              <w:right w:val="nil"/>
            </w:tcBorders>
            <w:shd w:val="clear" w:color="auto" w:fill="F2F2F2" w:themeFill="background1" w:themeFillShade="F2"/>
            <w:noWrap/>
            <w:vAlign w:val="bottom"/>
          </w:tcPr>
          <w:p w14:paraId="6EA823E5" w14:textId="77777777" w:rsidR="009C3C24" w:rsidRPr="005210C6" w:rsidRDefault="009C3C24" w:rsidP="002F797B">
            <w:pPr>
              <w:spacing w:after="0" w:line="240" w:lineRule="exact"/>
              <w:rPr>
                <w:rFonts w:ascii="Montserrat" w:hAnsi="Montserrat"/>
                <w:sz w:val="14"/>
                <w:szCs w:val="14"/>
                <w:lang w:val="es-ES_tradnl"/>
              </w:rPr>
            </w:pPr>
          </w:p>
        </w:tc>
        <w:tc>
          <w:tcPr>
            <w:tcW w:w="1560" w:type="dxa"/>
            <w:tcBorders>
              <w:top w:val="nil"/>
              <w:left w:val="nil"/>
              <w:bottom w:val="nil"/>
              <w:right w:val="nil"/>
            </w:tcBorders>
            <w:shd w:val="clear" w:color="auto" w:fill="F2F2F2" w:themeFill="background1" w:themeFillShade="F2"/>
            <w:noWrap/>
            <w:vAlign w:val="bottom"/>
          </w:tcPr>
          <w:p w14:paraId="437604B9" w14:textId="04779F67" w:rsidR="009C3C24" w:rsidRPr="005210C6" w:rsidRDefault="00545FF7" w:rsidP="002F797B">
            <w:pPr>
              <w:spacing w:after="0" w:line="240" w:lineRule="exact"/>
              <w:jc w:val="right"/>
              <w:rPr>
                <w:rFonts w:ascii="Montserrat" w:hAnsi="Montserrat"/>
                <w:sz w:val="14"/>
                <w:szCs w:val="14"/>
                <w:lang w:val="es-ES_tradnl"/>
              </w:rPr>
            </w:pPr>
            <w:r w:rsidRPr="00545FF7">
              <w:rPr>
                <w:rFonts w:ascii="Montserrat" w:hAnsi="Montserrat"/>
                <w:sz w:val="14"/>
                <w:szCs w:val="14"/>
                <w:lang w:val="es-ES_tradnl"/>
              </w:rPr>
              <w:t>81</w:t>
            </w:r>
            <w:r w:rsidR="00070196">
              <w:rPr>
                <w:rFonts w:ascii="Montserrat" w:hAnsi="Montserrat"/>
                <w:sz w:val="14"/>
                <w:szCs w:val="14"/>
                <w:lang w:val="es-ES_tradnl"/>
              </w:rPr>
              <w:t>,</w:t>
            </w:r>
            <w:r w:rsidRPr="00545FF7">
              <w:rPr>
                <w:rFonts w:ascii="Montserrat" w:hAnsi="Montserrat"/>
                <w:sz w:val="14"/>
                <w:szCs w:val="14"/>
                <w:lang w:val="es-ES_tradnl"/>
              </w:rPr>
              <w:t>164</w:t>
            </w:r>
            <w:r w:rsidR="00070196">
              <w:rPr>
                <w:rFonts w:ascii="Montserrat" w:hAnsi="Montserrat"/>
                <w:sz w:val="14"/>
                <w:szCs w:val="14"/>
                <w:lang w:val="es-ES_tradnl"/>
              </w:rPr>
              <w:t>,</w:t>
            </w:r>
            <w:r w:rsidRPr="00545FF7">
              <w:rPr>
                <w:rFonts w:ascii="Montserrat" w:hAnsi="Montserrat"/>
                <w:sz w:val="14"/>
                <w:szCs w:val="14"/>
                <w:lang w:val="es-ES_tradnl"/>
              </w:rPr>
              <w:t>072</w:t>
            </w:r>
            <w:r w:rsidR="00070196">
              <w:rPr>
                <w:rFonts w:ascii="Montserrat" w:hAnsi="Montserrat"/>
                <w:sz w:val="14"/>
                <w:szCs w:val="14"/>
                <w:lang w:val="es-ES_tradnl"/>
              </w:rPr>
              <w:t>,</w:t>
            </w:r>
            <w:r w:rsidRPr="00545FF7">
              <w:rPr>
                <w:rFonts w:ascii="Montserrat" w:hAnsi="Montserrat"/>
                <w:sz w:val="14"/>
                <w:szCs w:val="14"/>
                <w:lang w:val="es-ES_tradnl"/>
              </w:rPr>
              <w:t>804</w:t>
            </w:r>
          </w:p>
        </w:tc>
        <w:tc>
          <w:tcPr>
            <w:tcW w:w="662" w:type="dxa"/>
            <w:tcBorders>
              <w:top w:val="nil"/>
              <w:left w:val="nil"/>
              <w:bottom w:val="nil"/>
              <w:right w:val="nil"/>
            </w:tcBorders>
            <w:shd w:val="clear" w:color="auto" w:fill="F2F2F2" w:themeFill="background1" w:themeFillShade="F2"/>
            <w:noWrap/>
            <w:vAlign w:val="bottom"/>
          </w:tcPr>
          <w:p w14:paraId="21A002DA" w14:textId="77777777" w:rsidR="009C3C24" w:rsidRPr="005210C6" w:rsidRDefault="009C3C24" w:rsidP="002F797B">
            <w:pPr>
              <w:spacing w:after="0" w:line="240" w:lineRule="exact"/>
              <w:jc w:val="center"/>
              <w:rPr>
                <w:rFonts w:ascii="Montserrat" w:hAnsi="Montserrat"/>
                <w:sz w:val="14"/>
                <w:szCs w:val="14"/>
                <w:lang w:val="es-ES_tradnl"/>
              </w:rPr>
            </w:pPr>
            <w:r w:rsidRPr="005210C6">
              <w:rPr>
                <w:rFonts w:ascii="Montserrat" w:hAnsi="Montserrat"/>
                <w:sz w:val="14"/>
                <w:szCs w:val="14"/>
                <w:lang w:val="es-ES_tradnl"/>
              </w:rPr>
              <w:t>10</w:t>
            </w:r>
          </w:p>
        </w:tc>
        <w:tc>
          <w:tcPr>
            <w:tcW w:w="709" w:type="dxa"/>
            <w:tcBorders>
              <w:top w:val="nil"/>
              <w:left w:val="nil"/>
              <w:bottom w:val="nil"/>
              <w:right w:val="nil"/>
            </w:tcBorders>
            <w:shd w:val="clear" w:color="auto" w:fill="F2F2F2" w:themeFill="background1" w:themeFillShade="F2"/>
            <w:noWrap/>
            <w:vAlign w:val="bottom"/>
          </w:tcPr>
          <w:p w14:paraId="129A3047" w14:textId="77777777" w:rsidR="009C3C24" w:rsidRPr="005210C6" w:rsidRDefault="009C3C24" w:rsidP="002F797B">
            <w:pPr>
              <w:spacing w:after="0" w:line="240" w:lineRule="exact"/>
              <w:jc w:val="center"/>
              <w:rPr>
                <w:rFonts w:ascii="Montserrat" w:hAnsi="Montserrat"/>
                <w:sz w:val="14"/>
                <w:szCs w:val="14"/>
                <w:lang w:val="es-ES_tradnl"/>
              </w:rPr>
            </w:pPr>
            <w:r w:rsidRPr="005210C6">
              <w:rPr>
                <w:rFonts w:ascii="Montserrat" w:hAnsi="Montserrat"/>
                <w:sz w:val="14"/>
                <w:szCs w:val="14"/>
                <w:lang w:val="es-ES_tradnl"/>
              </w:rPr>
              <w:t>00</w:t>
            </w:r>
          </w:p>
        </w:tc>
        <w:tc>
          <w:tcPr>
            <w:tcW w:w="708" w:type="dxa"/>
            <w:tcBorders>
              <w:top w:val="nil"/>
              <w:left w:val="nil"/>
              <w:bottom w:val="nil"/>
              <w:right w:val="nil"/>
            </w:tcBorders>
            <w:shd w:val="clear" w:color="auto" w:fill="F2F2F2" w:themeFill="background1" w:themeFillShade="F2"/>
            <w:noWrap/>
            <w:vAlign w:val="bottom"/>
          </w:tcPr>
          <w:p w14:paraId="403AC76B" w14:textId="77777777" w:rsidR="009C3C24" w:rsidRPr="005210C6" w:rsidRDefault="009C3C24" w:rsidP="002F797B">
            <w:pPr>
              <w:spacing w:after="0" w:line="240" w:lineRule="exact"/>
              <w:jc w:val="center"/>
              <w:rPr>
                <w:rFonts w:ascii="Montserrat" w:hAnsi="Montserrat"/>
                <w:sz w:val="14"/>
                <w:szCs w:val="14"/>
                <w:lang w:val="es-ES_tradnl"/>
              </w:rPr>
            </w:pPr>
            <w:r w:rsidRPr="005210C6">
              <w:rPr>
                <w:rFonts w:ascii="Montserrat" w:hAnsi="Montserrat"/>
                <w:sz w:val="14"/>
                <w:szCs w:val="14"/>
                <w:lang w:val="es-ES_tradnl"/>
              </w:rPr>
              <w:t>00</w:t>
            </w:r>
          </w:p>
        </w:tc>
        <w:tc>
          <w:tcPr>
            <w:tcW w:w="756" w:type="dxa"/>
            <w:tcBorders>
              <w:top w:val="nil"/>
              <w:left w:val="nil"/>
              <w:bottom w:val="nil"/>
              <w:right w:val="nil"/>
            </w:tcBorders>
            <w:shd w:val="clear" w:color="auto" w:fill="F2F2F2" w:themeFill="background1" w:themeFillShade="F2"/>
            <w:noWrap/>
            <w:vAlign w:val="bottom"/>
          </w:tcPr>
          <w:p w14:paraId="2A01337B" w14:textId="77777777" w:rsidR="009C3C24" w:rsidRPr="005210C6" w:rsidRDefault="009C3C24" w:rsidP="002F797B">
            <w:pPr>
              <w:spacing w:after="0" w:line="240" w:lineRule="exact"/>
              <w:jc w:val="center"/>
              <w:rPr>
                <w:rFonts w:ascii="Montserrat" w:hAnsi="Montserrat"/>
                <w:sz w:val="14"/>
                <w:szCs w:val="14"/>
                <w:lang w:val="es-ES_tradnl"/>
              </w:rPr>
            </w:pPr>
            <w:r w:rsidRPr="005210C6">
              <w:rPr>
                <w:rFonts w:ascii="Montserrat" w:hAnsi="Montserrat"/>
                <w:sz w:val="14"/>
                <w:szCs w:val="14"/>
                <w:lang w:val="es-ES_tradnl"/>
              </w:rPr>
              <w:t>00</w:t>
            </w:r>
          </w:p>
        </w:tc>
        <w:tc>
          <w:tcPr>
            <w:tcW w:w="662" w:type="dxa"/>
            <w:tcBorders>
              <w:top w:val="nil"/>
              <w:left w:val="nil"/>
              <w:bottom w:val="nil"/>
              <w:right w:val="nil"/>
            </w:tcBorders>
            <w:shd w:val="clear" w:color="auto" w:fill="F2F2F2" w:themeFill="background1" w:themeFillShade="F2"/>
            <w:noWrap/>
            <w:vAlign w:val="bottom"/>
          </w:tcPr>
          <w:p w14:paraId="0B20C6D6" w14:textId="7C2AF3AD" w:rsidR="009C3C24" w:rsidRPr="005210C6" w:rsidRDefault="009C3C24">
            <w:pPr>
              <w:spacing w:after="0" w:line="240" w:lineRule="exact"/>
              <w:jc w:val="center"/>
              <w:rPr>
                <w:rFonts w:ascii="Montserrat" w:hAnsi="Montserrat"/>
                <w:sz w:val="14"/>
                <w:szCs w:val="14"/>
                <w:lang w:val="es-ES_tradnl"/>
              </w:rPr>
            </w:pPr>
            <w:r w:rsidRPr="005210C6">
              <w:rPr>
                <w:rFonts w:ascii="Montserrat" w:hAnsi="Montserrat"/>
                <w:sz w:val="14"/>
                <w:szCs w:val="14"/>
                <w:lang w:val="es-ES_tradnl"/>
              </w:rPr>
              <w:t>4.0</w:t>
            </w:r>
            <w:r w:rsidR="00545FF7">
              <w:rPr>
                <w:rFonts w:ascii="Montserrat" w:hAnsi="Montserrat"/>
                <w:sz w:val="14"/>
                <w:szCs w:val="14"/>
                <w:lang w:val="es-ES_tradnl"/>
              </w:rPr>
              <w:t>0</w:t>
            </w:r>
            <w:r w:rsidRPr="005210C6">
              <w:rPr>
                <w:rFonts w:ascii="Montserrat" w:hAnsi="Montserrat"/>
                <w:sz w:val="14"/>
                <w:szCs w:val="14"/>
                <w:lang w:val="es-ES_tradnl"/>
              </w:rPr>
              <w:t>%</w:t>
            </w:r>
          </w:p>
        </w:tc>
        <w:tc>
          <w:tcPr>
            <w:tcW w:w="850" w:type="dxa"/>
            <w:tcBorders>
              <w:top w:val="nil"/>
              <w:left w:val="nil"/>
              <w:bottom w:val="nil"/>
              <w:right w:val="nil"/>
            </w:tcBorders>
            <w:shd w:val="clear" w:color="auto" w:fill="F2F2F2" w:themeFill="background1" w:themeFillShade="F2"/>
            <w:noWrap/>
            <w:vAlign w:val="bottom"/>
          </w:tcPr>
          <w:p w14:paraId="0378A85B" w14:textId="77777777" w:rsidR="009C3C24" w:rsidRPr="005210C6" w:rsidRDefault="009C3C24" w:rsidP="002F797B">
            <w:pPr>
              <w:spacing w:after="0" w:line="240" w:lineRule="exact"/>
              <w:rPr>
                <w:rFonts w:ascii="Montserrat" w:hAnsi="Montserrat"/>
                <w:sz w:val="14"/>
                <w:szCs w:val="14"/>
                <w:lang w:val="es-ES_tradnl"/>
              </w:rPr>
            </w:pPr>
          </w:p>
        </w:tc>
        <w:tc>
          <w:tcPr>
            <w:tcW w:w="567" w:type="dxa"/>
            <w:tcBorders>
              <w:top w:val="nil"/>
              <w:left w:val="nil"/>
              <w:bottom w:val="nil"/>
              <w:right w:val="nil"/>
            </w:tcBorders>
            <w:shd w:val="clear" w:color="auto" w:fill="F2F2F2" w:themeFill="background1" w:themeFillShade="F2"/>
            <w:noWrap/>
            <w:vAlign w:val="bottom"/>
          </w:tcPr>
          <w:p w14:paraId="46DF6FC5" w14:textId="77777777" w:rsidR="009C3C24" w:rsidRPr="005210C6" w:rsidRDefault="009C3C24" w:rsidP="002F797B">
            <w:pPr>
              <w:spacing w:after="0" w:line="240" w:lineRule="exact"/>
              <w:jc w:val="right"/>
              <w:rPr>
                <w:rFonts w:ascii="Montserrat" w:hAnsi="Montserrat"/>
                <w:sz w:val="14"/>
                <w:szCs w:val="14"/>
                <w:lang w:val="es-ES_tradnl"/>
              </w:rPr>
            </w:pPr>
          </w:p>
        </w:tc>
        <w:tc>
          <w:tcPr>
            <w:tcW w:w="1043" w:type="dxa"/>
            <w:gridSpan w:val="2"/>
            <w:tcBorders>
              <w:top w:val="nil"/>
              <w:left w:val="nil"/>
              <w:bottom w:val="nil"/>
              <w:right w:val="nil"/>
            </w:tcBorders>
            <w:shd w:val="clear" w:color="auto" w:fill="F2F2F2" w:themeFill="background1" w:themeFillShade="F2"/>
            <w:noWrap/>
            <w:vAlign w:val="bottom"/>
            <w:hideMark/>
          </w:tcPr>
          <w:p w14:paraId="04CFA1B3" w14:textId="77777777" w:rsidR="009C3C24" w:rsidRPr="005210C6" w:rsidRDefault="009C3C24" w:rsidP="002F797B">
            <w:pPr>
              <w:spacing w:after="0" w:line="240" w:lineRule="exact"/>
              <w:jc w:val="right"/>
              <w:rPr>
                <w:rFonts w:ascii="Montserrat" w:hAnsi="Montserrat"/>
                <w:sz w:val="14"/>
                <w:szCs w:val="14"/>
                <w:lang w:val="es-ES_tradnl"/>
              </w:rPr>
            </w:pPr>
          </w:p>
        </w:tc>
        <w:tc>
          <w:tcPr>
            <w:tcW w:w="160" w:type="dxa"/>
            <w:gridSpan w:val="2"/>
            <w:tcBorders>
              <w:top w:val="nil"/>
              <w:left w:val="nil"/>
              <w:bottom w:val="nil"/>
              <w:right w:val="nil"/>
            </w:tcBorders>
            <w:shd w:val="clear" w:color="auto" w:fill="F2F2F2" w:themeFill="background1" w:themeFillShade="F2"/>
            <w:noWrap/>
            <w:vAlign w:val="bottom"/>
            <w:hideMark/>
          </w:tcPr>
          <w:p w14:paraId="2C7B0E4B" w14:textId="77777777" w:rsidR="009C3C24" w:rsidRPr="005210C6" w:rsidRDefault="009C3C24" w:rsidP="002F797B">
            <w:pPr>
              <w:spacing w:after="0" w:line="240" w:lineRule="exact"/>
              <w:jc w:val="right"/>
              <w:rPr>
                <w:rFonts w:ascii="Montserrat" w:hAnsi="Montserrat"/>
                <w:sz w:val="14"/>
                <w:szCs w:val="14"/>
                <w:lang w:val="es-ES_tradnl"/>
              </w:rPr>
            </w:pPr>
          </w:p>
        </w:tc>
        <w:tc>
          <w:tcPr>
            <w:tcW w:w="498" w:type="dxa"/>
            <w:tcBorders>
              <w:top w:val="nil"/>
              <w:left w:val="nil"/>
              <w:bottom w:val="nil"/>
              <w:right w:val="nil"/>
            </w:tcBorders>
            <w:shd w:val="clear" w:color="auto" w:fill="F2F2F2" w:themeFill="background1" w:themeFillShade="F2"/>
            <w:noWrap/>
            <w:vAlign w:val="bottom"/>
            <w:hideMark/>
          </w:tcPr>
          <w:p w14:paraId="07E02AEA" w14:textId="77777777" w:rsidR="009C3C24" w:rsidRPr="005210C6" w:rsidRDefault="009C3C24" w:rsidP="002F797B">
            <w:pPr>
              <w:spacing w:after="0" w:line="240" w:lineRule="exact"/>
              <w:jc w:val="right"/>
              <w:rPr>
                <w:rFonts w:ascii="Montserrat" w:hAnsi="Montserrat"/>
                <w:sz w:val="14"/>
                <w:szCs w:val="14"/>
                <w:lang w:val="es-ES_tradnl"/>
              </w:rPr>
            </w:pPr>
          </w:p>
        </w:tc>
        <w:tc>
          <w:tcPr>
            <w:tcW w:w="567" w:type="dxa"/>
            <w:tcBorders>
              <w:top w:val="nil"/>
              <w:left w:val="nil"/>
              <w:bottom w:val="nil"/>
              <w:right w:val="nil"/>
            </w:tcBorders>
            <w:shd w:val="clear" w:color="auto" w:fill="F2F2F2" w:themeFill="background1" w:themeFillShade="F2"/>
            <w:noWrap/>
            <w:vAlign w:val="bottom"/>
            <w:hideMark/>
          </w:tcPr>
          <w:p w14:paraId="3DDB1A6A" w14:textId="77777777" w:rsidR="009C3C24" w:rsidRPr="005210C6" w:rsidRDefault="009C3C24" w:rsidP="002F797B">
            <w:pPr>
              <w:spacing w:after="0" w:line="240" w:lineRule="exact"/>
              <w:jc w:val="right"/>
              <w:rPr>
                <w:rFonts w:ascii="Montserrat" w:hAnsi="Montserrat"/>
                <w:sz w:val="14"/>
                <w:szCs w:val="14"/>
                <w:lang w:val="es-ES_tradnl"/>
              </w:rPr>
            </w:pPr>
          </w:p>
        </w:tc>
        <w:tc>
          <w:tcPr>
            <w:tcW w:w="709" w:type="dxa"/>
            <w:tcBorders>
              <w:top w:val="nil"/>
              <w:left w:val="nil"/>
              <w:bottom w:val="nil"/>
            </w:tcBorders>
            <w:shd w:val="clear" w:color="auto" w:fill="F2F2F2" w:themeFill="background1" w:themeFillShade="F2"/>
            <w:noWrap/>
            <w:vAlign w:val="bottom"/>
            <w:hideMark/>
          </w:tcPr>
          <w:p w14:paraId="19913252" w14:textId="77777777" w:rsidR="009C3C24" w:rsidRPr="005210C6" w:rsidRDefault="009C3C24" w:rsidP="002F797B">
            <w:pPr>
              <w:spacing w:after="0" w:line="240" w:lineRule="exact"/>
              <w:jc w:val="right"/>
              <w:rPr>
                <w:rFonts w:ascii="Montserrat" w:hAnsi="Montserrat"/>
                <w:sz w:val="14"/>
                <w:szCs w:val="14"/>
                <w:lang w:val="es-ES_tradnl"/>
              </w:rPr>
            </w:pPr>
          </w:p>
        </w:tc>
      </w:tr>
      <w:tr w:rsidR="009C3C24" w:rsidRPr="005210C6" w14:paraId="702D2CAB" w14:textId="77777777" w:rsidTr="0023764E">
        <w:trPr>
          <w:trHeight w:val="240"/>
        </w:trPr>
        <w:tc>
          <w:tcPr>
            <w:tcW w:w="923" w:type="dxa"/>
            <w:tcBorders>
              <w:top w:val="nil"/>
              <w:bottom w:val="nil"/>
              <w:right w:val="nil"/>
            </w:tcBorders>
            <w:shd w:val="clear" w:color="auto" w:fill="F2F2F2" w:themeFill="background1" w:themeFillShade="F2"/>
            <w:noWrap/>
            <w:vAlign w:val="bottom"/>
            <w:hideMark/>
          </w:tcPr>
          <w:p w14:paraId="3E0491F5" w14:textId="77777777" w:rsidR="009C3C24" w:rsidRPr="005210C6" w:rsidRDefault="009C3C24" w:rsidP="002F797B">
            <w:pPr>
              <w:spacing w:after="0" w:line="240" w:lineRule="exact"/>
              <w:rPr>
                <w:rFonts w:ascii="Montserrat" w:hAnsi="Montserrat"/>
                <w:sz w:val="14"/>
                <w:szCs w:val="14"/>
                <w:lang w:val="es-ES_tradnl"/>
              </w:rPr>
            </w:pPr>
          </w:p>
        </w:tc>
        <w:tc>
          <w:tcPr>
            <w:tcW w:w="567" w:type="dxa"/>
            <w:tcBorders>
              <w:top w:val="nil"/>
              <w:left w:val="nil"/>
              <w:bottom w:val="nil"/>
              <w:right w:val="nil"/>
            </w:tcBorders>
            <w:shd w:val="clear" w:color="auto" w:fill="F2F2F2" w:themeFill="background1" w:themeFillShade="F2"/>
            <w:noWrap/>
            <w:vAlign w:val="bottom"/>
          </w:tcPr>
          <w:p w14:paraId="5060463C" w14:textId="77777777" w:rsidR="009C3C24" w:rsidRPr="005210C6" w:rsidRDefault="009C3C24" w:rsidP="002F797B">
            <w:pPr>
              <w:spacing w:after="0" w:line="240" w:lineRule="exact"/>
              <w:rPr>
                <w:rFonts w:ascii="Montserrat" w:hAnsi="Montserrat"/>
                <w:sz w:val="14"/>
                <w:szCs w:val="14"/>
                <w:lang w:val="es-ES_tradnl"/>
              </w:rPr>
            </w:pPr>
          </w:p>
        </w:tc>
        <w:tc>
          <w:tcPr>
            <w:tcW w:w="425" w:type="dxa"/>
            <w:tcBorders>
              <w:top w:val="nil"/>
              <w:left w:val="nil"/>
              <w:bottom w:val="nil"/>
              <w:right w:val="nil"/>
            </w:tcBorders>
            <w:shd w:val="clear" w:color="auto" w:fill="F2F2F2" w:themeFill="background1" w:themeFillShade="F2"/>
            <w:noWrap/>
            <w:vAlign w:val="bottom"/>
          </w:tcPr>
          <w:p w14:paraId="18734AA9" w14:textId="77777777" w:rsidR="009C3C24" w:rsidRPr="005210C6" w:rsidRDefault="009C3C24" w:rsidP="002F797B">
            <w:pPr>
              <w:spacing w:after="0" w:line="240" w:lineRule="exact"/>
              <w:rPr>
                <w:rFonts w:ascii="Montserrat" w:hAnsi="Montserrat"/>
                <w:sz w:val="14"/>
                <w:szCs w:val="14"/>
                <w:lang w:val="es-ES_tradnl"/>
              </w:rPr>
            </w:pPr>
          </w:p>
        </w:tc>
        <w:tc>
          <w:tcPr>
            <w:tcW w:w="709" w:type="dxa"/>
            <w:tcBorders>
              <w:top w:val="nil"/>
              <w:left w:val="nil"/>
              <w:bottom w:val="nil"/>
              <w:right w:val="nil"/>
            </w:tcBorders>
            <w:shd w:val="clear" w:color="auto" w:fill="F2F2F2" w:themeFill="background1" w:themeFillShade="F2"/>
            <w:noWrap/>
            <w:vAlign w:val="bottom"/>
          </w:tcPr>
          <w:p w14:paraId="1A03E739" w14:textId="77777777" w:rsidR="009C3C24" w:rsidRPr="005210C6" w:rsidRDefault="009C3C24" w:rsidP="002F797B">
            <w:pPr>
              <w:spacing w:after="0" w:line="240" w:lineRule="exact"/>
              <w:rPr>
                <w:rFonts w:ascii="Montserrat" w:hAnsi="Montserrat"/>
                <w:sz w:val="14"/>
                <w:szCs w:val="14"/>
                <w:lang w:val="es-ES_tradnl"/>
              </w:rPr>
            </w:pPr>
          </w:p>
        </w:tc>
        <w:tc>
          <w:tcPr>
            <w:tcW w:w="1345" w:type="dxa"/>
            <w:tcBorders>
              <w:top w:val="nil"/>
              <w:left w:val="nil"/>
              <w:bottom w:val="nil"/>
              <w:right w:val="nil"/>
            </w:tcBorders>
            <w:shd w:val="clear" w:color="auto" w:fill="F2F2F2" w:themeFill="background1" w:themeFillShade="F2"/>
            <w:noWrap/>
            <w:vAlign w:val="bottom"/>
          </w:tcPr>
          <w:p w14:paraId="22CA4788" w14:textId="77777777" w:rsidR="009C3C24" w:rsidRPr="005210C6" w:rsidRDefault="009C3C24" w:rsidP="002F797B">
            <w:pPr>
              <w:spacing w:after="0" w:line="240" w:lineRule="exact"/>
              <w:rPr>
                <w:rFonts w:ascii="Montserrat" w:hAnsi="Montserrat"/>
                <w:sz w:val="14"/>
                <w:szCs w:val="14"/>
                <w:lang w:val="es-ES_tradnl"/>
              </w:rPr>
            </w:pPr>
          </w:p>
        </w:tc>
        <w:tc>
          <w:tcPr>
            <w:tcW w:w="1560" w:type="dxa"/>
            <w:tcBorders>
              <w:top w:val="nil"/>
              <w:left w:val="nil"/>
              <w:bottom w:val="nil"/>
              <w:right w:val="nil"/>
            </w:tcBorders>
            <w:shd w:val="clear" w:color="auto" w:fill="F2F2F2" w:themeFill="background1" w:themeFillShade="F2"/>
            <w:noWrap/>
            <w:vAlign w:val="bottom"/>
          </w:tcPr>
          <w:p w14:paraId="4526ED5E" w14:textId="16D33C12" w:rsidR="009C3C24" w:rsidRPr="005210C6" w:rsidRDefault="00545FF7" w:rsidP="002F797B">
            <w:pPr>
              <w:spacing w:after="0" w:line="240" w:lineRule="exact"/>
              <w:jc w:val="right"/>
              <w:rPr>
                <w:rFonts w:ascii="Montserrat" w:hAnsi="Montserrat"/>
                <w:sz w:val="14"/>
                <w:szCs w:val="14"/>
                <w:lang w:val="es-ES_tradnl"/>
              </w:rPr>
            </w:pPr>
            <w:r w:rsidRPr="00545FF7">
              <w:rPr>
                <w:rFonts w:ascii="Montserrat" w:hAnsi="Montserrat"/>
                <w:sz w:val="14"/>
                <w:szCs w:val="14"/>
                <w:lang w:val="es-ES_tradnl"/>
              </w:rPr>
              <w:t>6</w:t>
            </w:r>
            <w:r w:rsidR="00070196">
              <w:rPr>
                <w:rFonts w:ascii="Montserrat" w:hAnsi="Montserrat"/>
                <w:sz w:val="14"/>
                <w:szCs w:val="14"/>
                <w:lang w:val="es-ES_tradnl"/>
              </w:rPr>
              <w:t>,</w:t>
            </w:r>
            <w:r w:rsidRPr="00545FF7">
              <w:rPr>
                <w:rFonts w:ascii="Montserrat" w:hAnsi="Montserrat"/>
                <w:sz w:val="14"/>
                <w:szCs w:val="14"/>
                <w:lang w:val="es-ES_tradnl"/>
              </w:rPr>
              <w:t>661</w:t>
            </w:r>
            <w:r w:rsidR="00070196">
              <w:rPr>
                <w:rFonts w:ascii="Montserrat" w:hAnsi="Montserrat"/>
                <w:sz w:val="14"/>
                <w:szCs w:val="14"/>
                <w:lang w:val="es-ES_tradnl"/>
              </w:rPr>
              <w:t>,</w:t>
            </w:r>
            <w:r w:rsidRPr="00545FF7">
              <w:rPr>
                <w:rFonts w:ascii="Montserrat" w:hAnsi="Montserrat"/>
                <w:sz w:val="14"/>
                <w:szCs w:val="14"/>
                <w:lang w:val="es-ES_tradnl"/>
              </w:rPr>
              <w:t>1501</w:t>
            </w:r>
            <w:r w:rsidR="00070196">
              <w:rPr>
                <w:rFonts w:ascii="Montserrat" w:hAnsi="Montserrat"/>
                <w:sz w:val="14"/>
                <w:szCs w:val="14"/>
                <w:lang w:val="es-ES_tradnl"/>
              </w:rPr>
              <w:t>,</w:t>
            </w:r>
            <w:r w:rsidRPr="00545FF7">
              <w:rPr>
                <w:rFonts w:ascii="Montserrat" w:hAnsi="Montserrat"/>
                <w:sz w:val="14"/>
                <w:szCs w:val="14"/>
                <w:lang w:val="es-ES_tradnl"/>
              </w:rPr>
              <w:t>137</w:t>
            </w:r>
          </w:p>
        </w:tc>
        <w:tc>
          <w:tcPr>
            <w:tcW w:w="662" w:type="dxa"/>
            <w:tcBorders>
              <w:top w:val="nil"/>
              <w:left w:val="nil"/>
              <w:bottom w:val="nil"/>
              <w:right w:val="nil"/>
            </w:tcBorders>
            <w:shd w:val="clear" w:color="auto" w:fill="F2F2F2" w:themeFill="background1" w:themeFillShade="F2"/>
            <w:noWrap/>
            <w:vAlign w:val="bottom"/>
          </w:tcPr>
          <w:p w14:paraId="016D1B80" w14:textId="77777777" w:rsidR="009C3C24" w:rsidRPr="005210C6" w:rsidRDefault="009C3C24" w:rsidP="002F797B">
            <w:pPr>
              <w:spacing w:after="0" w:line="240" w:lineRule="exact"/>
              <w:jc w:val="center"/>
              <w:rPr>
                <w:rFonts w:ascii="Montserrat" w:hAnsi="Montserrat"/>
                <w:sz w:val="14"/>
                <w:szCs w:val="14"/>
                <w:lang w:val="es-ES_tradnl"/>
              </w:rPr>
            </w:pPr>
            <w:r w:rsidRPr="005210C6">
              <w:rPr>
                <w:rFonts w:ascii="Montserrat" w:hAnsi="Montserrat"/>
                <w:sz w:val="14"/>
                <w:szCs w:val="14"/>
                <w:lang w:val="es-ES_tradnl"/>
              </w:rPr>
              <w:t>30</w:t>
            </w:r>
          </w:p>
        </w:tc>
        <w:tc>
          <w:tcPr>
            <w:tcW w:w="709" w:type="dxa"/>
            <w:tcBorders>
              <w:top w:val="nil"/>
              <w:left w:val="nil"/>
              <w:bottom w:val="nil"/>
              <w:right w:val="nil"/>
            </w:tcBorders>
            <w:shd w:val="clear" w:color="auto" w:fill="F2F2F2" w:themeFill="background1" w:themeFillShade="F2"/>
            <w:noWrap/>
            <w:vAlign w:val="bottom"/>
          </w:tcPr>
          <w:p w14:paraId="51C4A3A3" w14:textId="77777777" w:rsidR="009C3C24" w:rsidRPr="005210C6" w:rsidRDefault="009C3C24" w:rsidP="002F797B">
            <w:pPr>
              <w:spacing w:after="0" w:line="240" w:lineRule="exact"/>
              <w:jc w:val="center"/>
              <w:rPr>
                <w:rFonts w:ascii="Montserrat" w:hAnsi="Montserrat"/>
                <w:sz w:val="14"/>
                <w:szCs w:val="14"/>
                <w:lang w:val="es-ES_tradnl"/>
              </w:rPr>
            </w:pPr>
            <w:r w:rsidRPr="005210C6">
              <w:rPr>
                <w:rFonts w:ascii="Montserrat" w:hAnsi="Montserrat"/>
                <w:sz w:val="14"/>
                <w:szCs w:val="14"/>
                <w:lang w:val="es-ES_tradnl"/>
              </w:rPr>
              <w:t>00</w:t>
            </w:r>
          </w:p>
        </w:tc>
        <w:tc>
          <w:tcPr>
            <w:tcW w:w="708" w:type="dxa"/>
            <w:tcBorders>
              <w:top w:val="nil"/>
              <w:left w:val="nil"/>
              <w:bottom w:val="nil"/>
              <w:right w:val="nil"/>
            </w:tcBorders>
            <w:shd w:val="clear" w:color="auto" w:fill="F2F2F2" w:themeFill="background1" w:themeFillShade="F2"/>
            <w:noWrap/>
            <w:vAlign w:val="bottom"/>
          </w:tcPr>
          <w:p w14:paraId="7FC68F82" w14:textId="77777777" w:rsidR="009C3C24" w:rsidRPr="005210C6" w:rsidRDefault="009C3C24" w:rsidP="002F797B">
            <w:pPr>
              <w:spacing w:after="0" w:line="240" w:lineRule="exact"/>
              <w:jc w:val="center"/>
              <w:rPr>
                <w:rFonts w:ascii="Montserrat" w:hAnsi="Montserrat"/>
                <w:sz w:val="14"/>
                <w:szCs w:val="14"/>
                <w:lang w:val="es-ES_tradnl"/>
              </w:rPr>
            </w:pPr>
            <w:r w:rsidRPr="005210C6">
              <w:rPr>
                <w:rFonts w:ascii="Montserrat" w:hAnsi="Montserrat"/>
                <w:sz w:val="14"/>
                <w:szCs w:val="14"/>
                <w:lang w:val="es-ES_tradnl"/>
              </w:rPr>
              <w:t>00</w:t>
            </w:r>
          </w:p>
        </w:tc>
        <w:tc>
          <w:tcPr>
            <w:tcW w:w="756" w:type="dxa"/>
            <w:tcBorders>
              <w:top w:val="nil"/>
              <w:left w:val="nil"/>
              <w:bottom w:val="nil"/>
              <w:right w:val="nil"/>
            </w:tcBorders>
            <w:shd w:val="clear" w:color="auto" w:fill="F2F2F2" w:themeFill="background1" w:themeFillShade="F2"/>
            <w:noWrap/>
            <w:vAlign w:val="bottom"/>
          </w:tcPr>
          <w:p w14:paraId="7F7C7E16" w14:textId="77777777" w:rsidR="009C3C24" w:rsidRPr="005210C6" w:rsidRDefault="009C3C24" w:rsidP="002F797B">
            <w:pPr>
              <w:spacing w:after="0" w:line="240" w:lineRule="exact"/>
              <w:jc w:val="center"/>
              <w:rPr>
                <w:rFonts w:ascii="Montserrat" w:hAnsi="Montserrat"/>
                <w:sz w:val="14"/>
                <w:szCs w:val="14"/>
                <w:lang w:val="es-ES_tradnl"/>
              </w:rPr>
            </w:pPr>
            <w:r w:rsidRPr="005210C6">
              <w:rPr>
                <w:rFonts w:ascii="Montserrat" w:hAnsi="Montserrat"/>
                <w:sz w:val="14"/>
                <w:szCs w:val="14"/>
                <w:lang w:val="es-ES_tradnl"/>
              </w:rPr>
              <w:t>00</w:t>
            </w:r>
          </w:p>
        </w:tc>
        <w:tc>
          <w:tcPr>
            <w:tcW w:w="662" w:type="dxa"/>
            <w:tcBorders>
              <w:top w:val="nil"/>
              <w:left w:val="nil"/>
              <w:bottom w:val="nil"/>
              <w:right w:val="nil"/>
            </w:tcBorders>
            <w:shd w:val="clear" w:color="auto" w:fill="F2F2F2" w:themeFill="background1" w:themeFillShade="F2"/>
            <w:noWrap/>
            <w:vAlign w:val="bottom"/>
          </w:tcPr>
          <w:p w14:paraId="65FE089A" w14:textId="40B43AB5" w:rsidR="009C3C24" w:rsidRPr="005210C6" w:rsidRDefault="009C3C24" w:rsidP="002F797B">
            <w:pPr>
              <w:spacing w:after="0" w:line="240" w:lineRule="exact"/>
              <w:jc w:val="center"/>
              <w:rPr>
                <w:rFonts w:ascii="Montserrat" w:hAnsi="Montserrat"/>
                <w:sz w:val="14"/>
                <w:szCs w:val="14"/>
                <w:lang w:val="es-ES_tradnl"/>
              </w:rPr>
            </w:pPr>
            <w:r w:rsidRPr="005210C6">
              <w:rPr>
                <w:rFonts w:ascii="Montserrat" w:hAnsi="Montserrat"/>
                <w:sz w:val="14"/>
                <w:szCs w:val="14"/>
                <w:lang w:val="es-ES_tradnl"/>
              </w:rPr>
              <w:t>4.0</w:t>
            </w:r>
            <w:r w:rsidR="00545FF7">
              <w:rPr>
                <w:rFonts w:ascii="Montserrat" w:hAnsi="Montserrat"/>
                <w:sz w:val="14"/>
                <w:szCs w:val="14"/>
                <w:lang w:val="es-ES_tradnl"/>
              </w:rPr>
              <w:t>0</w:t>
            </w:r>
            <w:r w:rsidRPr="005210C6">
              <w:rPr>
                <w:rFonts w:ascii="Montserrat" w:hAnsi="Montserrat"/>
                <w:sz w:val="14"/>
                <w:szCs w:val="14"/>
                <w:lang w:val="es-ES_tradnl"/>
              </w:rPr>
              <w:t>%</w:t>
            </w:r>
          </w:p>
        </w:tc>
        <w:tc>
          <w:tcPr>
            <w:tcW w:w="850" w:type="dxa"/>
            <w:tcBorders>
              <w:top w:val="nil"/>
              <w:left w:val="nil"/>
              <w:bottom w:val="nil"/>
              <w:right w:val="nil"/>
            </w:tcBorders>
            <w:shd w:val="clear" w:color="auto" w:fill="F2F2F2" w:themeFill="background1" w:themeFillShade="F2"/>
            <w:noWrap/>
            <w:vAlign w:val="bottom"/>
          </w:tcPr>
          <w:p w14:paraId="5D9CEA77" w14:textId="77777777" w:rsidR="009C3C24" w:rsidRPr="005210C6" w:rsidRDefault="009C3C24" w:rsidP="002F797B">
            <w:pPr>
              <w:spacing w:after="0" w:line="240" w:lineRule="exact"/>
              <w:rPr>
                <w:rFonts w:ascii="Montserrat" w:hAnsi="Montserrat"/>
                <w:sz w:val="14"/>
                <w:szCs w:val="14"/>
                <w:lang w:val="es-ES_tradnl"/>
              </w:rPr>
            </w:pPr>
          </w:p>
        </w:tc>
        <w:tc>
          <w:tcPr>
            <w:tcW w:w="567" w:type="dxa"/>
            <w:tcBorders>
              <w:top w:val="nil"/>
              <w:left w:val="nil"/>
              <w:bottom w:val="nil"/>
              <w:right w:val="nil"/>
            </w:tcBorders>
            <w:shd w:val="clear" w:color="auto" w:fill="F2F2F2" w:themeFill="background1" w:themeFillShade="F2"/>
            <w:noWrap/>
            <w:vAlign w:val="bottom"/>
          </w:tcPr>
          <w:p w14:paraId="67DBADFF" w14:textId="77777777" w:rsidR="009C3C24" w:rsidRPr="005210C6" w:rsidRDefault="009C3C24" w:rsidP="002F797B">
            <w:pPr>
              <w:spacing w:after="0" w:line="240" w:lineRule="exact"/>
              <w:jc w:val="right"/>
              <w:rPr>
                <w:rFonts w:ascii="Montserrat" w:hAnsi="Montserrat"/>
                <w:sz w:val="14"/>
                <w:szCs w:val="14"/>
                <w:lang w:val="es-ES_tradnl"/>
              </w:rPr>
            </w:pPr>
          </w:p>
        </w:tc>
        <w:tc>
          <w:tcPr>
            <w:tcW w:w="1043" w:type="dxa"/>
            <w:gridSpan w:val="2"/>
            <w:tcBorders>
              <w:top w:val="nil"/>
              <w:left w:val="nil"/>
              <w:bottom w:val="nil"/>
              <w:right w:val="nil"/>
            </w:tcBorders>
            <w:shd w:val="clear" w:color="auto" w:fill="F2F2F2" w:themeFill="background1" w:themeFillShade="F2"/>
            <w:noWrap/>
            <w:vAlign w:val="bottom"/>
            <w:hideMark/>
          </w:tcPr>
          <w:p w14:paraId="71AEF683" w14:textId="77777777" w:rsidR="009C3C24" w:rsidRPr="005210C6" w:rsidRDefault="009C3C24" w:rsidP="002F797B">
            <w:pPr>
              <w:spacing w:after="0" w:line="240" w:lineRule="exact"/>
              <w:jc w:val="right"/>
              <w:rPr>
                <w:rFonts w:ascii="Montserrat" w:hAnsi="Montserrat"/>
                <w:sz w:val="14"/>
                <w:szCs w:val="14"/>
                <w:lang w:val="es-ES_tradnl"/>
              </w:rPr>
            </w:pPr>
          </w:p>
        </w:tc>
        <w:tc>
          <w:tcPr>
            <w:tcW w:w="160" w:type="dxa"/>
            <w:gridSpan w:val="2"/>
            <w:tcBorders>
              <w:top w:val="nil"/>
              <w:left w:val="nil"/>
              <w:bottom w:val="nil"/>
              <w:right w:val="nil"/>
            </w:tcBorders>
            <w:shd w:val="clear" w:color="auto" w:fill="F2F2F2" w:themeFill="background1" w:themeFillShade="F2"/>
            <w:noWrap/>
            <w:vAlign w:val="bottom"/>
            <w:hideMark/>
          </w:tcPr>
          <w:p w14:paraId="6033E87D" w14:textId="77777777" w:rsidR="009C3C24" w:rsidRPr="005210C6" w:rsidRDefault="009C3C24" w:rsidP="002F797B">
            <w:pPr>
              <w:spacing w:after="0" w:line="240" w:lineRule="exact"/>
              <w:jc w:val="right"/>
              <w:rPr>
                <w:rFonts w:ascii="Montserrat" w:hAnsi="Montserrat"/>
                <w:sz w:val="14"/>
                <w:szCs w:val="14"/>
                <w:lang w:val="es-ES_tradnl"/>
              </w:rPr>
            </w:pPr>
          </w:p>
        </w:tc>
        <w:tc>
          <w:tcPr>
            <w:tcW w:w="498" w:type="dxa"/>
            <w:tcBorders>
              <w:top w:val="nil"/>
              <w:left w:val="nil"/>
              <w:bottom w:val="nil"/>
              <w:right w:val="nil"/>
            </w:tcBorders>
            <w:shd w:val="clear" w:color="auto" w:fill="F2F2F2" w:themeFill="background1" w:themeFillShade="F2"/>
            <w:noWrap/>
            <w:vAlign w:val="bottom"/>
            <w:hideMark/>
          </w:tcPr>
          <w:p w14:paraId="426AE8A3" w14:textId="77777777" w:rsidR="009C3C24" w:rsidRPr="005210C6" w:rsidRDefault="009C3C24" w:rsidP="002F797B">
            <w:pPr>
              <w:spacing w:after="0" w:line="240" w:lineRule="exact"/>
              <w:jc w:val="right"/>
              <w:rPr>
                <w:rFonts w:ascii="Montserrat" w:hAnsi="Montserrat"/>
                <w:sz w:val="14"/>
                <w:szCs w:val="14"/>
                <w:lang w:val="es-ES_tradnl"/>
              </w:rPr>
            </w:pPr>
          </w:p>
        </w:tc>
        <w:tc>
          <w:tcPr>
            <w:tcW w:w="567" w:type="dxa"/>
            <w:tcBorders>
              <w:top w:val="nil"/>
              <w:left w:val="nil"/>
              <w:bottom w:val="nil"/>
              <w:right w:val="nil"/>
            </w:tcBorders>
            <w:shd w:val="clear" w:color="auto" w:fill="F2F2F2" w:themeFill="background1" w:themeFillShade="F2"/>
            <w:noWrap/>
            <w:vAlign w:val="bottom"/>
            <w:hideMark/>
          </w:tcPr>
          <w:p w14:paraId="1A6B9E44" w14:textId="77777777" w:rsidR="009C3C24" w:rsidRPr="005210C6" w:rsidRDefault="009C3C24" w:rsidP="002F797B">
            <w:pPr>
              <w:spacing w:after="0" w:line="240" w:lineRule="exact"/>
              <w:jc w:val="right"/>
              <w:rPr>
                <w:rFonts w:ascii="Montserrat" w:hAnsi="Montserrat"/>
                <w:sz w:val="14"/>
                <w:szCs w:val="14"/>
                <w:lang w:val="es-ES_tradnl"/>
              </w:rPr>
            </w:pPr>
          </w:p>
        </w:tc>
        <w:tc>
          <w:tcPr>
            <w:tcW w:w="709" w:type="dxa"/>
            <w:tcBorders>
              <w:top w:val="nil"/>
              <w:left w:val="nil"/>
              <w:bottom w:val="nil"/>
            </w:tcBorders>
            <w:shd w:val="clear" w:color="auto" w:fill="F2F2F2" w:themeFill="background1" w:themeFillShade="F2"/>
            <w:noWrap/>
            <w:vAlign w:val="bottom"/>
            <w:hideMark/>
          </w:tcPr>
          <w:p w14:paraId="2DA36382" w14:textId="77777777" w:rsidR="009C3C24" w:rsidRPr="005210C6" w:rsidRDefault="009C3C24" w:rsidP="002F797B">
            <w:pPr>
              <w:spacing w:after="0" w:line="240" w:lineRule="exact"/>
              <w:jc w:val="right"/>
              <w:rPr>
                <w:rFonts w:ascii="Montserrat" w:hAnsi="Montserrat"/>
                <w:sz w:val="14"/>
                <w:szCs w:val="14"/>
                <w:lang w:val="es-ES_tradnl"/>
              </w:rPr>
            </w:pPr>
          </w:p>
        </w:tc>
      </w:tr>
      <w:tr w:rsidR="009C3C24" w:rsidRPr="005210C6" w14:paraId="4EF52DF9" w14:textId="77777777" w:rsidTr="0023764E">
        <w:trPr>
          <w:trHeight w:val="240"/>
        </w:trPr>
        <w:tc>
          <w:tcPr>
            <w:tcW w:w="923" w:type="dxa"/>
            <w:tcBorders>
              <w:right w:val="nil"/>
            </w:tcBorders>
            <w:shd w:val="clear" w:color="auto" w:fill="F2F2F2" w:themeFill="background1" w:themeFillShade="F2"/>
            <w:noWrap/>
            <w:vAlign w:val="bottom"/>
            <w:hideMark/>
          </w:tcPr>
          <w:p w14:paraId="1017900A" w14:textId="77777777" w:rsidR="009C3C24" w:rsidRPr="005210C6" w:rsidRDefault="009C3C24" w:rsidP="002F797B">
            <w:pPr>
              <w:spacing w:after="0" w:line="240" w:lineRule="exact"/>
              <w:rPr>
                <w:rFonts w:ascii="Montserrat" w:hAnsi="Montserrat"/>
                <w:bCs/>
                <w:sz w:val="14"/>
                <w:szCs w:val="14"/>
                <w:lang w:val="es-ES_tradnl"/>
              </w:rPr>
            </w:pPr>
            <w:r w:rsidRPr="005210C6">
              <w:rPr>
                <w:rFonts w:ascii="Montserrat" w:hAnsi="Montserrat"/>
                <w:bCs/>
                <w:sz w:val="14"/>
                <w:szCs w:val="14"/>
                <w:lang w:val="es-ES_tradnl"/>
              </w:rPr>
              <w:t>SAR</w:t>
            </w:r>
          </w:p>
        </w:tc>
        <w:tc>
          <w:tcPr>
            <w:tcW w:w="567" w:type="dxa"/>
            <w:tcBorders>
              <w:left w:val="nil"/>
              <w:right w:val="nil"/>
            </w:tcBorders>
            <w:shd w:val="clear" w:color="auto" w:fill="F2F2F2" w:themeFill="background1" w:themeFillShade="F2"/>
            <w:noWrap/>
          </w:tcPr>
          <w:p w14:paraId="72FD831B" w14:textId="77777777" w:rsidR="009C3C24" w:rsidRPr="005210C6" w:rsidRDefault="009C3C24" w:rsidP="002F797B">
            <w:pPr>
              <w:spacing w:after="0" w:line="240" w:lineRule="exact"/>
              <w:ind w:left="-358" w:firstLine="358"/>
              <w:rPr>
                <w:rFonts w:ascii="Montserrat" w:hAnsi="Montserrat"/>
                <w:sz w:val="14"/>
                <w:szCs w:val="14"/>
                <w:lang w:val="es-ES_tradnl"/>
              </w:rPr>
            </w:pPr>
            <w:r w:rsidRPr="005210C6">
              <w:rPr>
                <w:rFonts w:ascii="Montserrat" w:hAnsi="Montserrat"/>
                <w:sz w:val="14"/>
                <w:szCs w:val="14"/>
                <w:lang w:val="es-ES_tradnl"/>
              </w:rPr>
              <w:t>Mex.</w:t>
            </w:r>
          </w:p>
        </w:tc>
        <w:tc>
          <w:tcPr>
            <w:tcW w:w="425" w:type="dxa"/>
            <w:tcBorders>
              <w:left w:val="nil"/>
              <w:right w:val="nil"/>
            </w:tcBorders>
            <w:shd w:val="clear" w:color="auto" w:fill="F2F2F2" w:themeFill="background1" w:themeFillShade="F2"/>
            <w:noWrap/>
          </w:tcPr>
          <w:p w14:paraId="029B9AD9" w14:textId="77777777" w:rsidR="009C3C24" w:rsidRPr="005210C6" w:rsidRDefault="009C3C24" w:rsidP="002F797B">
            <w:pPr>
              <w:spacing w:after="0" w:line="240" w:lineRule="exact"/>
              <w:ind w:left="-358" w:firstLine="358"/>
              <w:rPr>
                <w:rFonts w:ascii="Montserrat" w:hAnsi="Montserrat"/>
                <w:sz w:val="14"/>
                <w:szCs w:val="14"/>
                <w:lang w:val="es-ES_tradnl"/>
              </w:rPr>
            </w:pPr>
            <w:r w:rsidRPr="005210C6">
              <w:rPr>
                <w:rFonts w:ascii="Montserrat" w:hAnsi="Montserrat"/>
                <w:sz w:val="14"/>
                <w:szCs w:val="14"/>
                <w:lang w:val="es-ES_tradnl"/>
              </w:rPr>
              <w:t>Pso.</w:t>
            </w:r>
          </w:p>
        </w:tc>
        <w:tc>
          <w:tcPr>
            <w:tcW w:w="709" w:type="dxa"/>
            <w:tcBorders>
              <w:left w:val="nil"/>
              <w:right w:val="nil"/>
            </w:tcBorders>
            <w:shd w:val="clear" w:color="auto" w:fill="F2F2F2" w:themeFill="background1" w:themeFillShade="F2"/>
            <w:noWrap/>
          </w:tcPr>
          <w:p w14:paraId="26902A03" w14:textId="77777777" w:rsidR="009C3C24" w:rsidRPr="005210C6" w:rsidRDefault="009C3C24" w:rsidP="002F797B">
            <w:pPr>
              <w:spacing w:after="0" w:line="240" w:lineRule="exact"/>
              <w:ind w:left="-358" w:firstLine="358"/>
              <w:rPr>
                <w:rFonts w:ascii="Montserrat" w:hAnsi="Montserrat"/>
                <w:sz w:val="14"/>
                <w:szCs w:val="14"/>
                <w:lang w:val="es-ES_tradnl"/>
              </w:rPr>
            </w:pPr>
          </w:p>
        </w:tc>
        <w:tc>
          <w:tcPr>
            <w:tcW w:w="1345" w:type="dxa"/>
            <w:tcBorders>
              <w:left w:val="nil"/>
              <w:right w:val="nil"/>
            </w:tcBorders>
            <w:shd w:val="clear" w:color="auto" w:fill="F2F2F2" w:themeFill="background1" w:themeFillShade="F2"/>
            <w:noWrap/>
          </w:tcPr>
          <w:p w14:paraId="03A86AE5" w14:textId="77777777" w:rsidR="009C3C24" w:rsidRPr="005210C6" w:rsidRDefault="009C3C24" w:rsidP="002F797B">
            <w:pPr>
              <w:spacing w:after="0" w:line="240" w:lineRule="exact"/>
              <w:jc w:val="center"/>
              <w:rPr>
                <w:rFonts w:ascii="Montserrat" w:hAnsi="Montserrat"/>
                <w:sz w:val="14"/>
                <w:szCs w:val="14"/>
                <w:lang w:val="es-ES_tradnl"/>
              </w:rPr>
            </w:pPr>
            <w:r w:rsidRPr="005210C6">
              <w:rPr>
                <w:rFonts w:ascii="Montserrat" w:hAnsi="Montserrat"/>
                <w:sz w:val="14"/>
                <w:szCs w:val="14"/>
                <w:lang w:val="es-ES_tradnl"/>
              </w:rPr>
              <w:t>Banco de México.</w:t>
            </w:r>
          </w:p>
        </w:tc>
        <w:tc>
          <w:tcPr>
            <w:tcW w:w="1560" w:type="dxa"/>
            <w:tcBorders>
              <w:left w:val="nil"/>
              <w:right w:val="nil"/>
            </w:tcBorders>
            <w:shd w:val="clear" w:color="auto" w:fill="F2F2F2" w:themeFill="background1" w:themeFillShade="F2"/>
            <w:noWrap/>
            <w:vAlign w:val="bottom"/>
          </w:tcPr>
          <w:p w14:paraId="6F198757" w14:textId="5D3D061F" w:rsidR="009C3C24" w:rsidRPr="005210C6" w:rsidRDefault="00545FF7" w:rsidP="002F797B">
            <w:pPr>
              <w:spacing w:after="0" w:line="240" w:lineRule="exact"/>
              <w:jc w:val="right"/>
              <w:rPr>
                <w:rFonts w:ascii="Montserrat" w:hAnsi="Montserrat"/>
                <w:sz w:val="14"/>
                <w:szCs w:val="14"/>
                <w:lang w:val="es-ES_tradnl"/>
              </w:rPr>
            </w:pPr>
            <w:r w:rsidRPr="00545FF7">
              <w:rPr>
                <w:rFonts w:ascii="Montserrat" w:hAnsi="Montserrat"/>
                <w:sz w:val="14"/>
                <w:szCs w:val="14"/>
                <w:lang w:val="es-ES_tradnl"/>
              </w:rPr>
              <w:t>289</w:t>
            </w:r>
            <w:r w:rsidR="00070196">
              <w:rPr>
                <w:rFonts w:ascii="Montserrat" w:hAnsi="Montserrat"/>
                <w:sz w:val="14"/>
                <w:szCs w:val="14"/>
                <w:lang w:val="es-ES_tradnl"/>
              </w:rPr>
              <w:t>,</w:t>
            </w:r>
            <w:r w:rsidRPr="00545FF7">
              <w:rPr>
                <w:rFonts w:ascii="Montserrat" w:hAnsi="Montserrat"/>
                <w:sz w:val="14"/>
                <w:szCs w:val="14"/>
                <w:lang w:val="es-ES_tradnl"/>
              </w:rPr>
              <w:t>649</w:t>
            </w:r>
            <w:r w:rsidR="00070196">
              <w:rPr>
                <w:rFonts w:ascii="Montserrat" w:hAnsi="Montserrat"/>
                <w:sz w:val="14"/>
                <w:szCs w:val="14"/>
                <w:lang w:val="es-ES_tradnl"/>
              </w:rPr>
              <w:t>,</w:t>
            </w:r>
            <w:r w:rsidRPr="00545FF7">
              <w:rPr>
                <w:rFonts w:ascii="Montserrat" w:hAnsi="Montserrat"/>
                <w:sz w:val="14"/>
                <w:szCs w:val="14"/>
                <w:lang w:val="es-ES_tradnl"/>
              </w:rPr>
              <w:t>014</w:t>
            </w:r>
            <w:r w:rsidR="00070196">
              <w:rPr>
                <w:rFonts w:ascii="Montserrat" w:hAnsi="Montserrat"/>
                <w:sz w:val="14"/>
                <w:szCs w:val="14"/>
                <w:lang w:val="es-ES_tradnl"/>
              </w:rPr>
              <w:t>,</w:t>
            </w:r>
            <w:r w:rsidRPr="00545FF7">
              <w:rPr>
                <w:rFonts w:ascii="Montserrat" w:hAnsi="Montserrat"/>
                <w:sz w:val="14"/>
                <w:szCs w:val="14"/>
                <w:lang w:val="es-ES_tradnl"/>
              </w:rPr>
              <w:t>647</w:t>
            </w:r>
          </w:p>
        </w:tc>
        <w:tc>
          <w:tcPr>
            <w:tcW w:w="662" w:type="dxa"/>
            <w:tcBorders>
              <w:left w:val="nil"/>
              <w:right w:val="nil"/>
            </w:tcBorders>
            <w:shd w:val="clear" w:color="auto" w:fill="F2F2F2" w:themeFill="background1" w:themeFillShade="F2"/>
            <w:noWrap/>
            <w:vAlign w:val="bottom"/>
          </w:tcPr>
          <w:p w14:paraId="4169FEA1" w14:textId="77777777" w:rsidR="009C3C24" w:rsidRPr="005210C6" w:rsidRDefault="009C3C24" w:rsidP="002F797B">
            <w:pPr>
              <w:spacing w:after="0" w:line="240" w:lineRule="exact"/>
              <w:jc w:val="center"/>
              <w:rPr>
                <w:rFonts w:ascii="Montserrat" w:hAnsi="Montserrat"/>
                <w:sz w:val="14"/>
                <w:szCs w:val="14"/>
                <w:lang w:val="es-ES_tradnl"/>
              </w:rPr>
            </w:pPr>
          </w:p>
        </w:tc>
        <w:tc>
          <w:tcPr>
            <w:tcW w:w="709" w:type="dxa"/>
            <w:tcBorders>
              <w:left w:val="nil"/>
              <w:right w:val="nil"/>
            </w:tcBorders>
            <w:shd w:val="clear" w:color="auto" w:fill="F2F2F2" w:themeFill="background1" w:themeFillShade="F2"/>
            <w:noWrap/>
            <w:vAlign w:val="bottom"/>
          </w:tcPr>
          <w:p w14:paraId="1A5A413B" w14:textId="77777777" w:rsidR="009C3C24" w:rsidRPr="005210C6" w:rsidRDefault="009C3C24" w:rsidP="002F797B">
            <w:pPr>
              <w:spacing w:after="0" w:line="240" w:lineRule="exact"/>
              <w:jc w:val="center"/>
              <w:rPr>
                <w:rFonts w:ascii="Montserrat" w:hAnsi="Montserrat"/>
                <w:sz w:val="14"/>
                <w:szCs w:val="14"/>
                <w:lang w:val="es-ES_tradnl"/>
              </w:rPr>
            </w:pPr>
          </w:p>
        </w:tc>
        <w:tc>
          <w:tcPr>
            <w:tcW w:w="708" w:type="dxa"/>
            <w:tcBorders>
              <w:left w:val="nil"/>
              <w:right w:val="nil"/>
            </w:tcBorders>
            <w:shd w:val="clear" w:color="auto" w:fill="F2F2F2" w:themeFill="background1" w:themeFillShade="F2"/>
            <w:noWrap/>
            <w:vAlign w:val="bottom"/>
          </w:tcPr>
          <w:p w14:paraId="138526A3" w14:textId="77777777" w:rsidR="009C3C24" w:rsidRPr="005210C6" w:rsidRDefault="009C3C24" w:rsidP="002F797B">
            <w:pPr>
              <w:spacing w:after="0" w:line="240" w:lineRule="exact"/>
              <w:jc w:val="center"/>
              <w:rPr>
                <w:rFonts w:ascii="Montserrat" w:hAnsi="Montserrat"/>
                <w:sz w:val="14"/>
                <w:szCs w:val="14"/>
                <w:lang w:val="es-ES_tradnl"/>
              </w:rPr>
            </w:pPr>
          </w:p>
        </w:tc>
        <w:tc>
          <w:tcPr>
            <w:tcW w:w="756" w:type="dxa"/>
            <w:tcBorders>
              <w:left w:val="nil"/>
              <w:right w:val="nil"/>
            </w:tcBorders>
            <w:shd w:val="clear" w:color="auto" w:fill="F2F2F2" w:themeFill="background1" w:themeFillShade="F2"/>
            <w:noWrap/>
            <w:vAlign w:val="bottom"/>
          </w:tcPr>
          <w:p w14:paraId="76280983" w14:textId="77777777" w:rsidR="009C3C24" w:rsidRPr="005210C6" w:rsidRDefault="009C3C24" w:rsidP="002F797B">
            <w:pPr>
              <w:spacing w:after="0" w:line="240" w:lineRule="exact"/>
              <w:jc w:val="center"/>
              <w:rPr>
                <w:rFonts w:ascii="Montserrat" w:hAnsi="Montserrat"/>
                <w:sz w:val="14"/>
                <w:szCs w:val="14"/>
                <w:lang w:val="es-ES_tradnl"/>
              </w:rPr>
            </w:pPr>
          </w:p>
        </w:tc>
        <w:tc>
          <w:tcPr>
            <w:tcW w:w="662" w:type="dxa"/>
            <w:tcBorders>
              <w:left w:val="nil"/>
              <w:right w:val="nil"/>
            </w:tcBorders>
            <w:shd w:val="clear" w:color="auto" w:fill="F2F2F2" w:themeFill="background1" w:themeFillShade="F2"/>
            <w:noWrap/>
          </w:tcPr>
          <w:p w14:paraId="7901DFAC" w14:textId="77777777" w:rsidR="009C3C24" w:rsidRPr="005210C6" w:rsidRDefault="009C3C24" w:rsidP="002F797B">
            <w:pPr>
              <w:spacing w:after="0" w:line="240" w:lineRule="exact"/>
              <w:jc w:val="right"/>
              <w:rPr>
                <w:rFonts w:ascii="Montserrat" w:hAnsi="Montserrat"/>
                <w:sz w:val="14"/>
                <w:szCs w:val="14"/>
                <w:lang w:val="es-ES_tradnl"/>
              </w:rPr>
            </w:pPr>
          </w:p>
        </w:tc>
        <w:tc>
          <w:tcPr>
            <w:tcW w:w="850" w:type="dxa"/>
            <w:tcBorders>
              <w:left w:val="nil"/>
              <w:right w:val="nil"/>
            </w:tcBorders>
            <w:shd w:val="clear" w:color="auto" w:fill="F2F2F2" w:themeFill="background1" w:themeFillShade="F2"/>
            <w:noWrap/>
            <w:vAlign w:val="bottom"/>
          </w:tcPr>
          <w:p w14:paraId="57EEB7B4" w14:textId="77777777" w:rsidR="009C3C24" w:rsidRPr="005210C6" w:rsidRDefault="009C3C24" w:rsidP="002F797B">
            <w:pPr>
              <w:spacing w:after="0" w:line="240" w:lineRule="exact"/>
              <w:jc w:val="center"/>
              <w:rPr>
                <w:rFonts w:ascii="Montserrat" w:hAnsi="Montserrat"/>
                <w:sz w:val="14"/>
                <w:szCs w:val="14"/>
                <w:lang w:val="es-ES_tradnl"/>
              </w:rPr>
            </w:pPr>
          </w:p>
        </w:tc>
        <w:tc>
          <w:tcPr>
            <w:tcW w:w="567" w:type="dxa"/>
            <w:tcBorders>
              <w:left w:val="nil"/>
              <w:right w:val="nil"/>
            </w:tcBorders>
            <w:shd w:val="clear" w:color="auto" w:fill="F2F2F2" w:themeFill="background1" w:themeFillShade="F2"/>
            <w:noWrap/>
            <w:vAlign w:val="bottom"/>
          </w:tcPr>
          <w:p w14:paraId="7C0A55B8" w14:textId="77777777" w:rsidR="009C3C24" w:rsidRPr="005210C6" w:rsidRDefault="009C3C24" w:rsidP="002F797B">
            <w:pPr>
              <w:spacing w:after="0" w:line="240" w:lineRule="exact"/>
              <w:jc w:val="right"/>
              <w:rPr>
                <w:rFonts w:ascii="Montserrat" w:hAnsi="Montserrat"/>
                <w:sz w:val="14"/>
                <w:szCs w:val="14"/>
                <w:lang w:val="es-ES_tradnl"/>
              </w:rPr>
            </w:pPr>
          </w:p>
        </w:tc>
        <w:tc>
          <w:tcPr>
            <w:tcW w:w="1043" w:type="dxa"/>
            <w:gridSpan w:val="2"/>
            <w:tcBorders>
              <w:left w:val="nil"/>
              <w:right w:val="nil"/>
            </w:tcBorders>
            <w:shd w:val="clear" w:color="auto" w:fill="F2F2F2" w:themeFill="background1" w:themeFillShade="F2"/>
            <w:noWrap/>
            <w:vAlign w:val="bottom"/>
          </w:tcPr>
          <w:p w14:paraId="3387722D" w14:textId="77777777" w:rsidR="009C3C24" w:rsidRPr="005210C6" w:rsidRDefault="009C3C24" w:rsidP="002F797B">
            <w:pPr>
              <w:spacing w:after="0" w:line="240" w:lineRule="exact"/>
              <w:jc w:val="right"/>
              <w:rPr>
                <w:rFonts w:ascii="Montserrat" w:hAnsi="Montserrat"/>
                <w:sz w:val="14"/>
                <w:szCs w:val="14"/>
                <w:lang w:val="es-ES_tradnl"/>
              </w:rPr>
            </w:pPr>
          </w:p>
        </w:tc>
        <w:tc>
          <w:tcPr>
            <w:tcW w:w="160" w:type="dxa"/>
            <w:gridSpan w:val="2"/>
            <w:tcBorders>
              <w:left w:val="nil"/>
              <w:right w:val="nil"/>
            </w:tcBorders>
            <w:shd w:val="clear" w:color="auto" w:fill="F2F2F2" w:themeFill="background1" w:themeFillShade="F2"/>
            <w:noWrap/>
            <w:vAlign w:val="bottom"/>
          </w:tcPr>
          <w:p w14:paraId="6E33E569" w14:textId="77777777" w:rsidR="009C3C24" w:rsidRPr="005210C6" w:rsidRDefault="009C3C24" w:rsidP="002F797B">
            <w:pPr>
              <w:spacing w:after="0" w:line="240" w:lineRule="exact"/>
              <w:jc w:val="right"/>
              <w:rPr>
                <w:rFonts w:ascii="Montserrat" w:hAnsi="Montserrat"/>
                <w:sz w:val="14"/>
                <w:szCs w:val="14"/>
                <w:lang w:val="es-ES_tradnl"/>
              </w:rPr>
            </w:pPr>
          </w:p>
        </w:tc>
        <w:tc>
          <w:tcPr>
            <w:tcW w:w="498" w:type="dxa"/>
            <w:tcBorders>
              <w:left w:val="nil"/>
              <w:right w:val="nil"/>
            </w:tcBorders>
            <w:shd w:val="clear" w:color="auto" w:fill="F2F2F2" w:themeFill="background1" w:themeFillShade="F2"/>
            <w:noWrap/>
            <w:vAlign w:val="bottom"/>
          </w:tcPr>
          <w:p w14:paraId="57F4EEC5" w14:textId="77777777" w:rsidR="009C3C24" w:rsidRPr="005210C6" w:rsidRDefault="009C3C24" w:rsidP="002F797B">
            <w:pPr>
              <w:spacing w:after="0" w:line="240" w:lineRule="exact"/>
              <w:jc w:val="right"/>
              <w:rPr>
                <w:rFonts w:ascii="Montserrat" w:hAnsi="Montserrat"/>
                <w:sz w:val="14"/>
                <w:szCs w:val="14"/>
                <w:lang w:val="es-ES_tradnl"/>
              </w:rPr>
            </w:pPr>
          </w:p>
        </w:tc>
        <w:tc>
          <w:tcPr>
            <w:tcW w:w="567" w:type="dxa"/>
            <w:tcBorders>
              <w:left w:val="nil"/>
              <w:right w:val="nil"/>
            </w:tcBorders>
            <w:shd w:val="clear" w:color="auto" w:fill="F2F2F2" w:themeFill="background1" w:themeFillShade="F2"/>
            <w:noWrap/>
            <w:vAlign w:val="bottom"/>
          </w:tcPr>
          <w:p w14:paraId="6A78DEB2" w14:textId="77777777" w:rsidR="009C3C24" w:rsidRPr="005210C6" w:rsidRDefault="009C3C24" w:rsidP="002F797B">
            <w:pPr>
              <w:spacing w:after="0" w:line="240" w:lineRule="exact"/>
              <w:jc w:val="right"/>
              <w:rPr>
                <w:rFonts w:ascii="Montserrat" w:hAnsi="Montserrat"/>
                <w:sz w:val="14"/>
                <w:szCs w:val="14"/>
                <w:lang w:val="es-ES_tradnl"/>
              </w:rPr>
            </w:pPr>
          </w:p>
        </w:tc>
        <w:tc>
          <w:tcPr>
            <w:tcW w:w="709" w:type="dxa"/>
            <w:tcBorders>
              <w:left w:val="nil"/>
            </w:tcBorders>
            <w:shd w:val="clear" w:color="auto" w:fill="F2F2F2" w:themeFill="background1" w:themeFillShade="F2"/>
            <w:noWrap/>
            <w:vAlign w:val="bottom"/>
          </w:tcPr>
          <w:p w14:paraId="3A04386B" w14:textId="77777777" w:rsidR="009C3C24" w:rsidRPr="005210C6" w:rsidRDefault="009C3C24" w:rsidP="002F797B">
            <w:pPr>
              <w:spacing w:after="0" w:line="240" w:lineRule="exact"/>
              <w:jc w:val="right"/>
              <w:rPr>
                <w:rFonts w:ascii="Montserrat" w:hAnsi="Montserrat"/>
                <w:sz w:val="14"/>
                <w:szCs w:val="14"/>
                <w:lang w:val="es-ES_tradnl"/>
              </w:rPr>
            </w:pPr>
          </w:p>
        </w:tc>
      </w:tr>
      <w:tr w:rsidR="005210C6" w:rsidRPr="005210C6" w14:paraId="67F78EA6" w14:textId="77777777" w:rsidTr="0023764E">
        <w:trPr>
          <w:trHeight w:val="240"/>
        </w:trPr>
        <w:tc>
          <w:tcPr>
            <w:tcW w:w="923" w:type="dxa"/>
            <w:tcBorders>
              <w:bottom w:val="single" w:sz="12" w:space="0" w:color="808080" w:themeColor="background1" w:themeShade="80"/>
              <w:right w:val="nil"/>
            </w:tcBorders>
            <w:shd w:val="clear" w:color="auto" w:fill="F2F2F2" w:themeFill="background1" w:themeFillShade="F2"/>
            <w:noWrap/>
            <w:vAlign w:val="bottom"/>
            <w:hideMark/>
          </w:tcPr>
          <w:p w14:paraId="2EF17FC7" w14:textId="77777777" w:rsidR="009C3C24" w:rsidRPr="005210C6" w:rsidRDefault="009C3C24" w:rsidP="002F797B">
            <w:pPr>
              <w:spacing w:after="0" w:line="240" w:lineRule="exact"/>
              <w:rPr>
                <w:rFonts w:ascii="Montserrat" w:hAnsi="Montserrat"/>
                <w:sz w:val="14"/>
                <w:szCs w:val="14"/>
                <w:lang w:val="es-ES_tradnl"/>
              </w:rPr>
            </w:pPr>
          </w:p>
        </w:tc>
        <w:tc>
          <w:tcPr>
            <w:tcW w:w="567" w:type="dxa"/>
            <w:tcBorders>
              <w:left w:val="nil"/>
              <w:bottom w:val="single" w:sz="12" w:space="0" w:color="808080" w:themeColor="background1" w:themeShade="80"/>
              <w:right w:val="nil"/>
            </w:tcBorders>
            <w:shd w:val="clear" w:color="auto" w:fill="F2F2F2" w:themeFill="background1" w:themeFillShade="F2"/>
            <w:noWrap/>
            <w:vAlign w:val="bottom"/>
            <w:hideMark/>
          </w:tcPr>
          <w:p w14:paraId="01BFB25D" w14:textId="77777777" w:rsidR="009C3C24" w:rsidRPr="005210C6" w:rsidRDefault="009C3C24" w:rsidP="002F797B">
            <w:pPr>
              <w:spacing w:after="0" w:line="240" w:lineRule="exact"/>
              <w:rPr>
                <w:rFonts w:ascii="Montserrat" w:hAnsi="Montserrat"/>
                <w:sz w:val="14"/>
                <w:szCs w:val="14"/>
                <w:lang w:val="es-ES_tradnl"/>
              </w:rPr>
            </w:pPr>
          </w:p>
        </w:tc>
        <w:tc>
          <w:tcPr>
            <w:tcW w:w="425" w:type="dxa"/>
            <w:tcBorders>
              <w:left w:val="nil"/>
              <w:bottom w:val="single" w:sz="12" w:space="0" w:color="808080" w:themeColor="background1" w:themeShade="80"/>
              <w:right w:val="nil"/>
            </w:tcBorders>
            <w:shd w:val="clear" w:color="auto" w:fill="F2F2F2" w:themeFill="background1" w:themeFillShade="F2"/>
            <w:noWrap/>
            <w:vAlign w:val="bottom"/>
            <w:hideMark/>
          </w:tcPr>
          <w:p w14:paraId="322A4EB0" w14:textId="77777777" w:rsidR="009C3C24" w:rsidRPr="005210C6" w:rsidRDefault="009C3C24" w:rsidP="002F797B">
            <w:pPr>
              <w:spacing w:after="0" w:line="240" w:lineRule="exact"/>
              <w:rPr>
                <w:rFonts w:ascii="Montserrat" w:hAnsi="Montserrat"/>
                <w:sz w:val="14"/>
                <w:szCs w:val="14"/>
                <w:lang w:val="es-ES_tradnl"/>
              </w:rPr>
            </w:pPr>
          </w:p>
        </w:tc>
        <w:tc>
          <w:tcPr>
            <w:tcW w:w="709" w:type="dxa"/>
            <w:tcBorders>
              <w:left w:val="nil"/>
              <w:bottom w:val="single" w:sz="12" w:space="0" w:color="808080" w:themeColor="background1" w:themeShade="80"/>
              <w:right w:val="nil"/>
            </w:tcBorders>
            <w:shd w:val="clear" w:color="auto" w:fill="F2F2F2" w:themeFill="background1" w:themeFillShade="F2"/>
            <w:noWrap/>
            <w:vAlign w:val="bottom"/>
            <w:hideMark/>
          </w:tcPr>
          <w:p w14:paraId="1C19728F" w14:textId="77777777" w:rsidR="009C3C24" w:rsidRPr="005210C6" w:rsidRDefault="009C3C24" w:rsidP="002F797B">
            <w:pPr>
              <w:spacing w:after="0" w:line="240" w:lineRule="exact"/>
              <w:rPr>
                <w:rFonts w:ascii="Montserrat" w:hAnsi="Montserrat"/>
                <w:sz w:val="14"/>
                <w:szCs w:val="14"/>
                <w:lang w:val="es-ES_tradnl"/>
              </w:rPr>
            </w:pPr>
          </w:p>
        </w:tc>
        <w:tc>
          <w:tcPr>
            <w:tcW w:w="1345" w:type="dxa"/>
            <w:tcBorders>
              <w:left w:val="nil"/>
              <w:bottom w:val="single" w:sz="12" w:space="0" w:color="808080" w:themeColor="background1" w:themeShade="80"/>
              <w:right w:val="nil"/>
            </w:tcBorders>
            <w:shd w:val="clear" w:color="auto" w:fill="F2F2F2" w:themeFill="background1" w:themeFillShade="F2"/>
            <w:noWrap/>
            <w:vAlign w:val="bottom"/>
            <w:hideMark/>
          </w:tcPr>
          <w:p w14:paraId="174CA068" w14:textId="77777777" w:rsidR="009C3C24" w:rsidRPr="005210C6" w:rsidRDefault="009C3C24" w:rsidP="002F797B">
            <w:pPr>
              <w:spacing w:after="0" w:line="240" w:lineRule="exact"/>
              <w:rPr>
                <w:rFonts w:ascii="Montserrat" w:hAnsi="Montserrat"/>
                <w:sz w:val="14"/>
                <w:szCs w:val="14"/>
                <w:lang w:val="es-ES_tradnl"/>
              </w:rPr>
            </w:pPr>
          </w:p>
        </w:tc>
        <w:tc>
          <w:tcPr>
            <w:tcW w:w="1560" w:type="dxa"/>
            <w:tcBorders>
              <w:left w:val="nil"/>
              <w:bottom w:val="single" w:sz="12" w:space="0" w:color="808080" w:themeColor="background1" w:themeShade="80"/>
              <w:right w:val="nil"/>
            </w:tcBorders>
            <w:shd w:val="clear" w:color="auto" w:fill="F2F2F2" w:themeFill="background1" w:themeFillShade="F2"/>
            <w:noWrap/>
            <w:vAlign w:val="bottom"/>
          </w:tcPr>
          <w:p w14:paraId="71B2820E" w14:textId="0920C156" w:rsidR="009C3C24" w:rsidRPr="005210C6" w:rsidRDefault="00545FF7" w:rsidP="002F797B">
            <w:pPr>
              <w:spacing w:after="0" w:line="240" w:lineRule="exact"/>
              <w:jc w:val="right"/>
              <w:rPr>
                <w:rFonts w:ascii="Montserrat" w:hAnsi="Montserrat"/>
                <w:sz w:val="14"/>
                <w:szCs w:val="14"/>
                <w:lang w:val="es-ES_tradnl"/>
              </w:rPr>
            </w:pPr>
            <w:r w:rsidRPr="00545FF7">
              <w:rPr>
                <w:rFonts w:ascii="Montserrat" w:hAnsi="Montserrat"/>
                <w:sz w:val="14"/>
                <w:szCs w:val="14"/>
                <w:lang w:val="es-ES_tradnl"/>
              </w:rPr>
              <w:t>289</w:t>
            </w:r>
            <w:r w:rsidR="00070196">
              <w:rPr>
                <w:rFonts w:ascii="Montserrat" w:hAnsi="Montserrat"/>
                <w:sz w:val="14"/>
                <w:szCs w:val="14"/>
                <w:lang w:val="es-ES_tradnl"/>
              </w:rPr>
              <w:t>,</w:t>
            </w:r>
            <w:r w:rsidRPr="00545FF7">
              <w:rPr>
                <w:rFonts w:ascii="Montserrat" w:hAnsi="Montserrat"/>
                <w:sz w:val="14"/>
                <w:szCs w:val="14"/>
                <w:lang w:val="es-ES_tradnl"/>
              </w:rPr>
              <w:t>649</w:t>
            </w:r>
            <w:r w:rsidR="00070196">
              <w:rPr>
                <w:rFonts w:ascii="Montserrat" w:hAnsi="Montserrat"/>
                <w:sz w:val="14"/>
                <w:szCs w:val="14"/>
                <w:lang w:val="es-ES_tradnl"/>
              </w:rPr>
              <w:t>,</w:t>
            </w:r>
            <w:r w:rsidRPr="00545FF7">
              <w:rPr>
                <w:rFonts w:ascii="Montserrat" w:hAnsi="Montserrat"/>
                <w:sz w:val="14"/>
                <w:szCs w:val="14"/>
                <w:lang w:val="es-ES_tradnl"/>
              </w:rPr>
              <w:t>014</w:t>
            </w:r>
            <w:r w:rsidR="00070196">
              <w:rPr>
                <w:rFonts w:ascii="Montserrat" w:hAnsi="Montserrat"/>
                <w:sz w:val="14"/>
                <w:szCs w:val="14"/>
                <w:lang w:val="es-ES_tradnl"/>
              </w:rPr>
              <w:t>,</w:t>
            </w:r>
            <w:r w:rsidRPr="00545FF7">
              <w:rPr>
                <w:rFonts w:ascii="Montserrat" w:hAnsi="Montserrat"/>
                <w:sz w:val="14"/>
                <w:szCs w:val="14"/>
                <w:lang w:val="es-ES_tradnl"/>
              </w:rPr>
              <w:t>647</w:t>
            </w:r>
            <w:r w:rsidR="009C3C24" w:rsidRPr="005210C6">
              <w:rPr>
                <w:rFonts w:ascii="Montserrat" w:hAnsi="Montserrat"/>
                <w:sz w:val="14"/>
                <w:szCs w:val="14"/>
                <w:lang w:val="es-ES_tradnl"/>
              </w:rPr>
              <w:t xml:space="preserve"> </w:t>
            </w:r>
          </w:p>
        </w:tc>
        <w:tc>
          <w:tcPr>
            <w:tcW w:w="662" w:type="dxa"/>
            <w:tcBorders>
              <w:left w:val="nil"/>
              <w:bottom w:val="single" w:sz="12" w:space="0" w:color="808080" w:themeColor="background1" w:themeShade="80"/>
              <w:right w:val="nil"/>
            </w:tcBorders>
            <w:shd w:val="clear" w:color="auto" w:fill="F2F2F2" w:themeFill="background1" w:themeFillShade="F2"/>
            <w:noWrap/>
            <w:vAlign w:val="bottom"/>
          </w:tcPr>
          <w:p w14:paraId="68344FD7" w14:textId="77777777" w:rsidR="009C3C24" w:rsidRPr="005210C6" w:rsidRDefault="009C3C24" w:rsidP="002F797B">
            <w:pPr>
              <w:spacing w:after="0" w:line="240" w:lineRule="exact"/>
              <w:jc w:val="center"/>
              <w:rPr>
                <w:rFonts w:ascii="Montserrat" w:hAnsi="Montserrat"/>
                <w:sz w:val="14"/>
                <w:szCs w:val="14"/>
                <w:lang w:val="es-ES_tradnl"/>
              </w:rPr>
            </w:pPr>
            <w:r w:rsidRPr="005210C6">
              <w:rPr>
                <w:rFonts w:ascii="Montserrat" w:hAnsi="Montserrat"/>
                <w:sz w:val="14"/>
                <w:szCs w:val="14"/>
                <w:lang w:val="es-ES_tradnl"/>
              </w:rPr>
              <w:t>00</w:t>
            </w:r>
          </w:p>
        </w:tc>
        <w:tc>
          <w:tcPr>
            <w:tcW w:w="709" w:type="dxa"/>
            <w:tcBorders>
              <w:left w:val="nil"/>
              <w:bottom w:val="single" w:sz="12" w:space="0" w:color="808080" w:themeColor="background1" w:themeShade="80"/>
              <w:right w:val="nil"/>
            </w:tcBorders>
            <w:shd w:val="clear" w:color="auto" w:fill="F2F2F2" w:themeFill="background1" w:themeFillShade="F2"/>
            <w:noWrap/>
            <w:vAlign w:val="bottom"/>
          </w:tcPr>
          <w:p w14:paraId="39E7D594" w14:textId="77777777" w:rsidR="009C3C24" w:rsidRPr="005210C6" w:rsidRDefault="009C3C24" w:rsidP="002F797B">
            <w:pPr>
              <w:spacing w:after="0" w:line="240" w:lineRule="exact"/>
              <w:jc w:val="center"/>
              <w:rPr>
                <w:rFonts w:ascii="Montserrat" w:hAnsi="Montserrat"/>
                <w:sz w:val="14"/>
                <w:szCs w:val="14"/>
                <w:lang w:val="es-ES_tradnl"/>
              </w:rPr>
            </w:pPr>
            <w:r w:rsidRPr="005210C6">
              <w:rPr>
                <w:rFonts w:ascii="Montserrat" w:hAnsi="Montserrat"/>
                <w:sz w:val="14"/>
                <w:szCs w:val="14"/>
                <w:lang w:val="es-ES_tradnl"/>
              </w:rPr>
              <w:t>00</w:t>
            </w:r>
          </w:p>
        </w:tc>
        <w:tc>
          <w:tcPr>
            <w:tcW w:w="708" w:type="dxa"/>
            <w:tcBorders>
              <w:left w:val="nil"/>
              <w:bottom w:val="single" w:sz="12" w:space="0" w:color="808080" w:themeColor="background1" w:themeShade="80"/>
              <w:right w:val="nil"/>
            </w:tcBorders>
            <w:shd w:val="clear" w:color="auto" w:fill="F2F2F2" w:themeFill="background1" w:themeFillShade="F2"/>
            <w:noWrap/>
            <w:vAlign w:val="bottom"/>
          </w:tcPr>
          <w:p w14:paraId="0DF96CE1" w14:textId="77777777" w:rsidR="009C3C24" w:rsidRPr="005210C6" w:rsidRDefault="009C3C24" w:rsidP="002F797B">
            <w:pPr>
              <w:spacing w:after="0" w:line="240" w:lineRule="exact"/>
              <w:jc w:val="center"/>
              <w:rPr>
                <w:rFonts w:ascii="Montserrat" w:hAnsi="Montserrat"/>
                <w:sz w:val="14"/>
                <w:szCs w:val="14"/>
                <w:lang w:val="es-ES_tradnl"/>
              </w:rPr>
            </w:pPr>
            <w:r w:rsidRPr="005210C6">
              <w:rPr>
                <w:rFonts w:ascii="Montserrat" w:hAnsi="Montserrat"/>
                <w:sz w:val="14"/>
                <w:szCs w:val="14"/>
                <w:lang w:val="es-ES_tradnl"/>
              </w:rPr>
              <w:t>00</w:t>
            </w:r>
          </w:p>
        </w:tc>
        <w:tc>
          <w:tcPr>
            <w:tcW w:w="756" w:type="dxa"/>
            <w:tcBorders>
              <w:left w:val="nil"/>
              <w:bottom w:val="single" w:sz="12" w:space="0" w:color="808080" w:themeColor="background1" w:themeShade="80"/>
              <w:right w:val="nil"/>
            </w:tcBorders>
            <w:shd w:val="clear" w:color="auto" w:fill="F2F2F2" w:themeFill="background1" w:themeFillShade="F2"/>
            <w:noWrap/>
            <w:vAlign w:val="bottom"/>
          </w:tcPr>
          <w:p w14:paraId="34D2AC9C" w14:textId="77777777" w:rsidR="009C3C24" w:rsidRPr="005210C6" w:rsidRDefault="009C3C24" w:rsidP="002F797B">
            <w:pPr>
              <w:spacing w:after="0" w:line="240" w:lineRule="exact"/>
              <w:jc w:val="center"/>
              <w:rPr>
                <w:rFonts w:ascii="Montserrat" w:hAnsi="Montserrat"/>
                <w:sz w:val="14"/>
                <w:szCs w:val="14"/>
                <w:lang w:val="es-ES_tradnl"/>
              </w:rPr>
            </w:pPr>
            <w:r w:rsidRPr="005210C6">
              <w:rPr>
                <w:rFonts w:ascii="Montserrat" w:hAnsi="Montserrat"/>
                <w:sz w:val="14"/>
                <w:szCs w:val="14"/>
                <w:lang w:val="es-ES_tradnl"/>
              </w:rPr>
              <w:t>00</w:t>
            </w:r>
          </w:p>
        </w:tc>
        <w:tc>
          <w:tcPr>
            <w:tcW w:w="662" w:type="dxa"/>
            <w:tcBorders>
              <w:left w:val="nil"/>
              <w:bottom w:val="single" w:sz="12" w:space="0" w:color="808080" w:themeColor="background1" w:themeShade="80"/>
              <w:right w:val="nil"/>
            </w:tcBorders>
            <w:shd w:val="clear" w:color="auto" w:fill="F2F2F2" w:themeFill="background1" w:themeFillShade="F2"/>
            <w:noWrap/>
          </w:tcPr>
          <w:p w14:paraId="1134B158" w14:textId="77777777" w:rsidR="009C3C24" w:rsidRPr="005210C6" w:rsidRDefault="009C3C24" w:rsidP="002F797B">
            <w:pPr>
              <w:spacing w:after="0" w:line="240" w:lineRule="exact"/>
              <w:jc w:val="center"/>
              <w:rPr>
                <w:rFonts w:ascii="Montserrat" w:hAnsi="Montserrat"/>
                <w:sz w:val="14"/>
                <w:szCs w:val="14"/>
                <w:lang w:val="es-ES_tradnl"/>
              </w:rPr>
            </w:pPr>
          </w:p>
        </w:tc>
        <w:tc>
          <w:tcPr>
            <w:tcW w:w="850" w:type="dxa"/>
            <w:tcBorders>
              <w:left w:val="nil"/>
              <w:bottom w:val="single" w:sz="12" w:space="0" w:color="808080" w:themeColor="background1" w:themeShade="80"/>
              <w:right w:val="nil"/>
            </w:tcBorders>
            <w:shd w:val="clear" w:color="auto" w:fill="F2F2F2" w:themeFill="background1" w:themeFillShade="F2"/>
            <w:noWrap/>
            <w:vAlign w:val="bottom"/>
          </w:tcPr>
          <w:p w14:paraId="2D843A30" w14:textId="77777777" w:rsidR="009C3C24" w:rsidRPr="005210C6" w:rsidRDefault="009C3C24" w:rsidP="002F797B">
            <w:pPr>
              <w:spacing w:after="0" w:line="240" w:lineRule="exact"/>
              <w:jc w:val="center"/>
              <w:rPr>
                <w:rFonts w:ascii="Montserrat" w:hAnsi="Montserrat"/>
                <w:sz w:val="14"/>
                <w:szCs w:val="14"/>
                <w:lang w:val="es-ES_tradnl"/>
              </w:rPr>
            </w:pPr>
            <w:r w:rsidRPr="005210C6">
              <w:rPr>
                <w:rFonts w:ascii="Montserrat" w:hAnsi="Montserrat"/>
                <w:sz w:val="14"/>
                <w:szCs w:val="14"/>
                <w:lang w:val="es-ES_tradnl"/>
              </w:rPr>
              <w:t>2.25%</w:t>
            </w:r>
          </w:p>
        </w:tc>
        <w:tc>
          <w:tcPr>
            <w:tcW w:w="567" w:type="dxa"/>
            <w:tcBorders>
              <w:left w:val="nil"/>
              <w:bottom w:val="single" w:sz="12" w:space="0" w:color="808080" w:themeColor="background1" w:themeShade="80"/>
              <w:right w:val="nil"/>
            </w:tcBorders>
            <w:shd w:val="clear" w:color="auto" w:fill="F2F2F2" w:themeFill="background1" w:themeFillShade="F2"/>
            <w:noWrap/>
            <w:vAlign w:val="bottom"/>
          </w:tcPr>
          <w:p w14:paraId="44B90646" w14:textId="77777777" w:rsidR="009C3C24" w:rsidRPr="005210C6" w:rsidRDefault="009C3C24" w:rsidP="002F797B">
            <w:pPr>
              <w:spacing w:after="0" w:line="240" w:lineRule="exact"/>
              <w:jc w:val="right"/>
              <w:rPr>
                <w:rFonts w:ascii="Montserrat" w:hAnsi="Montserrat"/>
                <w:sz w:val="14"/>
                <w:szCs w:val="14"/>
                <w:lang w:val="es-ES_tradnl"/>
              </w:rPr>
            </w:pPr>
          </w:p>
        </w:tc>
        <w:tc>
          <w:tcPr>
            <w:tcW w:w="1043" w:type="dxa"/>
            <w:gridSpan w:val="2"/>
            <w:tcBorders>
              <w:left w:val="nil"/>
              <w:bottom w:val="single" w:sz="12" w:space="0" w:color="808080" w:themeColor="background1" w:themeShade="80"/>
              <w:right w:val="nil"/>
            </w:tcBorders>
            <w:shd w:val="clear" w:color="auto" w:fill="F2F2F2" w:themeFill="background1" w:themeFillShade="F2"/>
            <w:noWrap/>
            <w:vAlign w:val="bottom"/>
          </w:tcPr>
          <w:p w14:paraId="0932862C" w14:textId="77777777" w:rsidR="009C3C24" w:rsidRPr="005210C6" w:rsidRDefault="009C3C24" w:rsidP="002F797B">
            <w:pPr>
              <w:spacing w:after="0" w:line="240" w:lineRule="exact"/>
              <w:jc w:val="right"/>
              <w:rPr>
                <w:rFonts w:ascii="Montserrat" w:hAnsi="Montserrat"/>
                <w:sz w:val="14"/>
                <w:szCs w:val="14"/>
                <w:lang w:val="es-ES_tradnl"/>
              </w:rPr>
            </w:pPr>
          </w:p>
        </w:tc>
        <w:tc>
          <w:tcPr>
            <w:tcW w:w="160" w:type="dxa"/>
            <w:gridSpan w:val="2"/>
            <w:tcBorders>
              <w:left w:val="nil"/>
              <w:bottom w:val="single" w:sz="12" w:space="0" w:color="808080" w:themeColor="background1" w:themeShade="80"/>
              <w:right w:val="nil"/>
            </w:tcBorders>
            <w:shd w:val="clear" w:color="auto" w:fill="F2F2F2" w:themeFill="background1" w:themeFillShade="F2"/>
            <w:noWrap/>
            <w:vAlign w:val="bottom"/>
          </w:tcPr>
          <w:p w14:paraId="7251F82F" w14:textId="77777777" w:rsidR="009C3C24" w:rsidRPr="005210C6" w:rsidRDefault="009C3C24" w:rsidP="002F797B">
            <w:pPr>
              <w:spacing w:after="0" w:line="240" w:lineRule="exact"/>
              <w:jc w:val="right"/>
              <w:rPr>
                <w:rFonts w:ascii="Montserrat" w:hAnsi="Montserrat"/>
                <w:sz w:val="14"/>
                <w:szCs w:val="14"/>
                <w:lang w:val="es-ES_tradnl"/>
              </w:rPr>
            </w:pPr>
          </w:p>
        </w:tc>
        <w:tc>
          <w:tcPr>
            <w:tcW w:w="498" w:type="dxa"/>
            <w:tcBorders>
              <w:left w:val="nil"/>
              <w:bottom w:val="single" w:sz="12" w:space="0" w:color="808080" w:themeColor="background1" w:themeShade="80"/>
              <w:right w:val="nil"/>
            </w:tcBorders>
            <w:shd w:val="clear" w:color="auto" w:fill="F2F2F2" w:themeFill="background1" w:themeFillShade="F2"/>
            <w:noWrap/>
            <w:vAlign w:val="bottom"/>
          </w:tcPr>
          <w:p w14:paraId="4DAB17BD" w14:textId="77777777" w:rsidR="009C3C24" w:rsidRPr="005210C6" w:rsidRDefault="009C3C24" w:rsidP="002F797B">
            <w:pPr>
              <w:spacing w:after="0" w:line="240" w:lineRule="exact"/>
              <w:jc w:val="right"/>
              <w:rPr>
                <w:rFonts w:ascii="Montserrat" w:hAnsi="Montserrat"/>
                <w:sz w:val="14"/>
                <w:szCs w:val="14"/>
                <w:lang w:val="es-ES_tradnl"/>
              </w:rPr>
            </w:pPr>
          </w:p>
        </w:tc>
        <w:tc>
          <w:tcPr>
            <w:tcW w:w="567" w:type="dxa"/>
            <w:tcBorders>
              <w:left w:val="nil"/>
              <w:bottom w:val="single" w:sz="12" w:space="0" w:color="808080" w:themeColor="background1" w:themeShade="80"/>
              <w:right w:val="nil"/>
            </w:tcBorders>
            <w:shd w:val="clear" w:color="auto" w:fill="F2F2F2" w:themeFill="background1" w:themeFillShade="F2"/>
            <w:noWrap/>
            <w:vAlign w:val="bottom"/>
          </w:tcPr>
          <w:p w14:paraId="37BA8075" w14:textId="77777777" w:rsidR="009C3C24" w:rsidRPr="005210C6" w:rsidRDefault="009C3C24" w:rsidP="002F797B">
            <w:pPr>
              <w:spacing w:after="0" w:line="240" w:lineRule="exact"/>
              <w:jc w:val="right"/>
              <w:rPr>
                <w:rFonts w:ascii="Montserrat" w:hAnsi="Montserrat"/>
                <w:sz w:val="14"/>
                <w:szCs w:val="14"/>
                <w:lang w:val="es-ES_tradnl"/>
              </w:rPr>
            </w:pPr>
          </w:p>
        </w:tc>
        <w:tc>
          <w:tcPr>
            <w:tcW w:w="709" w:type="dxa"/>
            <w:tcBorders>
              <w:left w:val="nil"/>
              <w:bottom w:val="single" w:sz="12" w:space="0" w:color="808080" w:themeColor="background1" w:themeShade="80"/>
            </w:tcBorders>
            <w:shd w:val="clear" w:color="auto" w:fill="F2F2F2" w:themeFill="background1" w:themeFillShade="F2"/>
            <w:noWrap/>
            <w:vAlign w:val="bottom"/>
          </w:tcPr>
          <w:p w14:paraId="08DED755" w14:textId="77777777" w:rsidR="009C3C24" w:rsidRPr="005210C6" w:rsidRDefault="009C3C24" w:rsidP="002F797B">
            <w:pPr>
              <w:spacing w:after="0" w:line="240" w:lineRule="exact"/>
              <w:jc w:val="right"/>
              <w:rPr>
                <w:rFonts w:ascii="Montserrat" w:hAnsi="Montserrat"/>
                <w:sz w:val="14"/>
                <w:szCs w:val="14"/>
                <w:lang w:val="es-ES_tradnl"/>
              </w:rPr>
            </w:pPr>
          </w:p>
        </w:tc>
      </w:tr>
    </w:tbl>
    <w:p w14:paraId="1F286E0B" w14:textId="77777777" w:rsidR="008B6EC9" w:rsidRPr="008B6EC9" w:rsidRDefault="008B6EC9" w:rsidP="008B6EC9">
      <w:pPr>
        <w:spacing w:after="0" w:line="240" w:lineRule="auto"/>
        <w:jc w:val="both"/>
        <w:rPr>
          <w:rFonts w:ascii="Montserrat" w:hAnsi="Montserrat" w:cs="Arial"/>
          <w:spacing w:val="-1"/>
          <w:sz w:val="18"/>
          <w:szCs w:val="18"/>
        </w:rPr>
      </w:pPr>
    </w:p>
    <w:p w14:paraId="7400D54C" w14:textId="77777777" w:rsidR="008B6EC9" w:rsidRPr="008B6EC9" w:rsidRDefault="008B6EC9" w:rsidP="008B6EC9">
      <w:pPr>
        <w:spacing w:after="0" w:line="240" w:lineRule="auto"/>
        <w:jc w:val="both"/>
        <w:rPr>
          <w:rFonts w:ascii="Montserrat" w:hAnsi="Montserrat" w:cs="Arial"/>
          <w:spacing w:val="-1"/>
          <w:sz w:val="18"/>
          <w:szCs w:val="18"/>
        </w:rPr>
      </w:pPr>
    </w:p>
    <w:tbl>
      <w:tblPr>
        <w:tblW w:w="14360" w:type="dxa"/>
        <w:jc w:val="center"/>
        <w:tblLayout w:type="fixed"/>
        <w:tblCellMar>
          <w:left w:w="70" w:type="dxa"/>
          <w:right w:w="70" w:type="dxa"/>
        </w:tblCellMar>
        <w:tblLook w:val="04A0" w:firstRow="1" w:lastRow="0" w:firstColumn="1" w:lastColumn="0" w:noHBand="0" w:noVBand="1"/>
      </w:tblPr>
      <w:tblGrid>
        <w:gridCol w:w="1312"/>
        <w:gridCol w:w="565"/>
        <w:gridCol w:w="494"/>
        <w:gridCol w:w="678"/>
        <w:gridCol w:w="1516"/>
        <w:gridCol w:w="1436"/>
        <w:gridCol w:w="609"/>
        <w:gridCol w:w="708"/>
        <w:gridCol w:w="709"/>
        <w:gridCol w:w="709"/>
        <w:gridCol w:w="567"/>
        <w:gridCol w:w="884"/>
        <w:gridCol w:w="533"/>
        <w:gridCol w:w="675"/>
        <w:gridCol w:w="602"/>
        <w:gridCol w:w="567"/>
        <w:gridCol w:w="849"/>
        <w:gridCol w:w="947"/>
      </w:tblGrid>
      <w:tr w:rsidR="009C3C24" w:rsidRPr="006F0DF1" w14:paraId="2C4C4C36" w14:textId="77777777" w:rsidTr="000F0321">
        <w:trPr>
          <w:trHeight w:val="316"/>
          <w:jc w:val="center"/>
        </w:trPr>
        <w:tc>
          <w:tcPr>
            <w:tcW w:w="14360" w:type="dxa"/>
            <w:gridSpan w:val="18"/>
            <w:tcBorders>
              <w:bottom w:val="single" w:sz="12" w:space="0" w:color="808080" w:themeColor="background1" w:themeShade="80"/>
            </w:tcBorders>
            <w:shd w:val="clear" w:color="auto" w:fill="FFFFFF" w:themeFill="background1"/>
            <w:noWrap/>
            <w:vAlign w:val="center"/>
          </w:tcPr>
          <w:p w14:paraId="5F03B53A" w14:textId="77777777" w:rsidR="009C3C24" w:rsidRPr="00685332" w:rsidRDefault="009C3C24" w:rsidP="009173AE">
            <w:pPr>
              <w:spacing w:after="60" w:line="240" w:lineRule="exact"/>
              <w:jc w:val="center"/>
              <w:rPr>
                <w:rFonts w:ascii="Montserrat" w:hAnsi="Montserrat"/>
                <w:color w:val="FFFFFF"/>
                <w:sz w:val="15"/>
                <w:szCs w:val="15"/>
                <w:lang w:val="es-ES_tradnl"/>
              </w:rPr>
            </w:pPr>
            <w:r w:rsidRPr="00685332">
              <w:rPr>
                <w:rFonts w:ascii="Montserrat" w:hAnsi="Montserrat"/>
                <w:sz w:val="15"/>
                <w:szCs w:val="15"/>
                <w:lang w:val="es-ES_tradnl"/>
              </w:rPr>
              <w:lastRenderedPageBreak/>
              <w:t>(Pesos)</w:t>
            </w:r>
          </w:p>
        </w:tc>
      </w:tr>
      <w:tr w:rsidR="0000412E" w:rsidRPr="0000412E" w14:paraId="5AB7D360" w14:textId="77777777" w:rsidTr="000F0321">
        <w:trPr>
          <w:trHeight w:val="57"/>
          <w:jc w:val="center"/>
        </w:trPr>
        <w:tc>
          <w:tcPr>
            <w:tcW w:w="14360" w:type="dxa"/>
            <w:gridSpan w:val="18"/>
            <w:tcBorders>
              <w:top w:val="single" w:sz="12" w:space="0" w:color="808080" w:themeColor="background1" w:themeShade="80"/>
            </w:tcBorders>
            <w:shd w:val="clear" w:color="auto" w:fill="FFFFFF" w:themeFill="background1"/>
            <w:noWrap/>
            <w:vAlign w:val="center"/>
          </w:tcPr>
          <w:p w14:paraId="06147ACE" w14:textId="77777777" w:rsidR="0000412E" w:rsidRPr="0000412E" w:rsidRDefault="0000412E" w:rsidP="0000412E">
            <w:pPr>
              <w:spacing w:after="0" w:line="240" w:lineRule="auto"/>
              <w:rPr>
                <w:sz w:val="4"/>
                <w:szCs w:val="4"/>
              </w:rPr>
            </w:pPr>
          </w:p>
        </w:tc>
      </w:tr>
      <w:tr w:rsidR="009C3C24" w:rsidRPr="006F0DF1" w14:paraId="4B243630" w14:textId="77777777" w:rsidTr="00112A60">
        <w:trPr>
          <w:trHeight w:val="215"/>
          <w:jc w:val="center"/>
        </w:trPr>
        <w:tc>
          <w:tcPr>
            <w:tcW w:w="1312" w:type="dxa"/>
            <w:vMerge w:val="restart"/>
            <w:tcBorders>
              <w:bottom w:val="double" w:sz="12" w:space="0" w:color="808080" w:themeColor="background1" w:themeShade="80"/>
              <w:right w:val="single" w:sz="8" w:space="0" w:color="FFFFFF" w:themeColor="background1"/>
            </w:tcBorders>
            <w:shd w:val="clear" w:color="auto" w:fill="D4C19C"/>
            <w:noWrap/>
            <w:vAlign w:val="center"/>
            <w:hideMark/>
          </w:tcPr>
          <w:p w14:paraId="5934FFF6" w14:textId="77777777" w:rsidR="009C3C24" w:rsidRPr="006F0DF1" w:rsidRDefault="009C3C24" w:rsidP="002F797B">
            <w:pPr>
              <w:spacing w:after="0" w:line="240" w:lineRule="exact"/>
              <w:jc w:val="center"/>
              <w:rPr>
                <w:rFonts w:ascii="Montserrat" w:hAnsi="Montserrat"/>
                <w:b/>
                <w:color w:val="FFFFFF"/>
                <w:sz w:val="14"/>
                <w:szCs w:val="14"/>
                <w:lang w:val="es-ES_tradnl"/>
              </w:rPr>
            </w:pPr>
            <w:r w:rsidRPr="006F0DF1">
              <w:rPr>
                <w:rFonts w:ascii="Montserrat" w:hAnsi="Montserrat"/>
                <w:b/>
                <w:color w:val="FFFFFF"/>
                <w:sz w:val="14"/>
                <w:szCs w:val="14"/>
                <w:lang w:val="es-ES_tradnl"/>
              </w:rPr>
              <w:t>Concepto</w:t>
            </w:r>
          </w:p>
        </w:tc>
        <w:tc>
          <w:tcPr>
            <w:tcW w:w="565" w:type="dxa"/>
            <w:vMerge w:val="restart"/>
            <w:tcBorders>
              <w:left w:val="single" w:sz="8" w:space="0" w:color="FFFFFF" w:themeColor="background1"/>
              <w:bottom w:val="double" w:sz="12" w:space="0" w:color="808080" w:themeColor="background1" w:themeShade="80"/>
              <w:right w:val="single" w:sz="8" w:space="0" w:color="FFFFFF" w:themeColor="background1"/>
            </w:tcBorders>
            <w:shd w:val="clear" w:color="auto" w:fill="D4C19C"/>
            <w:noWrap/>
            <w:vAlign w:val="center"/>
            <w:hideMark/>
          </w:tcPr>
          <w:p w14:paraId="614C6465" w14:textId="77777777" w:rsidR="009C3C24" w:rsidRPr="006F0DF1" w:rsidRDefault="009C3C24" w:rsidP="002F797B">
            <w:pPr>
              <w:spacing w:after="0" w:line="240" w:lineRule="exact"/>
              <w:jc w:val="center"/>
              <w:rPr>
                <w:rFonts w:ascii="Montserrat" w:hAnsi="Montserrat"/>
                <w:b/>
                <w:color w:val="FFFFFF"/>
                <w:sz w:val="14"/>
                <w:szCs w:val="14"/>
                <w:lang w:val="es-ES_tradnl"/>
              </w:rPr>
            </w:pPr>
            <w:r w:rsidRPr="006F0DF1">
              <w:rPr>
                <w:rFonts w:ascii="Montserrat" w:hAnsi="Montserrat"/>
                <w:b/>
                <w:color w:val="FFFFFF"/>
                <w:sz w:val="14"/>
                <w:szCs w:val="14"/>
                <w:lang w:val="es-ES_tradnl"/>
              </w:rPr>
              <w:t>País</w:t>
            </w:r>
          </w:p>
        </w:tc>
        <w:tc>
          <w:tcPr>
            <w:tcW w:w="494" w:type="dxa"/>
            <w:vMerge w:val="restart"/>
            <w:tcBorders>
              <w:left w:val="single" w:sz="8" w:space="0" w:color="FFFFFF" w:themeColor="background1"/>
              <w:bottom w:val="double" w:sz="12" w:space="0" w:color="808080" w:themeColor="background1" w:themeShade="80"/>
              <w:right w:val="single" w:sz="8" w:space="0" w:color="FFFFFF" w:themeColor="background1"/>
            </w:tcBorders>
            <w:shd w:val="clear" w:color="auto" w:fill="D4C19C"/>
            <w:noWrap/>
            <w:vAlign w:val="center"/>
            <w:hideMark/>
          </w:tcPr>
          <w:p w14:paraId="4AB46356" w14:textId="77777777" w:rsidR="009C3C24" w:rsidRPr="006F0DF1" w:rsidRDefault="009C3C24" w:rsidP="002F797B">
            <w:pPr>
              <w:spacing w:after="0" w:line="240" w:lineRule="exact"/>
              <w:jc w:val="center"/>
              <w:rPr>
                <w:rFonts w:ascii="Montserrat" w:hAnsi="Montserrat"/>
                <w:b/>
                <w:color w:val="FFFFFF"/>
                <w:sz w:val="14"/>
                <w:szCs w:val="14"/>
                <w:lang w:val="es-ES_tradnl"/>
              </w:rPr>
            </w:pPr>
            <w:r w:rsidRPr="006F0DF1">
              <w:rPr>
                <w:rFonts w:ascii="Montserrat" w:hAnsi="Montserrat"/>
                <w:b/>
                <w:color w:val="FFFFFF"/>
                <w:sz w:val="14"/>
                <w:szCs w:val="14"/>
                <w:lang w:val="es-ES_tradnl"/>
              </w:rPr>
              <w:t>Div.</w:t>
            </w:r>
          </w:p>
        </w:tc>
        <w:tc>
          <w:tcPr>
            <w:tcW w:w="2194" w:type="dxa"/>
            <w:gridSpan w:val="2"/>
            <w:vMerge w:val="restart"/>
            <w:tcBorders>
              <w:left w:val="single" w:sz="8" w:space="0" w:color="FFFFFF" w:themeColor="background1"/>
              <w:bottom w:val="single" w:sz="8" w:space="0" w:color="FFFFFF" w:themeColor="background1"/>
              <w:right w:val="single" w:sz="8" w:space="0" w:color="FFFFFF" w:themeColor="background1"/>
            </w:tcBorders>
            <w:shd w:val="clear" w:color="auto" w:fill="D4C19C"/>
            <w:noWrap/>
            <w:vAlign w:val="center"/>
          </w:tcPr>
          <w:p w14:paraId="0553C29F" w14:textId="77777777" w:rsidR="009C3C24" w:rsidRPr="006F0DF1" w:rsidRDefault="009C3C24" w:rsidP="002F797B">
            <w:pPr>
              <w:spacing w:after="0" w:line="240" w:lineRule="exact"/>
              <w:jc w:val="center"/>
              <w:rPr>
                <w:rFonts w:ascii="Montserrat" w:hAnsi="Montserrat"/>
                <w:b/>
                <w:color w:val="FFFFFF"/>
                <w:sz w:val="14"/>
                <w:szCs w:val="14"/>
                <w:lang w:val="es-ES_tradnl"/>
              </w:rPr>
            </w:pPr>
            <w:r w:rsidRPr="006F0DF1">
              <w:rPr>
                <w:rFonts w:ascii="Montserrat" w:hAnsi="Montserrat"/>
                <w:b/>
                <w:color w:val="FFFFFF"/>
                <w:sz w:val="14"/>
                <w:szCs w:val="14"/>
                <w:lang w:val="es-ES_tradnl"/>
              </w:rPr>
              <w:t>INSTITUCIÓN</w:t>
            </w:r>
          </w:p>
        </w:tc>
        <w:tc>
          <w:tcPr>
            <w:tcW w:w="1436" w:type="dxa"/>
            <w:vMerge w:val="restart"/>
            <w:tcBorders>
              <w:left w:val="single" w:sz="8" w:space="0" w:color="FFFFFF" w:themeColor="background1"/>
              <w:bottom w:val="single" w:sz="8" w:space="0" w:color="FFFFFF" w:themeColor="background1"/>
              <w:right w:val="single" w:sz="8" w:space="0" w:color="FFFFFF" w:themeColor="background1"/>
            </w:tcBorders>
            <w:shd w:val="clear" w:color="auto" w:fill="D4C19C"/>
            <w:noWrap/>
            <w:vAlign w:val="center"/>
            <w:hideMark/>
          </w:tcPr>
          <w:p w14:paraId="795E0235" w14:textId="77777777" w:rsidR="009C3C24" w:rsidRPr="006F0DF1" w:rsidRDefault="009C3C24" w:rsidP="002F797B">
            <w:pPr>
              <w:spacing w:after="0" w:line="240" w:lineRule="exact"/>
              <w:jc w:val="center"/>
              <w:rPr>
                <w:rFonts w:ascii="Montserrat" w:hAnsi="Montserrat"/>
                <w:b/>
                <w:color w:val="FFFFFF"/>
                <w:sz w:val="14"/>
                <w:szCs w:val="14"/>
                <w:lang w:val="es-ES_tradnl"/>
              </w:rPr>
            </w:pPr>
            <w:r w:rsidRPr="006F0DF1">
              <w:rPr>
                <w:rFonts w:ascii="Montserrat" w:hAnsi="Montserrat"/>
                <w:b/>
                <w:color w:val="FFFFFF"/>
                <w:sz w:val="14"/>
                <w:szCs w:val="14"/>
                <w:lang w:val="es-ES_tradnl"/>
              </w:rPr>
              <w:t>Monto del Crédito Efectivo</w:t>
            </w:r>
          </w:p>
        </w:tc>
        <w:tc>
          <w:tcPr>
            <w:tcW w:w="1317" w:type="dxa"/>
            <w:gridSpan w:val="2"/>
            <w:vMerge w:val="restart"/>
            <w:tcBorders>
              <w:left w:val="single" w:sz="8" w:space="0" w:color="FFFFFF" w:themeColor="background1"/>
              <w:bottom w:val="single" w:sz="8" w:space="0" w:color="FFFFFF" w:themeColor="background1"/>
              <w:right w:val="single" w:sz="8" w:space="0" w:color="FFFFFF" w:themeColor="background1"/>
            </w:tcBorders>
            <w:shd w:val="clear" w:color="auto" w:fill="D4C19C"/>
            <w:noWrap/>
            <w:vAlign w:val="center"/>
            <w:hideMark/>
          </w:tcPr>
          <w:p w14:paraId="2687B127" w14:textId="77777777" w:rsidR="009C3C24" w:rsidRPr="006F0DF1" w:rsidRDefault="009C3C24" w:rsidP="002F797B">
            <w:pPr>
              <w:spacing w:after="0" w:line="240" w:lineRule="exact"/>
              <w:jc w:val="center"/>
              <w:rPr>
                <w:rFonts w:ascii="Montserrat" w:hAnsi="Montserrat"/>
                <w:b/>
                <w:color w:val="FFFFFF"/>
                <w:sz w:val="14"/>
                <w:szCs w:val="14"/>
                <w:lang w:val="es-ES_tradnl"/>
              </w:rPr>
            </w:pPr>
            <w:r w:rsidRPr="006F0DF1">
              <w:rPr>
                <w:rFonts w:ascii="Montserrat" w:hAnsi="Montserrat"/>
                <w:b/>
                <w:color w:val="FFFFFF"/>
                <w:sz w:val="14"/>
                <w:szCs w:val="14"/>
                <w:lang w:val="es-ES_tradnl"/>
              </w:rPr>
              <w:t>Vencimiento</w:t>
            </w:r>
          </w:p>
        </w:tc>
        <w:tc>
          <w:tcPr>
            <w:tcW w:w="1418" w:type="dxa"/>
            <w:gridSpan w:val="2"/>
            <w:vMerge w:val="restart"/>
            <w:tcBorders>
              <w:left w:val="single" w:sz="8" w:space="0" w:color="FFFFFF" w:themeColor="background1"/>
              <w:bottom w:val="single" w:sz="8" w:space="0" w:color="FFFFFF" w:themeColor="background1"/>
              <w:right w:val="single" w:sz="8" w:space="0" w:color="FFFFFF" w:themeColor="background1"/>
            </w:tcBorders>
            <w:shd w:val="clear" w:color="auto" w:fill="D4C19C"/>
            <w:noWrap/>
            <w:vAlign w:val="center"/>
          </w:tcPr>
          <w:p w14:paraId="3EA3EF6C" w14:textId="77777777" w:rsidR="009C3C24" w:rsidRPr="006F0DF1" w:rsidRDefault="009C3C24" w:rsidP="002F797B">
            <w:pPr>
              <w:spacing w:after="0" w:line="240" w:lineRule="exact"/>
              <w:jc w:val="center"/>
              <w:rPr>
                <w:rFonts w:ascii="Montserrat" w:hAnsi="Montserrat"/>
                <w:b/>
                <w:color w:val="FFFFFF"/>
                <w:sz w:val="14"/>
                <w:szCs w:val="14"/>
                <w:lang w:val="es-ES_tradnl"/>
              </w:rPr>
            </w:pPr>
          </w:p>
        </w:tc>
        <w:tc>
          <w:tcPr>
            <w:tcW w:w="5624" w:type="dxa"/>
            <w:gridSpan w:val="8"/>
            <w:tcBorders>
              <w:left w:val="single" w:sz="8" w:space="0" w:color="FFFFFF" w:themeColor="background1"/>
              <w:bottom w:val="single" w:sz="8" w:space="0" w:color="FFFFFF" w:themeColor="background1"/>
              <w:right w:val="single" w:sz="8" w:space="0" w:color="FFFFFF" w:themeColor="background1"/>
            </w:tcBorders>
            <w:shd w:val="clear" w:color="auto" w:fill="D4C19C"/>
            <w:noWrap/>
            <w:vAlign w:val="center"/>
            <w:hideMark/>
          </w:tcPr>
          <w:p w14:paraId="3224DC4D" w14:textId="77777777" w:rsidR="009C3C24" w:rsidRPr="006F0DF1" w:rsidRDefault="009C3C24" w:rsidP="002F797B">
            <w:pPr>
              <w:spacing w:after="0" w:line="240" w:lineRule="exact"/>
              <w:jc w:val="center"/>
              <w:rPr>
                <w:rFonts w:ascii="Montserrat" w:hAnsi="Montserrat"/>
                <w:b/>
                <w:bCs/>
                <w:color w:val="FFFFFF"/>
                <w:sz w:val="14"/>
                <w:szCs w:val="14"/>
                <w:lang w:val="es-ES_tradnl"/>
              </w:rPr>
            </w:pPr>
            <w:r w:rsidRPr="006F0DF1">
              <w:rPr>
                <w:rFonts w:ascii="Montserrat" w:hAnsi="Montserrat"/>
                <w:b/>
                <w:bCs/>
                <w:color w:val="FFFFFF"/>
                <w:sz w:val="14"/>
                <w:szCs w:val="14"/>
                <w:lang w:val="es-ES_tradnl"/>
              </w:rPr>
              <w:t>T   a   s   a       de        I   n   t   e   r   e   s.</w:t>
            </w:r>
          </w:p>
        </w:tc>
      </w:tr>
      <w:tr w:rsidR="009C3C24" w:rsidRPr="006F0DF1" w14:paraId="54A75F8F" w14:textId="77777777" w:rsidTr="00112A60">
        <w:trPr>
          <w:trHeight w:val="215"/>
          <w:jc w:val="center"/>
        </w:trPr>
        <w:tc>
          <w:tcPr>
            <w:tcW w:w="1312" w:type="dxa"/>
            <w:vMerge/>
            <w:tcBorders>
              <w:top w:val="single" w:sz="8" w:space="0" w:color="FFFFFF" w:themeColor="background1"/>
              <w:bottom w:val="double" w:sz="12" w:space="0" w:color="808080" w:themeColor="background1" w:themeShade="80"/>
              <w:right w:val="single" w:sz="8" w:space="0" w:color="FFFFFF" w:themeColor="background1"/>
            </w:tcBorders>
            <w:shd w:val="clear" w:color="auto" w:fill="D4C19C"/>
            <w:noWrap/>
            <w:vAlign w:val="center"/>
            <w:hideMark/>
          </w:tcPr>
          <w:p w14:paraId="473F9C77" w14:textId="77777777" w:rsidR="009C3C24" w:rsidRPr="006F0DF1" w:rsidRDefault="009C3C24" w:rsidP="002F797B">
            <w:pPr>
              <w:spacing w:after="0" w:line="240" w:lineRule="exact"/>
              <w:jc w:val="center"/>
              <w:rPr>
                <w:rFonts w:ascii="Montserrat" w:hAnsi="Montserrat"/>
                <w:b/>
                <w:color w:val="FFFFFF"/>
                <w:sz w:val="14"/>
                <w:szCs w:val="14"/>
                <w:lang w:val="es-ES_tradnl"/>
              </w:rPr>
            </w:pPr>
          </w:p>
        </w:tc>
        <w:tc>
          <w:tcPr>
            <w:tcW w:w="565" w:type="dxa"/>
            <w:vMerge/>
            <w:tcBorders>
              <w:top w:val="single" w:sz="8" w:space="0" w:color="FFFFFF" w:themeColor="background1"/>
              <w:left w:val="single" w:sz="8" w:space="0" w:color="FFFFFF" w:themeColor="background1"/>
              <w:bottom w:val="double" w:sz="12" w:space="0" w:color="808080" w:themeColor="background1" w:themeShade="80"/>
              <w:right w:val="single" w:sz="8" w:space="0" w:color="FFFFFF" w:themeColor="background1"/>
            </w:tcBorders>
            <w:shd w:val="clear" w:color="auto" w:fill="D4C19C"/>
            <w:noWrap/>
            <w:vAlign w:val="center"/>
            <w:hideMark/>
          </w:tcPr>
          <w:p w14:paraId="6E625094" w14:textId="77777777" w:rsidR="009C3C24" w:rsidRPr="006F0DF1" w:rsidRDefault="009C3C24" w:rsidP="002F797B">
            <w:pPr>
              <w:spacing w:after="0" w:line="240" w:lineRule="exact"/>
              <w:jc w:val="center"/>
              <w:rPr>
                <w:rFonts w:ascii="Montserrat" w:hAnsi="Montserrat"/>
                <w:b/>
                <w:color w:val="FFFFFF"/>
                <w:sz w:val="14"/>
                <w:szCs w:val="14"/>
                <w:lang w:val="es-ES_tradnl"/>
              </w:rPr>
            </w:pPr>
          </w:p>
        </w:tc>
        <w:tc>
          <w:tcPr>
            <w:tcW w:w="494" w:type="dxa"/>
            <w:vMerge/>
            <w:tcBorders>
              <w:top w:val="single" w:sz="8" w:space="0" w:color="FFFFFF" w:themeColor="background1"/>
              <w:left w:val="single" w:sz="8" w:space="0" w:color="FFFFFF" w:themeColor="background1"/>
              <w:bottom w:val="double" w:sz="12" w:space="0" w:color="808080" w:themeColor="background1" w:themeShade="80"/>
              <w:right w:val="single" w:sz="8" w:space="0" w:color="FFFFFF" w:themeColor="background1"/>
            </w:tcBorders>
            <w:shd w:val="clear" w:color="auto" w:fill="D4C19C"/>
            <w:noWrap/>
            <w:vAlign w:val="center"/>
            <w:hideMark/>
          </w:tcPr>
          <w:p w14:paraId="4CBA2551" w14:textId="77777777" w:rsidR="009C3C24" w:rsidRPr="006F0DF1" w:rsidRDefault="009C3C24" w:rsidP="002F797B">
            <w:pPr>
              <w:spacing w:after="0" w:line="240" w:lineRule="exact"/>
              <w:jc w:val="center"/>
              <w:rPr>
                <w:rFonts w:ascii="Montserrat" w:hAnsi="Montserrat"/>
                <w:b/>
                <w:color w:val="FFFFFF"/>
                <w:sz w:val="14"/>
                <w:szCs w:val="14"/>
                <w:lang w:val="es-ES_tradnl"/>
              </w:rPr>
            </w:pPr>
          </w:p>
        </w:tc>
        <w:tc>
          <w:tcPr>
            <w:tcW w:w="2194" w:type="dxa"/>
            <w:gridSpan w:val="2"/>
            <w:vMerge/>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4C19C"/>
            <w:noWrap/>
            <w:vAlign w:val="center"/>
            <w:hideMark/>
          </w:tcPr>
          <w:p w14:paraId="1C366F77" w14:textId="77777777" w:rsidR="009C3C24" w:rsidRPr="006F0DF1" w:rsidRDefault="009C3C24" w:rsidP="002F797B">
            <w:pPr>
              <w:spacing w:after="0" w:line="240" w:lineRule="exact"/>
              <w:jc w:val="center"/>
              <w:rPr>
                <w:rFonts w:ascii="Montserrat" w:hAnsi="Montserrat"/>
                <w:b/>
                <w:color w:val="FFFFFF"/>
                <w:sz w:val="14"/>
                <w:szCs w:val="14"/>
                <w:lang w:val="es-ES_tradnl"/>
              </w:rPr>
            </w:pPr>
          </w:p>
        </w:tc>
        <w:tc>
          <w:tcPr>
            <w:tcW w:w="1436" w:type="dxa"/>
            <w:vMerge/>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4C19C"/>
            <w:noWrap/>
            <w:vAlign w:val="center"/>
            <w:hideMark/>
          </w:tcPr>
          <w:p w14:paraId="6F5EF64E" w14:textId="77777777" w:rsidR="009C3C24" w:rsidRPr="006F0DF1" w:rsidRDefault="009C3C24" w:rsidP="002F797B">
            <w:pPr>
              <w:spacing w:after="0" w:line="240" w:lineRule="exact"/>
              <w:jc w:val="center"/>
              <w:rPr>
                <w:rFonts w:ascii="Montserrat" w:hAnsi="Montserrat"/>
                <w:b/>
                <w:color w:val="FFFFFF"/>
                <w:sz w:val="14"/>
                <w:szCs w:val="14"/>
                <w:lang w:val="es-ES_tradnl"/>
              </w:rPr>
            </w:pPr>
          </w:p>
        </w:tc>
        <w:tc>
          <w:tcPr>
            <w:tcW w:w="1317" w:type="dxa"/>
            <w:gridSpan w:val="2"/>
            <w:vMerge/>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4C19C"/>
            <w:noWrap/>
            <w:vAlign w:val="center"/>
            <w:hideMark/>
          </w:tcPr>
          <w:p w14:paraId="291BF284" w14:textId="77777777" w:rsidR="009C3C24" w:rsidRPr="006F0DF1" w:rsidRDefault="009C3C24" w:rsidP="002F797B">
            <w:pPr>
              <w:spacing w:after="0" w:line="240" w:lineRule="exact"/>
              <w:jc w:val="center"/>
              <w:rPr>
                <w:rFonts w:ascii="Montserrat" w:hAnsi="Montserrat"/>
                <w:b/>
                <w:color w:val="FFFFFF"/>
                <w:sz w:val="14"/>
                <w:szCs w:val="14"/>
                <w:lang w:val="es-ES_tradnl"/>
              </w:rPr>
            </w:pPr>
          </w:p>
        </w:tc>
        <w:tc>
          <w:tcPr>
            <w:tcW w:w="1418" w:type="dxa"/>
            <w:gridSpan w:val="2"/>
            <w:vMerge/>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4C19C"/>
            <w:noWrap/>
            <w:vAlign w:val="center"/>
          </w:tcPr>
          <w:p w14:paraId="30338640" w14:textId="77777777" w:rsidR="009C3C24" w:rsidRPr="006F0DF1" w:rsidRDefault="009C3C24" w:rsidP="002F797B">
            <w:pPr>
              <w:spacing w:after="0" w:line="240" w:lineRule="exact"/>
              <w:jc w:val="center"/>
              <w:rPr>
                <w:rFonts w:ascii="Montserrat" w:hAnsi="Montserrat"/>
                <w:b/>
                <w:color w:val="FFFFFF"/>
                <w:sz w:val="14"/>
                <w:szCs w:val="14"/>
                <w:lang w:val="es-ES_tradnl"/>
              </w:rPr>
            </w:pPr>
          </w:p>
        </w:tc>
        <w:tc>
          <w:tcPr>
            <w:tcW w:w="1451" w:type="dxa"/>
            <w:gridSpan w:val="2"/>
            <w:vMerge w:val="restar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4C19C"/>
            <w:noWrap/>
            <w:vAlign w:val="center"/>
            <w:hideMark/>
          </w:tcPr>
          <w:p w14:paraId="43B205FD" w14:textId="77777777" w:rsidR="009C3C24" w:rsidRPr="006F0DF1" w:rsidRDefault="009C3C24" w:rsidP="002F797B">
            <w:pPr>
              <w:spacing w:after="0" w:line="240" w:lineRule="exact"/>
              <w:jc w:val="center"/>
              <w:rPr>
                <w:rFonts w:ascii="Montserrat" w:hAnsi="Montserrat"/>
                <w:b/>
                <w:color w:val="FFFFFF"/>
                <w:sz w:val="14"/>
                <w:szCs w:val="14"/>
                <w:lang w:val="es-ES_tradnl"/>
              </w:rPr>
            </w:pPr>
            <w:r w:rsidRPr="006F0DF1">
              <w:rPr>
                <w:rFonts w:ascii="Montserrat" w:hAnsi="Montserrat"/>
                <w:b/>
                <w:color w:val="FFFFFF"/>
                <w:sz w:val="14"/>
                <w:szCs w:val="14"/>
                <w:lang w:val="es-ES_tradnl"/>
              </w:rPr>
              <w:t>Interna</w:t>
            </w:r>
          </w:p>
        </w:tc>
        <w:tc>
          <w:tcPr>
            <w:tcW w:w="4173" w:type="dxa"/>
            <w:gridSpan w:val="6"/>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4C19C"/>
            <w:noWrap/>
            <w:vAlign w:val="center"/>
            <w:hideMark/>
          </w:tcPr>
          <w:p w14:paraId="1F9C925B" w14:textId="77777777" w:rsidR="009C3C24" w:rsidRPr="006F0DF1" w:rsidRDefault="009C3C24" w:rsidP="002F797B">
            <w:pPr>
              <w:spacing w:after="0" w:line="240" w:lineRule="exact"/>
              <w:jc w:val="center"/>
              <w:rPr>
                <w:rFonts w:ascii="Montserrat" w:hAnsi="Montserrat"/>
                <w:b/>
                <w:color w:val="FFFFFF"/>
                <w:sz w:val="14"/>
                <w:szCs w:val="14"/>
                <w:lang w:val="es-ES_tradnl"/>
              </w:rPr>
            </w:pPr>
            <w:r w:rsidRPr="006F0DF1">
              <w:rPr>
                <w:rFonts w:ascii="Montserrat" w:hAnsi="Montserrat"/>
                <w:b/>
                <w:color w:val="FFFFFF"/>
                <w:sz w:val="14"/>
                <w:szCs w:val="14"/>
                <w:lang w:val="es-ES_tradnl"/>
              </w:rPr>
              <w:t>Externa</w:t>
            </w:r>
          </w:p>
        </w:tc>
      </w:tr>
      <w:tr w:rsidR="009C3C24" w:rsidRPr="006F0DF1" w14:paraId="4F32346D" w14:textId="77777777" w:rsidTr="00112A60">
        <w:trPr>
          <w:trHeight w:val="215"/>
          <w:jc w:val="center"/>
        </w:trPr>
        <w:tc>
          <w:tcPr>
            <w:tcW w:w="1312" w:type="dxa"/>
            <w:vMerge/>
            <w:tcBorders>
              <w:top w:val="single" w:sz="8" w:space="0" w:color="FFFFFF" w:themeColor="background1"/>
              <w:bottom w:val="double" w:sz="12" w:space="0" w:color="808080" w:themeColor="background1" w:themeShade="80"/>
              <w:right w:val="single" w:sz="8" w:space="0" w:color="FFFFFF" w:themeColor="background1"/>
            </w:tcBorders>
            <w:shd w:val="clear" w:color="auto" w:fill="D4C19C"/>
            <w:noWrap/>
            <w:vAlign w:val="center"/>
            <w:hideMark/>
          </w:tcPr>
          <w:p w14:paraId="3409DB20" w14:textId="77777777" w:rsidR="009C3C24" w:rsidRPr="006F0DF1" w:rsidRDefault="009C3C24" w:rsidP="002F797B">
            <w:pPr>
              <w:spacing w:after="0" w:line="240" w:lineRule="exact"/>
              <w:jc w:val="center"/>
              <w:rPr>
                <w:rFonts w:ascii="Montserrat" w:hAnsi="Montserrat"/>
                <w:b/>
                <w:color w:val="FFFFFF"/>
                <w:sz w:val="14"/>
                <w:szCs w:val="14"/>
                <w:lang w:val="es-ES_tradnl"/>
              </w:rPr>
            </w:pPr>
          </w:p>
        </w:tc>
        <w:tc>
          <w:tcPr>
            <w:tcW w:w="565" w:type="dxa"/>
            <w:vMerge/>
            <w:tcBorders>
              <w:top w:val="single" w:sz="8" w:space="0" w:color="FFFFFF" w:themeColor="background1"/>
              <w:left w:val="single" w:sz="8" w:space="0" w:color="FFFFFF" w:themeColor="background1"/>
              <w:bottom w:val="double" w:sz="12" w:space="0" w:color="808080" w:themeColor="background1" w:themeShade="80"/>
              <w:right w:val="single" w:sz="8" w:space="0" w:color="FFFFFF" w:themeColor="background1"/>
            </w:tcBorders>
            <w:shd w:val="clear" w:color="auto" w:fill="D4C19C"/>
            <w:noWrap/>
            <w:vAlign w:val="center"/>
            <w:hideMark/>
          </w:tcPr>
          <w:p w14:paraId="79281CDC" w14:textId="77777777" w:rsidR="009C3C24" w:rsidRPr="006F0DF1" w:rsidRDefault="009C3C24" w:rsidP="002F797B">
            <w:pPr>
              <w:spacing w:after="0" w:line="240" w:lineRule="exact"/>
              <w:jc w:val="center"/>
              <w:rPr>
                <w:rFonts w:ascii="Montserrat" w:hAnsi="Montserrat"/>
                <w:b/>
                <w:color w:val="FFFFFF"/>
                <w:sz w:val="14"/>
                <w:szCs w:val="14"/>
                <w:lang w:val="es-ES_tradnl"/>
              </w:rPr>
            </w:pPr>
          </w:p>
        </w:tc>
        <w:tc>
          <w:tcPr>
            <w:tcW w:w="494" w:type="dxa"/>
            <w:vMerge/>
            <w:tcBorders>
              <w:top w:val="single" w:sz="8" w:space="0" w:color="FFFFFF" w:themeColor="background1"/>
              <w:left w:val="single" w:sz="8" w:space="0" w:color="FFFFFF" w:themeColor="background1"/>
              <w:bottom w:val="double" w:sz="12" w:space="0" w:color="808080" w:themeColor="background1" w:themeShade="80"/>
              <w:right w:val="single" w:sz="8" w:space="0" w:color="FFFFFF" w:themeColor="background1"/>
            </w:tcBorders>
            <w:shd w:val="clear" w:color="auto" w:fill="D4C19C"/>
            <w:noWrap/>
            <w:vAlign w:val="center"/>
            <w:hideMark/>
          </w:tcPr>
          <w:p w14:paraId="12E813A5" w14:textId="77777777" w:rsidR="009C3C24" w:rsidRPr="006F0DF1" w:rsidRDefault="009C3C24" w:rsidP="002F797B">
            <w:pPr>
              <w:spacing w:after="0" w:line="240" w:lineRule="exact"/>
              <w:jc w:val="center"/>
              <w:rPr>
                <w:rFonts w:ascii="Montserrat" w:hAnsi="Montserrat"/>
                <w:b/>
                <w:color w:val="FFFFFF"/>
                <w:sz w:val="14"/>
                <w:szCs w:val="14"/>
                <w:lang w:val="es-ES_tradnl"/>
              </w:rPr>
            </w:pPr>
          </w:p>
        </w:tc>
        <w:tc>
          <w:tcPr>
            <w:tcW w:w="2194" w:type="dxa"/>
            <w:gridSpan w:val="2"/>
            <w:vMerge/>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4C19C"/>
            <w:noWrap/>
            <w:vAlign w:val="center"/>
            <w:hideMark/>
          </w:tcPr>
          <w:p w14:paraId="6C464DD2" w14:textId="77777777" w:rsidR="009C3C24" w:rsidRPr="006F0DF1" w:rsidRDefault="009C3C24" w:rsidP="002F797B">
            <w:pPr>
              <w:spacing w:after="0" w:line="240" w:lineRule="exact"/>
              <w:jc w:val="center"/>
              <w:rPr>
                <w:rFonts w:ascii="Montserrat" w:hAnsi="Montserrat"/>
                <w:b/>
                <w:color w:val="FFFFFF"/>
                <w:sz w:val="14"/>
                <w:szCs w:val="14"/>
                <w:lang w:val="es-ES_tradnl"/>
              </w:rPr>
            </w:pPr>
          </w:p>
        </w:tc>
        <w:tc>
          <w:tcPr>
            <w:tcW w:w="1436" w:type="dxa"/>
            <w:vMerge/>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4C19C"/>
            <w:noWrap/>
            <w:vAlign w:val="center"/>
            <w:hideMark/>
          </w:tcPr>
          <w:p w14:paraId="602469EC" w14:textId="77777777" w:rsidR="009C3C24" w:rsidRPr="006F0DF1" w:rsidRDefault="009C3C24" w:rsidP="002F797B">
            <w:pPr>
              <w:spacing w:after="0" w:line="240" w:lineRule="exact"/>
              <w:jc w:val="center"/>
              <w:rPr>
                <w:rFonts w:ascii="Montserrat" w:hAnsi="Montserrat"/>
                <w:b/>
                <w:color w:val="FFFFFF"/>
                <w:sz w:val="14"/>
                <w:szCs w:val="14"/>
                <w:lang w:val="es-ES_tradnl"/>
              </w:rPr>
            </w:pPr>
          </w:p>
        </w:tc>
        <w:tc>
          <w:tcPr>
            <w:tcW w:w="1317" w:type="dxa"/>
            <w:gridSpan w:val="2"/>
            <w:vMerge/>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4C19C"/>
            <w:noWrap/>
            <w:vAlign w:val="center"/>
            <w:hideMark/>
          </w:tcPr>
          <w:p w14:paraId="70006DA8" w14:textId="77777777" w:rsidR="009C3C24" w:rsidRPr="006F0DF1" w:rsidRDefault="009C3C24" w:rsidP="002F797B">
            <w:pPr>
              <w:spacing w:after="0" w:line="240" w:lineRule="exact"/>
              <w:jc w:val="center"/>
              <w:rPr>
                <w:rFonts w:ascii="Montserrat" w:hAnsi="Montserrat"/>
                <w:b/>
                <w:color w:val="FFFFFF"/>
                <w:sz w:val="14"/>
                <w:szCs w:val="14"/>
                <w:lang w:val="es-ES_tradnl"/>
              </w:rPr>
            </w:pPr>
          </w:p>
        </w:tc>
        <w:tc>
          <w:tcPr>
            <w:tcW w:w="1418" w:type="dxa"/>
            <w:gridSpan w:val="2"/>
            <w:vMerge/>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4C19C"/>
            <w:noWrap/>
            <w:vAlign w:val="center"/>
          </w:tcPr>
          <w:p w14:paraId="5B7BA796" w14:textId="77777777" w:rsidR="009C3C24" w:rsidRPr="006F0DF1" w:rsidRDefault="009C3C24" w:rsidP="002F797B">
            <w:pPr>
              <w:spacing w:after="0" w:line="240" w:lineRule="exact"/>
              <w:jc w:val="center"/>
              <w:rPr>
                <w:rFonts w:ascii="Montserrat" w:hAnsi="Montserrat"/>
                <w:b/>
                <w:color w:val="FFFFFF"/>
                <w:sz w:val="14"/>
                <w:szCs w:val="14"/>
                <w:lang w:val="es-ES_tradnl"/>
              </w:rPr>
            </w:pPr>
          </w:p>
        </w:tc>
        <w:tc>
          <w:tcPr>
            <w:tcW w:w="1451" w:type="dxa"/>
            <w:gridSpan w:val="2"/>
            <w:vMerge/>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4C19C"/>
            <w:noWrap/>
            <w:vAlign w:val="center"/>
            <w:hideMark/>
          </w:tcPr>
          <w:p w14:paraId="31D91284" w14:textId="77777777" w:rsidR="009C3C24" w:rsidRPr="006F0DF1" w:rsidRDefault="009C3C24" w:rsidP="002F797B">
            <w:pPr>
              <w:spacing w:after="0" w:line="240" w:lineRule="exact"/>
              <w:jc w:val="center"/>
              <w:rPr>
                <w:rFonts w:ascii="Montserrat" w:hAnsi="Montserrat"/>
                <w:b/>
                <w:color w:val="FFFFFF"/>
                <w:sz w:val="14"/>
                <w:szCs w:val="14"/>
                <w:lang w:val="es-ES_tradnl"/>
              </w:rPr>
            </w:pPr>
          </w:p>
        </w:tc>
        <w:tc>
          <w:tcPr>
            <w:tcW w:w="1208" w:type="dxa"/>
            <w:gridSpan w:val="2"/>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4C19C"/>
            <w:noWrap/>
            <w:vAlign w:val="center"/>
            <w:hideMark/>
          </w:tcPr>
          <w:p w14:paraId="6FA81071" w14:textId="77777777" w:rsidR="009C3C24" w:rsidRPr="006F0DF1" w:rsidRDefault="009C3C24" w:rsidP="002F797B">
            <w:pPr>
              <w:spacing w:after="0" w:line="240" w:lineRule="exact"/>
              <w:jc w:val="center"/>
              <w:rPr>
                <w:rFonts w:ascii="Montserrat" w:hAnsi="Montserrat"/>
                <w:b/>
                <w:color w:val="FFFFFF"/>
                <w:sz w:val="14"/>
                <w:szCs w:val="14"/>
                <w:lang w:val="es-ES_tradnl"/>
              </w:rPr>
            </w:pPr>
            <w:r w:rsidRPr="006F0DF1">
              <w:rPr>
                <w:rFonts w:ascii="Montserrat" w:hAnsi="Montserrat"/>
                <w:b/>
                <w:color w:val="FFFFFF"/>
                <w:sz w:val="14"/>
                <w:szCs w:val="14"/>
                <w:lang w:val="es-ES_tradnl"/>
              </w:rPr>
              <w:t>Libor</w:t>
            </w:r>
          </w:p>
        </w:tc>
        <w:tc>
          <w:tcPr>
            <w:tcW w:w="1169" w:type="dxa"/>
            <w:gridSpan w:val="2"/>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4C19C"/>
            <w:noWrap/>
            <w:vAlign w:val="center"/>
            <w:hideMark/>
          </w:tcPr>
          <w:p w14:paraId="1D8BABA0" w14:textId="77777777" w:rsidR="009C3C24" w:rsidRPr="006F0DF1" w:rsidRDefault="009C3C24" w:rsidP="002F797B">
            <w:pPr>
              <w:spacing w:after="0" w:line="240" w:lineRule="exact"/>
              <w:jc w:val="center"/>
              <w:rPr>
                <w:rFonts w:ascii="Montserrat" w:hAnsi="Montserrat"/>
                <w:b/>
                <w:color w:val="FFFFFF"/>
                <w:sz w:val="14"/>
                <w:szCs w:val="14"/>
                <w:lang w:val="es-ES_tradnl"/>
              </w:rPr>
            </w:pPr>
            <w:r w:rsidRPr="006F0DF1">
              <w:rPr>
                <w:rFonts w:ascii="Montserrat" w:hAnsi="Montserrat"/>
                <w:b/>
                <w:color w:val="FFFFFF"/>
                <w:sz w:val="14"/>
                <w:szCs w:val="14"/>
                <w:lang w:val="es-ES_tradnl"/>
              </w:rPr>
              <w:t>Prime Rate</w:t>
            </w:r>
          </w:p>
        </w:tc>
        <w:tc>
          <w:tcPr>
            <w:tcW w:w="1796" w:type="dxa"/>
            <w:gridSpan w:val="2"/>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4C19C"/>
            <w:noWrap/>
            <w:vAlign w:val="center"/>
            <w:hideMark/>
          </w:tcPr>
          <w:p w14:paraId="1243D43F" w14:textId="77777777" w:rsidR="009C3C24" w:rsidRPr="006F0DF1" w:rsidRDefault="009C3C24" w:rsidP="002F797B">
            <w:pPr>
              <w:spacing w:after="0" w:line="240" w:lineRule="exact"/>
              <w:jc w:val="center"/>
              <w:rPr>
                <w:rFonts w:ascii="Montserrat" w:hAnsi="Montserrat"/>
                <w:b/>
                <w:color w:val="FFFFFF"/>
                <w:sz w:val="14"/>
                <w:szCs w:val="14"/>
                <w:lang w:val="es-ES_tradnl"/>
              </w:rPr>
            </w:pPr>
            <w:r w:rsidRPr="006F0DF1">
              <w:rPr>
                <w:rFonts w:ascii="Montserrat" w:hAnsi="Montserrat"/>
                <w:b/>
                <w:color w:val="FFFFFF"/>
                <w:sz w:val="14"/>
                <w:szCs w:val="14"/>
                <w:lang w:val="es-ES_tradnl"/>
              </w:rPr>
              <w:t>Otras</w:t>
            </w:r>
          </w:p>
        </w:tc>
      </w:tr>
      <w:tr w:rsidR="009C3C24" w:rsidRPr="006F0DF1" w14:paraId="429D25A6" w14:textId="77777777" w:rsidTr="0023764E">
        <w:trPr>
          <w:trHeight w:val="215"/>
          <w:jc w:val="center"/>
        </w:trPr>
        <w:tc>
          <w:tcPr>
            <w:tcW w:w="1312" w:type="dxa"/>
            <w:vMerge/>
            <w:tcBorders>
              <w:top w:val="single" w:sz="8" w:space="0" w:color="FFFFFF" w:themeColor="background1"/>
              <w:bottom w:val="double" w:sz="12" w:space="0" w:color="808080" w:themeColor="background1" w:themeShade="80"/>
              <w:right w:val="single" w:sz="8" w:space="0" w:color="FFFFFF" w:themeColor="background1"/>
            </w:tcBorders>
            <w:shd w:val="clear" w:color="auto" w:fill="D4C19C"/>
            <w:noWrap/>
            <w:vAlign w:val="center"/>
            <w:hideMark/>
          </w:tcPr>
          <w:p w14:paraId="541214A2" w14:textId="77777777" w:rsidR="009C3C24" w:rsidRPr="006F0DF1" w:rsidRDefault="009C3C24" w:rsidP="002F797B">
            <w:pPr>
              <w:spacing w:after="0" w:line="240" w:lineRule="exact"/>
              <w:jc w:val="center"/>
              <w:rPr>
                <w:rFonts w:ascii="Montserrat" w:hAnsi="Montserrat"/>
                <w:b/>
                <w:color w:val="FFFFFF"/>
                <w:sz w:val="14"/>
                <w:szCs w:val="14"/>
                <w:lang w:val="es-ES_tradnl"/>
              </w:rPr>
            </w:pPr>
          </w:p>
        </w:tc>
        <w:tc>
          <w:tcPr>
            <w:tcW w:w="565" w:type="dxa"/>
            <w:vMerge/>
            <w:tcBorders>
              <w:top w:val="single" w:sz="8" w:space="0" w:color="FFFFFF" w:themeColor="background1"/>
              <w:left w:val="single" w:sz="8" w:space="0" w:color="FFFFFF" w:themeColor="background1"/>
              <w:bottom w:val="double" w:sz="12" w:space="0" w:color="808080" w:themeColor="background1" w:themeShade="80"/>
              <w:right w:val="single" w:sz="8" w:space="0" w:color="FFFFFF" w:themeColor="background1"/>
            </w:tcBorders>
            <w:shd w:val="clear" w:color="auto" w:fill="D4C19C"/>
            <w:noWrap/>
            <w:vAlign w:val="center"/>
            <w:hideMark/>
          </w:tcPr>
          <w:p w14:paraId="54AE7F4A" w14:textId="77777777" w:rsidR="009C3C24" w:rsidRPr="006F0DF1" w:rsidRDefault="009C3C24" w:rsidP="002F797B">
            <w:pPr>
              <w:spacing w:after="0" w:line="240" w:lineRule="exact"/>
              <w:jc w:val="center"/>
              <w:rPr>
                <w:rFonts w:ascii="Montserrat" w:hAnsi="Montserrat"/>
                <w:b/>
                <w:color w:val="FFFFFF"/>
                <w:sz w:val="14"/>
                <w:szCs w:val="14"/>
                <w:lang w:val="es-ES_tradnl"/>
              </w:rPr>
            </w:pPr>
          </w:p>
        </w:tc>
        <w:tc>
          <w:tcPr>
            <w:tcW w:w="494" w:type="dxa"/>
            <w:vMerge/>
            <w:tcBorders>
              <w:top w:val="single" w:sz="8" w:space="0" w:color="FFFFFF" w:themeColor="background1"/>
              <w:left w:val="single" w:sz="8" w:space="0" w:color="FFFFFF" w:themeColor="background1"/>
              <w:bottom w:val="double" w:sz="12" w:space="0" w:color="808080" w:themeColor="background1" w:themeShade="80"/>
              <w:right w:val="single" w:sz="8" w:space="0" w:color="FFFFFF" w:themeColor="background1"/>
            </w:tcBorders>
            <w:shd w:val="clear" w:color="auto" w:fill="D4C19C"/>
            <w:noWrap/>
            <w:vAlign w:val="center"/>
            <w:hideMark/>
          </w:tcPr>
          <w:p w14:paraId="45561E10" w14:textId="77777777" w:rsidR="009C3C24" w:rsidRPr="006F0DF1" w:rsidRDefault="009C3C24" w:rsidP="002F797B">
            <w:pPr>
              <w:spacing w:after="0" w:line="240" w:lineRule="exact"/>
              <w:jc w:val="center"/>
              <w:rPr>
                <w:rFonts w:ascii="Montserrat" w:hAnsi="Montserrat"/>
                <w:b/>
                <w:color w:val="FFFFFF"/>
                <w:sz w:val="14"/>
                <w:szCs w:val="14"/>
                <w:lang w:val="es-ES_tradnl"/>
              </w:rPr>
            </w:pPr>
          </w:p>
        </w:tc>
        <w:tc>
          <w:tcPr>
            <w:tcW w:w="678" w:type="dxa"/>
            <w:tcBorders>
              <w:top w:val="single" w:sz="8" w:space="0" w:color="FFFFFF" w:themeColor="background1"/>
              <w:left w:val="single" w:sz="8" w:space="0" w:color="FFFFFF" w:themeColor="background1"/>
              <w:bottom w:val="double" w:sz="12" w:space="0" w:color="808080" w:themeColor="background1" w:themeShade="80"/>
              <w:right w:val="single" w:sz="8" w:space="0" w:color="FFFFFF" w:themeColor="background1"/>
            </w:tcBorders>
            <w:shd w:val="clear" w:color="auto" w:fill="D4C19C"/>
            <w:noWrap/>
            <w:vAlign w:val="center"/>
            <w:hideMark/>
          </w:tcPr>
          <w:p w14:paraId="13CC2009" w14:textId="77777777" w:rsidR="009C3C24" w:rsidRPr="006F0DF1" w:rsidRDefault="009C3C24" w:rsidP="002F797B">
            <w:pPr>
              <w:spacing w:after="0" w:line="240" w:lineRule="exact"/>
              <w:jc w:val="center"/>
              <w:rPr>
                <w:rFonts w:ascii="Montserrat" w:hAnsi="Montserrat"/>
                <w:b/>
                <w:color w:val="FFFFFF"/>
                <w:sz w:val="14"/>
                <w:szCs w:val="14"/>
                <w:lang w:val="es-ES_tradnl"/>
              </w:rPr>
            </w:pPr>
            <w:r w:rsidRPr="006F0DF1">
              <w:rPr>
                <w:rFonts w:ascii="Montserrat" w:hAnsi="Montserrat"/>
                <w:b/>
                <w:color w:val="FFFFFF"/>
                <w:sz w:val="14"/>
                <w:szCs w:val="14"/>
                <w:lang w:val="es-ES_tradnl"/>
              </w:rPr>
              <w:t>Directa</w:t>
            </w:r>
          </w:p>
        </w:tc>
        <w:tc>
          <w:tcPr>
            <w:tcW w:w="1516" w:type="dxa"/>
            <w:tcBorders>
              <w:top w:val="single" w:sz="8" w:space="0" w:color="FFFFFF" w:themeColor="background1"/>
              <w:left w:val="single" w:sz="8" w:space="0" w:color="FFFFFF" w:themeColor="background1"/>
              <w:bottom w:val="double" w:sz="12" w:space="0" w:color="808080" w:themeColor="background1" w:themeShade="80"/>
              <w:right w:val="single" w:sz="8" w:space="0" w:color="FFFFFF" w:themeColor="background1"/>
            </w:tcBorders>
            <w:shd w:val="clear" w:color="auto" w:fill="D4C19C"/>
            <w:noWrap/>
            <w:vAlign w:val="center"/>
            <w:hideMark/>
          </w:tcPr>
          <w:p w14:paraId="18F5B30B" w14:textId="77777777" w:rsidR="009C3C24" w:rsidRPr="006F0DF1" w:rsidRDefault="009C3C24" w:rsidP="002F797B">
            <w:pPr>
              <w:spacing w:after="0" w:line="240" w:lineRule="exact"/>
              <w:jc w:val="center"/>
              <w:rPr>
                <w:rFonts w:ascii="Montserrat" w:hAnsi="Montserrat"/>
                <w:b/>
                <w:color w:val="FFFFFF"/>
                <w:sz w:val="14"/>
                <w:szCs w:val="14"/>
                <w:lang w:val="es-ES_tradnl"/>
              </w:rPr>
            </w:pPr>
            <w:r w:rsidRPr="006F0DF1">
              <w:rPr>
                <w:rFonts w:ascii="Montserrat" w:hAnsi="Montserrat"/>
                <w:b/>
                <w:color w:val="FFFFFF"/>
                <w:sz w:val="14"/>
                <w:szCs w:val="14"/>
                <w:lang w:val="es-ES_tradnl"/>
              </w:rPr>
              <w:t>Intermediaria</w:t>
            </w:r>
          </w:p>
        </w:tc>
        <w:tc>
          <w:tcPr>
            <w:tcW w:w="1436" w:type="dxa"/>
            <w:vMerge/>
            <w:tcBorders>
              <w:top w:val="single" w:sz="8" w:space="0" w:color="FFFFFF" w:themeColor="background1"/>
              <w:left w:val="single" w:sz="8" w:space="0" w:color="FFFFFF" w:themeColor="background1"/>
              <w:bottom w:val="double" w:sz="12" w:space="0" w:color="808080" w:themeColor="background1" w:themeShade="80"/>
              <w:right w:val="single" w:sz="8" w:space="0" w:color="FFFFFF" w:themeColor="background1"/>
            </w:tcBorders>
            <w:shd w:val="clear" w:color="auto" w:fill="D4C19C"/>
            <w:noWrap/>
            <w:vAlign w:val="center"/>
            <w:hideMark/>
          </w:tcPr>
          <w:p w14:paraId="24E26232" w14:textId="77777777" w:rsidR="009C3C24" w:rsidRPr="006F0DF1" w:rsidRDefault="009C3C24" w:rsidP="002F797B">
            <w:pPr>
              <w:spacing w:after="0" w:line="240" w:lineRule="exact"/>
              <w:jc w:val="center"/>
              <w:rPr>
                <w:rFonts w:ascii="Montserrat" w:hAnsi="Montserrat"/>
                <w:b/>
                <w:color w:val="FFFFFF"/>
                <w:sz w:val="14"/>
                <w:szCs w:val="14"/>
                <w:lang w:val="es-ES_tradnl"/>
              </w:rPr>
            </w:pPr>
          </w:p>
        </w:tc>
        <w:tc>
          <w:tcPr>
            <w:tcW w:w="609" w:type="dxa"/>
            <w:tcBorders>
              <w:top w:val="single" w:sz="8" w:space="0" w:color="FFFFFF" w:themeColor="background1"/>
              <w:left w:val="single" w:sz="8" w:space="0" w:color="FFFFFF" w:themeColor="background1"/>
              <w:bottom w:val="double" w:sz="12" w:space="0" w:color="808080" w:themeColor="background1" w:themeShade="80"/>
              <w:right w:val="single" w:sz="8" w:space="0" w:color="FFFFFF" w:themeColor="background1"/>
            </w:tcBorders>
            <w:shd w:val="clear" w:color="auto" w:fill="D4C19C"/>
            <w:noWrap/>
            <w:vAlign w:val="center"/>
            <w:hideMark/>
          </w:tcPr>
          <w:p w14:paraId="1BDDF0A8" w14:textId="77777777" w:rsidR="009C3C24" w:rsidRPr="006F0DF1" w:rsidRDefault="009C3C24" w:rsidP="002F797B">
            <w:pPr>
              <w:spacing w:after="0" w:line="240" w:lineRule="exact"/>
              <w:jc w:val="center"/>
              <w:rPr>
                <w:rFonts w:ascii="Montserrat" w:hAnsi="Montserrat"/>
                <w:b/>
                <w:color w:val="FFFFFF"/>
                <w:sz w:val="14"/>
                <w:szCs w:val="14"/>
                <w:lang w:val="es-ES_tradnl"/>
              </w:rPr>
            </w:pPr>
            <w:r w:rsidRPr="006F0DF1">
              <w:rPr>
                <w:rFonts w:ascii="Montserrat" w:hAnsi="Montserrat"/>
                <w:b/>
                <w:color w:val="FFFFFF"/>
                <w:sz w:val="14"/>
                <w:szCs w:val="14"/>
                <w:lang w:val="es-ES_tradnl"/>
              </w:rPr>
              <w:t>Años</w:t>
            </w:r>
          </w:p>
        </w:tc>
        <w:tc>
          <w:tcPr>
            <w:tcW w:w="708" w:type="dxa"/>
            <w:tcBorders>
              <w:top w:val="single" w:sz="8" w:space="0" w:color="FFFFFF" w:themeColor="background1"/>
              <w:left w:val="single" w:sz="8" w:space="0" w:color="FFFFFF" w:themeColor="background1"/>
              <w:bottom w:val="double" w:sz="12" w:space="0" w:color="808080" w:themeColor="background1" w:themeShade="80"/>
              <w:right w:val="single" w:sz="8" w:space="0" w:color="FFFFFF" w:themeColor="background1"/>
            </w:tcBorders>
            <w:shd w:val="clear" w:color="auto" w:fill="D4C19C"/>
            <w:noWrap/>
            <w:vAlign w:val="center"/>
            <w:hideMark/>
          </w:tcPr>
          <w:p w14:paraId="2C66245D" w14:textId="77777777" w:rsidR="009C3C24" w:rsidRPr="006F0DF1" w:rsidRDefault="009C3C24" w:rsidP="002F797B">
            <w:pPr>
              <w:spacing w:after="0" w:line="240" w:lineRule="exact"/>
              <w:jc w:val="center"/>
              <w:rPr>
                <w:rFonts w:ascii="Montserrat" w:hAnsi="Montserrat"/>
                <w:b/>
                <w:color w:val="FFFFFF"/>
                <w:sz w:val="14"/>
                <w:szCs w:val="14"/>
                <w:lang w:val="es-ES_tradnl"/>
              </w:rPr>
            </w:pPr>
            <w:r w:rsidRPr="006F0DF1">
              <w:rPr>
                <w:rFonts w:ascii="Montserrat" w:hAnsi="Montserrat"/>
                <w:b/>
                <w:color w:val="FFFFFF"/>
                <w:sz w:val="14"/>
                <w:szCs w:val="14"/>
                <w:lang w:val="es-ES_tradnl"/>
              </w:rPr>
              <w:t>Meses</w:t>
            </w:r>
          </w:p>
        </w:tc>
        <w:tc>
          <w:tcPr>
            <w:tcW w:w="709" w:type="dxa"/>
            <w:tcBorders>
              <w:top w:val="single" w:sz="8" w:space="0" w:color="FFFFFF" w:themeColor="background1"/>
              <w:left w:val="single" w:sz="8" w:space="0" w:color="FFFFFF" w:themeColor="background1"/>
              <w:bottom w:val="double" w:sz="12" w:space="0" w:color="808080" w:themeColor="background1" w:themeShade="80"/>
              <w:right w:val="single" w:sz="8" w:space="0" w:color="FFFFFF" w:themeColor="background1"/>
            </w:tcBorders>
            <w:shd w:val="clear" w:color="auto" w:fill="D4C19C"/>
            <w:noWrap/>
            <w:vAlign w:val="center"/>
            <w:hideMark/>
          </w:tcPr>
          <w:p w14:paraId="658DDAA0" w14:textId="77777777" w:rsidR="009C3C24" w:rsidRPr="006F0DF1" w:rsidRDefault="009C3C24" w:rsidP="002F797B">
            <w:pPr>
              <w:spacing w:after="0" w:line="240" w:lineRule="exact"/>
              <w:jc w:val="center"/>
              <w:rPr>
                <w:rFonts w:ascii="Montserrat" w:hAnsi="Montserrat"/>
                <w:b/>
                <w:color w:val="FFFFFF"/>
                <w:sz w:val="14"/>
                <w:szCs w:val="14"/>
                <w:lang w:val="es-ES_tradnl"/>
              </w:rPr>
            </w:pPr>
            <w:r w:rsidRPr="006F0DF1">
              <w:rPr>
                <w:rFonts w:ascii="Montserrat" w:hAnsi="Montserrat"/>
                <w:b/>
                <w:color w:val="FFFFFF"/>
                <w:sz w:val="14"/>
                <w:szCs w:val="14"/>
                <w:lang w:val="es-ES_tradnl"/>
              </w:rPr>
              <w:t>Años</w:t>
            </w:r>
          </w:p>
        </w:tc>
        <w:tc>
          <w:tcPr>
            <w:tcW w:w="709" w:type="dxa"/>
            <w:tcBorders>
              <w:top w:val="single" w:sz="8" w:space="0" w:color="FFFFFF" w:themeColor="background1"/>
              <w:left w:val="single" w:sz="8" w:space="0" w:color="FFFFFF" w:themeColor="background1"/>
              <w:bottom w:val="double" w:sz="12" w:space="0" w:color="808080" w:themeColor="background1" w:themeShade="80"/>
              <w:right w:val="single" w:sz="8" w:space="0" w:color="FFFFFF" w:themeColor="background1"/>
            </w:tcBorders>
            <w:shd w:val="clear" w:color="auto" w:fill="D4C19C"/>
            <w:noWrap/>
            <w:vAlign w:val="center"/>
            <w:hideMark/>
          </w:tcPr>
          <w:p w14:paraId="0E0919F9" w14:textId="77777777" w:rsidR="009C3C24" w:rsidRPr="006F0DF1" w:rsidRDefault="009C3C24" w:rsidP="002F797B">
            <w:pPr>
              <w:spacing w:after="0" w:line="240" w:lineRule="exact"/>
              <w:jc w:val="center"/>
              <w:rPr>
                <w:rFonts w:ascii="Montserrat" w:hAnsi="Montserrat"/>
                <w:b/>
                <w:color w:val="FFFFFF"/>
                <w:sz w:val="14"/>
                <w:szCs w:val="14"/>
                <w:lang w:val="es-ES_tradnl"/>
              </w:rPr>
            </w:pPr>
            <w:r w:rsidRPr="006F0DF1">
              <w:rPr>
                <w:rFonts w:ascii="Montserrat" w:hAnsi="Montserrat"/>
                <w:b/>
                <w:color w:val="FFFFFF"/>
                <w:sz w:val="14"/>
                <w:szCs w:val="14"/>
                <w:lang w:val="es-ES_tradnl"/>
              </w:rPr>
              <w:t>Meses</w:t>
            </w:r>
          </w:p>
        </w:tc>
        <w:tc>
          <w:tcPr>
            <w:tcW w:w="567" w:type="dxa"/>
            <w:tcBorders>
              <w:top w:val="single" w:sz="8" w:space="0" w:color="FFFFFF" w:themeColor="background1"/>
              <w:left w:val="single" w:sz="8" w:space="0" w:color="FFFFFF" w:themeColor="background1"/>
              <w:bottom w:val="double" w:sz="12" w:space="0" w:color="808080" w:themeColor="background1" w:themeShade="80"/>
              <w:right w:val="single" w:sz="8" w:space="0" w:color="FFFFFF" w:themeColor="background1"/>
            </w:tcBorders>
            <w:shd w:val="clear" w:color="auto" w:fill="D4C19C"/>
            <w:noWrap/>
            <w:vAlign w:val="center"/>
            <w:hideMark/>
          </w:tcPr>
          <w:p w14:paraId="0E3623E0" w14:textId="77777777" w:rsidR="009C3C24" w:rsidRPr="006F0DF1" w:rsidRDefault="009C3C24" w:rsidP="002F797B">
            <w:pPr>
              <w:spacing w:after="0" w:line="240" w:lineRule="exact"/>
              <w:jc w:val="center"/>
              <w:rPr>
                <w:rFonts w:ascii="Montserrat" w:hAnsi="Montserrat"/>
                <w:b/>
                <w:color w:val="FFFFFF"/>
                <w:sz w:val="14"/>
                <w:szCs w:val="14"/>
                <w:lang w:val="es-ES_tradnl"/>
              </w:rPr>
            </w:pPr>
            <w:r w:rsidRPr="006F0DF1">
              <w:rPr>
                <w:rFonts w:ascii="Montserrat" w:hAnsi="Montserrat"/>
                <w:b/>
                <w:color w:val="FFFFFF"/>
                <w:sz w:val="14"/>
                <w:szCs w:val="14"/>
                <w:lang w:val="es-ES_tradnl"/>
              </w:rPr>
              <w:t>Fija</w:t>
            </w:r>
          </w:p>
        </w:tc>
        <w:tc>
          <w:tcPr>
            <w:tcW w:w="884" w:type="dxa"/>
            <w:tcBorders>
              <w:top w:val="single" w:sz="8" w:space="0" w:color="FFFFFF" w:themeColor="background1"/>
              <w:left w:val="single" w:sz="8" w:space="0" w:color="FFFFFF" w:themeColor="background1"/>
              <w:bottom w:val="double" w:sz="12" w:space="0" w:color="808080" w:themeColor="background1" w:themeShade="80"/>
              <w:right w:val="single" w:sz="8" w:space="0" w:color="FFFFFF" w:themeColor="background1"/>
            </w:tcBorders>
            <w:shd w:val="clear" w:color="auto" w:fill="D4C19C"/>
            <w:noWrap/>
            <w:vAlign w:val="center"/>
            <w:hideMark/>
          </w:tcPr>
          <w:p w14:paraId="4E0B079D" w14:textId="77777777" w:rsidR="009C3C24" w:rsidRPr="006F0DF1" w:rsidRDefault="009C3C24" w:rsidP="002F797B">
            <w:pPr>
              <w:spacing w:after="0" w:line="240" w:lineRule="exact"/>
              <w:jc w:val="center"/>
              <w:rPr>
                <w:rFonts w:ascii="Montserrat" w:hAnsi="Montserrat"/>
                <w:b/>
                <w:color w:val="FFFFFF"/>
                <w:sz w:val="14"/>
                <w:szCs w:val="14"/>
                <w:lang w:val="es-ES_tradnl"/>
              </w:rPr>
            </w:pPr>
            <w:r w:rsidRPr="006F0DF1">
              <w:rPr>
                <w:rFonts w:ascii="Montserrat" w:hAnsi="Montserrat"/>
                <w:b/>
                <w:color w:val="FFFFFF"/>
                <w:sz w:val="14"/>
                <w:szCs w:val="14"/>
                <w:lang w:val="es-ES_tradnl"/>
              </w:rPr>
              <w:t>Variable</w:t>
            </w:r>
          </w:p>
        </w:tc>
        <w:tc>
          <w:tcPr>
            <w:tcW w:w="533" w:type="dxa"/>
            <w:tcBorders>
              <w:top w:val="single" w:sz="8" w:space="0" w:color="FFFFFF" w:themeColor="background1"/>
              <w:left w:val="single" w:sz="8" w:space="0" w:color="FFFFFF" w:themeColor="background1"/>
              <w:bottom w:val="double" w:sz="12" w:space="0" w:color="808080" w:themeColor="background1" w:themeShade="80"/>
              <w:right w:val="single" w:sz="8" w:space="0" w:color="FFFFFF" w:themeColor="background1"/>
            </w:tcBorders>
            <w:shd w:val="clear" w:color="auto" w:fill="D4C19C"/>
            <w:noWrap/>
            <w:vAlign w:val="center"/>
            <w:hideMark/>
          </w:tcPr>
          <w:p w14:paraId="182FF791" w14:textId="77777777" w:rsidR="009C3C24" w:rsidRPr="006F0DF1" w:rsidRDefault="009C3C24" w:rsidP="002F797B">
            <w:pPr>
              <w:spacing w:after="0" w:line="240" w:lineRule="exact"/>
              <w:jc w:val="center"/>
              <w:rPr>
                <w:rFonts w:ascii="Montserrat" w:hAnsi="Montserrat"/>
                <w:b/>
                <w:color w:val="FFFFFF"/>
                <w:sz w:val="14"/>
                <w:szCs w:val="14"/>
                <w:lang w:val="es-ES_tradnl"/>
              </w:rPr>
            </w:pPr>
            <w:r w:rsidRPr="006F0DF1">
              <w:rPr>
                <w:rFonts w:ascii="Montserrat" w:hAnsi="Montserrat"/>
                <w:b/>
                <w:color w:val="FFFFFF"/>
                <w:sz w:val="14"/>
                <w:szCs w:val="14"/>
                <w:lang w:val="es-ES_tradnl"/>
              </w:rPr>
              <w:t>Base</w:t>
            </w:r>
          </w:p>
        </w:tc>
        <w:tc>
          <w:tcPr>
            <w:tcW w:w="675" w:type="dxa"/>
            <w:tcBorders>
              <w:top w:val="single" w:sz="8" w:space="0" w:color="FFFFFF" w:themeColor="background1"/>
              <w:left w:val="single" w:sz="8" w:space="0" w:color="FFFFFF" w:themeColor="background1"/>
              <w:bottom w:val="double" w:sz="12" w:space="0" w:color="808080" w:themeColor="background1" w:themeShade="80"/>
              <w:right w:val="single" w:sz="8" w:space="0" w:color="FFFFFF" w:themeColor="background1"/>
            </w:tcBorders>
            <w:shd w:val="clear" w:color="auto" w:fill="D4C19C"/>
            <w:noWrap/>
            <w:vAlign w:val="center"/>
            <w:hideMark/>
          </w:tcPr>
          <w:p w14:paraId="03392DE0" w14:textId="77777777" w:rsidR="009C3C24" w:rsidRPr="006F0DF1" w:rsidRDefault="009C3C24" w:rsidP="002F797B">
            <w:pPr>
              <w:spacing w:after="0" w:line="240" w:lineRule="exact"/>
              <w:jc w:val="center"/>
              <w:rPr>
                <w:rFonts w:ascii="Montserrat" w:hAnsi="Montserrat"/>
                <w:b/>
                <w:color w:val="FFFFFF"/>
                <w:sz w:val="14"/>
                <w:szCs w:val="14"/>
                <w:lang w:val="es-ES_tradnl"/>
              </w:rPr>
            </w:pPr>
            <w:r w:rsidRPr="006F0DF1">
              <w:rPr>
                <w:rFonts w:ascii="Montserrat" w:hAnsi="Montserrat"/>
                <w:b/>
                <w:color w:val="FFFFFF"/>
                <w:sz w:val="14"/>
                <w:szCs w:val="14"/>
                <w:lang w:val="es-ES_tradnl"/>
              </w:rPr>
              <w:t>S/</w:t>
            </w:r>
            <w:r w:rsidRPr="006F0DF1">
              <w:rPr>
                <w:rFonts w:ascii="Montserrat" w:hAnsi="Montserrat"/>
                <w:b/>
                <w:color w:val="FFFFFF"/>
                <w:sz w:val="14"/>
                <w:szCs w:val="14"/>
                <w:lang w:val="es-ES_tradnl"/>
              </w:rPr>
              <w:br/>
              <w:t>Tasa</w:t>
            </w:r>
          </w:p>
        </w:tc>
        <w:tc>
          <w:tcPr>
            <w:tcW w:w="602" w:type="dxa"/>
            <w:tcBorders>
              <w:top w:val="single" w:sz="8" w:space="0" w:color="FFFFFF" w:themeColor="background1"/>
              <w:left w:val="single" w:sz="8" w:space="0" w:color="FFFFFF" w:themeColor="background1"/>
              <w:bottom w:val="double" w:sz="12" w:space="0" w:color="808080" w:themeColor="background1" w:themeShade="80"/>
              <w:right w:val="single" w:sz="8" w:space="0" w:color="FFFFFF" w:themeColor="background1"/>
            </w:tcBorders>
            <w:shd w:val="clear" w:color="auto" w:fill="D4C19C"/>
            <w:noWrap/>
            <w:vAlign w:val="center"/>
            <w:hideMark/>
          </w:tcPr>
          <w:p w14:paraId="43A1A6B1" w14:textId="77777777" w:rsidR="009C3C24" w:rsidRPr="006F0DF1" w:rsidRDefault="009C3C24" w:rsidP="002F797B">
            <w:pPr>
              <w:spacing w:after="0" w:line="240" w:lineRule="exact"/>
              <w:jc w:val="center"/>
              <w:rPr>
                <w:rFonts w:ascii="Montserrat" w:hAnsi="Montserrat"/>
                <w:b/>
                <w:color w:val="FFFFFF"/>
                <w:sz w:val="14"/>
                <w:szCs w:val="14"/>
                <w:lang w:val="es-ES_tradnl"/>
              </w:rPr>
            </w:pPr>
            <w:r w:rsidRPr="006F0DF1">
              <w:rPr>
                <w:rFonts w:ascii="Montserrat" w:hAnsi="Montserrat"/>
                <w:b/>
                <w:color w:val="FFFFFF"/>
                <w:sz w:val="14"/>
                <w:szCs w:val="14"/>
                <w:lang w:val="es-ES_tradnl"/>
              </w:rPr>
              <w:t>Base</w:t>
            </w:r>
          </w:p>
        </w:tc>
        <w:tc>
          <w:tcPr>
            <w:tcW w:w="567" w:type="dxa"/>
            <w:tcBorders>
              <w:top w:val="single" w:sz="8" w:space="0" w:color="FFFFFF" w:themeColor="background1"/>
              <w:left w:val="single" w:sz="8" w:space="0" w:color="FFFFFF" w:themeColor="background1"/>
              <w:bottom w:val="double" w:sz="12" w:space="0" w:color="808080" w:themeColor="background1" w:themeShade="80"/>
              <w:right w:val="single" w:sz="8" w:space="0" w:color="FFFFFF" w:themeColor="background1"/>
            </w:tcBorders>
            <w:shd w:val="clear" w:color="auto" w:fill="D4C19C"/>
            <w:noWrap/>
            <w:vAlign w:val="center"/>
            <w:hideMark/>
          </w:tcPr>
          <w:p w14:paraId="2B84B69C" w14:textId="77777777" w:rsidR="009C3C24" w:rsidRPr="006F0DF1" w:rsidRDefault="009C3C24" w:rsidP="002F797B">
            <w:pPr>
              <w:spacing w:after="0" w:line="240" w:lineRule="exact"/>
              <w:jc w:val="center"/>
              <w:rPr>
                <w:rFonts w:ascii="Montserrat" w:hAnsi="Montserrat"/>
                <w:b/>
                <w:color w:val="FFFFFF"/>
                <w:sz w:val="14"/>
                <w:szCs w:val="14"/>
                <w:lang w:val="es-ES_tradnl"/>
              </w:rPr>
            </w:pPr>
            <w:r w:rsidRPr="006F0DF1">
              <w:rPr>
                <w:rFonts w:ascii="Montserrat" w:hAnsi="Montserrat"/>
                <w:b/>
                <w:color w:val="FFFFFF"/>
                <w:sz w:val="14"/>
                <w:szCs w:val="14"/>
                <w:lang w:val="es-ES_tradnl"/>
              </w:rPr>
              <w:t>S/</w:t>
            </w:r>
            <w:r w:rsidRPr="006F0DF1">
              <w:rPr>
                <w:rFonts w:ascii="Montserrat" w:hAnsi="Montserrat"/>
                <w:b/>
                <w:color w:val="FFFFFF"/>
                <w:sz w:val="14"/>
                <w:szCs w:val="14"/>
                <w:lang w:val="es-ES_tradnl"/>
              </w:rPr>
              <w:br/>
              <w:t>Tasa</w:t>
            </w:r>
          </w:p>
        </w:tc>
        <w:tc>
          <w:tcPr>
            <w:tcW w:w="849" w:type="dxa"/>
            <w:tcBorders>
              <w:top w:val="single" w:sz="8" w:space="0" w:color="FFFFFF" w:themeColor="background1"/>
              <w:left w:val="single" w:sz="8" w:space="0" w:color="FFFFFF" w:themeColor="background1"/>
              <w:bottom w:val="double" w:sz="12" w:space="0" w:color="808080" w:themeColor="background1" w:themeShade="80"/>
              <w:right w:val="single" w:sz="8" w:space="0" w:color="FFFFFF" w:themeColor="background1"/>
            </w:tcBorders>
            <w:shd w:val="clear" w:color="auto" w:fill="D4C19C"/>
            <w:noWrap/>
            <w:vAlign w:val="center"/>
            <w:hideMark/>
          </w:tcPr>
          <w:p w14:paraId="1D5E5524" w14:textId="77777777" w:rsidR="009C3C24" w:rsidRPr="006F0DF1" w:rsidRDefault="009C3C24" w:rsidP="002F797B">
            <w:pPr>
              <w:spacing w:after="0" w:line="240" w:lineRule="exact"/>
              <w:jc w:val="center"/>
              <w:rPr>
                <w:rFonts w:ascii="Montserrat" w:hAnsi="Montserrat"/>
                <w:b/>
                <w:color w:val="FFFFFF"/>
                <w:sz w:val="14"/>
                <w:szCs w:val="14"/>
                <w:lang w:val="es-ES_tradnl"/>
              </w:rPr>
            </w:pPr>
            <w:r w:rsidRPr="006F0DF1">
              <w:rPr>
                <w:rFonts w:ascii="Montserrat" w:hAnsi="Montserrat"/>
                <w:b/>
                <w:color w:val="FFFFFF"/>
                <w:sz w:val="14"/>
                <w:szCs w:val="14"/>
                <w:lang w:val="es-ES_tradnl"/>
              </w:rPr>
              <w:t>Fija</w:t>
            </w:r>
          </w:p>
        </w:tc>
        <w:tc>
          <w:tcPr>
            <w:tcW w:w="947" w:type="dxa"/>
            <w:tcBorders>
              <w:top w:val="single" w:sz="8" w:space="0" w:color="FFFFFF" w:themeColor="background1"/>
              <w:left w:val="single" w:sz="8" w:space="0" w:color="FFFFFF" w:themeColor="background1"/>
              <w:bottom w:val="double" w:sz="12" w:space="0" w:color="808080" w:themeColor="background1" w:themeShade="80"/>
              <w:right w:val="single" w:sz="8" w:space="0" w:color="FFFFFF" w:themeColor="background1"/>
            </w:tcBorders>
            <w:shd w:val="clear" w:color="auto" w:fill="D4C19C"/>
            <w:noWrap/>
            <w:vAlign w:val="center"/>
            <w:hideMark/>
          </w:tcPr>
          <w:p w14:paraId="46F51115" w14:textId="77777777" w:rsidR="009C3C24" w:rsidRPr="006F0DF1" w:rsidRDefault="009C3C24" w:rsidP="002F797B">
            <w:pPr>
              <w:spacing w:after="0" w:line="240" w:lineRule="exact"/>
              <w:jc w:val="center"/>
              <w:rPr>
                <w:rFonts w:ascii="Montserrat" w:hAnsi="Montserrat"/>
                <w:b/>
                <w:color w:val="FFFFFF"/>
                <w:sz w:val="14"/>
                <w:szCs w:val="14"/>
                <w:lang w:val="es-ES_tradnl"/>
              </w:rPr>
            </w:pPr>
            <w:r w:rsidRPr="006F0DF1">
              <w:rPr>
                <w:rFonts w:ascii="Montserrat" w:hAnsi="Montserrat"/>
                <w:b/>
                <w:color w:val="FFFFFF"/>
                <w:sz w:val="14"/>
                <w:szCs w:val="14"/>
                <w:lang w:val="es-ES_tradnl"/>
              </w:rPr>
              <w:t>Variable</w:t>
            </w:r>
          </w:p>
        </w:tc>
      </w:tr>
      <w:tr w:rsidR="009C3C24" w:rsidRPr="005210C6" w14:paraId="1905F321" w14:textId="77777777" w:rsidTr="0023764E">
        <w:trPr>
          <w:trHeight w:val="255"/>
          <w:jc w:val="center"/>
        </w:trPr>
        <w:tc>
          <w:tcPr>
            <w:tcW w:w="1877" w:type="dxa"/>
            <w:gridSpan w:val="2"/>
            <w:shd w:val="clear" w:color="auto" w:fill="F2F2F2" w:themeFill="background1" w:themeFillShade="F2"/>
            <w:noWrap/>
            <w:vAlign w:val="bottom"/>
            <w:hideMark/>
          </w:tcPr>
          <w:p w14:paraId="21BA3509" w14:textId="77777777" w:rsidR="009C3C24" w:rsidRPr="005210C6" w:rsidRDefault="009C3C24" w:rsidP="002F797B">
            <w:pPr>
              <w:spacing w:after="0" w:line="240" w:lineRule="exact"/>
              <w:rPr>
                <w:rFonts w:ascii="Montserrat" w:hAnsi="Montserrat"/>
                <w:b/>
                <w:bCs/>
                <w:sz w:val="14"/>
                <w:szCs w:val="14"/>
                <w:lang w:val="es-ES_tradnl"/>
              </w:rPr>
            </w:pPr>
            <w:r w:rsidRPr="005210C6">
              <w:rPr>
                <w:rFonts w:ascii="Montserrat" w:hAnsi="Montserrat"/>
                <w:b/>
                <w:bCs/>
                <w:sz w:val="14"/>
                <w:szCs w:val="14"/>
                <w:lang w:val="es-ES_tradnl"/>
              </w:rPr>
              <w:t>Deuda Externa</w:t>
            </w:r>
          </w:p>
        </w:tc>
        <w:tc>
          <w:tcPr>
            <w:tcW w:w="494" w:type="dxa"/>
            <w:shd w:val="clear" w:color="auto" w:fill="F2F2F2" w:themeFill="background1" w:themeFillShade="F2"/>
            <w:noWrap/>
            <w:vAlign w:val="bottom"/>
          </w:tcPr>
          <w:p w14:paraId="7F916B0A" w14:textId="77777777" w:rsidR="009C3C24" w:rsidRPr="005210C6" w:rsidRDefault="009C3C24" w:rsidP="002F797B">
            <w:pPr>
              <w:spacing w:after="0" w:line="240" w:lineRule="exact"/>
              <w:jc w:val="center"/>
              <w:rPr>
                <w:rFonts w:ascii="Montserrat" w:hAnsi="Montserrat"/>
                <w:b/>
                <w:sz w:val="14"/>
                <w:szCs w:val="14"/>
                <w:lang w:val="es-ES_tradnl"/>
              </w:rPr>
            </w:pPr>
          </w:p>
        </w:tc>
        <w:tc>
          <w:tcPr>
            <w:tcW w:w="678" w:type="dxa"/>
            <w:shd w:val="clear" w:color="auto" w:fill="F2F2F2" w:themeFill="background1" w:themeFillShade="F2"/>
            <w:noWrap/>
            <w:vAlign w:val="bottom"/>
          </w:tcPr>
          <w:p w14:paraId="08C4577F" w14:textId="77777777" w:rsidR="009C3C24" w:rsidRPr="005210C6" w:rsidRDefault="009C3C24" w:rsidP="002F797B">
            <w:pPr>
              <w:spacing w:after="0" w:line="240" w:lineRule="exact"/>
              <w:jc w:val="center"/>
              <w:rPr>
                <w:rFonts w:ascii="Montserrat" w:hAnsi="Montserrat"/>
                <w:b/>
                <w:sz w:val="14"/>
                <w:szCs w:val="14"/>
                <w:lang w:val="es-ES_tradnl"/>
              </w:rPr>
            </w:pPr>
          </w:p>
        </w:tc>
        <w:tc>
          <w:tcPr>
            <w:tcW w:w="1516" w:type="dxa"/>
            <w:shd w:val="clear" w:color="auto" w:fill="F2F2F2" w:themeFill="background1" w:themeFillShade="F2"/>
            <w:noWrap/>
            <w:vAlign w:val="bottom"/>
          </w:tcPr>
          <w:p w14:paraId="6F5D5629" w14:textId="77777777" w:rsidR="009C3C24" w:rsidRPr="005210C6" w:rsidRDefault="009C3C24" w:rsidP="002F797B">
            <w:pPr>
              <w:spacing w:after="0" w:line="240" w:lineRule="exact"/>
              <w:jc w:val="center"/>
              <w:rPr>
                <w:rFonts w:ascii="Montserrat" w:hAnsi="Montserrat"/>
                <w:b/>
                <w:sz w:val="14"/>
                <w:szCs w:val="14"/>
                <w:lang w:val="es-ES_tradnl"/>
              </w:rPr>
            </w:pPr>
          </w:p>
        </w:tc>
        <w:tc>
          <w:tcPr>
            <w:tcW w:w="1436" w:type="dxa"/>
            <w:shd w:val="clear" w:color="auto" w:fill="F2F2F2" w:themeFill="background1" w:themeFillShade="F2"/>
            <w:noWrap/>
            <w:vAlign w:val="bottom"/>
          </w:tcPr>
          <w:p w14:paraId="6ABF577B" w14:textId="16F256C5" w:rsidR="009C3C24" w:rsidRPr="005210C6" w:rsidRDefault="00545FF7" w:rsidP="002F797B">
            <w:pPr>
              <w:spacing w:after="0" w:line="240" w:lineRule="exact"/>
              <w:jc w:val="right"/>
              <w:rPr>
                <w:rFonts w:ascii="Montserrat" w:hAnsi="Montserrat"/>
                <w:b/>
                <w:sz w:val="14"/>
                <w:szCs w:val="14"/>
                <w:lang w:val="es-ES_tradnl"/>
              </w:rPr>
            </w:pPr>
            <w:r w:rsidRPr="00545FF7">
              <w:rPr>
                <w:rFonts w:ascii="Montserrat" w:hAnsi="Montserrat"/>
                <w:b/>
                <w:sz w:val="14"/>
                <w:szCs w:val="14"/>
                <w:lang w:val="es-ES_tradnl"/>
              </w:rPr>
              <w:t>148</w:t>
            </w:r>
            <w:r w:rsidR="00070196">
              <w:rPr>
                <w:rFonts w:ascii="Montserrat" w:hAnsi="Montserrat"/>
                <w:b/>
                <w:sz w:val="14"/>
                <w:szCs w:val="14"/>
                <w:lang w:val="es-ES_tradnl"/>
              </w:rPr>
              <w:t>,</w:t>
            </w:r>
            <w:r w:rsidRPr="00545FF7">
              <w:rPr>
                <w:rFonts w:ascii="Montserrat" w:hAnsi="Montserrat"/>
                <w:b/>
                <w:sz w:val="14"/>
                <w:szCs w:val="14"/>
                <w:lang w:val="es-ES_tradnl"/>
              </w:rPr>
              <w:t>113</w:t>
            </w:r>
            <w:r w:rsidR="00070196">
              <w:rPr>
                <w:rFonts w:ascii="Montserrat" w:hAnsi="Montserrat"/>
                <w:b/>
                <w:sz w:val="14"/>
                <w:szCs w:val="14"/>
                <w:lang w:val="es-ES_tradnl"/>
              </w:rPr>
              <w:t>,</w:t>
            </w:r>
            <w:r w:rsidRPr="00545FF7">
              <w:rPr>
                <w:rFonts w:ascii="Montserrat" w:hAnsi="Montserrat"/>
                <w:b/>
                <w:sz w:val="14"/>
                <w:szCs w:val="14"/>
                <w:lang w:val="es-ES_tradnl"/>
              </w:rPr>
              <w:t>585</w:t>
            </w:r>
            <w:r w:rsidR="00070196">
              <w:rPr>
                <w:rFonts w:ascii="Montserrat" w:hAnsi="Montserrat"/>
                <w:b/>
                <w:sz w:val="14"/>
                <w:szCs w:val="14"/>
                <w:lang w:val="es-ES_tradnl"/>
              </w:rPr>
              <w:t>,</w:t>
            </w:r>
            <w:r w:rsidRPr="00545FF7">
              <w:rPr>
                <w:rFonts w:ascii="Montserrat" w:hAnsi="Montserrat"/>
                <w:b/>
                <w:sz w:val="14"/>
                <w:szCs w:val="14"/>
                <w:lang w:val="es-ES_tradnl"/>
              </w:rPr>
              <w:t>786</w:t>
            </w:r>
            <w:r w:rsidR="009C3C24" w:rsidRPr="005210C6">
              <w:rPr>
                <w:rFonts w:ascii="Montserrat" w:hAnsi="Montserrat"/>
                <w:b/>
                <w:sz w:val="14"/>
                <w:szCs w:val="14"/>
                <w:lang w:val="es-ES_tradnl"/>
              </w:rPr>
              <w:t xml:space="preserve"> </w:t>
            </w:r>
          </w:p>
        </w:tc>
        <w:tc>
          <w:tcPr>
            <w:tcW w:w="609" w:type="dxa"/>
            <w:shd w:val="clear" w:color="auto" w:fill="F2F2F2" w:themeFill="background1" w:themeFillShade="F2"/>
            <w:noWrap/>
            <w:vAlign w:val="bottom"/>
          </w:tcPr>
          <w:p w14:paraId="498BFBCD" w14:textId="77777777" w:rsidR="009C3C24" w:rsidRPr="005210C6" w:rsidRDefault="009C3C24" w:rsidP="002F797B">
            <w:pPr>
              <w:spacing w:after="0" w:line="240" w:lineRule="exact"/>
              <w:rPr>
                <w:rFonts w:ascii="Montserrat" w:hAnsi="Montserrat"/>
                <w:b/>
                <w:sz w:val="14"/>
                <w:szCs w:val="14"/>
                <w:lang w:val="es-ES_tradnl"/>
              </w:rPr>
            </w:pPr>
          </w:p>
        </w:tc>
        <w:tc>
          <w:tcPr>
            <w:tcW w:w="708" w:type="dxa"/>
            <w:shd w:val="clear" w:color="auto" w:fill="F2F2F2" w:themeFill="background1" w:themeFillShade="F2"/>
            <w:noWrap/>
            <w:vAlign w:val="bottom"/>
          </w:tcPr>
          <w:p w14:paraId="1A47B374" w14:textId="77777777" w:rsidR="009C3C24" w:rsidRPr="005210C6" w:rsidRDefault="009C3C24" w:rsidP="002F797B">
            <w:pPr>
              <w:spacing w:after="0" w:line="240" w:lineRule="exact"/>
              <w:rPr>
                <w:rFonts w:ascii="Montserrat" w:hAnsi="Montserrat"/>
                <w:b/>
                <w:sz w:val="14"/>
                <w:szCs w:val="14"/>
                <w:lang w:val="es-ES_tradnl"/>
              </w:rPr>
            </w:pPr>
          </w:p>
        </w:tc>
        <w:tc>
          <w:tcPr>
            <w:tcW w:w="709" w:type="dxa"/>
            <w:shd w:val="clear" w:color="auto" w:fill="F2F2F2" w:themeFill="background1" w:themeFillShade="F2"/>
            <w:noWrap/>
            <w:vAlign w:val="bottom"/>
          </w:tcPr>
          <w:p w14:paraId="4BBC23A9" w14:textId="77777777" w:rsidR="009C3C24" w:rsidRPr="005210C6" w:rsidRDefault="009C3C24" w:rsidP="002F797B">
            <w:pPr>
              <w:spacing w:after="0" w:line="240" w:lineRule="exact"/>
              <w:rPr>
                <w:rFonts w:ascii="Montserrat" w:hAnsi="Montserrat"/>
                <w:b/>
                <w:sz w:val="14"/>
                <w:szCs w:val="14"/>
                <w:lang w:val="es-ES_tradnl"/>
              </w:rPr>
            </w:pPr>
          </w:p>
        </w:tc>
        <w:tc>
          <w:tcPr>
            <w:tcW w:w="709" w:type="dxa"/>
            <w:shd w:val="clear" w:color="auto" w:fill="F2F2F2" w:themeFill="background1" w:themeFillShade="F2"/>
            <w:noWrap/>
            <w:vAlign w:val="bottom"/>
          </w:tcPr>
          <w:p w14:paraId="0BB0DEEB" w14:textId="77777777" w:rsidR="009C3C24" w:rsidRPr="005210C6" w:rsidRDefault="009C3C24" w:rsidP="002F797B">
            <w:pPr>
              <w:spacing w:after="0" w:line="240" w:lineRule="exact"/>
              <w:rPr>
                <w:rFonts w:ascii="Montserrat" w:hAnsi="Montserrat"/>
                <w:b/>
                <w:sz w:val="14"/>
                <w:szCs w:val="14"/>
                <w:lang w:val="es-ES_tradnl"/>
              </w:rPr>
            </w:pPr>
          </w:p>
        </w:tc>
        <w:tc>
          <w:tcPr>
            <w:tcW w:w="567" w:type="dxa"/>
            <w:shd w:val="clear" w:color="auto" w:fill="F2F2F2" w:themeFill="background1" w:themeFillShade="F2"/>
            <w:noWrap/>
            <w:vAlign w:val="bottom"/>
          </w:tcPr>
          <w:p w14:paraId="1B648CA7" w14:textId="77777777" w:rsidR="009C3C24" w:rsidRPr="005210C6" w:rsidRDefault="009C3C24" w:rsidP="002F797B">
            <w:pPr>
              <w:spacing w:after="0" w:line="240" w:lineRule="exact"/>
              <w:rPr>
                <w:rFonts w:ascii="Montserrat" w:hAnsi="Montserrat"/>
                <w:b/>
                <w:sz w:val="14"/>
                <w:szCs w:val="14"/>
                <w:lang w:val="es-ES_tradnl"/>
              </w:rPr>
            </w:pPr>
          </w:p>
        </w:tc>
        <w:tc>
          <w:tcPr>
            <w:tcW w:w="884" w:type="dxa"/>
            <w:shd w:val="clear" w:color="auto" w:fill="F2F2F2" w:themeFill="background1" w:themeFillShade="F2"/>
            <w:noWrap/>
            <w:vAlign w:val="bottom"/>
          </w:tcPr>
          <w:p w14:paraId="7B74ADBE" w14:textId="77777777" w:rsidR="009C3C24" w:rsidRPr="005210C6" w:rsidRDefault="009C3C24" w:rsidP="002F797B">
            <w:pPr>
              <w:spacing w:after="0" w:line="240" w:lineRule="exact"/>
              <w:rPr>
                <w:rFonts w:ascii="Montserrat" w:hAnsi="Montserrat"/>
                <w:b/>
                <w:sz w:val="14"/>
                <w:szCs w:val="14"/>
                <w:lang w:val="es-ES_tradnl"/>
              </w:rPr>
            </w:pPr>
          </w:p>
        </w:tc>
        <w:tc>
          <w:tcPr>
            <w:tcW w:w="533" w:type="dxa"/>
            <w:shd w:val="clear" w:color="auto" w:fill="F2F2F2" w:themeFill="background1" w:themeFillShade="F2"/>
            <w:noWrap/>
            <w:vAlign w:val="bottom"/>
          </w:tcPr>
          <w:p w14:paraId="463A5260" w14:textId="77777777" w:rsidR="009C3C24" w:rsidRPr="005210C6" w:rsidRDefault="009C3C24" w:rsidP="002F797B">
            <w:pPr>
              <w:spacing w:after="0" w:line="240" w:lineRule="exact"/>
              <w:jc w:val="right"/>
              <w:rPr>
                <w:rFonts w:ascii="Montserrat" w:hAnsi="Montserrat"/>
                <w:b/>
                <w:sz w:val="14"/>
                <w:szCs w:val="14"/>
                <w:lang w:val="es-ES_tradnl"/>
              </w:rPr>
            </w:pPr>
          </w:p>
        </w:tc>
        <w:tc>
          <w:tcPr>
            <w:tcW w:w="675" w:type="dxa"/>
            <w:shd w:val="clear" w:color="auto" w:fill="F2F2F2" w:themeFill="background1" w:themeFillShade="F2"/>
            <w:noWrap/>
            <w:vAlign w:val="bottom"/>
          </w:tcPr>
          <w:p w14:paraId="46770C8F" w14:textId="77777777" w:rsidR="009C3C24" w:rsidRPr="005210C6" w:rsidRDefault="009C3C24" w:rsidP="002F797B">
            <w:pPr>
              <w:spacing w:after="0" w:line="240" w:lineRule="exact"/>
              <w:jc w:val="right"/>
              <w:rPr>
                <w:rFonts w:ascii="Montserrat" w:hAnsi="Montserrat"/>
                <w:b/>
                <w:sz w:val="14"/>
                <w:szCs w:val="14"/>
                <w:lang w:val="es-ES_tradnl"/>
              </w:rPr>
            </w:pPr>
          </w:p>
        </w:tc>
        <w:tc>
          <w:tcPr>
            <w:tcW w:w="602" w:type="dxa"/>
            <w:shd w:val="clear" w:color="auto" w:fill="F2F2F2" w:themeFill="background1" w:themeFillShade="F2"/>
            <w:noWrap/>
            <w:vAlign w:val="bottom"/>
          </w:tcPr>
          <w:p w14:paraId="6029A210" w14:textId="77777777" w:rsidR="009C3C24" w:rsidRPr="005210C6" w:rsidRDefault="009C3C24" w:rsidP="002F797B">
            <w:pPr>
              <w:spacing w:after="0" w:line="240" w:lineRule="exact"/>
              <w:jc w:val="right"/>
              <w:rPr>
                <w:rFonts w:ascii="Montserrat" w:hAnsi="Montserrat"/>
                <w:b/>
                <w:sz w:val="14"/>
                <w:szCs w:val="14"/>
                <w:lang w:val="es-ES_tradnl"/>
              </w:rPr>
            </w:pPr>
          </w:p>
        </w:tc>
        <w:tc>
          <w:tcPr>
            <w:tcW w:w="567" w:type="dxa"/>
            <w:shd w:val="clear" w:color="auto" w:fill="F2F2F2" w:themeFill="background1" w:themeFillShade="F2"/>
            <w:noWrap/>
            <w:vAlign w:val="bottom"/>
          </w:tcPr>
          <w:p w14:paraId="383B3108" w14:textId="77777777" w:rsidR="009C3C24" w:rsidRPr="005210C6" w:rsidRDefault="009C3C24" w:rsidP="002F797B">
            <w:pPr>
              <w:spacing w:after="0" w:line="240" w:lineRule="exact"/>
              <w:jc w:val="right"/>
              <w:rPr>
                <w:rFonts w:ascii="Montserrat" w:hAnsi="Montserrat"/>
                <w:b/>
                <w:sz w:val="14"/>
                <w:szCs w:val="14"/>
                <w:lang w:val="es-ES_tradnl"/>
              </w:rPr>
            </w:pPr>
          </w:p>
        </w:tc>
        <w:tc>
          <w:tcPr>
            <w:tcW w:w="849" w:type="dxa"/>
            <w:shd w:val="clear" w:color="auto" w:fill="F2F2F2" w:themeFill="background1" w:themeFillShade="F2"/>
            <w:noWrap/>
            <w:vAlign w:val="bottom"/>
          </w:tcPr>
          <w:p w14:paraId="51D4C4FD" w14:textId="77777777" w:rsidR="009C3C24" w:rsidRPr="005210C6" w:rsidRDefault="009C3C24" w:rsidP="002F797B">
            <w:pPr>
              <w:spacing w:after="0" w:line="240" w:lineRule="exact"/>
              <w:jc w:val="right"/>
              <w:rPr>
                <w:rFonts w:ascii="Montserrat" w:hAnsi="Montserrat"/>
                <w:b/>
                <w:sz w:val="14"/>
                <w:szCs w:val="14"/>
                <w:lang w:val="es-ES_tradnl"/>
              </w:rPr>
            </w:pPr>
          </w:p>
        </w:tc>
        <w:tc>
          <w:tcPr>
            <w:tcW w:w="947" w:type="dxa"/>
            <w:shd w:val="clear" w:color="auto" w:fill="F2F2F2" w:themeFill="background1" w:themeFillShade="F2"/>
            <w:noWrap/>
            <w:vAlign w:val="bottom"/>
          </w:tcPr>
          <w:p w14:paraId="6A9609E1" w14:textId="77777777" w:rsidR="009C3C24" w:rsidRPr="005210C6" w:rsidRDefault="009C3C24" w:rsidP="002F797B">
            <w:pPr>
              <w:spacing w:after="0" w:line="240" w:lineRule="exact"/>
              <w:jc w:val="right"/>
              <w:rPr>
                <w:rFonts w:ascii="Montserrat" w:hAnsi="Montserrat"/>
                <w:b/>
                <w:sz w:val="14"/>
                <w:szCs w:val="14"/>
                <w:lang w:val="es-ES_tradnl"/>
              </w:rPr>
            </w:pPr>
          </w:p>
        </w:tc>
      </w:tr>
      <w:tr w:rsidR="00671016" w:rsidRPr="005210C6" w14:paraId="4C1680A4" w14:textId="77777777" w:rsidTr="00AC445B">
        <w:trPr>
          <w:trHeight w:val="240"/>
          <w:jc w:val="center"/>
        </w:trPr>
        <w:tc>
          <w:tcPr>
            <w:tcW w:w="1312" w:type="dxa"/>
            <w:tcBorders>
              <w:right w:val="nil"/>
            </w:tcBorders>
            <w:shd w:val="clear" w:color="auto" w:fill="F2F2F2" w:themeFill="background1" w:themeFillShade="F2"/>
            <w:noWrap/>
            <w:vAlign w:val="bottom"/>
            <w:hideMark/>
          </w:tcPr>
          <w:p w14:paraId="144CEC2B" w14:textId="3D5E6BBD" w:rsidR="009C3C24" w:rsidRPr="005210C6" w:rsidRDefault="006448DE" w:rsidP="002F797B">
            <w:pPr>
              <w:spacing w:after="0" w:line="240" w:lineRule="exact"/>
              <w:rPr>
                <w:rFonts w:ascii="Montserrat" w:hAnsi="Montserrat"/>
                <w:bCs/>
                <w:sz w:val="14"/>
                <w:szCs w:val="14"/>
                <w:lang w:val="es-ES_tradnl"/>
              </w:rPr>
            </w:pPr>
            <w:r>
              <w:rPr>
                <w:rFonts w:ascii="Montserrat" w:hAnsi="Montserrat"/>
                <w:bCs/>
                <w:sz w:val="14"/>
                <w:szCs w:val="14"/>
                <w:lang w:val="es-ES_tradnl"/>
              </w:rPr>
              <w:t>Cr's OFI</w:t>
            </w:r>
            <w:r w:rsidR="009C3C24" w:rsidRPr="005210C6">
              <w:rPr>
                <w:rFonts w:ascii="Montserrat" w:hAnsi="Montserrat"/>
                <w:bCs/>
                <w:sz w:val="14"/>
                <w:szCs w:val="14"/>
                <w:lang w:val="es-ES_tradnl"/>
              </w:rPr>
              <w:t>'s</w:t>
            </w:r>
          </w:p>
        </w:tc>
        <w:tc>
          <w:tcPr>
            <w:tcW w:w="565" w:type="dxa"/>
            <w:tcBorders>
              <w:left w:val="nil"/>
              <w:right w:val="nil"/>
            </w:tcBorders>
            <w:shd w:val="clear" w:color="auto" w:fill="F2F2F2" w:themeFill="background1" w:themeFillShade="F2"/>
            <w:noWrap/>
            <w:vAlign w:val="bottom"/>
          </w:tcPr>
          <w:p w14:paraId="660CE36B" w14:textId="77777777" w:rsidR="009C3C24" w:rsidRPr="005210C6" w:rsidRDefault="009C3C24" w:rsidP="002F797B">
            <w:pPr>
              <w:spacing w:after="0" w:line="240" w:lineRule="exact"/>
              <w:rPr>
                <w:rFonts w:ascii="Montserrat" w:hAnsi="Montserrat"/>
                <w:sz w:val="14"/>
                <w:szCs w:val="14"/>
                <w:lang w:val="es-ES_tradnl"/>
              </w:rPr>
            </w:pPr>
            <w:r w:rsidRPr="005210C6">
              <w:rPr>
                <w:rFonts w:ascii="Montserrat" w:hAnsi="Montserrat"/>
                <w:sz w:val="14"/>
                <w:szCs w:val="14"/>
                <w:lang w:val="es-ES_tradnl"/>
              </w:rPr>
              <w:t>E.u.</w:t>
            </w:r>
          </w:p>
        </w:tc>
        <w:tc>
          <w:tcPr>
            <w:tcW w:w="494" w:type="dxa"/>
            <w:tcBorders>
              <w:left w:val="nil"/>
              <w:right w:val="nil"/>
            </w:tcBorders>
            <w:shd w:val="clear" w:color="auto" w:fill="F2F2F2" w:themeFill="background1" w:themeFillShade="F2"/>
            <w:noWrap/>
            <w:vAlign w:val="bottom"/>
          </w:tcPr>
          <w:p w14:paraId="177D69BF" w14:textId="77777777" w:rsidR="009C3C24" w:rsidRPr="005210C6" w:rsidRDefault="009C3C24" w:rsidP="002F797B">
            <w:pPr>
              <w:spacing w:after="0" w:line="240" w:lineRule="exact"/>
              <w:rPr>
                <w:rFonts w:ascii="Montserrat" w:hAnsi="Montserrat"/>
                <w:sz w:val="14"/>
                <w:szCs w:val="14"/>
                <w:lang w:val="es-ES_tradnl"/>
              </w:rPr>
            </w:pPr>
            <w:r w:rsidRPr="005210C6">
              <w:rPr>
                <w:rFonts w:ascii="Montserrat" w:hAnsi="Montserrat"/>
                <w:sz w:val="14"/>
                <w:szCs w:val="14"/>
                <w:lang w:val="es-ES_tradnl"/>
              </w:rPr>
              <w:t>Dlr.</w:t>
            </w:r>
          </w:p>
        </w:tc>
        <w:tc>
          <w:tcPr>
            <w:tcW w:w="678" w:type="dxa"/>
            <w:tcBorders>
              <w:left w:val="nil"/>
              <w:right w:val="nil"/>
            </w:tcBorders>
            <w:shd w:val="clear" w:color="auto" w:fill="F2F2F2" w:themeFill="background1" w:themeFillShade="F2"/>
            <w:noWrap/>
            <w:vAlign w:val="bottom"/>
          </w:tcPr>
          <w:p w14:paraId="414E911D" w14:textId="77777777" w:rsidR="009C3C24" w:rsidRPr="005210C6" w:rsidRDefault="009C3C24" w:rsidP="002F797B">
            <w:pPr>
              <w:spacing w:after="0" w:line="240" w:lineRule="exact"/>
              <w:rPr>
                <w:rFonts w:ascii="Montserrat" w:hAnsi="Montserrat"/>
                <w:sz w:val="14"/>
                <w:szCs w:val="14"/>
                <w:lang w:val="es-ES_tradnl"/>
              </w:rPr>
            </w:pPr>
          </w:p>
        </w:tc>
        <w:tc>
          <w:tcPr>
            <w:tcW w:w="1516" w:type="dxa"/>
            <w:tcBorders>
              <w:left w:val="nil"/>
              <w:right w:val="nil"/>
            </w:tcBorders>
            <w:shd w:val="clear" w:color="auto" w:fill="F2F2F2" w:themeFill="background1" w:themeFillShade="F2"/>
            <w:noWrap/>
            <w:vAlign w:val="bottom"/>
          </w:tcPr>
          <w:p w14:paraId="7E21DF5F" w14:textId="77777777" w:rsidR="009C3C24" w:rsidRPr="005210C6" w:rsidRDefault="009C3C24" w:rsidP="002F797B">
            <w:pPr>
              <w:spacing w:after="0" w:line="240" w:lineRule="exact"/>
              <w:jc w:val="right"/>
              <w:rPr>
                <w:rFonts w:ascii="Montserrat" w:hAnsi="Montserrat"/>
                <w:sz w:val="14"/>
                <w:szCs w:val="14"/>
                <w:lang w:val="es-ES_tradnl"/>
              </w:rPr>
            </w:pPr>
          </w:p>
        </w:tc>
        <w:tc>
          <w:tcPr>
            <w:tcW w:w="1436" w:type="dxa"/>
            <w:tcBorders>
              <w:left w:val="nil"/>
              <w:right w:val="nil"/>
            </w:tcBorders>
            <w:shd w:val="clear" w:color="auto" w:fill="F2F2F2" w:themeFill="background1" w:themeFillShade="F2"/>
            <w:noWrap/>
            <w:vAlign w:val="center"/>
          </w:tcPr>
          <w:p w14:paraId="7483378B" w14:textId="69F783DA" w:rsidR="009C3C24" w:rsidRPr="005210C6" w:rsidRDefault="00545FF7" w:rsidP="002F797B">
            <w:pPr>
              <w:spacing w:after="0" w:line="240" w:lineRule="exact"/>
              <w:jc w:val="right"/>
              <w:rPr>
                <w:rFonts w:ascii="Montserrat" w:hAnsi="Montserrat"/>
                <w:sz w:val="14"/>
                <w:szCs w:val="14"/>
                <w:lang w:val="es-ES_tradnl"/>
              </w:rPr>
            </w:pPr>
            <w:r w:rsidRPr="00545FF7">
              <w:rPr>
                <w:rFonts w:ascii="Montserrat" w:hAnsi="Montserrat"/>
                <w:sz w:val="14"/>
                <w:szCs w:val="14"/>
                <w:lang w:val="es-ES_tradnl"/>
              </w:rPr>
              <w:t>11</w:t>
            </w:r>
            <w:r w:rsidR="00070196">
              <w:rPr>
                <w:rFonts w:ascii="Montserrat" w:hAnsi="Montserrat"/>
                <w:sz w:val="14"/>
                <w:szCs w:val="14"/>
                <w:lang w:val="es-ES_tradnl"/>
              </w:rPr>
              <w:t>,</w:t>
            </w:r>
            <w:r w:rsidRPr="00545FF7">
              <w:rPr>
                <w:rFonts w:ascii="Montserrat" w:hAnsi="Montserrat"/>
                <w:sz w:val="14"/>
                <w:szCs w:val="14"/>
                <w:lang w:val="es-ES_tradnl"/>
              </w:rPr>
              <w:t>694</w:t>
            </w:r>
            <w:r w:rsidR="00070196">
              <w:rPr>
                <w:rFonts w:ascii="Montserrat" w:hAnsi="Montserrat"/>
                <w:sz w:val="14"/>
                <w:szCs w:val="14"/>
                <w:lang w:val="es-ES_tradnl"/>
              </w:rPr>
              <w:t>,</w:t>
            </w:r>
            <w:r w:rsidRPr="00545FF7">
              <w:rPr>
                <w:rFonts w:ascii="Montserrat" w:hAnsi="Montserrat"/>
                <w:sz w:val="14"/>
                <w:szCs w:val="14"/>
                <w:lang w:val="es-ES_tradnl"/>
              </w:rPr>
              <w:t>120</w:t>
            </w:r>
            <w:r w:rsidR="00070196">
              <w:rPr>
                <w:rFonts w:ascii="Montserrat" w:hAnsi="Montserrat"/>
                <w:sz w:val="14"/>
                <w:szCs w:val="14"/>
                <w:lang w:val="es-ES_tradnl"/>
              </w:rPr>
              <w:t>,</w:t>
            </w:r>
            <w:r w:rsidRPr="00545FF7">
              <w:rPr>
                <w:rFonts w:ascii="Montserrat" w:hAnsi="Montserrat"/>
                <w:sz w:val="14"/>
                <w:szCs w:val="14"/>
                <w:lang w:val="es-ES_tradnl"/>
              </w:rPr>
              <w:t>001</w:t>
            </w:r>
          </w:p>
        </w:tc>
        <w:tc>
          <w:tcPr>
            <w:tcW w:w="609" w:type="dxa"/>
            <w:tcBorders>
              <w:left w:val="nil"/>
              <w:right w:val="nil"/>
            </w:tcBorders>
            <w:shd w:val="clear" w:color="auto" w:fill="F2F2F2" w:themeFill="background1" w:themeFillShade="F2"/>
            <w:noWrap/>
            <w:vAlign w:val="bottom"/>
          </w:tcPr>
          <w:p w14:paraId="68F6CF66" w14:textId="77777777" w:rsidR="009C3C24" w:rsidRPr="005210C6" w:rsidRDefault="009C3C24" w:rsidP="002F797B">
            <w:pPr>
              <w:spacing w:after="0" w:line="240" w:lineRule="exact"/>
              <w:rPr>
                <w:rFonts w:ascii="Montserrat" w:hAnsi="Montserrat"/>
                <w:sz w:val="14"/>
                <w:szCs w:val="14"/>
                <w:lang w:val="es-ES_tradnl"/>
              </w:rPr>
            </w:pPr>
          </w:p>
        </w:tc>
        <w:tc>
          <w:tcPr>
            <w:tcW w:w="708" w:type="dxa"/>
            <w:tcBorders>
              <w:left w:val="nil"/>
              <w:right w:val="nil"/>
            </w:tcBorders>
            <w:shd w:val="clear" w:color="auto" w:fill="F2F2F2" w:themeFill="background1" w:themeFillShade="F2"/>
            <w:noWrap/>
            <w:vAlign w:val="bottom"/>
          </w:tcPr>
          <w:p w14:paraId="5F7F584A" w14:textId="77777777" w:rsidR="009C3C24" w:rsidRPr="005210C6" w:rsidRDefault="009C3C24" w:rsidP="002F797B">
            <w:pPr>
              <w:spacing w:after="0" w:line="240" w:lineRule="exact"/>
              <w:rPr>
                <w:rFonts w:ascii="Montserrat" w:hAnsi="Montserrat"/>
                <w:sz w:val="14"/>
                <w:szCs w:val="14"/>
                <w:lang w:val="es-ES_tradnl"/>
              </w:rPr>
            </w:pPr>
          </w:p>
        </w:tc>
        <w:tc>
          <w:tcPr>
            <w:tcW w:w="709" w:type="dxa"/>
            <w:tcBorders>
              <w:left w:val="nil"/>
              <w:right w:val="nil"/>
            </w:tcBorders>
            <w:shd w:val="clear" w:color="auto" w:fill="F2F2F2" w:themeFill="background1" w:themeFillShade="F2"/>
            <w:noWrap/>
            <w:vAlign w:val="bottom"/>
          </w:tcPr>
          <w:p w14:paraId="336AFFBA" w14:textId="77777777" w:rsidR="009C3C24" w:rsidRPr="005210C6" w:rsidRDefault="009C3C24" w:rsidP="002F797B">
            <w:pPr>
              <w:spacing w:after="0" w:line="240" w:lineRule="exact"/>
              <w:rPr>
                <w:rFonts w:ascii="Montserrat" w:hAnsi="Montserrat"/>
                <w:sz w:val="14"/>
                <w:szCs w:val="14"/>
                <w:lang w:val="es-ES_tradnl"/>
              </w:rPr>
            </w:pPr>
          </w:p>
        </w:tc>
        <w:tc>
          <w:tcPr>
            <w:tcW w:w="709" w:type="dxa"/>
            <w:tcBorders>
              <w:left w:val="nil"/>
              <w:right w:val="nil"/>
            </w:tcBorders>
            <w:shd w:val="clear" w:color="auto" w:fill="F2F2F2" w:themeFill="background1" w:themeFillShade="F2"/>
            <w:noWrap/>
            <w:vAlign w:val="bottom"/>
          </w:tcPr>
          <w:p w14:paraId="2AE14B2D" w14:textId="77777777" w:rsidR="009C3C24" w:rsidRPr="005210C6" w:rsidRDefault="009C3C24" w:rsidP="002F797B">
            <w:pPr>
              <w:spacing w:after="0" w:line="240" w:lineRule="exact"/>
              <w:rPr>
                <w:rFonts w:ascii="Montserrat" w:hAnsi="Montserrat"/>
                <w:sz w:val="14"/>
                <w:szCs w:val="14"/>
                <w:lang w:val="es-ES_tradnl"/>
              </w:rPr>
            </w:pPr>
          </w:p>
        </w:tc>
        <w:tc>
          <w:tcPr>
            <w:tcW w:w="567" w:type="dxa"/>
            <w:tcBorders>
              <w:left w:val="nil"/>
              <w:right w:val="nil"/>
            </w:tcBorders>
            <w:shd w:val="clear" w:color="auto" w:fill="F2F2F2" w:themeFill="background1" w:themeFillShade="F2"/>
            <w:noWrap/>
            <w:vAlign w:val="bottom"/>
          </w:tcPr>
          <w:p w14:paraId="200DD790" w14:textId="77777777" w:rsidR="009C3C24" w:rsidRPr="005210C6" w:rsidRDefault="009C3C24" w:rsidP="002F797B">
            <w:pPr>
              <w:spacing w:after="0" w:line="240" w:lineRule="exact"/>
              <w:rPr>
                <w:rFonts w:ascii="Montserrat" w:hAnsi="Montserrat"/>
                <w:sz w:val="14"/>
                <w:szCs w:val="14"/>
                <w:lang w:val="es-ES_tradnl"/>
              </w:rPr>
            </w:pPr>
          </w:p>
        </w:tc>
        <w:tc>
          <w:tcPr>
            <w:tcW w:w="884" w:type="dxa"/>
            <w:tcBorders>
              <w:left w:val="nil"/>
              <w:right w:val="nil"/>
            </w:tcBorders>
            <w:shd w:val="clear" w:color="auto" w:fill="F2F2F2" w:themeFill="background1" w:themeFillShade="F2"/>
            <w:noWrap/>
            <w:vAlign w:val="bottom"/>
          </w:tcPr>
          <w:p w14:paraId="4E137D76" w14:textId="77777777" w:rsidR="009C3C24" w:rsidRPr="005210C6" w:rsidRDefault="009C3C24" w:rsidP="002F797B">
            <w:pPr>
              <w:spacing w:after="0" w:line="240" w:lineRule="exact"/>
              <w:rPr>
                <w:rFonts w:ascii="Montserrat" w:hAnsi="Montserrat"/>
                <w:sz w:val="14"/>
                <w:szCs w:val="14"/>
                <w:lang w:val="es-ES_tradnl"/>
              </w:rPr>
            </w:pPr>
          </w:p>
        </w:tc>
        <w:tc>
          <w:tcPr>
            <w:tcW w:w="533" w:type="dxa"/>
            <w:tcBorders>
              <w:left w:val="nil"/>
              <w:right w:val="nil"/>
            </w:tcBorders>
            <w:shd w:val="clear" w:color="auto" w:fill="F2F2F2" w:themeFill="background1" w:themeFillShade="F2"/>
            <w:noWrap/>
            <w:vAlign w:val="bottom"/>
          </w:tcPr>
          <w:p w14:paraId="5CC10303" w14:textId="77777777" w:rsidR="009C3C24" w:rsidRPr="005210C6" w:rsidRDefault="009C3C24" w:rsidP="002F797B">
            <w:pPr>
              <w:spacing w:after="0" w:line="240" w:lineRule="exact"/>
              <w:jc w:val="right"/>
              <w:rPr>
                <w:rFonts w:ascii="Montserrat" w:hAnsi="Montserrat"/>
                <w:sz w:val="14"/>
                <w:szCs w:val="14"/>
                <w:lang w:val="es-ES_tradnl"/>
              </w:rPr>
            </w:pPr>
          </w:p>
        </w:tc>
        <w:tc>
          <w:tcPr>
            <w:tcW w:w="675" w:type="dxa"/>
            <w:tcBorders>
              <w:left w:val="nil"/>
              <w:right w:val="nil"/>
            </w:tcBorders>
            <w:shd w:val="clear" w:color="auto" w:fill="F2F2F2" w:themeFill="background1" w:themeFillShade="F2"/>
            <w:noWrap/>
            <w:vAlign w:val="bottom"/>
          </w:tcPr>
          <w:p w14:paraId="739D808C" w14:textId="77777777" w:rsidR="009C3C24" w:rsidRPr="005210C6" w:rsidRDefault="009C3C24" w:rsidP="002F797B">
            <w:pPr>
              <w:spacing w:after="0" w:line="240" w:lineRule="exact"/>
              <w:jc w:val="right"/>
              <w:rPr>
                <w:rFonts w:ascii="Montserrat" w:hAnsi="Montserrat"/>
                <w:sz w:val="14"/>
                <w:szCs w:val="14"/>
                <w:lang w:val="es-ES_tradnl"/>
              </w:rPr>
            </w:pPr>
          </w:p>
        </w:tc>
        <w:tc>
          <w:tcPr>
            <w:tcW w:w="602" w:type="dxa"/>
            <w:tcBorders>
              <w:left w:val="nil"/>
              <w:right w:val="nil"/>
            </w:tcBorders>
            <w:shd w:val="clear" w:color="auto" w:fill="F2F2F2" w:themeFill="background1" w:themeFillShade="F2"/>
            <w:noWrap/>
            <w:vAlign w:val="bottom"/>
          </w:tcPr>
          <w:p w14:paraId="7C5981BA" w14:textId="77777777" w:rsidR="009C3C24" w:rsidRPr="005210C6" w:rsidRDefault="009C3C24" w:rsidP="002F797B">
            <w:pPr>
              <w:spacing w:after="0" w:line="240" w:lineRule="exact"/>
              <w:jc w:val="right"/>
              <w:rPr>
                <w:rFonts w:ascii="Montserrat" w:hAnsi="Montserrat"/>
                <w:sz w:val="14"/>
                <w:szCs w:val="14"/>
                <w:lang w:val="es-ES_tradnl"/>
              </w:rPr>
            </w:pPr>
          </w:p>
        </w:tc>
        <w:tc>
          <w:tcPr>
            <w:tcW w:w="567" w:type="dxa"/>
            <w:tcBorders>
              <w:left w:val="nil"/>
              <w:right w:val="nil"/>
            </w:tcBorders>
            <w:shd w:val="clear" w:color="auto" w:fill="F2F2F2" w:themeFill="background1" w:themeFillShade="F2"/>
            <w:noWrap/>
            <w:vAlign w:val="bottom"/>
          </w:tcPr>
          <w:p w14:paraId="10D2BAFA" w14:textId="77777777" w:rsidR="009C3C24" w:rsidRPr="005210C6" w:rsidRDefault="009C3C24" w:rsidP="002F797B">
            <w:pPr>
              <w:spacing w:after="0" w:line="240" w:lineRule="exact"/>
              <w:jc w:val="right"/>
              <w:rPr>
                <w:rFonts w:ascii="Montserrat" w:hAnsi="Montserrat"/>
                <w:sz w:val="14"/>
                <w:szCs w:val="14"/>
                <w:lang w:val="es-ES_tradnl"/>
              </w:rPr>
            </w:pPr>
          </w:p>
        </w:tc>
        <w:tc>
          <w:tcPr>
            <w:tcW w:w="849" w:type="dxa"/>
            <w:tcBorders>
              <w:left w:val="nil"/>
              <w:right w:val="nil"/>
            </w:tcBorders>
            <w:shd w:val="clear" w:color="auto" w:fill="F2F2F2" w:themeFill="background1" w:themeFillShade="F2"/>
            <w:noWrap/>
            <w:vAlign w:val="bottom"/>
          </w:tcPr>
          <w:p w14:paraId="7F5BCCC7" w14:textId="77777777" w:rsidR="009C3C24" w:rsidRPr="005210C6" w:rsidRDefault="009C3C24" w:rsidP="002F797B">
            <w:pPr>
              <w:spacing w:after="0" w:line="240" w:lineRule="exact"/>
              <w:jc w:val="right"/>
              <w:rPr>
                <w:rFonts w:ascii="Montserrat" w:hAnsi="Montserrat"/>
                <w:sz w:val="14"/>
                <w:szCs w:val="14"/>
                <w:lang w:val="es-ES_tradnl"/>
              </w:rPr>
            </w:pPr>
          </w:p>
        </w:tc>
        <w:tc>
          <w:tcPr>
            <w:tcW w:w="947" w:type="dxa"/>
            <w:tcBorders>
              <w:left w:val="nil"/>
            </w:tcBorders>
            <w:shd w:val="clear" w:color="auto" w:fill="F2F2F2" w:themeFill="background1" w:themeFillShade="F2"/>
            <w:noWrap/>
            <w:vAlign w:val="bottom"/>
          </w:tcPr>
          <w:p w14:paraId="7FCBE4D3" w14:textId="77777777" w:rsidR="009C3C24" w:rsidRPr="005210C6" w:rsidRDefault="009C3C24" w:rsidP="002F797B">
            <w:pPr>
              <w:spacing w:after="0" w:line="240" w:lineRule="exact"/>
              <w:jc w:val="right"/>
              <w:rPr>
                <w:rFonts w:ascii="Montserrat" w:hAnsi="Montserrat"/>
                <w:sz w:val="14"/>
                <w:szCs w:val="14"/>
                <w:lang w:val="es-ES_tradnl"/>
              </w:rPr>
            </w:pPr>
          </w:p>
        </w:tc>
      </w:tr>
      <w:tr w:rsidR="00671016" w:rsidRPr="005210C6" w14:paraId="0127E6AE" w14:textId="77777777" w:rsidTr="00B51D1B">
        <w:trPr>
          <w:trHeight w:val="240"/>
          <w:jc w:val="center"/>
        </w:trPr>
        <w:tc>
          <w:tcPr>
            <w:tcW w:w="1312" w:type="dxa"/>
            <w:tcBorders>
              <w:right w:val="nil"/>
            </w:tcBorders>
            <w:shd w:val="clear" w:color="auto" w:fill="F2F2F2" w:themeFill="background1" w:themeFillShade="F2"/>
            <w:noWrap/>
            <w:vAlign w:val="bottom"/>
            <w:hideMark/>
          </w:tcPr>
          <w:p w14:paraId="1651F583" w14:textId="77777777" w:rsidR="009C3C24" w:rsidRPr="005210C6" w:rsidRDefault="009C3C24" w:rsidP="002F797B">
            <w:pPr>
              <w:spacing w:after="0" w:line="240" w:lineRule="exact"/>
              <w:rPr>
                <w:rFonts w:ascii="Montserrat" w:hAnsi="Montserrat"/>
                <w:bCs/>
                <w:sz w:val="14"/>
                <w:szCs w:val="14"/>
                <w:lang w:val="es-ES_tradnl"/>
              </w:rPr>
            </w:pPr>
          </w:p>
        </w:tc>
        <w:tc>
          <w:tcPr>
            <w:tcW w:w="565" w:type="dxa"/>
            <w:tcBorders>
              <w:left w:val="nil"/>
              <w:right w:val="nil"/>
            </w:tcBorders>
            <w:shd w:val="clear" w:color="auto" w:fill="F2F2F2" w:themeFill="background1" w:themeFillShade="F2"/>
            <w:noWrap/>
            <w:vAlign w:val="bottom"/>
          </w:tcPr>
          <w:p w14:paraId="61446593" w14:textId="77777777" w:rsidR="009C3C24" w:rsidRPr="005210C6" w:rsidRDefault="009C3C24" w:rsidP="002F797B">
            <w:pPr>
              <w:spacing w:after="0" w:line="240" w:lineRule="exact"/>
              <w:rPr>
                <w:rFonts w:ascii="Montserrat" w:hAnsi="Montserrat"/>
                <w:sz w:val="14"/>
                <w:szCs w:val="14"/>
                <w:lang w:val="es-ES_tradnl"/>
              </w:rPr>
            </w:pPr>
          </w:p>
        </w:tc>
        <w:tc>
          <w:tcPr>
            <w:tcW w:w="494" w:type="dxa"/>
            <w:tcBorders>
              <w:left w:val="nil"/>
              <w:right w:val="nil"/>
            </w:tcBorders>
            <w:shd w:val="clear" w:color="auto" w:fill="F2F2F2" w:themeFill="background1" w:themeFillShade="F2"/>
            <w:noWrap/>
            <w:vAlign w:val="bottom"/>
          </w:tcPr>
          <w:p w14:paraId="17F9A114" w14:textId="77777777" w:rsidR="009C3C24" w:rsidRPr="005210C6" w:rsidRDefault="009C3C24" w:rsidP="002F797B">
            <w:pPr>
              <w:spacing w:after="0" w:line="240" w:lineRule="exact"/>
              <w:rPr>
                <w:rFonts w:ascii="Montserrat" w:hAnsi="Montserrat"/>
                <w:sz w:val="14"/>
                <w:szCs w:val="14"/>
                <w:lang w:val="es-ES_tradnl"/>
              </w:rPr>
            </w:pPr>
          </w:p>
        </w:tc>
        <w:tc>
          <w:tcPr>
            <w:tcW w:w="678" w:type="dxa"/>
            <w:tcBorders>
              <w:left w:val="nil"/>
              <w:right w:val="nil"/>
            </w:tcBorders>
            <w:shd w:val="clear" w:color="auto" w:fill="F2F2F2" w:themeFill="background1" w:themeFillShade="F2"/>
            <w:noWrap/>
            <w:vAlign w:val="bottom"/>
          </w:tcPr>
          <w:p w14:paraId="5EA54C96" w14:textId="77777777" w:rsidR="009C3C24" w:rsidRPr="005210C6" w:rsidRDefault="009C3C24" w:rsidP="002F797B">
            <w:pPr>
              <w:spacing w:after="0" w:line="240" w:lineRule="exact"/>
              <w:rPr>
                <w:rFonts w:ascii="Montserrat" w:hAnsi="Montserrat"/>
                <w:sz w:val="14"/>
                <w:szCs w:val="14"/>
                <w:lang w:val="es-ES_tradnl"/>
              </w:rPr>
            </w:pPr>
          </w:p>
        </w:tc>
        <w:tc>
          <w:tcPr>
            <w:tcW w:w="1516" w:type="dxa"/>
            <w:tcBorders>
              <w:left w:val="nil"/>
              <w:right w:val="nil"/>
            </w:tcBorders>
            <w:shd w:val="clear" w:color="auto" w:fill="F2F2F2" w:themeFill="background1" w:themeFillShade="F2"/>
            <w:noWrap/>
            <w:vAlign w:val="bottom"/>
          </w:tcPr>
          <w:p w14:paraId="06780BE9" w14:textId="77777777" w:rsidR="009C3C24" w:rsidRPr="005210C6" w:rsidRDefault="009C3C24" w:rsidP="002F797B">
            <w:pPr>
              <w:spacing w:after="0" w:line="240" w:lineRule="exact"/>
              <w:jc w:val="right"/>
              <w:rPr>
                <w:rFonts w:ascii="Montserrat" w:hAnsi="Montserrat"/>
                <w:sz w:val="14"/>
                <w:szCs w:val="14"/>
                <w:lang w:val="es-ES_tradnl"/>
              </w:rPr>
            </w:pPr>
            <w:r w:rsidRPr="005210C6">
              <w:rPr>
                <w:rFonts w:ascii="Montserrat" w:hAnsi="Montserrat"/>
                <w:sz w:val="14"/>
                <w:szCs w:val="14"/>
                <w:lang w:val="es-ES_tradnl"/>
              </w:rPr>
              <w:t>Nacional Financiera</w:t>
            </w:r>
          </w:p>
        </w:tc>
        <w:tc>
          <w:tcPr>
            <w:tcW w:w="1436" w:type="dxa"/>
            <w:tcBorders>
              <w:left w:val="nil"/>
              <w:right w:val="nil"/>
            </w:tcBorders>
            <w:shd w:val="clear" w:color="auto" w:fill="F2F2F2" w:themeFill="background1" w:themeFillShade="F2"/>
            <w:noWrap/>
            <w:vAlign w:val="center"/>
          </w:tcPr>
          <w:p w14:paraId="466D8EF5" w14:textId="578A3C8D" w:rsidR="009C3C24" w:rsidRPr="005210C6" w:rsidRDefault="00B51D1B" w:rsidP="002F797B">
            <w:pPr>
              <w:spacing w:after="0" w:line="240" w:lineRule="exact"/>
              <w:jc w:val="right"/>
              <w:rPr>
                <w:rFonts w:ascii="Montserrat" w:hAnsi="Montserrat"/>
                <w:sz w:val="14"/>
                <w:szCs w:val="14"/>
                <w:lang w:val="es-ES_tradnl"/>
              </w:rPr>
            </w:pPr>
            <w:r w:rsidRPr="00B51D1B">
              <w:rPr>
                <w:rFonts w:ascii="Montserrat" w:hAnsi="Montserrat"/>
                <w:sz w:val="14"/>
                <w:szCs w:val="14"/>
                <w:lang w:val="es-ES_tradnl"/>
              </w:rPr>
              <w:t>11</w:t>
            </w:r>
            <w:r w:rsidR="00070196">
              <w:rPr>
                <w:rFonts w:ascii="Montserrat" w:hAnsi="Montserrat"/>
                <w:sz w:val="14"/>
                <w:szCs w:val="14"/>
                <w:lang w:val="es-ES_tradnl"/>
              </w:rPr>
              <w:t>,</w:t>
            </w:r>
            <w:r w:rsidRPr="00B51D1B">
              <w:rPr>
                <w:rFonts w:ascii="Montserrat" w:hAnsi="Montserrat"/>
                <w:sz w:val="14"/>
                <w:szCs w:val="14"/>
                <w:lang w:val="es-ES_tradnl"/>
              </w:rPr>
              <w:t>694</w:t>
            </w:r>
            <w:r w:rsidR="00070196">
              <w:rPr>
                <w:rFonts w:ascii="Montserrat" w:hAnsi="Montserrat"/>
                <w:sz w:val="14"/>
                <w:szCs w:val="14"/>
                <w:lang w:val="es-ES_tradnl"/>
              </w:rPr>
              <w:t>,</w:t>
            </w:r>
            <w:r w:rsidRPr="00B51D1B">
              <w:rPr>
                <w:rFonts w:ascii="Montserrat" w:hAnsi="Montserrat"/>
                <w:sz w:val="14"/>
                <w:szCs w:val="14"/>
                <w:lang w:val="es-ES_tradnl"/>
              </w:rPr>
              <w:t>120</w:t>
            </w:r>
            <w:r w:rsidR="00070196">
              <w:rPr>
                <w:rFonts w:ascii="Montserrat" w:hAnsi="Montserrat"/>
                <w:sz w:val="14"/>
                <w:szCs w:val="14"/>
                <w:lang w:val="es-ES_tradnl"/>
              </w:rPr>
              <w:t>,</w:t>
            </w:r>
            <w:r w:rsidRPr="00B51D1B">
              <w:rPr>
                <w:rFonts w:ascii="Montserrat" w:hAnsi="Montserrat"/>
                <w:sz w:val="14"/>
                <w:szCs w:val="14"/>
                <w:lang w:val="es-ES_tradnl"/>
              </w:rPr>
              <w:t>001</w:t>
            </w:r>
          </w:p>
        </w:tc>
        <w:tc>
          <w:tcPr>
            <w:tcW w:w="609" w:type="dxa"/>
            <w:tcBorders>
              <w:left w:val="nil"/>
              <w:right w:val="nil"/>
            </w:tcBorders>
            <w:shd w:val="clear" w:color="auto" w:fill="F2F2F2" w:themeFill="background1" w:themeFillShade="F2"/>
            <w:noWrap/>
            <w:vAlign w:val="bottom"/>
          </w:tcPr>
          <w:p w14:paraId="74123860" w14:textId="77777777" w:rsidR="009C3C24" w:rsidRPr="005210C6" w:rsidRDefault="009C3C24" w:rsidP="002F797B">
            <w:pPr>
              <w:spacing w:after="0" w:line="240" w:lineRule="exact"/>
              <w:rPr>
                <w:rFonts w:ascii="Montserrat" w:hAnsi="Montserrat"/>
                <w:sz w:val="14"/>
                <w:szCs w:val="14"/>
                <w:lang w:val="es-ES_tradnl"/>
              </w:rPr>
            </w:pPr>
          </w:p>
        </w:tc>
        <w:tc>
          <w:tcPr>
            <w:tcW w:w="708" w:type="dxa"/>
            <w:tcBorders>
              <w:left w:val="nil"/>
              <w:right w:val="nil"/>
            </w:tcBorders>
            <w:shd w:val="clear" w:color="auto" w:fill="F2F2F2" w:themeFill="background1" w:themeFillShade="F2"/>
            <w:noWrap/>
            <w:vAlign w:val="bottom"/>
          </w:tcPr>
          <w:p w14:paraId="7A099FE0" w14:textId="77777777" w:rsidR="009C3C24" w:rsidRPr="005210C6" w:rsidRDefault="009C3C24" w:rsidP="002F797B">
            <w:pPr>
              <w:spacing w:after="0" w:line="240" w:lineRule="exact"/>
              <w:rPr>
                <w:rFonts w:ascii="Montserrat" w:hAnsi="Montserrat"/>
                <w:sz w:val="14"/>
                <w:szCs w:val="14"/>
                <w:lang w:val="es-ES_tradnl"/>
              </w:rPr>
            </w:pPr>
          </w:p>
        </w:tc>
        <w:tc>
          <w:tcPr>
            <w:tcW w:w="709" w:type="dxa"/>
            <w:tcBorders>
              <w:left w:val="nil"/>
              <w:right w:val="nil"/>
            </w:tcBorders>
            <w:shd w:val="clear" w:color="auto" w:fill="F2F2F2" w:themeFill="background1" w:themeFillShade="F2"/>
            <w:noWrap/>
            <w:vAlign w:val="bottom"/>
          </w:tcPr>
          <w:p w14:paraId="5E474EE2" w14:textId="77777777" w:rsidR="009C3C24" w:rsidRPr="005210C6" w:rsidRDefault="009C3C24" w:rsidP="002F797B">
            <w:pPr>
              <w:spacing w:after="0" w:line="240" w:lineRule="exact"/>
              <w:rPr>
                <w:rFonts w:ascii="Montserrat" w:hAnsi="Montserrat"/>
                <w:sz w:val="14"/>
                <w:szCs w:val="14"/>
                <w:lang w:val="es-ES_tradnl"/>
              </w:rPr>
            </w:pPr>
          </w:p>
        </w:tc>
        <w:tc>
          <w:tcPr>
            <w:tcW w:w="709" w:type="dxa"/>
            <w:tcBorders>
              <w:left w:val="nil"/>
              <w:right w:val="nil"/>
            </w:tcBorders>
            <w:shd w:val="clear" w:color="auto" w:fill="F2F2F2" w:themeFill="background1" w:themeFillShade="F2"/>
            <w:noWrap/>
            <w:vAlign w:val="bottom"/>
          </w:tcPr>
          <w:p w14:paraId="70AA0D57" w14:textId="77777777" w:rsidR="009C3C24" w:rsidRPr="005210C6" w:rsidRDefault="009C3C24" w:rsidP="002F797B">
            <w:pPr>
              <w:spacing w:after="0" w:line="240" w:lineRule="exact"/>
              <w:rPr>
                <w:rFonts w:ascii="Montserrat" w:hAnsi="Montserrat"/>
                <w:sz w:val="14"/>
                <w:szCs w:val="14"/>
                <w:lang w:val="es-ES_tradnl"/>
              </w:rPr>
            </w:pPr>
          </w:p>
        </w:tc>
        <w:tc>
          <w:tcPr>
            <w:tcW w:w="567" w:type="dxa"/>
            <w:tcBorders>
              <w:left w:val="nil"/>
              <w:right w:val="nil"/>
            </w:tcBorders>
            <w:shd w:val="clear" w:color="auto" w:fill="F2F2F2" w:themeFill="background1" w:themeFillShade="F2"/>
            <w:noWrap/>
            <w:vAlign w:val="bottom"/>
          </w:tcPr>
          <w:p w14:paraId="46CEA942" w14:textId="77777777" w:rsidR="009C3C24" w:rsidRPr="005210C6" w:rsidRDefault="009C3C24" w:rsidP="002F797B">
            <w:pPr>
              <w:spacing w:after="0" w:line="240" w:lineRule="exact"/>
              <w:rPr>
                <w:rFonts w:ascii="Montserrat" w:hAnsi="Montserrat"/>
                <w:sz w:val="14"/>
                <w:szCs w:val="14"/>
                <w:lang w:val="es-ES_tradnl"/>
              </w:rPr>
            </w:pPr>
          </w:p>
        </w:tc>
        <w:tc>
          <w:tcPr>
            <w:tcW w:w="884" w:type="dxa"/>
            <w:tcBorders>
              <w:left w:val="nil"/>
              <w:right w:val="nil"/>
            </w:tcBorders>
            <w:shd w:val="clear" w:color="auto" w:fill="F2F2F2" w:themeFill="background1" w:themeFillShade="F2"/>
            <w:noWrap/>
            <w:vAlign w:val="bottom"/>
          </w:tcPr>
          <w:p w14:paraId="01401D20" w14:textId="77777777" w:rsidR="009C3C24" w:rsidRPr="005210C6" w:rsidRDefault="009C3C24" w:rsidP="002F797B">
            <w:pPr>
              <w:spacing w:after="0" w:line="240" w:lineRule="exact"/>
              <w:rPr>
                <w:rFonts w:ascii="Montserrat" w:hAnsi="Montserrat"/>
                <w:sz w:val="14"/>
                <w:szCs w:val="14"/>
                <w:lang w:val="es-ES_tradnl"/>
              </w:rPr>
            </w:pPr>
          </w:p>
        </w:tc>
        <w:tc>
          <w:tcPr>
            <w:tcW w:w="533" w:type="dxa"/>
            <w:tcBorders>
              <w:left w:val="nil"/>
              <w:right w:val="nil"/>
            </w:tcBorders>
            <w:shd w:val="clear" w:color="auto" w:fill="F2F2F2" w:themeFill="background1" w:themeFillShade="F2"/>
            <w:noWrap/>
            <w:vAlign w:val="bottom"/>
          </w:tcPr>
          <w:p w14:paraId="13AA076E" w14:textId="77777777" w:rsidR="009C3C24" w:rsidRPr="005210C6" w:rsidRDefault="009C3C24" w:rsidP="002F797B">
            <w:pPr>
              <w:spacing w:after="0" w:line="240" w:lineRule="exact"/>
              <w:jc w:val="right"/>
              <w:rPr>
                <w:rFonts w:ascii="Montserrat" w:hAnsi="Montserrat"/>
                <w:sz w:val="14"/>
                <w:szCs w:val="14"/>
                <w:lang w:val="es-ES_tradnl"/>
              </w:rPr>
            </w:pPr>
          </w:p>
        </w:tc>
        <w:tc>
          <w:tcPr>
            <w:tcW w:w="675" w:type="dxa"/>
            <w:tcBorders>
              <w:left w:val="nil"/>
              <w:right w:val="nil"/>
            </w:tcBorders>
            <w:shd w:val="clear" w:color="auto" w:fill="F2F2F2" w:themeFill="background1" w:themeFillShade="F2"/>
            <w:noWrap/>
            <w:vAlign w:val="bottom"/>
          </w:tcPr>
          <w:p w14:paraId="7CEBC047" w14:textId="77777777" w:rsidR="009C3C24" w:rsidRPr="005210C6" w:rsidRDefault="009C3C24" w:rsidP="002F797B">
            <w:pPr>
              <w:spacing w:after="0" w:line="240" w:lineRule="exact"/>
              <w:jc w:val="right"/>
              <w:rPr>
                <w:rFonts w:ascii="Montserrat" w:hAnsi="Montserrat"/>
                <w:sz w:val="14"/>
                <w:szCs w:val="14"/>
                <w:lang w:val="es-ES_tradnl"/>
              </w:rPr>
            </w:pPr>
          </w:p>
        </w:tc>
        <w:tc>
          <w:tcPr>
            <w:tcW w:w="602" w:type="dxa"/>
            <w:tcBorders>
              <w:left w:val="nil"/>
              <w:right w:val="nil"/>
            </w:tcBorders>
            <w:shd w:val="clear" w:color="auto" w:fill="F2F2F2" w:themeFill="background1" w:themeFillShade="F2"/>
            <w:noWrap/>
            <w:vAlign w:val="bottom"/>
          </w:tcPr>
          <w:p w14:paraId="7B3C6DC5" w14:textId="77777777" w:rsidR="009C3C24" w:rsidRPr="005210C6" w:rsidRDefault="009C3C24" w:rsidP="002F797B">
            <w:pPr>
              <w:spacing w:after="0" w:line="240" w:lineRule="exact"/>
              <w:jc w:val="right"/>
              <w:rPr>
                <w:rFonts w:ascii="Montserrat" w:hAnsi="Montserrat"/>
                <w:sz w:val="14"/>
                <w:szCs w:val="14"/>
                <w:lang w:val="es-ES_tradnl"/>
              </w:rPr>
            </w:pPr>
          </w:p>
        </w:tc>
        <w:tc>
          <w:tcPr>
            <w:tcW w:w="567" w:type="dxa"/>
            <w:tcBorders>
              <w:left w:val="nil"/>
              <w:right w:val="nil"/>
            </w:tcBorders>
            <w:shd w:val="clear" w:color="auto" w:fill="F2F2F2" w:themeFill="background1" w:themeFillShade="F2"/>
            <w:noWrap/>
            <w:vAlign w:val="bottom"/>
          </w:tcPr>
          <w:p w14:paraId="584C1E78" w14:textId="77777777" w:rsidR="009C3C24" w:rsidRPr="005210C6" w:rsidRDefault="009C3C24" w:rsidP="002F797B">
            <w:pPr>
              <w:spacing w:after="0" w:line="240" w:lineRule="exact"/>
              <w:jc w:val="right"/>
              <w:rPr>
                <w:rFonts w:ascii="Montserrat" w:hAnsi="Montserrat"/>
                <w:sz w:val="14"/>
                <w:szCs w:val="14"/>
                <w:lang w:val="es-ES_tradnl"/>
              </w:rPr>
            </w:pPr>
          </w:p>
        </w:tc>
        <w:tc>
          <w:tcPr>
            <w:tcW w:w="849" w:type="dxa"/>
            <w:tcBorders>
              <w:left w:val="nil"/>
              <w:right w:val="nil"/>
            </w:tcBorders>
            <w:shd w:val="clear" w:color="auto" w:fill="F2F2F2" w:themeFill="background1" w:themeFillShade="F2"/>
            <w:noWrap/>
            <w:vAlign w:val="bottom"/>
          </w:tcPr>
          <w:p w14:paraId="7B39BDD4" w14:textId="77777777" w:rsidR="009C3C24" w:rsidRPr="005210C6" w:rsidRDefault="009C3C24" w:rsidP="002F797B">
            <w:pPr>
              <w:spacing w:after="0" w:line="240" w:lineRule="exact"/>
              <w:jc w:val="right"/>
              <w:rPr>
                <w:rFonts w:ascii="Montserrat" w:hAnsi="Montserrat"/>
                <w:sz w:val="14"/>
                <w:szCs w:val="14"/>
                <w:lang w:val="es-ES_tradnl"/>
              </w:rPr>
            </w:pPr>
          </w:p>
        </w:tc>
        <w:tc>
          <w:tcPr>
            <w:tcW w:w="947" w:type="dxa"/>
            <w:tcBorders>
              <w:left w:val="nil"/>
            </w:tcBorders>
            <w:shd w:val="clear" w:color="auto" w:fill="F2F2F2" w:themeFill="background1" w:themeFillShade="F2"/>
            <w:noWrap/>
            <w:vAlign w:val="bottom"/>
          </w:tcPr>
          <w:p w14:paraId="71345EDB" w14:textId="77777777" w:rsidR="009C3C24" w:rsidRPr="005210C6" w:rsidRDefault="009C3C24" w:rsidP="002F797B">
            <w:pPr>
              <w:spacing w:after="0" w:line="240" w:lineRule="exact"/>
              <w:jc w:val="right"/>
              <w:rPr>
                <w:rFonts w:ascii="Montserrat" w:hAnsi="Montserrat"/>
                <w:sz w:val="14"/>
                <w:szCs w:val="14"/>
                <w:lang w:val="es-ES_tradnl"/>
              </w:rPr>
            </w:pPr>
          </w:p>
        </w:tc>
      </w:tr>
      <w:tr w:rsidR="009C3C24" w:rsidRPr="005210C6" w14:paraId="3F8D7FDC" w14:textId="77777777" w:rsidTr="00AC445B">
        <w:trPr>
          <w:trHeight w:val="240"/>
          <w:jc w:val="center"/>
        </w:trPr>
        <w:tc>
          <w:tcPr>
            <w:tcW w:w="1312" w:type="dxa"/>
            <w:tcBorders>
              <w:top w:val="nil"/>
              <w:right w:val="nil"/>
            </w:tcBorders>
            <w:shd w:val="clear" w:color="auto" w:fill="F2F2F2" w:themeFill="background1" w:themeFillShade="F2"/>
            <w:noWrap/>
            <w:vAlign w:val="bottom"/>
            <w:hideMark/>
          </w:tcPr>
          <w:p w14:paraId="72C96312" w14:textId="77777777" w:rsidR="009C3C24" w:rsidRPr="005210C6" w:rsidRDefault="009C3C24" w:rsidP="002F797B">
            <w:pPr>
              <w:spacing w:after="0" w:line="240" w:lineRule="exact"/>
              <w:rPr>
                <w:rFonts w:ascii="Montserrat" w:hAnsi="Montserrat"/>
                <w:sz w:val="14"/>
                <w:szCs w:val="14"/>
                <w:lang w:val="es-ES_tradnl"/>
              </w:rPr>
            </w:pPr>
          </w:p>
        </w:tc>
        <w:tc>
          <w:tcPr>
            <w:tcW w:w="565" w:type="dxa"/>
            <w:tcBorders>
              <w:top w:val="nil"/>
              <w:left w:val="nil"/>
              <w:right w:val="nil"/>
            </w:tcBorders>
            <w:shd w:val="clear" w:color="auto" w:fill="F2F2F2" w:themeFill="background1" w:themeFillShade="F2"/>
            <w:noWrap/>
            <w:vAlign w:val="bottom"/>
          </w:tcPr>
          <w:p w14:paraId="32EA9CC8" w14:textId="77777777" w:rsidR="009C3C24" w:rsidRPr="005210C6" w:rsidRDefault="009C3C24" w:rsidP="002F797B">
            <w:pPr>
              <w:spacing w:after="0" w:line="240" w:lineRule="exact"/>
              <w:rPr>
                <w:rFonts w:ascii="Montserrat" w:hAnsi="Montserrat"/>
                <w:sz w:val="14"/>
                <w:szCs w:val="14"/>
                <w:lang w:val="es-ES_tradnl"/>
              </w:rPr>
            </w:pPr>
          </w:p>
        </w:tc>
        <w:tc>
          <w:tcPr>
            <w:tcW w:w="494" w:type="dxa"/>
            <w:tcBorders>
              <w:top w:val="nil"/>
              <w:left w:val="nil"/>
              <w:right w:val="nil"/>
            </w:tcBorders>
            <w:shd w:val="clear" w:color="auto" w:fill="F2F2F2" w:themeFill="background1" w:themeFillShade="F2"/>
            <w:noWrap/>
            <w:vAlign w:val="bottom"/>
          </w:tcPr>
          <w:p w14:paraId="6D8D719B" w14:textId="77777777" w:rsidR="009C3C24" w:rsidRPr="005210C6" w:rsidRDefault="009C3C24" w:rsidP="002F797B">
            <w:pPr>
              <w:spacing w:after="0" w:line="240" w:lineRule="exact"/>
              <w:rPr>
                <w:rFonts w:ascii="Montserrat" w:hAnsi="Montserrat"/>
                <w:sz w:val="14"/>
                <w:szCs w:val="14"/>
                <w:lang w:val="es-ES_tradnl"/>
              </w:rPr>
            </w:pPr>
          </w:p>
        </w:tc>
        <w:tc>
          <w:tcPr>
            <w:tcW w:w="678" w:type="dxa"/>
            <w:tcBorders>
              <w:top w:val="nil"/>
              <w:left w:val="nil"/>
              <w:right w:val="nil"/>
            </w:tcBorders>
            <w:shd w:val="clear" w:color="auto" w:fill="F2F2F2" w:themeFill="background1" w:themeFillShade="F2"/>
            <w:noWrap/>
            <w:vAlign w:val="bottom"/>
          </w:tcPr>
          <w:p w14:paraId="664C360D" w14:textId="77777777" w:rsidR="009C3C24" w:rsidRPr="005210C6" w:rsidRDefault="009C3C24" w:rsidP="002F797B">
            <w:pPr>
              <w:spacing w:after="0" w:line="240" w:lineRule="exact"/>
              <w:rPr>
                <w:rFonts w:ascii="Montserrat" w:hAnsi="Montserrat"/>
                <w:sz w:val="14"/>
                <w:szCs w:val="14"/>
                <w:lang w:val="es-ES_tradnl"/>
              </w:rPr>
            </w:pPr>
          </w:p>
        </w:tc>
        <w:tc>
          <w:tcPr>
            <w:tcW w:w="1516" w:type="dxa"/>
            <w:tcBorders>
              <w:top w:val="nil"/>
              <w:left w:val="nil"/>
              <w:right w:val="nil"/>
            </w:tcBorders>
            <w:shd w:val="clear" w:color="auto" w:fill="F2F2F2" w:themeFill="background1" w:themeFillShade="F2"/>
            <w:noWrap/>
            <w:vAlign w:val="center"/>
          </w:tcPr>
          <w:p w14:paraId="14C27C8C" w14:textId="52A0AE71" w:rsidR="009C3C24" w:rsidRPr="005210C6" w:rsidRDefault="006448DE" w:rsidP="002F797B">
            <w:pPr>
              <w:spacing w:after="0" w:line="240" w:lineRule="exact"/>
              <w:jc w:val="center"/>
              <w:rPr>
                <w:rFonts w:ascii="Montserrat" w:hAnsi="Montserrat"/>
                <w:bCs/>
                <w:sz w:val="14"/>
                <w:szCs w:val="14"/>
                <w:lang w:val="es-ES_tradnl"/>
              </w:rPr>
            </w:pPr>
            <w:r>
              <w:rPr>
                <w:rFonts w:ascii="Montserrat" w:hAnsi="Montserrat"/>
                <w:bCs/>
                <w:sz w:val="14"/>
                <w:szCs w:val="14"/>
                <w:lang w:val="es-ES_tradnl"/>
              </w:rPr>
              <w:t>BID</w:t>
            </w:r>
          </w:p>
        </w:tc>
        <w:tc>
          <w:tcPr>
            <w:tcW w:w="1436" w:type="dxa"/>
            <w:tcBorders>
              <w:top w:val="nil"/>
              <w:left w:val="nil"/>
              <w:right w:val="nil"/>
            </w:tcBorders>
            <w:shd w:val="clear" w:color="auto" w:fill="F2F2F2" w:themeFill="background1" w:themeFillShade="F2"/>
            <w:noWrap/>
            <w:vAlign w:val="bottom"/>
          </w:tcPr>
          <w:p w14:paraId="0430C8F3" w14:textId="6D41DED0" w:rsidR="009C3C24" w:rsidRPr="005210C6" w:rsidRDefault="00B51D1B" w:rsidP="002F797B">
            <w:pPr>
              <w:spacing w:after="0" w:line="240" w:lineRule="exact"/>
              <w:jc w:val="right"/>
              <w:rPr>
                <w:rFonts w:ascii="Montserrat" w:hAnsi="Montserrat"/>
                <w:sz w:val="14"/>
                <w:szCs w:val="14"/>
                <w:lang w:val="es-ES_tradnl"/>
              </w:rPr>
            </w:pPr>
            <w:r w:rsidRPr="00B51D1B">
              <w:rPr>
                <w:rFonts w:ascii="Montserrat" w:hAnsi="Montserrat"/>
                <w:sz w:val="14"/>
                <w:szCs w:val="14"/>
                <w:lang w:val="es-ES_tradnl"/>
              </w:rPr>
              <w:t>11</w:t>
            </w:r>
            <w:r w:rsidR="00070196">
              <w:rPr>
                <w:rFonts w:ascii="Montserrat" w:hAnsi="Montserrat"/>
                <w:sz w:val="14"/>
                <w:szCs w:val="14"/>
                <w:lang w:val="es-ES_tradnl"/>
              </w:rPr>
              <w:t>,</w:t>
            </w:r>
            <w:r w:rsidRPr="00B51D1B">
              <w:rPr>
                <w:rFonts w:ascii="Montserrat" w:hAnsi="Montserrat"/>
                <w:sz w:val="14"/>
                <w:szCs w:val="14"/>
                <w:lang w:val="es-ES_tradnl"/>
              </w:rPr>
              <w:t>694</w:t>
            </w:r>
            <w:r w:rsidR="00070196">
              <w:rPr>
                <w:rFonts w:ascii="Montserrat" w:hAnsi="Montserrat"/>
                <w:sz w:val="14"/>
                <w:szCs w:val="14"/>
                <w:lang w:val="es-ES_tradnl"/>
              </w:rPr>
              <w:t>,</w:t>
            </w:r>
            <w:r w:rsidRPr="00B51D1B">
              <w:rPr>
                <w:rFonts w:ascii="Montserrat" w:hAnsi="Montserrat"/>
                <w:sz w:val="14"/>
                <w:szCs w:val="14"/>
                <w:lang w:val="es-ES_tradnl"/>
              </w:rPr>
              <w:t>120</w:t>
            </w:r>
            <w:r w:rsidR="00070196">
              <w:rPr>
                <w:rFonts w:ascii="Montserrat" w:hAnsi="Montserrat"/>
                <w:sz w:val="14"/>
                <w:szCs w:val="14"/>
                <w:lang w:val="es-ES_tradnl"/>
              </w:rPr>
              <w:t>,</w:t>
            </w:r>
            <w:r w:rsidRPr="00B51D1B">
              <w:rPr>
                <w:rFonts w:ascii="Montserrat" w:hAnsi="Montserrat"/>
                <w:sz w:val="14"/>
                <w:szCs w:val="14"/>
                <w:lang w:val="es-ES_tradnl"/>
              </w:rPr>
              <w:t>001</w:t>
            </w:r>
            <w:r w:rsidR="009C3C24" w:rsidRPr="005210C6">
              <w:rPr>
                <w:rFonts w:ascii="Montserrat" w:hAnsi="Montserrat"/>
                <w:sz w:val="14"/>
                <w:szCs w:val="14"/>
                <w:lang w:val="es-ES_tradnl"/>
              </w:rPr>
              <w:t xml:space="preserve"> </w:t>
            </w:r>
          </w:p>
        </w:tc>
        <w:tc>
          <w:tcPr>
            <w:tcW w:w="609" w:type="dxa"/>
            <w:tcBorders>
              <w:top w:val="nil"/>
              <w:left w:val="nil"/>
              <w:right w:val="nil"/>
            </w:tcBorders>
            <w:shd w:val="clear" w:color="auto" w:fill="F2F2F2" w:themeFill="background1" w:themeFillShade="F2"/>
            <w:noWrap/>
            <w:vAlign w:val="bottom"/>
          </w:tcPr>
          <w:p w14:paraId="5E99CDB2" w14:textId="130DB97E" w:rsidR="009C3C24" w:rsidRPr="005210C6" w:rsidRDefault="009C3C24" w:rsidP="002F797B">
            <w:pPr>
              <w:spacing w:after="0" w:line="240" w:lineRule="exact"/>
              <w:jc w:val="center"/>
              <w:rPr>
                <w:rFonts w:ascii="Montserrat" w:hAnsi="Montserrat"/>
                <w:sz w:val="14"/>
                <w:szCs w:val="14"/>
                <w:lang w:val="es-ES_tradnl"/>
              </w:rPr>
            </w:pPr>
            <w:r w:rsidRPr="005210C6">
              <w:rPr>
                <w:rFonts w:ascii="Montserrat" w:hAnsi="Montserrat"/>
                <w:sz w:val="14"/>
                <w:szCs w:val="14"/>
                <w:lang w:val="es-ES_tradnl"/>
              </w:rPr>
              <w:t>1</w:t>
            </w:r>
            <w:r w:rsidR="00B51D1B">
              <w:rPr>
                <w:rFonts w:ascii="Montserrat" w:hAnsi="Montserrat"/>
                <w:sz w:val="14"/>
                <w:szCs w:val="14"/>
                <w:lang w:val="es-ES_tradnl"/>
              </w:rPr>
              <w:t>0</w:t>
            </w:r>
          </w:p>
        </w:tc>
        <w:tc>
          <w:tcPr>
            <w:tcW w:w="708" w:type="dxa"/>
            <w:tcBorders>
              <w:top w:val="nil"/>
              <w:left w:val="nil"/>
              <w:right w:val="nil"/>
            </w:tcBorders>
            <w:shd w:val="clear" w:color="auto" w:fill="F2F2F2" w:themeFill="background1" w:themeFillShade="F2"/>
            <w:noWrap/>
            <w:vAlign w:val="bottom"/>
          </w:tcPr>
          <w:p w14:paraId="4D750113" w14:textId="1091C7DB" w:rsidR="009C3C24" w:rsidRPr="005210C6" w:rsidRDefault="00B51D1B">
            <w:pPr>
              <w:spacing w:after="0" w:line="240" w:lineRule="exact"/>
              <w:jc w:val="center"/>
              <w:rPr>
                <w:rFonts w:ascii="Montserrat" w:hAnsi="Montserrat"/>
                <w:sz w:val="14"/>
                <w:szCs w:val="14"/>
                <w:lang w:val="es-ES_tradnl"/>
              </w:rPr>
            </w:pPr>
            <w:r>
              <w:rPr>
                <w:rFonts w:ascii="Montserrat" w:hAnsi="Montserrat"/>
                <w:sz w:val="14"/>
                <w:szCs w:val="14"/>
                <w:lang w:val="es-ES_tradnl"/>
              </w:rPr>
              <w:t>05</w:t>
            </w:r>
          </w:p>
        </w:tc>
        <w:tc>
          <w:tcPr>
            <w:tcW w:w="709" w:type="dxa"/>
            <w:tcBorders>
              <w:top w:val="nil"/>
              <w:left w:val="nil"/>
              <w:right w:val="nil"/>
            </w:tcBorders>
            <w:shd w:val="clear" w:color="auto" w:fill="F2F2F2" w:themeFill="background1" w:themeFillShade="F2"/>
            <w:noWrap/>
            <w:vAlign w:val="bottom"/>
          </w:tcPr>
          <w:p w14:paraId="1CB726D2" w14:textId="77777777" w:rsidR="009C3C24" w:rsidRPr="005210C6" w:rsidRDefault="009C3C24" w:rsidP="002F797B">
            <w:pPr>
              <w:spacing w:after="0" w:line="240" w:lineRule="exact"/>
              <w:jc w:val="center"/>
              <w:rPr>
                <w:rFonts w:ascii="Montserrat" w:hAnsi="Montserrat"/>
                <w:sz w:val="14"/>
                <w:szCs w:val="14"/>
                <w:lang w:val="es-ES_tradnl"/>
              </w:rPr>
            </w:pPr>
            <w:r w:rsidRPr="005210C6">
              <w:rPr>
                <w:rFonts w:ascii="Montserrat" w:hAnsi="Montserrat"/>
                <w:sz w:val="14"/>
                <w:szCs w:val="14"/>
                <w:lang w:val="es-ES_tradnl"/>
              </w:rPr>
              <w:t>00</w:t>
            </w:r>
          </w:p>
        </w:tc>
        <w:tc>
          <w:tcPr>
            <w:tcW w:w="709" w:type="dxa"/>
            <w:tcBorders>
              <w:top w:val="nil"/>
              <w:left w:val="nil"/>
              <w:right w:val="nil"/>
            </w:tcBorders>
            <w:shd w:val="clear" w:color="auto" w:fill="F2F2F2" w:themeFill="background1" w:themeFillShade="F2"/>
            <w:noWrap/>
            <w:vAlign w:val="bottom"/>
          </w:tcPr>
          <w:p w14:paraId="395915DD" w14:textId="77777777" w:rsidR="009C3C24" w:rsidRPr="005210C6" w:rsidRDefault="009C3C24" w:rsidP="002F797B">
            <w:pPr>
              <w:spacing w:after="0" w:line="240" w:lineRule="exact"/>
              <w:jc w:val="center"/>
              <w:rPr>
                <w:rFonts w:ascii="Montserrat" w:hAnsi="Montserrat"/>
                <w:sz w:val="14"/>
                <w:szCs w:val="14"/>
                <w:lang w:val="es-ES_tradnl"/>
              </w:rPr>
            </w:pPr>
            <w:r w:rsidRPr="005210C6">
              <w:rPr>
                <w:rFonts w:ascii="Montserrat" w:hAnsi="Montserrat"/>
                <w:sz w:val="14"/>
                <w:szCs w:val="14"/>
                <w:lang w:val="es-ES_tradnl"/>
              </w:rPr>
              <w:t>00</w:t>
            </w:r>
          </w:p>
        </w:tc>
        <w:tc>
          <w:tcPr>
            <w:tcW w:w="567" w:type="dxa"/>
            <w:tcBorders>
              <w:top w:val="nil"/>
              <w:left w:val="nil"/>
              <w:right w:val="nil"/>
            </w:tcBorders>
            <w:shd w:val="clear" w:color="auto" w:fill="F2F2F2" w:themeFill="background1" w:themeFillShade="F2"/>
            <w:noWrap/>
            <w:vAlign w:val="bottom"/>
          </w:tcPr>
          <w:p w14:paraId="29A89561" w14:textId="77777777" w:rsidR="009C3C24" w:rsidRPr="005210C6" w:rsidRDefault="009C3C24" w:rsidP="002F797B">
            <w:pPr>
              <w:spacing w:after="0" w:line="240" w:lineRule="exact"/>
              <w:rPr>
                <w:rFonts w:ascii="Montserrat" w:hAnsi="Montserrat"/>
                <w:sz w:val="14"/>
                <w:szCs w:val="14"/>
                <w:lang w:val="es-ES_tradnl"/>
              </w:rPr>
            </w:pPr>
          </w:p>
        </w:tc>
        <w:tc>
          <w:tcPr>
            <w:tcW w:w="884" w:type="dxa"/>
            <w:tcBorders>
              <w:top w:val="nil"/>
              <w:left w:val="nil"/>
              <w:right w:val="nil"/>
            </w:tcBorders>
            <w:shd w:val="clear" w:color="auto" w:fill="F2F2F2" w:themeFill="background1" w:themeFillShade="F2"/>
            <w:noWrap/>
            <w:vAlign w:val="bottom"/>
          </w:tcPr>
          <w:p w14:paraId="437778C3" w14:textId="77777777" w:rsidR="009C3C24" w:rsidRPr="005210C6" w:rsidRDefault="009C3C24" w:rsidP="002F797B">
            <w:pPr>
              <w:spacing w:after="0" w:line="240" w:lineRule="exact"/>
              <w:rPr>
                <w:rFonts w:ascii="Montserrat" w:hAnsi="Montserrat"/>
                <w:sz w:val="14"/>
                <w:szCs w:val="14"/>
                <w:lang w:val="es-ES_tradnl"/>
              </w:rPr>
            </w:pPr>
          </w:p>
        </w:tc>
        <w:tc>
          <w:tcPr>
            <w:tcW w:w="533" w:type="dxa"/>
            <w:tcBorders>
              <w:top w:val="nil"/>
              <w:left w:val="nil"/>
              <w:right w:val="nil"/>
            </w:tcBorders>
            <w:shd w:val="clear" w:color="auto" w:fill="F2F2F2" w:themeFill="background1" w:themeFillShade="F2"/>
            <w:noWrap/>
            <w:vAlign w:val="bottom"/>
          </w:tcPr>
          <w:p w14:paraId="5960B877" w14:textId="77777777" w:rsidR="009C3C24" w:rsidRPr="005210C6" w:rsidRDefault="009C3C24" w:rsidP="002F797B">
            <w:pPr>
              <w:spacing w:after="0" w:line="240" w:lineRule="exact"/>
              <w:jc w:val="right"/>
              <w:rPr>
                <w:rFonts w:ascii="Montserrat" w:hAnsi="Montserrat"/>
                <w:sz w:val="14"/>
                <w:szCs w:val="14"/>
                <w:lang w:val="es-ES_tradnl"/>
              </w:rPr>
            </w:pPr>
          </w:p>
        </w:tc>
        <w:tc>
          <w:tcPr>
            <w:tcW w:w="675" w:type="dxa"/>
            <w:tcBorders>
              <w:top w:val="nil"/>
              <w:left w:val="nil"/>
              <w:right w:val="nil"/>
            </w:tcBorders>
            <w:shd w:val="clear" w:color="auto" w:fill="F2F2F2" w:themeFill="background1" w:themeFillShade="F2"/>
            <w:noWrap/>
            <w:vAlign w:val="bottom"/>
          </w:tcPr>
          <w:p w14:paraId="6E918F16" w14:textId="77777777" w:rsidR="009C3C24" w:rsidRPr="005210C6" w:rsidRDefault="009C3C24" w:rsidP="002F797B">
            <w:pPr>
              <w:spacing w:after="0" w:line="240" w:lineRule="exact"/>
              <w:jc w:val="right"/>
              <w:rPr>
                <w:rFonts w:ascii="Montserrat" w:hAnsi="Montserrat"/>
                <w:sz w:val="14"/>
                <w:szCs w:val="14"/>
                <w:lang w:val="es-ES_tradnl"/>
              </w:rPr>
            </w:pPr>
          </w:p>
        </w:tc>
        <w:tc>
          <w:tcPr>
            <w:tcW w:w="602" w:type="dxa"/>
            <w:tcBorders>
              <w:top w:val="nil"/>
              <w:left w:val="nil"/>
              <w:right w:val="nil"/>
            </w:tcBorders>
            <w:shd w:val="clear" w:color="auto" w:fill="F2F2F2" w:themeFill="background1" w:themeFillShade="F2"/>
            <w:noWrap/>
            <w:vAlign w:val="bottom"/>
          </w:tcPr>
          <w:p w14:paraId="612B215F" w14:textId="77777777" w:rsidR="009C3C24" w:rsidRPr="005210C6" w:rsidRDefault="009C3C24" w:rsidP="002F797B">
            <w:pPr>
              <w:spacing w:after="0" w:line="240" w:lineRule="exact"/>
              <w:jc w:val="right"/>
              <w:rPr>
                <w:rFonts w:ascii="Montserrat" w:hAnsi="Montserrat"/>
                <w:sz w:val="14"/>
                <w:szCs w:val="14"/>
                <w:lang w:val="es-ES_tradnl"/>
              </w:rPr>
            </w:pPr>
          </w:p>
        </w:tc>
        <w:tc>
          <w:tcPr>
            <w:tcW w:w="567" w:type="dxa"/>
            <w:tcBorders>
              <w:top w:val="nil"/>
              <w:left w:val="nil"/>
              <w:right w:val="nil"/>
            </w:tcBorders>
            <w:shd w:val="clear" w:color="auto" w:fill="F2F2F2" w:themeFill="background1" w:themeFillShade="F2"/>
            <w:noWrap/>
            <w:vAlign w:val="bottom"/>
          </w:tcPr>
          <w:p w14:paraId="4EAC2662" w14:textId="77777777" w:rsidR="009C3C24" w:rsidRPr="005210C6" w:rsidRDefault="009C3C24" w:rsidP="002F797B">
            <w:pPr>
              <w:spacing w:after="0" w:line="240" w:lineRule="exact"/>
              <w:jc w:val="right"/>
              <w:rPr>
                <w:rFonts w:ascii="Montserrat" w:hAnsi="Montserrat"/>
                <w:sz w:val="14"/>
                <w:szCs w:val="14"/>
                <w:lang w:val="es-ES_tradnl"/>
              </w:rPr>
            </w:pPr>
          </w:p>
        </w:tc>
        <w:tc>
          <w:tcPr>
            <w:tcW w:w="849" w:type="dxa"/>
            <w:tcBorders>
              <w:top w:val="nil"/>
              <w:left w:val="nil"/>
              <w:right w:val="nil"/>
            </w:tcBorders>
            <w:shd w:val="clear" w:color="auto" w:fill="F2F2F2" w:themeFill="background1" w:themeFillShade="F2"/>
            <w:noWrap/>
            <w:vAlign w:val="bottom"/>
          </w:tcPr>
          <w:p w14:paraId="3D495485" w14:textId="77777777" w:rsidR="009C3C24" w:rsidRPr="005210C6" w:rsidRDefault="009C3C24" w:rsidP="002F797B">
            <w:pPr>
              <w:spacing w:after="0" w:line="240" w:lineRule="exact"/>
              <w:jc w:val="right"/>
              <w:rPr>
                <w:rFonts w:ascii="Montserrat" w:hAnsi="Montserrat"/>
                <w:sz w:val="14"/>
                <w:szCs w:val="14"/>
                <w:lang w:val="es-ES_tradnl"/>
              </w:rPr>
            </w:pPr>
          </w:p>
        </w:tc>
        <w:tc>
          <w:tcPr>
            <w:tcW w:w="947" w:type="dxa"/>
            <w:tcBorders>
              <w:top w:val="nil"/>
              <w:left w:val="nil"/>
            </w:tcBorders>
            <w:shd w:val="clear" w:color="auto" w:fill="F2F2F2" w:themeFill="background1" w:themeFillShade="F2"/>
            <w:noWrap/>
            <w:vAlign w:val="bottom"/>
          </w:tcPr>
          <w:p w14:paraId="413C40C4" w14:textId="43ACCF0F" w:rsidR="009C3C24" w:rsidRPr="005210C6" w:rsidRDefault="00B51D1B" w:rsidP="002F797B">
            <w:pPr>
              <w:spacing w:after="0" w:line="240" w:lineRule="exact"/>
              <w:jc w:val="center"/>
              <w:rPr>
                <w:rFonts w:ascii="Montserrat" w:hAnsi="Montserrat"/>
                <w:sz w:val="14"/>
                <w:szCs w:val="14"/>
                <w:lang w:val="es-ES_tradnl"/>
              </w:rPr>
            </w:pPr>
            <w:r>
              <w:rPr>
                <w:rFonts w:ascii="Montserrat" w:hAnsi="Montserrat"/>
                <w:sz w:val="14"/>
                <w:szCs w:val="14"/>
                <w:lang w:val="es-ES_tradnl"/>
              </w:rPr>
              <w:t>3.460</w:t>
            </w:r>
            <w:r w:rsidR="009C3C24" w:rsidRPr="005210C6">
              <w:rPr>
                <w:rFonts w:ascii="Montserrat" w:hAnsi="Montserrat"/>
                <w:sz w:val="14"/>
                <w:szCs w:val="14"/>
                <w:lang w:val="es-ES_tradnl"/>
              </w:rPr>
              <w:t>%</w:t>
            </w:r>
          </w:p>
        </w:tc>
      </w:tr>
      <w:tr w:rsidR="009C3C24" w:rsidRPr="005210C6" w14:paraId="29C4156A" w14:textId="77777777" w:rsidTr="00AC445B">
        <w:trPr>
          <w:trHeight w:val="240"/>
          <w:jc w:val="center"/>
        </w:trPr>
        <w:tc>
          <w:tcPr>
            <w:tcW w:w="1312" w:type="dxa"/>
            <w:shd w:val="clear" w:color="auto" w:fill="F2F2F2" w:themeFill="background1" w:themeFillShade="F2"/>
            <w:noWrap/>
            <w:vAlign w:val="bottom"/>
            <w:hideMark/>
          </w:tcPr>
          <w:p w14:paraId="6B09D384" w14:textId="77777777" w:rsidR="009C3C24" w:rsidRPr="005210C6" w:rsidRDefault="009C3C24" w:rsidP="002F797B">
            <w:pPr>
              <w:spacing w:after="0" w:line="240" w:lineRule="exact"/>
              <w:rPr>
                <w:rFonts w:ascii="Montserrat" w:hAnsi="Montserrat"/>
                <w:bCs/>
                <w:sz w:val="14"/>
                <w:szCs w:val="14"/>
                <w:lang w:val="es-ES_tradnl"/>
              </w:rPr>
            </w:pPr>
            <w:r w:rsidRPr="005210C6">
              <w:rPr>
                <w:rFonts w:ascii="Montserrat" w:hAnsi="Montserrat"/>
                <w:bCs/>
                <w:sz w:val="14"/>
                <w:szCs w:val="14"/>
                <w:lang w:val="es-ES_tradnl"/>
              </w:rPr>
              <w:t>Emisión de Bonos</w:t>
            </w:r>
          </w:p>
        </w:tc>
        <w:tc>
          <w:tcPr>
            <w:tcW w:w="565" w:type="dxa"/>
            <w:shd w:val="clear" w:color="auto" w:fill="F2F2F2" w:themeFill="background1" w:themeFillShade="F2"/>
            <w:noWrap/>
            <w:vAlign w:val="bottom"/>
          </w:tcPr>
          <w:p w14:paraId="73045B85" w14:textId="77777777" w:rsidR="009C3C24" w:rsidRPr="005210C6" w:rsidRDefault="009C3C24" w:rsidP="002F797B">
            <w:pPr>
              <w:spacing w:after="0" w:line="240" w:lineRule="exact"/>
              <w:rPr>
                <w:rFonts w:ascii="Montserrat" w:hAnsi="Montserrat"/>
                <w:sz w:val="14"/>
                <w:szCs w:val="14"/>
                <w:lang w:val="es-ES_tradnl"/>
              </w:rPr>
            </w:pPr>
          </w:p>
          <w:p w14:paraId="0938052A" w14:textId="77777777" w:rsidR="009C3C24" w:rsidRPr="005210C6" w:rsidRDefault="009C3C24" w:rsidP="002F797B">
            <w:pPr>
              <w:spacing w:after="0" w:line="240" w:lineRule="exact"/>
              <w:rPr>
                <w:rFonts w:ascii="Montserrat" w:hAnsi="Montserrat"/>
                <w:sz w:val="14"/>
                <w:szCs w:val="14"/>
                <w:lang w:val="es-ES_tradnl"/>
              </w:rPr>
            </w:pPr>
          </w:p>
        </w:tc>
        <w:tc>
          <w:tcPr>
            <w:tcW w:w="494" w:type="dxa"/>
            <w:shd w:val="clear" w:color="auto" w:fill="F2F2F2" w:themeFill="background1" w:themeFillShade="F2"/>
            <w:noWrap/>
            <w:vAlign w:val="bottom"/>
          </w:tcPr>
          <w:p w14:paraId="452ADBDF" w14:textId="77777777" w:rsidR="009C3C24" w:rsidRPr="005210C6" w:rsidRDefault="009C3C24" w:rsidP="002F797B">
            <w:pPr>
              <w:spacing w:after="0" w:line="240" w:lineRule="exact"/>
              <w:rPr>
                <w:rFonts w:ascii="Montserrat" w:hAnsi="Montserrat"/>
                <w:sz w:val="14"/>
                <w:szCs w:val="14"/>
                <w:lang w:val="es-ES_tradnl"/>
              </w:rPr>
            </w:pPr>
          </w:p>
        </w:tc>
        <w:tc>
          <w:tcPr>
            <w:tcW w:w="678" w:type="dxa"/>
            <w:shd w:val="clear" w:color="auto" w:fill="F2F2F2" w:themeFill="background1" w:themeFillShade="F2"/>
            <w:noWrap/>
            <w:vAlign w:val="bottom"/>
          </w:tcPr>
          <w:p w14:paraId="1841DC05" w14:textId="77777777" w:rsidR="009C3C24" w:rsidRPr="005210C6" w:rsidRDefault="009C3C24" w:rsidP="002F797B">
            <w:pPr>
              <w:spacing w:after="0" w:line="240" w:lineRule="exact"/>
              <w:rPr>
                <w:rFonts w:ascii="Montserrat" w:hAnsi="Montserrat"/>
                <w:sz w:val="14"/>
                <w:szCs w:val="14"/>
                <w:lang w:val="es-ES_tradnl"/>
              </w:rPr>
            </w:pPr>
          </w:p>
        </w:tc>
        <w:tc>
          <w:tcPr>
            <w:tcW w:w="1516" w:type="dxa"/>
            <w:shd w:val="clear" w:color="auto" w:fill="F2F2F2" w:themeFill="background1" w:themeFillShade="F2"/>
            <w:noWrap/>
            <w:vAlign w:val="bottom"/>
          </w:tcPr>
          <w:p w14:paraId="31A275C6" w14:textId="77777777" w:rsidR="009C3C24" w:rsidRPr="005210C6" w:rsidRDefault="009C3C24" w:rsidP="002F797B">
            <w:pPr>
              <w:spacing w:after="0" w:line="240" w:lineRule="exact"/>
              <w:jc w:val="center"/>
              <w:rPr>
                <w:rFonts w:ascii="Montserrat" w:hAnsi="Montserrat"/>
                <w:sz w:val="14"/>
                <w:szCs w:val="14"/>
                <w:lang w:val="es-ES_tradnl"/>
              </w:rPr>
            </w:pPr>
          </w:p>
        </w:tc>
        <w:tc>
          <w:tcPr>
            <w:tcW w:w="1436" w:type="dxa"/>
            <w:shd w:val="clear" w:color="auto" w:fill="F2F2F2" w:themeFill="background1" w:themeFillShade="F2"/>
            <w:noWrap/>
            <w:vAlign w:val="bottom"/>
          </w:tcPr>
          <w:p w14:paraId="408CEB1F" w14:textId="57905C9F" w:rsidR="009C3C24" w:rsidRPr="005210C6" w:rsidRDefault="006D6DA7" w:rsidP="002F797B">
            <w:pPr>
              <w:spacing w:after="0" w:line="240" w:lineRule="exact"/>
              <w:jc w:val="right"/>
              <w:rPr>
                <w:rFonts w:ascii="Montserrat" w:hAnsi="Montserrat"/>
                <w:sz w:val="14"/>
                <w:szCs w:val="14"/>
                <w:lang w:val="es-ES_tradnl"/>
              </w:rPr>
            </w:pPr>
            <w:r w:rsidRPr="006D6DA7">
              <w:rPr>
                <w:rFonts w:ascii="Montserrat" w:hAnsi="Montserrat"/>
                <w:sz w:val="14"/>
                <w:szCs w:val="14"/>
                <w:lang w:val="es-ES_tradnl"/>
              </w:rPr>
              <w:t>136</w:t>
            </w:r>
            <w:r w:rsidR="00070196">
              <w:rPr>
                <w:rFonts w:ascii="Montserrat" w:hAnsi="Montserrat"/>
                <w:sz w:val="14"/>
                <w:szCs w:val="14"/>
                <w:lang w:val="es-ES_tradnl"/>
              </w:rPr>
              <w:t>,</w:t>
            </w:r>
            <w:r w:rsidRPr="006D6DA7">
              <w:rPr>
                <w:rFonts w:ascii="Montserrat" w:hAnsi="Montserrat"/>
                <w:sz w:val="14"/>
                <w:szCs w:val="14"/>
                <w:lang w:val="es-ES_tradnl"/>
              </w:rPr>
              <w:t>419</w:t>
            </w:r>
            <w:r w:rsidR="00070196">
              <w:rPr>
                <w:rFonts w:ascii="Montserrat" w:hAnsi="Montserrat"/>
                <w:sz w:val="14"/>
                <w:szCs w:val="14"/>
                <w:lang w:val="es-ES_tradnl"/>
              </w:rPr>
              <w:t>,</w:t>
            </w:r>
            <w:r w:rsidRPr="006D6DA7">
              <w:rPr>
                <w:rFonts w:ascii="Montserrat" w:hAnsi="Montserrat"/>
                <w:sz w:val="14"/>
                <w:szCs w:val="14"/>
                <w:lang w:val="es-ES_tradnl"/>
              </w:rPr>
              <w:t>465</w:t>
            </w:r>
            <w:r w:rsidR="00070196">
              <w:rPr>
                <w:rFonts w:ascii="Montserrat" w:hAnsi="Montserrat"/>
                <w:sz w:val="14"/>
                <w:szCs w:val="14"/>
                <w:lang w:val="es-ES_tradnl"/>
              </w:rPr>
              <w:t>,</w:t>
            </w:r>
            <w:r w:rsidRPr="006D6DA7">
              <w:rPr>
                <w:rFonts w:ascii="Montserrat" w:hAnsi="Montserrat"/>
                <w:sz w:val="14"/>
                <w:szCs w:val="14"/>
                <w:lang w:val="es-ES_tradnl"/>
              </w:rPr>
              <w:t>785</w:t>
            </w:r>
          </w:p>
        </w:tc>
        <w:tc>
          <w:tcPr>
            <w:tcW w:w="609" w:type="dxa"/>
            <w:shd w:val="clear" w:color="auto" w:fill="F2F2F2" w:themeFill="background1" w:themeFillShade="F2"/>
            <w:noWrap/>
            <w:vAlign w:val="bottom"/>
          </w:tcPr>
          <w:p w14:paraId="7924D4F5" w14:textId="77777777" w:rsidR="009C3C24" w:rsidRPr="005210C6" w:rsidRDefault="009C3C24" w:rsidP="000F0321">
            <w:pPr>
              <w:spacing w:after="0" w:line="240" w:lineRule="exact"/>
              <w:jc w:val="center"/>
              <w:rPr>
                <w:rFonts w:ascii="Montserrat" w:hAnsi="Montserrat"/>
                <w:sz w:val="14"/>
                <w:szCs w:val="14"/>
                <w:lang w:val="es-ES_tradnl"/>
              </w:rPr>
            </w:pPr>
          </w:p>
        </w:tc>
        <w:tc>
          <w:tcPr>
            <w:tcW w:w="708" w:type="dxa"/>
            <w:shd w:val="clear" w:color="auto" w:fill="F2F2F2" w:themeFill="background1" w:themeFillShade="F2"/>
            <w:noWrap/>
            <w:vAlign w:val="bottom"/>
          </w:tcPr>
          <w:p w14:paraId="150AACE6" w14:textId="77777777" w:rsidR="009C3C24" w:rsidRPr="005210C6" w:rsidRDefault="009C3C24" w:rsidP="000F0321">
            <w:pPr>
              <w:spacing w:after="0" w:line="240" w:lineRule="exact"/>
              <w:jc w:val="center"/>
              <w:rPr>
                <w:rFonts w:ascii="Montserrat" w:hAnsi="Montserrat"/>
                <w:sz w:val="14"/>
                <w:szCs w:val="14"/>
                <w:lang w:val="es-ES_tradnl"/>
              </w:rPr>
            </w:pPr>
          </w:p>
        </w:tc>
        <w:tc>
          <w:tcPr>
            <w:tcW w:w="709" w:type="dxa"/>
            <w:shd w:val="clear" w:color="auto" w:fill="F2F2F2" w:themeFill="background1" w:themeFillShade="F2"/>
            <w:noWrap/>
            <w:vAlign w:val="bottom"/>
          </w:tcPr>
          <w:p w14:paraId="5597AAA0" w14:textId="77777777" w:rsidR="009C3C24" w:rsidRPr="005210C6" w:rsidRDefault="009C3C24" w:rsidP="000F0321">
            <w:pPr>
              <w:spacing w:after="0" w:line="240" w:lineRule="exact"/>
              <w:jc w:val="center"/>
              <w:rPr>
                <w:rFonts w:ascii="Montserrat" w:hAnsi="Montserrat"/>
                <w:sz w:val="14"/>
                <w:szCs w:val="14"/>
                <w:lang w:val="es-ES_tradnl"/>
              </w:rPr>
            </w:pPr>
          </w:p>
        </w:tc>
        <w:tc>
          <w:tcPr>
            <w:tcW w:w="709" w:type="dxa"/>
            <w:shd w:val="clear" w:color="auto" w:fill="F2F2F2" w:themeFill="background1" w:themeFillShade="F2"/>
            <w:noWrap/>
            <w:vAlign w:val="bottom"/>
          </w:tcPr>
          <w:p w14:paraId="3679A95F" w14:textId="77777777" w:rsidR="009C3C24" w:rsidRPr="005210C6" w:rsidRDefault="009C3C24" w:rsidP="000F0321">
            <w:pPr>
              <w:spacing w:after="0" w:line="240" w:lineRule="exact"/>
              <w:jc w:val="center"/>
              <w:rPr>
                <w:rFonts w:ascii="Montserrat" w:hAnsi="Montserrat"/>
                <w:sz w:val="14"/>
                <w:szCs w:val="14"/>
                <w:lang w:val="es-ES_tradnl"/>
              </w:rPr>
            </w:pPr>
          </w:p>
        </w:tc>
        <w:tc>
          <w:tcPr>
            <w:tcW w:w="567" w:type="dxa"/>
            <w:shd w:val="clear" w:color="auto" w:fill="F2F2F2" w:themeFill="background1" w:themeFillShade="F2"/>
            <w:noWrap/>
            <w:vAlign w:val="bottom"/>
          </w:tcPr>
          <w:p w14:paraId="746374E7" w14:textId="77777777" w:rsidR="009C3C24" w:rsidRPr="005210C6" w:rsidRDefault="009C3C24" w:rsidP="002F797B">
            <w:pPr>
              <w:spacing w:after="0" w:line="240" w:lineRule="exact"/>
              <w:rPr>
                <w:rFonts w:ascii="Montserrat" w:hAnsi="Montserrat"/>
                <w:sz w:val="14"/>
                <w:szCs w:val="14"/>
                <w:lang w:val="es-ES_tradnl"/>
              </w:rPr>
            </w:pPr>
          </w:p>
        </w:tc>
        <w:tc>
          <w:tcPr>
            <w:tcW w:w="884" w:type="dxa"/>
            <w:shd w:val="clear" w:color="auto" w:fill="F2F2F2" w:themeFill="background1" w:themeFillShade="F2"/>
            <w:noWrap/>
            <w:vAlign w:val="bottom"/>
          </w:tcPr>
          <w:p w14:paraId="2688C87E" w14:textId="77777777" w:rsidR="009C3C24" w:rsidRPr="005210C6" w:rsidRDefault="009C3C24" w:rsidP="002F797B">
            <w:pPr>
              <w:spacing w:after="0" w:line="240" w:lineRule="exact"/>
              <w:rPr>
                <w:rFonts w:ascii="Montserrat" w:hAnsi="Montserrat"/>
                <w:sz w:val="14"/>
                <w:szCs w:val="14"/>
                <w:lang w:val="es-ES_tradnl"/>
              </w:rPr>
            </w:pPr>
          </w:p>
        </w:tc>
        <w:tc>
          <w:tcPr>
            <w:tcW w:w="533" w:type="dxa"/>
            <w:shd w:val="clear" w:color="auto" w:fill="F2F2F2" w:themeFill="background1" w:themeFillShade="F2"/>
            <w:noWrap/>
            <w:vAlign w:val="bottom"/>
          </w:tcPr>
          <w:p w14:paraId="688045F0" w14:textId="77777777" w:rsidR="009C3C24" w:rsidRPr="005210C6" w:rsidRDefault="009C3C24" w:rsidP="002F797B">
            <w:pPr>
              <w:spacing w:after="0" w:line="240" w:lineRule="exact"/>
              <w:jc w:val="right"/>
              <w:rPr>
                <w:rFonts w:ascii="Montserrat" w:hAnsi="Montserrat"/>
                <w:sz w:val="14"/>
                <w:szCs w:val="14"/>
                <w:lang w:val="es-ES_tradnl"/>
              </w:rPr>
            </w:pPr>
          </w:p>
        </w:tc>
        <w:tc>
          <w:tcPr>
            <w:tcW w:w="675" w:type="dxa"/>
            <w:shd w:val="clear" w:color="auto" w:fill="F2F2F2" w:themeFill="background1" w:themeFillShade="F2"/>
            <w:noWrap/>
            <w:vAlign w:val="bottom"/>
          </w:tcPr>
          <w:p w14:paraId="1C0802EC" w14:textId="77777777" w:rsidR="009C3C24" w:rsidRPr="005210C6" w:rsidRDefault="009C3C24" w:rsidP="002F797B">
            <w:pPr>
              <w:spacing w:after="0" w:line="240" w:lineRule="exact"/>
              <w:jc w:val="right"/>
              <w:rPr>
                <w:rFonts w:ascii="Montserrat" w:hAnsi="Montserrat"/>
                <w:sz w:val="14"/>
                <w:szCs w:val="14"/>
                <w:lang w:val="es-ES_tradnl"/>
              </w:rPr>
            </w:pPr>
          </w:p>
        </w:tc>
        <w:tc>
          <w:tcPr>
            <w:tcW w:w="602" w:type="dxa"/>
            <w:shd w:val="clear" w:color="auto" w:fill="F2F2F2" w:themeFill="background1" w:themeFillShade="F2"/>
            <w:noWrap/>
            <w:vAlign w:val="bottom"/>
          </w:tcPr>
          <w:p w14:paraId="7A64DF70" w14:textId="77777777" w:rsidR="009C3C24" w:rsidRPr="005210C6" w:rsidRDefault="009C3C24" w:rsidP="002F797B">
            <w:pPr>
              <w:spacing w:after="0" w:line="240" w:lineRule="exact"/>
              <w:jc w:val="right"/>
              <w:rPr>
                <w:rFonts w:ascii="Montserrat" w:hAnsi="Montserrat"/>
                <w:sz w:val="14"/>
                <w:szCs w:val="14"/>
                <w:lang w:val="es-ES_tradnl"/>
              </w:rPr>
            </w:pPr>
          </w:p>
        </w:tc>
        <w:tc>
          <w:tcPr>
            <w:tcW w:w="567" w:type="dxa"/>
            <w:shd w:val="clear" w:color="auto" w:fill="F2F2F2" w:themeFill="background1" w:themeFillShade="F2"/>
            <w:noWrap/>
            <w:vAlign w:val="bottom"/>
          </w:tcPr>
          <w:p w14:paraId="0ADCC560" w14:textId="77777777" w:rsidR="009C3C24" w:rsidRPr="005210C6" w:rsidRDefault="009C3C24" w:rsidP="002F797B">
            <w:pPr>
              <w:spacing w:after="0" w:line="240" w:lineRule="exact"/>
              <w:jc w:val="right"/>
              <w:rPr>
                <w:rFonts w:ascii="Montserrat" w:hAnsi="Montserrat"/>
                <w:sz w:val="14"/>
                <w:szCs w:val="14"/>
                <w:lang w:val="es-ES_tradnl"/>
              </w:rPr>
            </w:pPr>
          </w:p>
        </w:tc>
        <w:tc>
          <w:tcPr>
            <w:tcW w:w="849" w:type="dxa"/>
            <w:shd w:val="clear" w:color="auto" w:fill="F2F2F2" w:themeFill="background1" w:themeFillShade="F2"/>
            <w:noWrap/>
            <w:vAlign w:val="bottom"/>
          </w:tcPr>
          <w:p w14:paraId="528CA6C0" w14:textId="77777777" w:rsidR="009C3C24" w:rsidRPr="005210C6" w:rsidRDefault="009C3C24" w:rsidP="002F797B">
            <w:pPr>
              <w:spacing w:after="0" w:line="240" w:lineRule="exact"/>
              <w:jc w:val="right"/>
              <w:rPr>
                <w:rFonts w:ascii="Montserrat" w:hAnsi="Montserrat"/>
                <w:sz w:val="14"/>
                <w:szCs w:val="14"/>
                <w:lang w:val="es-ES_tradnl"/>
              </w:rPr>
            </w:pPr>
          </w:p>
        </w:tc>
        <w:tc>
          <w:tcPr>
            <w:tcW w:w="947" w:type="dxa"/>
            <w:shd w:val="clear" w:color="auto" w:fill="F2F2F2" w:themeFill="background1" w:themeFillShade="F2"/>
            <w:noWrap/>
            <w:vAlign w:val="bottom"/>
          </w:tcPr>
          <w:p w14:paraId="78E5FA66" w14:textId="77777777" w:rsidR="009C3C24" w:rsidRPr="005210C6" w:rsidRDefault="009C3C24" w:rsidP="002F797B">
            <w:pPr>
              <w:spacing w:after="0" w:line="240" w:lineRule="exact"/>
              <w:jc w:val="right"/>
              <w:rPr>
                <w:rFonts w:ascii="Montserrat" w:hAnsi="Montserrat"/>
                <w:sz w:val="14"/>
                <w:szCs w:val="14"/>
                <w:lang w:val="es-ES_tradnl"/>
              </w:rPr>
            </w:pPr>
          </w:p>
        </w:tc>
      </w:tr>
      <w:tr w:rsidR="009C3C24" w:rsidRPr="005210C6" w14:paraId="5050AE15" w14:textId="77777777" w:rsidTr="00AC445B">
        <w:trPr>
          <w:trHeight w:val="240"/>
          <w:jc w:val="center"/>
        </w:trPr>
        <w:tc>
          <w:tcPr>
            <w:tcW w:w="1312" w:type="dxa"/>
            <w:shd w:val="clear" w:color="auto" w:fill="F2F2F2" w:themeFill="background1" w:themeFillShade="F2"/>
            <w:noWrap/>
            <w:vAlign w:val="bottom"/>
          </w:tcPr>
          <w:p w14:paraId="62764ECF" w14:textId="77777777" w:rsidR="009C3C24" w:rsidRPr="005210C6" w:rsidRDefault="009C3C24" w:rsidP="002F797B">
            <w:pPr>
              <w:spacing w:after="0" w:line="240" w:lineRule="exact"/>
              <w:rPr>
                <w:rFonts w:ascii="Montserrat" w:hAnsi="Montserrat"/>
                <w:bCs/>
                <w:sz w:val="14"/>
                <w:szCs w:val="14"/>
                <w:lang w:val="es-ES_tradnl"/>
              </w:rPr>
            </w:pPr>
          </w:p>
        </w:tc>
        <w:tc>
          <w:tcPr>
            <w:tcW w:w="565" w:type="dxa"/>
            <w:shd w:val="clear" w:color="auto" w:fill="F2F2F2" w:themeFill="background1" w:themeFillShade="F2"/>
            <w:noWrap/>
            <w:vAlign w:val="center"/>
          </w:tcPr>
          <w:p w14:paraId="6FBA4A17" w14:textId="77777777" w:rsidR="009C3C24" w:rsidRPr="005210C6" w:rsidRDefault="009C3C24" w:rsidP="002F797B">
            <w:pPr>
              <w:spacing w:after="0" w:line="240" w:lineRule="exact"/>
              <w:rPr>
                <w:rFonts w:ascii="Montserrat" w:hAnsi="Montserrat"/>
                <w:sz w:val="14"/>
                <w:szCs w:val="14"/>
                <w:lang w:val="es-ES_tradnl"/>
              </w:rPr>
            </w:pPr>
            <w:r w:rsidRPr="005210C6">
              <w:rPr>
                <w:rFonts w:ascii="Montserrat" w:hAnsi="Montserrat"/>
                <w:sz w:val="14"/>
                <w:szCs w:val="14"/>
                <w:lang w:val="es-ES_tradnl"/>
              </w:rPr>
              <w:t>E.u.</w:t>
            </w:r>
          </w:p>
        </w:tc>
        <w:tc>
          <w:tcPr>
            <w:tcW w:w="494" w:type="dxa"/>
            <w:shd w:val="clear" w:color="auto" w:fill="F2F2F2" w:themeFill="background1" w:themeFillShade="F2"/>
            <w:noWrap/>
            <w:vAlign w:val="center"/>
          </w:tcPr>
          <w:p w14:paraId="58B94DF7" w14:textId="77777777" w:rsidR="009C3C24" w:rsidRPr="005210C6" w:rsidRDefault="009C3C24" w:rsidP="002F797B">
            <w:pPr>
              <w:spacing w:after="0" w:line="240" w:lineRule="exact"/>
              <w:rPr>
                <w:rFonts w:ascii="Montserrat" w:hAnsi="Montserrat"/>
                <w:sz w:val="14"/>
                <w:szCs w:val="14"/>
                <w:lang w:val="es-ES_tradnl"/>
              </w:rPr>
            </w:pPr>
            <w:r w:rsidRPr="005210C6">
              <w:rPr>
                <w:rFonts w:ascii="Montserrat" w:hAnsi="Montserrat"/>
                <w:sz w:val="14"/>
                <w:szCs w:val="14"/>
                <w:lang w:val="es-ES_tradnl"/>
              </w:rPr>
              <w:t>Dlr.</w:t>
            </w:r>
          </w:p>
        </w:tc>
        <w:tc>
          <w:tcPr>
            <w:tcW w:w="2194" w:type="dxa"/>
            <w:gridSpan w:val="2"/>
            <w:shd w:val="clear" w:color="auto" w:fill="F2F2F2" w:themeFill="background1" w:themeFillShade="F2"/>
            <w:noWrap/>
            <w:vAlign w:val="center"/>
          </w:tcPr>
          <w:p w14:paraId="57F0CF13" w14:textId="583E285C" w:rsidR="009C3C24" w:rsidRPr="000F0321" w:rsidRDefault="006D6DA7" w:rsidP="002F797B">
            <w:pPr>
              <w:spacing w:after="0" w:line="240" w:lineRule="exact"/>
              <w:jc w:val="center"/>
              <w:rPr>
                <w:rFonts w:ascii="Montserrat" w:hAnsi="Montserrat"/>
                <w:sz w:val="14"/>
                <w:szCs w:val="14"/>
                <w:lang w:val="en-US"/>
              </w:rPr>
            </w:pPr>
            <w:r w:rsidRPr="000F0321">
              <w:rPr>
                <w:rFonts w:ascii="Montserrat" w:hAnsi="Montserrat"/>
                <w:sz w:val="14"/>
                <w:szCs w:val="14"/>
                <w:lang w:val="en-US"/>
              </w:rPr>
              <w:t>Bank of America, Barclays y Morgan Stanley</w:t>
            </w:r>
          </w:p>
        </w:tc>
        <w:tc>
          <w:tcPr>
            <w:tcW w:w="1436" w:type="dxa"/>
            <w:shd w:val="clear" w:color="auto" w:fill="F2F2F2" w:themeFill="background1" w:themeFillShade="F2"/>
            <w:noWrap/>
            <w:vAlign w:val="center"/>
          </w:tcPr>
          <w:p w14:paraId="4C44FDA5" w14:textId="639F4123" w:rsidR="009C3C24" w:rsidRPr="005210C6" w:rsidRDefault="006D6DA7" w:rsidP="002F797B">
            <w:pPr>
              <w:spacing w:after="0" w:line="240" w:lineRule="exact"/>
              <w:jc w:val="right"/>
              <w:rPr>
                <w:rFonts w:ascii="Montserrat" w:hAnsi="Montserrat"/>
                <w:sz w:val="14"/>
                <w:szCs w:val="14"/>
                <w:lang w:val="es-ES_tradnl"/>
              </w:rPr>
            </w:pPr>
            <w:r w:rsidRPr="006D6DA7">
              <w:rPr>
                <w:rFonts w:ascii="Montserrat" w:hAnsi="Montserrat"/>
                <w:sz w:val="14"/>
                <w:szCs w:val="14"/>
                <w:lang w:val="es-ES_tradnl"/>
              </w:rPr>
              <w:t>37</w:t>
            </w:r>
            <w:r w:rsidR="00070196">
              <w:rPr>
                <w:rFonts w:ascii="Montserrat" w:hAnsi="Montserrat"/>
                <w:sz w:val="14"/>
                <w:szCs w:val="14"/>
                <w:lang w:val="es-ES_tradnl"/>
              </w:rPr>
              <w:t>,</w:t>
            </w:r>
            <w:r w:rsidRPr="006D6DA7">
              <w:rPr>
                <w:rFonts w:ascii="Montserrat" w:hAnsi="Montserrat"/>
                <w:sz w:val="14"/>
                <w:szCs w:val="14"/>
                <w:lang w:val="es-ES_tradnl"/>
              </w:rPr>
              <w:t>868</w:t>
            </w:r>
            <w:r w:rsidR="00070196">
              <w:rPr>
                <w:rFonts w:ascii="Montserrat" w:hAnsi="Montserrat"/>
                <w:sz w:val="14"/>
                <w:szCs w:val="14"/>
                <w:lang w:val="es-ES_tradnl"/>
              </w:rPr>
              <w:t>,</w:t>
            </w:r>
            <w:r w:rsidRPr="006D6DA7">
              <w:rPr>
                <w:rFonts w:ascii="Montserrat" w:hAnsi="Montserrat"/>
                <w:sz w:val="14"/>
                <w:szCs w:val="14"/>
                <w:lang w:val="es-ES_tradnl"/>
              </w:rPr>
              <w:t>029</w:t>
            </w:r>
            <w:r w:rsidR="00070196">
              <w:rPr>
                <w:rFonts w:ascii="Montserrat" w:hAnsi="Montserrat"/>
                <w:sz w:val="14"/>
                <w:szCs w:val="14"/>
                <w:lang w:val="es-ES_tradnl"/>
              </w:rPr>
              <w:t>,</w:t>
            </w:r>
            <w:r w:rsidRPr="006D6DA7">
              <w:rPr>
                <w:rFonts w:ascii="Montserrat" w:hAnsi="Montserrat"/>
                <w:sz w:val="14"/>
                <w:szCs w:val="14"/>
                <w:lang w:val="es-ES_tradnl"/>
              </w:rPr>
              <w:t>856</w:t>
            </w:r>
          </w:p>
        </w:tc>
        <w:tc>
          <w:tcPr>
            <w:tcW w:w="609" w:type="dxa"/>
            <w:shd w:val="clear" w:color="auto" w:fill="F2F2F2" w:themeFill="background1" w:themeFillShade="F2"/>
            <w:noWrap/>
            <w:vAlign w:val="center"/>
          </w:tcPr>
          <w:p w14:paraId="0DC37272" w14:textId="77777777" w:rsidR="009C3C24" w:rsidRPr="005210C6" w:rsidRDefault="009C3C24" w:rsidP="000F0321">
            <w:pPr>
              <w:spacing w:after="0" w:line="240" w:lineRule="exact"/>
              <w:jc w:val="center"/>
              <w:rPr>
                <w:rFonts w:ascii="Montserrat" w:hAnsi="Montserrat"/>
                <w:sz w:val="14"/>
                <w:szCs w:val="14"/>
                <w:lang w:val="es-ES_tradnl"/>
              </w:rPr>
            </w:pPr>
            <w:r w:rsidRPr="005210C6">
              <w:rPr>
                <w:rFonts w:ascii="Montserrat" w:hAnsi="Montserrat"/>
                <w:sz w:val="14"/>
                <w:szCs w:val="14"/>
                <w:lang w:val="es-ES_tradnl"/>
              </w:rPr>
              <w:t>10</w:t>
            </w:r>
          </w:p>
        </w:tc>
        <w:tc>
          <w:tcPr>
            <w:tcW w:w="708" w:type="dxa"/>
            <w:shd w:val="clear" w:color="auto" w:fill="F2F2F2" w:themeFill="background1" w:themeFillShade="F2"/>
            <w:noWrap/>
            <w:vAlign w:val="center"/>
          </w:tcPr>
          <w:p w14:paraId="1E0A282D" w14:textId="77777777" w:rsidR="009C3C24" w:rsidRPr="005210C6" w:rsidRDefault="009C3C24" w:rsidP="000F0321">
            <w:pPr>
              <w:spacing w:after="0" w:line="240" w:lineRule="exact"/>
              <w:jc w:val="center"/>
              <w:rPr>
                <w:rFonts w:ascii="Montserrat" w:hAnsi="Montserrat"/>
                <w:sz w:val="14"/>
                <w:szCs w:val="14"/>
                <w:lang w:val="es-ES_tradnl"/>
              </w:rPr>
            </w:pPr>
            <w:r w:rsidRPr="005210C6">
              <w:rPr>
                <w:rFonts w:ascii="Montserrat" w:hAnsi="Montserrat"/>
                <w:sz w:val="14"/>
                <w:szCs w:val="14"/>
                <w:lang w:val="es-ES_tradnl"/>
              </w:rPr>
              <w:t>0</w:t>
            </w:r>
          </w:p>
        </w:tc>
        <w:tc>
          <w:tcPr>
            <w:tcW w:w="709" w:type="dxa"/>
            <w:shd w:val="clear" w:color="auto" w:fill="F2F2F2" w:themeFill="background1" w:themeFillShade="F2"/>
            <w:noWrap/>
            <w:vAlign w:val="center"/>
          </w:tcPr>
          <w:p w14:paraId="06B418FF" w14:textId="77777777" w:rsidR="009C3C24" w:rsidRPr="005210C6" w:rsidRDefault="009C3C24" w:rsidP="000F0321">
            <w:pPr>
              <w:spacing w:after="0" w:line="240" w:lineRule="exact"/>
              <w:jc w:val="center"/>
              <w:rPr>
                <w:rFonts w:ascii="Montserrat" w:hAnsi="Montserrat"/>
                <w:sz w:val="14"/>
                <w:szCs w:val="14"/>
                <w:lang w:val="es-ES_tradnl"/>
              </w:rPr>
            </w:pPr>
            <w:r w:rsidRPr="005210C6">
              <w:rPr>
                <w:rFonts w:ascii="Montserrat" w:hAnsi="Montserrat"/>
                <w:sz w:val="14"/>
                <w:szCs w:val="14"/>
                <w:lang w:val="es-ES_tradnl"/>
              </w:rPr>
              <w:t>00</w:t>
            </w:r>
          </w:p>
        </w:tc>
        <w:tc>
          <w:tcPr>
            <w:tcW w:w="709" w:type="dxa"/>
            <w:shd w:val="clear" w:color="auto" w:fill="F2F2F2" w:themeFill="background1" w:themeFillShade="F2"/>
            <w:noWrap/>
            <w:vAlign w:val="center"/>
          </w:tcPr>
          <w:p w14:paraId="462FAF86" w14:textId="77777777" w:rsidR="009C3C24" w:rsidRPr="005210C6" w:rsidRDefault="009C3C24" w:rsidP="000F0321">
            <w:pPr>
              <w:spacing w:after="0" w:line="240" w:lineRule="exact"/>
              <w:jc w:val="center"/>
              <w:rPr>
                <w:rFonts w:ascii="Montserrat" w:hAnsi="Montserrat"/>
                <w:sz w:val="14"/>
                <w:szCs w:val="14"/>
                <w:lang w:val="es-ES_tradnl"/>
              </w:rPr>
            </w:pPr>
            <w:r w:rsidRPr="005210C6">
              <w:rPr>
                <w:rFonts w:ascii="Montserrat" w:hAnsi="Montserrat"/>
                <w:sz w:val="14"/>
                <w:szCs w:val="14"/>
                <w:lang w:val="es-ES_tradnl"/>
              </w:rPr>
              <w:t>00</w:t>
            </w:r>
          </w:p>
        </w:tc>
        <w:tc>
          <w:tcPr>
            <w:tcW w:w="567" w:type="dxa"/>
            <w:shd w:val="clear" w:color="auto" w:fill="F2F2F2" w:themeFill="background1" w:themeFillShade="F2"/>
            <w:noWrap/>
            <w:vAlign w:val="center"/>
          </w:tcPr>
          <w:p w14:paraId="2E6D8D0F" w14:textId="77777777" w:rsidR="009C3C24" w:rsidRPr="005210C6" w:rsidRDefault="009C3C24" w:rsidP="002F797B">
            <w:pPr>
              <w:spacing w:after="0" w:line="240" w:lineRule="exact"/>
              <w:jc w:val="right"/>
              <w:rPr>
                <w:rFonts w:ascii="Montserrat" w:hAnsi="Montserrat"/>
                <w:sz w:val="14"/>
                <w:szCs w:val="14"/>
                <w:lang w:val="es-ES_tradnl"/>
              </w:rPr>
            </w:pPr>
          </w:p>
        </w:tc>
        <w:tc>
          <w:tcPr>
            <w:tcW w:w="884" w:type="dxa"/>
            <w:shd w:val="clear" w:color="auto" w:fill="F2F2F2" w:themeFill="background1" w:themeFillShade="F2"/>
            <w:noWrap/>
            <w:vAlign w:val="center"/>
          </w:tcPr>
          <w:p w14:paraId="3BC94913" w14:textId="77777777" w:rsidR="009C3C24" w:rsidRPr="005210C6" w:rsidRDefault="009C3C24" w:rsidP="002F797B">
            <w:pPr>
              <w:spacing w:after="0" w:line="240" w:lineRule="exact"/>
              <w:jc w:val="right"/>
              <w:rPr>
                <w:rFonts w:ascii="Montserrat" w:hAnsi="Montserrat"/>
                <w:sz w:val="14"/>
                <w:szCs w:val="14"/>
                <w:lang w:val="es-ES_tradnl"/>
              </w:rPr>
            </w:pPr>
          </w:p>
        </w:tc>
        <w:tc>
          <w:tcPr>
            <w:tcW w:w="533" w:type="dxa"/>
            <w:shd w:val="clear" w:color="auto" w:fill="F2F2F2" w:themeFill="background1" w:themeFillShade="F2"/>
            <w:noWrap/>
            <w:vAlign w:val="center"/>
          </w:tcPr>
          <w:p w14:paraId="34052276" w14:textId="77777777" w:rsidR="009C3C24" w:rsidRPr="005210C6" w:rsidRDefault="009C3C24" w:rsidP="002F797B">
            <w:pPr>
              <w:spacing w:after="0" w:line="240" w:lineRule="exact"/>
              <w:jc w:val="right"/>
              <w:rPr>
                <w:rFonts w:ascii="Montserrat" w:hAnsi="Montserrat"/>
                <w:sz w:val="14"/>
                <w:szCs w:val="14"/>
                <w:lang w:val="es-ES_tradnl"/>
              </w:rPr>
            </w:pPr>
          </w:p>
        </w:tc>
        <w:tc>
          <w:tcPr>
            <w:tcW w:w="675" w:type="dxa"/>
            <w:shd w:val="clear" w:color="auto" w:fill="F2F2F2" w:themeFill="background1" w:themeFillShade="F2"/>
            <w:noWrap/>
            <w:vAlign w:val="center"/>
          </w:tcPr>
          <w:p w14:paraId="4407EA6D" w14:textId="77777777" w:rsidR="009C3C24" w:rsidRPr="005210C6" w:rsidRDefault="009C3C24" w:rsidP="002F797B">
            <w:pPr>
              <w:spacing w:after="0" w:line="240" w:lineRule="exact"/>
              <w:jc w:val="right"/>
              <w:rPr>
                <w:rFonts w:ascii="Montserrat" w:hAnsi="Montserrat"/>
                <w:sz w:val="14"/>
                <w:szCs w:val="14"/>
                <w:lang w:val="es-ES_tradnl"/>
              </w:rPr>
            </w:pPr>
          </w:p>
        </w:tc>
        <w:tc>
          <w:tcPr>
            <w:tcW w:w="602" w:type="dxa"/>
            <w:shd w:val="clear" w:color="auto" w:fill="F2F2F2" w:themeFill="background1" w:themeFillShade="F2"/>
            <w:noWrap/>
            <w:vAlign w:val="center"/>
          </w:tcPr>
          <w:p w14:paraId="7EB91E1A" w14:textId="77777777" w:rsidR="009C3C24" w:rsidRPr="005210C6" w:rsidRDefault="009C3C24" w:rsidP="002F797B">
            <w:pPr>
              <w:spacing w:after="0" w:line="240" w:lineRule="exact"/>
              <w:jc w:val="right"/>
              <w:rPr>
                <w:rFonts w:ascii="Montserrat" w:hAnsi="Montserrat"/>
                <w:sz w:val="14"/>
                <w:szCs w:val="14"/>
                <w:lang w:val="es-ES_tradnl"/>
              </w:rPr>
            </w:pPr>
          </w:p>
        </w:tc>
        <w:tc>
          <w:tcPr>
            <w:tcW w:w="567" w:type="dxa"/>
            <w:shd w:val="clear" w:color="auto" w:fill="F2F2F2" w:themeFill="background1" w:themeFillShade="F2"/>
            <w:noWrap/>
            <w:vAlign w:val="center"/>
          </w:tcPr>
          <w:p w14:paraId="1EC4C8BA" w14:textId="77777777" w:rsidR="009C3C24" w:rsidRPr="005210C6" w:rsidRDefault="009C3C24" w:rsidP="002F797B">
            <w:pPr>
              <w:spacing w:after="0" w:line="240" w:lineRule="exact"/>
              <w:jc w:val="right"/>
              <w:rPr>
                <w:rFonts w:ascii="Montserrat" w:hAnsi="Montserrat"/>
                <w:sz w:val="14"/>
                <w:szCs w:val="14"/>
                <w:lang w:val="es-ES_tradnl"/>
              </w:rPr>
            </w:pPr>
          </w:p>
        </w:tc>
        <w:tc>
          <w:tcPr>
            <w:tcW w:w="849" w:type="dxa"/>
            <w:shd w:val="clear" w:color="auto" w:fill="F2F2F2" w:themeFill="background1" w:themeFillShade="F2"/>
            <w:noWrap/>
            <w:vAlign w:val="center"/>
          </w:tcPr>
          <w:p w14:paraId="7E555604" w14:textId="6F92D53F" w:rsidR="009C3C24" w:rsidRPr="005210C6" w:rsidRDefault="009C3C24" w:rsidP="002F797B">
            <w:pPr>
              <w:spacing w:after="0" w:line="240" w:lineRule="exact"/>
              <w:jc w:val="right"/>
              <w:rPr>
                <w:rFonts w:ascii="Montserrat" w:hAnsi="Montserrat"/>
                <w:sz w:val="14"/>
                <w:szCs w:val="14"/>
                <w:lang w:val="es-ES_tradnl"/>
              </w:rPr>
            </w:pPr>
            <w:r w:rsidRPr="005210C6">
              <w:rPr>
                <w:rFonts w:ascii="Montserrat" w:hAnsi="Montserrat"/>
                <w:sz w:val="14"/>
                <w:szCs w:val="14"/>
                <w:lang w:val="es-ES_tradnl"/>
              </w:rPr>
              <w:t>4.</w:t>
            </w:r>
            <w:r w:rsidR="006D6DA7">
              <w:rPr>
                <w:rFonts w:ascii="Montserrat" w:hAnsi="Montserrat"/>
                <w:sz w:val="14"/>
                <w:szCs w:val="14"/>
                <w:lang w:val="es-ES_tradnl"/>
              </w:rPr>
              <w:t>50</w:t>
            </w:r>
            <w:r w:rsidRPr="005210C6">
              <w:rPr>
                <w:rFonts w:ascii="Montserrat" w:hAnsi="Montserrat"/>
                <w:sz w:val="14"/>
                <w:szCs w:val="14"/>
                <w:lang w:val="es-ES_tradnl"/>
              </w:rPr>
              <w:t>00%</w:t>
            </w:r>
          </w:p>
        </w:tc>
        <w:tc>
          <w:tcPr>
            <w:tcW w:w="947" w:type="dxa"/>
            <w:shd w:val="clear" w:color="auto" w:fill="F2F2F2" w:themeFill="background1" w:themeFillShade="F2"/>
            <w:noWrap/>
            <w:vAlign w:val="bottom"/>
          </w:tcPr>
          <w:p w14:paraId="2AD1DE7A" w14:textId="77777777" w:rsidR="009C3C24" w:rsidRPr="005210C6" w:rsidRDefault="009C3C24" w:rsidP="002F797B">
            <w:pPr>
              <w:spacing w:after="0" w:line="240" w:lineRule="exact"/>
              <w:jc w:val="right"/>
              <w:rPr>
                <w:rFonts w:ascii="Montserrat" w:hAnsi="Montserrat"/>
                <w:sz w:val="14"/>
                <w:szCs w:val="14"/>
                <w:lang w:val="es-ES_tradnl"/>
              </w:rPr>
            </w:pPr>
          </w:p>
        </w:tc>
      </w:tr>
      <w:tr w:rsidR="00AC445B" w:rsidRPr="005210C6" w14:paraId="3853A944" w14:textId="77777777" w:rsidTr="00AC445B">
        <w:trPr>
          <w:trHeight w:val="240"/>
          <w:jc w:val="center"/>
        </w:trPr>
        <w:tc>
          <w:tcPr>
            <w:tcW w:w="1312" w:type="dxa"/>
            <w:shd w:val="clear" w:color="auto" w:fill="F2F2F2" w:themeFill="background1" w:themeFillShade="F2"/>
            <w:noWrap/>
            <w:vAlign w:val="bottom"/>
          </w:tcPr>
          <w:p w14:paraId="42334B92" w14:textId="77777777" w:rsidR="00AC445B" w:rsidRPr="005210C6" w:rsidRDefault="00AC445B" w:rsidP="00070196">
            <w:pPr>
              <w:spacing w:after="0" w:line="240" w:lineRule="exact"/>
              <w:rPr>
                <w:rFonts w:ascii="Montserrat" w:hAnsi="Montserrat"/>
                <w:bCs/>
                <w:sz w:val="14"/>
                <w:szCs w:val="14"/>
                <w:lang w:val="es-ES_tradnl"/>
              </w:rPr>
            </w:pPr>
          </w:p>
        </w:tc>
        <w:tc>
          <w:tcPr>
            <w:tcW w:w="565" w:type="dxa"/>
            <w:vMerge w:val="restart"/>
            <w:shd w:val="clear" w:color="auto" w:fill="F2F2F2" w:themeFill="background1" w:themeFillShade="F2"/>
            <w:noWrap/>
            <w:vAlign w:val="center"/>
          </w:tcPr>
          <w:p w14:paraId="44E7081D" w14:textId="60BAAA85" w:rsidR="00AC445B" w:rsidRPr="005210C6" w:rsidRDefault="00AC445B" w:rsidP="00AC445B">
            <w:pPr>
              <w:spacing w:after="0" w:line="240" w:lineRule="exact"/>
              <w:rPr>
                <w:rFonts w:ascii="Montserrat" w:hAnsi="Montserrat"/>
                <w:sz w:val="14"/>
                <w:szCs w:val="14"/>
                <w:lang w:val="es-ES_tradnl"/>
              </w:rPr>
            </w:pPr>
            <w:r w:rsidRPr="005210C6">
              <w:rPr>
                <w:rFonts w:ascii="Montserrat" w:hAnsi="Montserrat"/>
                <w:sz w:val="14"/>
                <w:szCs w:val="14"/>
                <w:lang w:val="es-ES_tradnl"/>
              </w:rPr>
              <w:t>E.u.</w:t>
            </w:r>
          </w:p>
        </w:tc>
        <w:tc>
          <w:tcPr>
            <w:tcW w:w="494" w:type="dxa"/>
            <w:vMerge w:val="restart"/>
            <w:shd w:val="clear" w:color="auto" w:fill="F2F2F2" w:themeFill="background1" w:themeFillShade="F2"/>
            <w:noWrap/>
            <w:vAlign w:val="center"/>
          </w:tcPr>
          <w:p w14:paraId="6E2F25D6" w14:textId="152ECE01" w:rsidR="00AC445B" w:rsidRPr="005210C6" w:rsidRDefault="00AC445B" w:rsidP="00AC445B">
            <w:pPr>
              <w:spacing w:after="0" w:line="240" w:lineRule="exact"/>
              <w:rPr>
                <w:rFonts w:ascii="Montserrat" w:hAnsi="Montserrat"/>
                <w:sz w:val="14"/>
                <w:szCs w:val="14"/>
                <w:lang w:val="es-ES_tradnl"/>
              </w:rPr>
            </w:pPr>
            <w:r w:rsidRPr="005210C6">
              <w:rPr>
                <w:rFonts w:ascii="Montserrat" w:hAnsi="Montserrat"/>
                <w:sz w:val="14"/>
                <w:szCs w:val="14"/>
                <w:lang w:val="es-ES_tradnl"/>
              </w:rPr>
              <w:t>Dlr.</w:t>
            </w:r>
          </w:p>
        </w:tc>
        <w:tc>
          <w:tcPr>
            <w:tcW w:w="2194" w:type="dxa"/>
            <w:gridSpan w:val="2"/>
            <w:vMerge w:val="restart"/>
            <w:shd w:val="clear" w:color="auto" w:fill="F2F2F2" w:themeFill="background1" w:themeFillShade="F2"/>
            <w:noWrap/>
            <w:vAlign w:val="center"/>
          </w:tcPr>
          <w:p w14:paraId="21CB72C3" w14:textId="6F0BC38D" w:rsidR="00AC445B" w:rsidRPr="000F0321" w:rsidRDefault="00AC445B" w:rsidP="00070196">
            <w:pPr>
              <w:spacing w:after="0" w:line="240" w:lineRule="exact"/>
              <w:jc w:val="center"/>
              <w:rPr>
                <w:rFonts w:ascii="Montserrat" w:hAnsi="Montserrat"/>
                <w:sz w:val="14"/>
                <w:szCs w:val="14"/>
                <w:lang w:val="en-US"/>
              </w:rPr>
            </w:pPr>
            <w:r w:rsidRPr="000F0321">
              <w:rPr>
                <w:rFonts w:ascii="Montserrat" w:hAnsi="Montserrat"/>
                <w:sz w:val="14"/>
                <w:szCs w:val="14"/>
                <w:lang w:val="en-US"/>
              </w:rPr>
              <w:t>BBVA, Credit Suisse y Goldman Sachs</w:t>
            </w:r>
          </w:p>
        </w:tc>
        <w:tc>
          <w:tcPr>
            <w:tcW w:w="1436" w:type="dxa"/>
            <w:shd w:val="clear" w:color="auto" w:fill="F2F2F2" w:themeFill="background1" w:themeFillShade="F2"/>
            <w:noWrap/>
            <w:vAlign w:val="center"/>
          </w:tcPr>
          <w:p w14:paraId="14FE6B99" w14:textId="3159E731" w:rsidR="00AC445B" w:rsidRPr="005210C6" w:rsidRDefault="00AC445B" w:rsidP="00070196">
            <w:pPr>
              <w:spacing w:after="0" w:line="240" w:lineRule="exact"/>
              <w:jc w:val="right"/>
              <w:rPr>
                <w:rFonts w:ascii="Montserrat" w:hAnsi="Montserrat"/>
                <w:sz w:val="14"/>
                <w:szCs w:val="14"/>
                <w:lang w:val="es-ES_tradnl"/>
              </w:rPr>
            </w:pPr>
            <w:r w:rsidRPr="00070196">
              <w:rPr>
                <w:rFonts w:ascii="Montserrat" w:hAnsi="Montserrat"/>
                <w:sz w:val="14"/>
                <w:szCs w:val="14"/>
                <w:lang w:val="es-ES_tradnl"/>
              </w:rPr>
              <w:t>2</w:t>
            </w:r>
            <w:r>
              <w:rPr>
                <w:rFonts w:ascii="Montserrat" w:hAnsi="Montserrat"/>
                <w:sz w:val="14"/>
                <w:szCs w:val="14"/>
                <w:lang w:val="es-ES_tradnl"/>
              </w:rPr>
              <w:t>,</w:t>
            </w:r>
            <w:r w:rsidRPr="00070196">
              <w:rPr>
                <w:rFonts w:ascii="Montserrat" w:hAnsi="Montserrat"/>
                <w:sz w:val="14"/>
                <w:szCs w:val="14"/>
                <w:lang w:val="es-ES_tradnl"/>
              </w:rPr>
              <w:t>109</w:t>
            </w:r>
            <w:r>
              <w:rPr>
                <w:rFonts w:ascii="Montserrat" w:hAnsi="Montserrat"/>
                <w:sz w:val="14"/>
                <w:szCs w:val="14"/>
                <w:lang w:val="es-ES_tradnl"/>
              </w:rPr>
              <w:t>,</w:t>
            </w:r>
            <w:r w:rsidRPr="00070196">
              <w:rPr>
                <w:rFonts w:ascii="Montserrat" w:hAnsi="Montserrat"/>
                <w:sz w:val="14"/>
                <w:szCs w:val="14"/>
                <w:lang w:val="es-ES_tradnl"/>
              </w:rPr>
              <w:t>496</w:t>
            </w:r>
            <w:r>
              <w:rPr>
                <w:rFonts w:ascii="Montserrat" w:hAnsi="Montserrat"/>
                <w:sz w:val="14"/>
                <w:szCs w:val="14"/>
                <w:lang w:val="es-ES_tradnl"/>
              </w:rPr>
              <w:t>,</w:t>
            </w:r>
            <w:r w:rsidRPr="00070196">
              <w:rPr>
                <w:rFonts w:ascii="Montserrat" w:hAnsi="Montserrat"/>
                <w:sz w:val="14"/>
                <w:szCs w:val="14"/>
                <w:lang w:val="es-ES_tradnl"/>
              </w:rPr>
              <w:t>780</w:t>
            </w:r>
          </w:p>
        </w:tc>
        <w:tc>
          <w:tcPr>
            <w:tcW w:w="609" w:type="dxa"/>
            <w:shd w:val="clear" w:color="auto" w:fill="F2F2F2" w:themeFill="background1" w:themeFillShade="F2"/>
            <w:noWrap/>
            <w:vAlign w:val="center"/>
          </w:tcPr>
          <w:p w14:paraId="7F728E5E" w14:textId="61071D16" w:rsidR="00AC445B" w:rsidRPr="005210C6" w:rsidRDefault="00AC445B" w:rsidP="000F0321">
            <w:pPr>
              <w:spacing w:after="0" w:line="240" w:lineRule="exact"/>
              <w:jc w:val="center"/>
              <w:rPr>
                <w:rFonts w:ascii="Montserrat" w:hAnsi="Montserrat"/>
                <w:sz w:val="14"/>
                <w:szCs w:val="14"/>
                <w:lang w:val="es-ES_tradnl"/>
              </w:rPr>
            </w:pPr>
            <w:r w:rsidRPr="000F0321">
              <w:rPr>
                <w:rFonts w:ascii="Montserrat" w:hAnsi="Montserrat"/>
                <w:sz w:val="14"/>
                <w:szCs w:val="14"/>
                <w:lang w:val="es-ES_tradnl"/>
              </w:rPr>
              <w:t>10</w:t>
            </w:r>
          </w:p>
        </w:tc>
        <w:tc>
          <w:tcPr>
            <w:tcW w:w="708" w:type="dxa"/>
            <w:shd w:val="clear" w:color="auto" w:fill="F2F2F2" w:themeFill="background1" w:themeFillShade="F2"/>
            <w:noWrap/>
            <w:vAlign w:val="center"/>
          </w:tcPr>
          <w:p w14:paraId="68CC986B" w14:textId="68F3D079" w:rsidR="00AC445B" w:rsidRPr="005210C6" w:rsidRDefault="00AC445B" w:rsidP="000F0321">
            <w:pPr>
              <w:spacing w:after="0" w:line="240" w:lineRule="exact"/>
              <w:jc w:val="center"/>
              <w:rPr>
                <w:rFonts w:ascii="Montserrat" w:hAnsi="Montserrat"/>
                <w:sz w:val="14"/>
                <w:szCs w:val="14"/>
                <w:lang w:val="es-ES_tradnl"/>
              </w:rPr>
            </w:pPr>
            <w:r w:rsidRPr="000F0321">
              <w:rPr>
                <w:rFonts w:ascii="Montserrat" w:hAnsi="Montserrat"/>
                <w:sz w:val="14"/>
                <w:szCs w:val="14"/>
                <w:lang w:val="es-ES_tradnl"/>
              </w:rPr>
              <w:t>0</w:t>
            </w:r>
          </w:p>
        </w:tc>
        <w:tc>
          <w:tcPr>
            <w:tcW w:w="709" w:type="dxa"/>
            <w:shd w:val="clear" w:color="auto" w:fill="F2F2F2" w:themeFill="background1" w:themeFillShade="F2"/>
            <w:noWrap/>
            <w:vAlign w:val="center"/>
          </w:tcPr>
          <w:p w14:paraId="0C002CD9" w14:textId="6C9198FB" w:rsidR="00AC445B" w:rsidRPr="005210C6" w:rsidRDefault="00AC445B" w:rsidP="000F0321">
            <w:pPr>
              <w:spacing w:after="0" w:line="240" w:lineRule="exact"/>
              <w:jc w:val="center"/>
              <w:rPr>
                <w:rFonts w:ascii="Montserrat" w:hAnsi="Montserrat"/>
                <w:sz w:val="14"/>
                <w:szCs w:val="14"/>
                <w:lang w:val="es-ES_tradnl"/>
              </w:rPr>
            </w:pPr>
            <w:r w:rsidRPr="000F0321">
              <w:rPr>
                <w:rFonts w:ascii="Montserrat" w:hAnsi="Montserrat"/>
                <w:sz w:val="14"/>
                <w:szCs w:val="14"/>
                <w:lang w:val="es-ES_tradnl"/>
              </w:rPr>
              <w:t>00</w:t>
            </w:r>
          </w:p>
        </w:tc>
        <w:tc>
          <w:tcPr>
            <w:tcW w:w="709" w:type="dxa"/>
            <w:shd w:val="clear" w:color="auto" w:fill="F2F2F2" w:themeFill="background1" w:themeFillShade="F2"/>
            <w:noWrap/>
            <w:vAlign w:val="center"/>
          </w:tcPr>
          <w:p w14:paraId="7DC52A7D" w14:textId="28A6CC06" w:rsidR="00AC445B" w:rsidRPr="005210C6" w:rsidRDefault="00AC445B" w:rsidP="000F0321">
            <w:pPr>
              <w:spacing w:after="0" w:line="240" w:lineRule="exact"/>
              <w:jc w:val="center"/>
              <w:rPr>
                <w:rFonts w:ascii="Montserrat" w:hAnsi="Montserrat"/>
                <w:sz w:val="14"/>
                <w:szCs w:val="14"/>
                <w:lang w:val="es-ES_tradnl"/>
              </w:rPr>
            </w:pPr>
            <w:r w:rsidRPr="000F0321">
              <w:rPr>
                <w:rFonts w:ascii="Montserrat" w:hAnsi="Montserrat"/>
                <w:sz w:val="14"/>
                <w:szCs w:val="14"/>
                <w:lang w:val="es-ES_tradnl"/>
              </w:rPr>
              <w:t>00</w:t>
            </w:r>
          </w:p>
        </w:tc>
        <w:tc>
          <w:tcPr>
            <w:tcW w:w="567" w:type="dxa"/>
            <w:shd w:val="clear" w:color="auto" w:fill="F2F2F2" w:themeFill="background1" w:themeFillShade="F2"/>
            <w:noWrap/>
            <w:vAlign w:val="center"/>
          </w:tcPr>
          <w:p w14:paraId="0FFBFD51" w14:textId="77777777" w:rsidR="00AC445B" w:rsidRPr="005210C6" w:rsidRDefault="00AC445B" w:rsidP="00070196">
            <w:pPr>
              <w:spacing w:after="0" w:line="240" w:lineRule="exact"/>
              <w:jc w:val="right"/>
              <w:rPr>
                <w:rFonts w:ascii="Montserrat" w:hAnsi="Montserrat"/>
                <w:sz w:val="14"/>
                <w:szCs w:val="14"/>
                <w:lang w:val="es-ES_tradnl"/>
              </w:rPr>
            </w:pPr>
          </w:p>
        </w:tc>
        <w:tc>
          <w:tcPr>
            <w:tcW w:w="884" w:type="dxa"/>
            <w:shd w:val="clear" w:color="auto" w:fill="F2F2F2" w:themeFill="background1" w:themeFillShade="F2"/>
            <w:noWrap/>
            <w:vAlign w:val="center"/>
          </w:tcPr>
          <w:p w14:paraId="5131C24C" w14:textId="77777777" w:rsidR="00AC445B" w:rsidRPr="005210C6" w:rsidRDefault="00AC445B" w:rsidP="00070196">
            <w:pPr>
              <w:spacing w:after="0" w:line="240" w:lineRule="exact"/>
              <w:jc w:val="right"/>
              <w:rPr>
                <w:rFonts w:ascii="Montserrat" w:hAnsi="Montserrat"/>
                <w:sz w:val="14"/>
                <w:szCs w:val="14"/>
                <w:lang w:val="es-ES_tradnl"/>
              </w:rPr>
            </w:pPr>
          </w:p>
        </w:tc>
        <w:tc>
          <w:tcPr>
            <w:tcW w:w="533" w:type="dxa"/>
            <w:shd w:val="clear" w:color="auto" w:fill="F2F2F2" w:themeFill="background1" w:themeFillShade="F2"/>
            <w:noWrap/>
            <w:vAlign w:val="center"/>
          </w:tcPr>
          <w:p w14:paraId="7CF7CE73" w14:textId="77777777" w:rsidR="00AC445B" w:rsidRPr="005210C6" w:rsidRDefault="00AC445B" w:rsidP="00070196">
            <w:pPr>
              <w:spacing w:after="0" w:line="240" w:lineRule="exact"/>
              <w:jc w:val="right"/>
              <w:rPr>
                <w:rFonts w:ascii="Montserrat" w:hAnsi="Montserrat"/>
                <w:sz w:val="14"/>
                <w:szCs w:val="14"/>
                <w:lang w:val="es-ES_tradnl"/>
              </w:rPr>
            </w:pPr>
          </w:p>
        </w:tc>
        <w:tc>
          <w:tcPr>
            <w:tcW w:w="675" w:type="dxa"/>
            <w:shd w:val="clear" w:color="auto" w:fill="F2F2F2" w:themeFill="background1" w:themeFillShade="F2"/>
            <w:noWrap/>
            <w:vAlign w:val="center"/>
          </w:tcPr>
          <w:p w14:paraId="49B800BF" w14:textId="77777777" w:rsidR="00AC445B" w:rsidRPr="005210C6" w:rsidRDefault="00AC445B" w:rsidP="00070196">
            <w:pPr>
              <w:spacing w:after="0" w:line="240" w:lineRule="exact"/>
              <w:jc w:val="right"/>
              <w:rPr>
                <w:rFonts w:ascii="Montserrat" w:hAnsi="Montserrat"/>
                <w:sz w:val="14"/>
                <w:szCs w:val="14"/>
                <w:lang w:val="es-ES_tradnl"/>
              </w:rPr>
            </w:pPr>
          </w:p>
        </w:tc>
        <w:tc>
          <w:tcPr>
            <w:tcW w:w="602" w:type="dxa"/>
            <w:shd w:val="clear" w:color="auto" w:fill="F2F2F2" w:themeFill="background1" w:themeFillShade="F2"/>
            <w:noWrap/>
            <w:vAlign w:val="center"/>
          </w:tcPr>
          <w:p w14:paraId="330179AD" w14:textId="77777777" w:rsidR="00AC445B" w:rsidRPr="005210C6" w:rsidRDefault="00AC445B" w:rsidP="00070196">
            <w:pPr>
              <w:spacing w:after="0" w:line="240" w:lineRule="exact"/>
              <w:jc w:val="right"/>
              <w:rPr>
                <w:rFonts w:ascii="Montserrat" w:hAnsi="Montserrat"/>
                <w:sz w:val="14"/>
                <w:szCs w:val="14"/>
                <w:lang w:val="es-ES_tradnl"/>
              </w:rPr>
            </w:pPr>
          </w:p>
        </w:tc>
        <w:tc>
          <w:tcPr>
            <w:tcW w:w="567" w:type="dxa"/>
            <w:shd w:val="clear" w:color="auto" w:fill="F2F2F2" w:themeFill="background1" w:themeFillShade="F2"/>
            <w:noWrap/>
            <w:vAlign w:val="center"/>
          </w:tcPr>
          <w:p w14:paraId="5AA5B6F7" w14:textId="77777777" w:rsidR="00AC445B" w:rsidRPr="005210C6" w:rsidRDefault="00AC445B" w:rsidP="00070196">
            <w:pPr>
              <w:spacing w:after="0" w:line="240" w:lineRule="exact"/>
              <w:jc w:val="right"/>
              <w:rPr>
                <w:rFonts w:ascii="Montserrat" w:hAnsi="Montserrat"/>
                <w:sz w:val="14"/>
                <w:szCs w:val="14"/>
                <w:lang w:val="es-ES_tradnl"/>
              </w:rPr>
            </w:pPr>
          </w:p>
        </w:tc>
        <w:tc>
          <w:tcPr>
            <w:tcW w:w="849" w:type="dxa"/>
            <w:shd w:val="clear" w:color="auto" w:fill="F2F2F2" w:themeFill="background1" w:themeFillShade="F2"/>
            <w:noWrap/>
            <w:vAlign w:val="center"/>
          </w:tcPr>
          <w:p w14:paraId="226908C2" w14:textId="21EDB8F4" w:rsidR="00AC445B" w:rsidRPr="005210C6" w:rsidRDefault="00AC445B" w:rsidP="00070196">
            <w:pPr>
              <w:spacing w:after="0" w:line="240" w:lineRule="exact"/>
              <w:jc w:val="right"/>
              <w:rPr>
                <w:rFonts w:ascii="Montserrat" w:hAnsi="Montserrat"/>
                <w:sz w:val="14"/>
                <w:szCs w:val="14"/>
                <w:lang w:val="es-ES_tradnl"/>
              </w:rPr>
            </w:pPr>
            <w:r w:rsidRPr="000F0321">
              <w:rPr>
                <w:rFonts w:ascii="Montserrat" w:hAnsi="Montserrat"/>
                <w:sz w:val="14"/>
                <w:szCs w:val="14"/>
                <w:lang w:val="es-ES_tradnl"/>
              </w:rPr>
              <w:t>4.5000%</w:t>
            </w:r>
          </w:p>
        </w:tc>
        <w:tc>
          <w:tcPr>
            <w:tcW w:w="947" w:type="dxa"/>
            <w:shd w:val="clear" w:color="auto" w:fill="F2F2F2" w:themeFill="background1" w:themeFillShade="F2"/>
            <w:noWrap/>
            <w:vAlign w:val="bottom"/>
          </w:tcPr>
          <w:p w14:paraId="3281CAF3" w14:textId="77777777" w:rsidR="00AC445B" w:rsidRPr="005210C6" w:rsidRDefault="00AC445B" w:rsidP="00070196">
            <w:pPr>
              <w:spacing w:after="0" w:line="240" w:lineRule="exact"/>
              <w:jc w:val="right"/>
              <w:rPr>
                <w:rFonts w:ascii="Montserrat" w:hAnsi="Montserrat"/>
                <w:sz w:val="14"/>
                <w:szCs w:val="14"/>
                <w:lang w:val="es-ES_tradnl"/>
              </w:rPr>
            </w:pPr>
          </w:p>
        </w:tc>
      </w:tr>
      <w:tr w:rsidR="00AC445B" w:rsidRPr="005210C6" w14:paraId="5AD2B75E" w14:textId="77777777" w:rsidTr="00AC445B">
        <w:trPr>
          <w:trHeight w:val="240"/>
          <w:jc w:val="center"/>
        </w:trPr>
        <w:tc>
          <w:tcPr>
            <w:tcW w:w="1312" w:type="dxa"/>
            <w:shd w:val="clear" w:color="auto" w:fill="F2F2F2" w:themeFill="background1" w:themeFillShade="F2"/>
            <w:noWrap/>
            <w:vAlign w:val="bottom"/>
          </w:tcPr>
          <w:p w14:paraId="2ED2CFD7" w14:textId="77777777" w:rsidR="00AC445B" w:rsidRPr="005210C6" w:rsidRDefault="00AC445B" w:rsidP="00AC445B">
            <w:pPr>
              <w:spacing w:after="0" w:line="240" w:lineRule="exact"/>
              <w:rPr>
                <w:rFonts w:ascii="Montserrat" w:hAnsi="Montserrat"/>
                <w:bCs/>
                <w:sz w:val="14"/>
                <w:szCs w:val="14"/>
                <w:lang w:val="es-ES_tradnl"/>
              </w:rPr>
            </w:pPr>
          </w:p>
        </w:tc>
        <w:tc>
          <w:tcPr>
            <w:tcW w:w="565" w:type="dxa"/>
            <w:vMerge/>
            <w:shd w:val="clear" w:color="auto" w:fill="F2F2F2" w:themeFill="background1" w:themeFillShade="F2"/>
            <w:noWrap/>
            <w:vAlign w:val="center"/>
          </w:tcPr>
          <w:p w14:paraId="687C2DF0" w14:textId="2B43BD1C" w:rsidR="00AC445B" w:rsidRPr="005210C6" w:rsidRDefault="00AC445B" w:rsidP="00AC445B">
            <w:pPr>
              <w:spacing w:after="0" w:line="240" w:lineRule="exact"/>
              <w:rPr>
                <w:rFonts w:ascii="Montserrat" w:hAnsi="Montserrat"/>
                <w:sz w:val="14"/>
                <w:szCs w:val="14"/>
                <w:lang w:val="es-ES_tradnl"/>
              </w:rPr>
            </w:pPr>
          </w:p>
        </w:tc>
        <w:tc>
          <w:tcPr>
            <w:tcW w:w="494" w:type="dxa"/>
            <w:vMerge/>
            <w:shd w:val="clear" w:color="auto" w:fill="F2F2F2" w:themeFill="background1" w:themeFillShade="F2"/>
            <w:noWrap/>
            <w:vAlign w:val="center"/>
          </w:tcPr>
          <w:p w14:paraId="7EFB5149" w14:textId="60F7957D" w:rsidR="00AC445B" w:rsidRPr="005210C6" w:rsidRDefault="00AC445B" w:rsidP="00AC445B">
            <w:pPr>
              <w:spacing w:after="0" w:line="240" w:lineRule="exact"/>
              <w:rPr>
                <w:rFonts w:ascii="Montserrat" w:hAnsi="Montserrat"/>
                <w:sz w:val="14"/>
                <w:szCs w:val="14"/>
                <w:lang w:val="es-ES_tradnl"/>
              </w:rPr>
            </w:pPr>
          </w:p>
        </w:tc>
        <w:tc>
          <w:tcPr>
            <w:tcW w:w="2194" w:type="dxa"/>
            <w:gridSpan w:val="2"/>
            <w:vMerge/>
            <w:shd w:val="clear" w:color="auto" w:fill="F2F2F2" w:themeFill="background1" w:themeFillShade="F2"/>
            <w:noWrap/>
            <w:vAlign w:val="center"/>
          </w:tcPr>
          <w:p w14:paraId="0A6A5C74" w14:textId="77777777" w:rsidR="00AC445B" w:rsidRPr="005210C6" w:rsidRDefault="00AC445B" w:rsidP="00AC445B">
            <w:pPr>
              <w:spacing w:after="0" w:line="240" w:lineRule="exact"/>
              <w:jc w:val="center"/>
              <w:rPr>
                <w:rFonts w:ascii="Montserrat" w:hAnsi="Montserrat"/>
                <w:sz w:val="14"/>
                <w:szCs w:val="14"/>
                <w:lang w:val="es-ES_tradnl"/>
              </w:rPr>
            </w:pPr>
          </w:p>
        </w:tc>
        <w:tc>
          <w:tcPr>
            <w:tcW w:w="1436" w:type="dxa"/>
            <w:shd w:val="clear" w:color="auto" w:fill="F2F2F2" w:themeFill="background1" w:themeFillShade="F2"/>
            <w:noWrap/>
            <w:vAlign w:val="center"/>
          </w:tcPr>
          <w:p w14:paraId="2D69763B" w14:textId="1EE09ABF" w:rsidR="00AC445B" w:rsidRPr="005210C6" w:rsidRDefault="00AC445B" w:rsidP="00AC445B">
            <w:pPr>
              <w:spacing w:after="0" w:line="240" w:lineRule="exact"/>
              <w:jc w:val="right"/>
              <w:rPr>
                <w:rFonts w:ascii="Montserrat" w:hAnsi="Montserrat"/>
                <w:sz w:val="14"/>
                <w:szCs w:val="14"/>
                <w:lang w:val="es-ES_tradnl"/>
              </w:rPr>
            </w:pPr>
            <w:r w:rsidRPr="00070196">
              <w:rPr>
                <w:rFonts w:ascii="Montserrat" w:hAnsi="Montserrat"/>
                <w:sz w:val="14"/>
                <w:szCs w:val="14"/>
                <w:lang w:val="es-ES_tradnl"/>
              </w:rPr>
              <w:t>14</w:t>
            </w:r>
            <w:r>
              <w:rPr>
                <w:rFonts w:ascii="Montserrat" w:hAnsi="Montserrat"/>
                <w:sz w:val="14"/>
                <w:szCs w:val="14"/>
                <w:lang w:val="es-ES_tradnl"/>
              </w:rPr>
              <w:t>,</w:t>
            </w:r>
            <w:r w:rsidRPr="00070196">
              <w:rPr>
                <w:rFonts w:ascii="Montserrat" w:hAnsi="Montserrat"/>
                <w:sz w:val="14"/>
                <w:szCs w:val="14"/>
                <w:lang w:val="es-ES_tradnl"/>
              </w:rPr>
              <w:t>026</w:t>
            </w:r>
            <w:r>
              <w:rPr>
                <w:rFonts w:ascii="Montserrat" w:hAnsi="Montserrat"/>
                <w:sz w:val="14"/>
                <w:szCs w:val="14"/>
                <w:lang w:val="es-ES_tradnl"/>
              </w:rPr>
              <w:t>,</w:t>
            </w:r>
            <w:r w:rsidRPr="00070196">
              <w:rPr>
                <w:rFonts w:ascii="Montserrat" w:hAnsi="Montserrat"/>
                <w:sz w:val="14"/>
                <w:szCs w:val="14"/>
                <w:lang w:val="es-ES_tradnl"/>
              </w:rPr>
              <w:t>855</w:t>
            </w:r>
            <w:r>
              <w:rPr>
                <w:rFonts w:ascii="Montserrat" w:hAnsi="Montserrat"/>
                <w:sz w:val="14"/>
                <w:szCs w:val="14"/>
                <w:lang w:val="es-ES_tradnl"/>
              </w:rPr>
              <w:t>,</w:t>
            </w:r>
            <w:r w:rsidRPr="00070196">
              <w:rPr>
                <w:rFonts w:ascii="Montserrat" w:hAnsi="Montserrat"/>
                <w:sz w:val="14"/>
                <w:szCs w:val="14"/>
                <w:lang w:val="es-ES_tradnl"/>
              </w:rPr>
              <w:t>694</w:t>
            </w:r>
          </w:p>
        </w:tc>
        <w:tc>
          <w:tcPr>
            <w:tcW w:w="609" w:type="dxa"/>
            <w:shd w:val="clear" w:color="auto" w:fill="F2F2F2" w:themeFill="background1" w:themeFillShade="F2"/>
            <w:noWrap/>
            <w:vAlign w:val="center"/>
          </w:tcPr>
          <w:p w14:paraId="41E96FBA" w14:textId="7B84C2C6" w:rsidR="00AC445B" w:rsidRPr="005210C6" w:rsidRDefault="00AC445B" w:rsidP="00AC445B">
            <w:pPr>
              <w:spacing w:after="0" w:line="240" w:lineRule="exact"/>
              <w:jc w:val="center"/>
              <w:rPr>
                <w:rFonts w:ascii="Montserrat" w:hAnsi="Montserrat"/>
                <w:sz w:val="14"/>
                <w:szCs w:val="14"/>
                <w:lang w:val="es-ES_tradnl"/>
              </w:rPr>
            </w:pPr>
            <w:r w:rsidRPr="000F0321">
              <w:rPr>
                <w:rFonts w:ascii="Montserrat" w:hAnsi="Montserrat"/>
                <w:sz w:val="14"/>
                <w:szCs w:val="14"/>
                <w:lang w:val="es-ES_tradnl"/>
              </w:rPr>
              <w:t>30</w:t>
            </w:r>
          </w:p>
        </w:tc>
        <w:tc>
          <w:tcPr>
            <w:tcW w:w="708" w:type="dxa"/>
            <w:shd w:val="clear" w:color="auto" w:fill="F2F2F2" w:themeFill="background1" w:themeFillShade="F2"/>
            <w:noWrap/>
            <w:vAlign w:val="center"/>
          </w:tcPr>
          <w:p w14:paraId="3370188C" w14:textId="2F3112E0" w:rsidR="00AC445B" w:rsidRPr="005210C6" w:rsidRDefault="00AC445B" w:rsidP="00AC445B">
            <w:pPr>
              <w:spacing w:after="0" w:line="240" w:lineRule="exact"/>
              <w:jc w:val="center"/>
              <w:rPr>
                <w:rFonts w:ascii="Montserrat" w:hAnsi="Montserrat"/>
                <w:sz w:val="14"/>
                <w:szCs w:val="14"/>
                <w:lang w:val="es-ES_tradnl"/>
              </w:rPr>
            </w:pPr>
            <w:r w:rsidRPr="000F0321">
              <w:rPr>
                <w:rFonts w:ascii="Montserrat" w:hAnsi="Montserrat"/>
                <w:sz w:val="14"/>
                <w:szCs w:val="14"/>
                <w:lang w:val="es-ES_tradnl"/>
              </w:rPr>
              <w:t>0</w:t>
            </w:r>
          </w:p>
        </w:tc>
        <w:tc>
          <w:tcPr>
            <w:tcW w:w="709" w:type="dxa"/>
            <w:shd w:val="clear" w:color="auto" w:fill="F2F2F2" w:themeFill="background1" w:themeFillShade="F2"/>
            <w:noWrap/>
            <w:vAlign w:val="center"/>
          </w:tcPr>
          <w:p w14:paraId="6E6A94DD" w14:textId="08ADF96A" w:rsidR="00AC445B" w:rsidRPr="005210C6" w:rsidRDefault="00AC445B" w:rsidP="00AC445B">
            <w:pPr>
              <w:spacing w:after="0" w:line="240" w:lineRule="exact"/>
              <w:jc w:val="center"/>
              <w:rPr>
                <w:rFonts w:ascii="Montserrat" w:hAnsi="Montserrat"/>
                <w:sz w:val="14"/>
                <w:szCs w:val="14"/>
                <w:lang w:val="es-ES_tradnl"/>
              </w:rPr>
            </w:pPr>
            <w:r w:rsidRPr="000F0321">
              <w:rPr>
                <w:rFonts w:ascii="Montserrat" w:hAnsi="Montserrat"/>
                <w:sz w:val="14"/>
                <w:szCs w:val="14"/>
                <w:lang w:val="es-ES_tradnl"/>
              </w:rPr>
              <w:t>00</w:t>
            </w:r>
          </w:p>
        </w:tc>
        <w:tc>
          <w:tcPr>
            <w:tcW w:w="709" w:type="dxa"/>
            <w:shd w:val="clear" w:color="auto" w:fill="F2F2F2" w:themeFill="background1" w:themeFillShade="F2"/>
            <w:noWrap/>
            <w:vAlign w:val="center"/>
          </w:tcPr>
          <w:p w14:paraId="09DDD29B" w14:textId="1546096A" w:rsidR="00AC445B" w:rsidRPr="005210C6" w:rsidRDefault="00AC445B" w:rsidP="00AC445B">
            <w:pPr>
              <w:spacing w:after="0" w:line="240" w:lineRule="exact"/>
              <w:jc w:val="center"/>
              <w:rPr>
                <w:rFonts w:ascii="Montserrat" w:hAnsi="Montserrat"/>
                <w:sz w:val="14"/>
                <w:szCs w:val="14"/>
                <w:lang w:val="es-ES_tradnl"/>
              </w:rPr>
            </w:pPr>
            <w:r w:rsidRPr="000F0321">
              <w:rPr>
                <w:rFonts w:ascii="Montserrat" w:hAnsi="Montserrat"/>
                <w:sz w:val="14"/>
                <w:szCs w:val="14"/>
                <w:lang w:val="es-ES_tradnl"/>
              </w:rPr>
              <w:t>00</w:t>
            </w:r>
          </w:p>
        </w:tc>
        <w:tc>
          <w:tcPr>
            <w:tcW w:w="567" w:type="dxa"/>
            <w:shd w:val="clear" w:color="auto" w:fill="F2F2F2" w:themeFill="background1" w:themeFillShade="F2"/>
            <w:noWrap/>
            <w:vAlign w:val="center"/>
          </w:tcPr>
          <w:p w14:paraId="1DE54294" w14:textId="77777777" w:rsidR="00AC445B" w:rsidRPr="005210C6" w:rsidRDefault="00AC445B" w:rsidP="00AC445B">
            <w:pPr>
              <w:spacing w:after="0" w:line="240" w:lineRule="exact"/>
              <w:jc w:val="right"/>
              <w:rPr>
                <w:rFonts w:ascii="Montserrat" w:hAnsi="Montserrat"/>
                <w:sz w:val="14"/>
                <w:szCs w:val="14"/>
                <w:lang w:val="es-ES_tradnl"/>
              </w:rPr>
            </w:pPr>
          </w:p>
        </w:tc>
        <w:tc>
          <w:tcPr>
            <w:tcW w:w="884" w:type="dxa"/>
            <w:shd w:val="clear" w:color="auto" w:fill="F2F2F2" w:themeFill="background1" w:themeFillShade="F2"/>
            <w:noWrap/>
            <w:vAlign w:val="center"/>
          </w:tcPr>
          <w:p w14:paraId="7F37D911" w14:textId="77777777" w:rsidR="00AC445B" w:rsidRPr="005210C6" w:rsidRDefault="00AC445B" w:rsidP="00AC445B">
            <w:pPr>
              <w:spacing w:after="0" w:line="240" w:lineRule="exact"/>
              <w:jc w:val="right"/>
              <w:rPr>
                <w:rFonts w:ascii="Montserrat" w:hAnsi="Montserrat"/>
                <w:sz w:val="14"/>
                <w:szCs w:val="14"/>
                <w:lang w:val="es-ES_tradnl"/>
              </w:rPr>
            </w:pPr>
          </w:p>
        </w:tc>
        <w:tc>
          <w:tcPr>
            <w:tcW w:w="533" w:type="dxa"/>
            <w:shd w:val="clear" w:color="auto" w:fill="F2F2F2" w:themeFill="background1" w:themeFillShade="F2"/>
            <w:noWrap/>
            <w:vAlign w:val="center"/>
          </w:tcPr>
          <w:p w14:paraId="1C8F4EF3" w14:textId="77777777" w:rsidR="00AC445B" w:rsidRPr="005210C6" w:rsidRDefault="00AC445B" w:rsidP="00AC445B">
            <w:pPr>
              <w:spacing w:after="0" w:line="240" w:lineRule="exact"/>
              <w:jc w:val="right"/>
              <w:rPr>
                <w:rFonts w:ascii="Montserrat" w:hAnsi="Montserrat"/>
                <w:sz w:val="14"/>
                <w:szCs w:val="14"/>
                <w:lang w:val="es-ES_tradnl"/>
              </w:rPr>
            </w:pPr>
          </w:p>
        </w:tc>
        <w:tc>
          <w:tcPr>
            <w:tcW w:w="675" w:type="dxa"/>
            <w:shd w:val="clear" w:color="auto" w:fill="F2F2F2" w:themeFill="background1" w:themeFillShade="F2"/>
            <w:noWrap/>
            <w:vAlign w:val="center"/>
          </w:tcPr>
          <w:p w14:paraId="40D477CD" w14:textId="77777777" w:rsidR="00AC445B" w:rsidRPr="005210C6" w:rsidRDefault="00AC445B" w:rsidP="00AC445B">
            <w:pPr>
              <w:spacing w:after="0" w:line="240" w:lineRule="exact"/>
              <w:jc w:val="right"/>
              <w:rPr>
                <w:rFonts w:ascii="Montserrat" w:hAnsi="Montserrat"/>
                <w:sz w:val="14"/>
                <w:szCs w:val="14"/>
                <w:lang w:val="es-ES_tradnl"/>
              </w:rPr>
            </w:pPr>
          </w:p>
        </w:tc>
        <w:tc>
          <w:tcPr>
            <w:tcW w:w="602" w:type="dxa"/>
            <w:shd w:val="clear" w:color="auto" w:fill="F2F2F2" w:themeFill="background1" w:themeFillShade="F2"/>
            <w:noWrap/>
            <w:vAlign w:val="center"/>
          </w:tcPr>
          <w:p w14:paraId="3204BDCD" w14:textId="77777777" w:rsidR="00AC445B" w:rsidRPr="005210C6" w:rsidRDefault="00AC445B" w:rsidP="00AC445B">
            <w:pPr>
              <w:spacing w:after="0" w:line="240" w:lineRule="exact"/>
              <w:jc w:val="right"/>
              <w:rPr>
                <w:rFonts w:ascii="Montserrat" w:hAnsi="Montserrat"/>
                <w:sz w:val="14"/>
                <w:szCs w:val="14"/>
                <w:lang w:val="es-ES_tradnl"/>
              </w:rPr>
            </w:pPr>
          </w:p>
        </w:tc>
        <w:tc>
          <w:tcPr>
            <w:tcW w:w="567" w:type="dxa"/>
            <w:shd w:val="clear" w:color="auto" w:fill="F2F2F2" w:themeFill="background1" w:themeFillShade="F2"/>
            <w:noWrap/>
            <w:vAlign w:val="center"/>
          </w:tcPr>
          <w:p w14:paraId="7AF24280" w14:textId="77777777" w:rsidR="00AC445B" w:rsidRPr="005210C6" w:rsidRDefault="00AC445B" w:rsidP="00AC445B">
            <w:pPr>
              <w:spacing w:after="0" w:line="240" w:lineRule="exact"/>
              <w:jc w:val="right"/>
              <w:rPr>
                <w:rFonts w:ascii="Montserrat" w:hAnsi="Montserrat"/>
                <w:sz w:val="14"/>
                <w:szCs w:val="14"/>
                <w:lang w:val="es-ES_tradnl"/>
              </w:rPr>
            </w:pPr>
          </w:p>
        </w:tc>
        <w:tc>
          <w:tcPr>
            <w:tcW w:w="849" w:type="dxa"/>
            <w:shd w:val="clear" w:color="auto" w:fill="F2F2F2" w:themeFill="background1" w:themeFillShade="F2"/>
            <w:noWrap/>
            <w:vAlign w:val="center"/>
          </w:tcPr>
          <w:p w14:paraId="3AEE3152" w14:textId="7CA4ED33" w:rsidR="00AC445B" w:rsidRPr="005210C6" w:rsidRDefault="00AC445B" w:rsidP="00AC445B">
            <w:pPr>
              <w:spacing w:after="0" w:line="240" w:lineRule="exact"/>
              <w:jc w:val="right"/>
              <w:rPr>
                <w:rFonts w:ascii="Montserrat" w:hAnsi="Montserrat"/>
                <w:sz w:val="14"/>
                <w:szCs w:val="14"/>
                <w:lang w:val="es-ES_tradnl"/>
              </w:rPr>
            </w:pPr>
            <w:r w:rsidRPr="000F0321">
              <w:rPr>
                <w:rFonts w:ascii="Montserrat" w:hAnsi="Montserrat"/>
                <w:sz w:val="14"/>
                <w:szCs w:val="14"/>
                <w:lang w:val="es-ES_tradnl"/>
              </w:rPr>
              <w:t>4.5000%</w:t>
            </w:r>
          </w:p>
        </w:tc>
        <w:tc>
          <w:tcPr>
            <w:tcW w:w="947" w:type="dxa"/>
            <w:shd w:val="clear" w:color="auto" w:fill="F2F2F2" w:themeFill="background1" w:themeFillShade="F2"/>
            <w:noWrap/>
            <w:vAlign w:val="bottom"/>
          </w:tcPr>
          <w:p w14:paraId="5EE6E457" w14:textId="77777777" w:rsidR="00AC445B" w:rsidRPr="005210C6" w:rsidRDefault="00AC445B" w:rsidP="00AC445B">
            <w:pPr>
              <w:spacing w:after="0" w:line="240" w:lineRule="exact"/>
              <w:jc w:val="right"/>
              <w:rPr>
                <w:rFonts w:ascii="Montserrat" w:hAnsi="Montserrat"/>
                <w:sz w:val="14"/>
                <w:szCs w:val="14"/>
                <w:lang w:val="es-ES_tradnl"/>
              </w:rPr>
            </w:pPr>
          </w:p>
        </w:tc>
      </w:tr>
      <w:tr w:rsidR="00AC445B" w:rsidRPr="005210C6" w14:paraId="57CD3B13" w14:textId="77777777" w:rsidTr="00AC445B">
        <w:trPr>
          <w:trHeight w:val="240"/>
          <w:jc w:val="center"/>
        </w:trPr>
        <w:tc>
          <w:tcPr>
            <w:tcW w:w="1312" w:type="dxa"/>
            <w:shd w:val="clear" w:color="auto" w:fill="F2F2F2" w:themeFill="background1" w:themeFillShade="F2"/>
            <w:noWrap/>
            <w:vAlign w:val="bottom"/>
          </w:tcPr>
          <w:p w14:paraId="2B392D16" w14:textId="77777777" w:rsidR="00AC445B" w:rsidRPr="005210C6" w:rsidRDefault="00AC445B" w:rsidP="00AC445B">
            <w:pPr>
              <w:spacing w:after="0" w:line="240" w:lineRule="exact"/>
              <w:rPr>
                <w:rFonts w:ascii="Montserrat" w:hAnsi="Montserrat"/>
                <w:bCs/>
                <w:sz w:val="14"/>
                <w:szCs w:val="14"/>
                <w:lang w:val="es-ES_tradnl"/>
              </w:rPr>
            </w:pPr>
          </w:p>
        </w:tc>
        <w:tc>
          <w:tcPr>
            <w:tcW w:w="565" w:type="dxa"/>
            <w:vMerge w:val="restart"/>
            <w:shd w:val="clear" w:color="auto" w:fill="F2F2F2" w:themeFill="background1" w:themeFillShade="F2"/>
            <w:noWrap/>
            <w:vAlign w:val="center"/>
          </w:tcPr>
          <w:p w14:paraId="4B835E89" w14:textId="2F95AA93" w:rsidR="00AC445B" w:rsidRPr="005210C6" w:rsidRDefault="00AC445B" w:rsidP="00AC445B">
            <w:pPr>
              <w:spacing w:after="0" w:line="240" w:lineRule="exact"/>
              <w:rPr>
                <w:rFonts w:ascii="Montserrat" w:hAnsi="Montserrat"/>
                <w:sz w:val="14"/>
                <w:szCs w:val="14"/>
                <w:lang w:val="es-ES_tradnl"/>
              </w:rPr>
            </w:pPr>
            <w:r w:rsidRPr="005210C6">
              <w:rPr>
                <w:rFonts w:ascii="Montserrat" w:hAnsi="Montserrat"/>
                <w:sz w:val="14"/>
                <w:szCs w:val="14"/>
                <w:lang w:val="es-ES_tradnl"/>
              </w:rPr>
              <w:t>E</w:t>
            </w:r>
            <w:r>
              <w:rPr>
                <w:rFonts w:ascii="Montserrat" w:hAnsi="Montserrat"/>
                <w:sz w:val="14"/>
                <w:szCs w:val="14"/>
                <w:lang w:val="es-ES_tradnl"/>
              </w:rPr>
              <w:t>up</w:t>
            </w:r>
          </w:p>
        </w:tc>
        <w:tc>
          <w:tcPr>
            <w:tcW w:w="494" w:type="dxa"/>
            <w:vMerge w:val="restart"/>
            <w:shd w:val="clear" w:color="auto" w:fill="F2F2F2" w:themeFill="background1" w:themeFillShade="F2"/>
            <w:noWrap/>
            <w:vAlign w:val="center"/>
          </w:tcPr>
          <w:p w14:paraId="09CE9ACB" w14:textId="24D3872D" w:rsidR="00AC445B" w:rsidRPr="005210C6" w:rsidRDefault="00AC445B" w:rsidP="00AC445B">
            <w:pPr>
              <w:spacing w:after="0" w:line="240" w:lineRule="exact"/>
              <w:rPr>
                <w:rFonts w:ascii="Montserrat" w:hAnsi="Montserrat"/>
                <w:sz w:val="14"/>
                <w:szCs w:val="14"/>
                <w:lang w:val="es-ES_tradnl"/>
              </w:rPr>
            </w:pPr>
            <w:r>
              <w:rPr>
                <w:rFonts w:ascii="Montserrat" w:hAnsi="Montserrat"/>
                <w:sz w:val="14"/>
                <w:szCs w:val="14"/>
                <w:lang w:val="es-ES_tradnl"/>
              </w:rPr>
              <w:t>Eur.</w:t>
            </w:r>
          </w:p>
        </w:tc>
        <w:tc>
          <w:tcPr>
            <w:tcW w:w="2194" w:type="dxa"/>
            <w:gridSpan w:val="2"/>
            <w:vMerge w:val="restart"/>
            <w:shd w:val="clear" w:color="auto" w:fill="F2F2F2" w:themeFill="background1" w:themeFillShade="F2"/>
            <w:noWrap/>
            <w:vAlign w:val="center"/>
          </w:tcPr>
          <w:p w14:paraId="56151C3C" w14:textId="40CD9CFD" w:rsidR="00AC445B" w:rsidRPr="000F0321" w:rsidRDefault="00AC445B" w:rsidP="00AC445B">
            <w:pPr>
              <w:spacing w:after="0" w:line="240" w:lineRule="exact"/>
              <w:jc w:val="center"/>
              <w:rPr>
                <w:rFonts w:ascii="Montserrat" w:hAnsi="Montserrat"/>
                <w:sz w:val="14"/>
                <w:szCs w:val="14"/>
                <w:lang w:val="en-US"/>
              </w:rPr>
            </w:pPr>
            <w:r w:rsidRPr="000F0321">
              <w:rPr>
                <w:rFonts w:ascii="Montserrat" w:hAnsi="Montserrat"/>
                <w:sz w:val="14"/>
                <w:szCs w:val="14"/>
                <w:lang w:val="en-US"/>
              </w:rPr>
              <w:t>Deutsche Bank, JP Morgan, Santander, USB</w:t>
            </w:r>
          </w:p>
        </w:tc>
        <w:tc>
          <w:tcPr>
            <w:tcW w:w="1436" w:type="dxa"/>
            <w:shd w:val="clear" w:color="auto" w:fill="F2F2F2" w:themeFill="background1" w:themeFillShade="F2"/>
            <w:noWrap/>
            <w:vAlign w:val="center"/>
          </w:tcPr>
          <w:p w14:paraId="02E9165F" w14:textId="299D4E74" w:rsidR="00AC445B" w:rsidRPr="005210C6" w:rsidRDefault="00AC445B" w:rsidP="00AC445B">
            <w:pPr>
              <w:spacing w:after="0" w:line="240" w:lineRule="exact"/>
              <w:jc w:val="right"/>
              <w:rPr>
                <w:rFonts w:ascii="Montserrat" w:hAnsi="Montserrat"/>
                <w:sz w:val="14"/>
                <w:szCs w:val="14"/>
                <w:lang w:val="es-ES_tradnl"/>
              </w:rPr>
            </w:pPr>
            <w:r w:rsidRPr="00070196">
              <w:rPr>
                <w:rFonts w:ascii="Montserrat" w:hAnsi="Montserrat"/>
                <w:sz w:val="14"/>
                <w:szCs w:val="14"/>
                <w:lang w:val="es-ES_tradnl"/>
              </w:rPr>
              <w:t>32</w:t>
            </w:r>
            <w:r>
              <w:rPr>
                <w:rFonts w:ascii="Montserrat" w:hAnsi="Montserrat"/>
                <w:sz w:val="14"/>
                <w:szCs w:val="14"/>
                <w:lang w:val="es-ES_tradnl"/>
              </w:rPr>
              <w:t>,</w:t>
            </w:r>
            <w:r w:rsidRPr="00070196">
              <w:rPr>
                <w:rFonts w:ascii="Montserrat" w:hAnsi="Montserrat"/>
                <w:sz w:val="14"/>
                <w:szCs w:val="14"/>
                <w:lang w:val="es-ES_tradnl"/>
              </w:rPr>
              <w:t>152</w:t>
            </w:r>
            <w:r>
              <w:rPr>
                <w:rFonts w:ascii="Montserrat" w:hAnsi="Montserrat"/>
                <w:sz w:val="14"/>
                <w:szCs w:val="14"/>
                <w:lang w:val="es-ES_tradnl"/>
              </w:rPr>
              <w:t>,</w:t>
            </w:r>
            <w:r w:rsidRPr="00070196">
              <w:rPr>
                <w:rFonts w:ascii="Montserrat" w:hAnsi="Montserrat"/>
                <w:sz w:val="14"/>
                <w:szCs w:val="14"/>
                <w:lang w:val="es-ES_tradnl"/>
              </w:rPr>
              <w:t>528</w:t>
            </w:r>
            <w:r>
              <w:rPr>
                <w:rFonts w:ascii="Montserrat" w:hAnsi="Montserrat"/>
                <w:sz w:val="14"/>
                <w:szCs w:val="14"/>
                <w:lang w:val="es-ES_tradnl"/>
              </w:rPr>
              <w:t>,</w:t>
            </w:r>
            <w:r w:rsidRPr="00070196">
              <w:rPr>
                <w:rFonts w:ascii="Montserrat" w:hAnsi="Montserrat"/>
                <w:sz w:val="14"/>
                <w:szCs w:val="14"/>
                <w:lang w:val="es-ES_tradnl"/>
              </w:rPr>
              <w:t>937</w:t>
            </w:r>
          </w:p>
        </w:tc>
        <w:tc>
          <w:tcPr>
            <w:tcW w:w="609" w:type="dxa"/>
            <w:shd w:val="clear" w:color="auto" w:fill="F2F2F2" w:themeFill="background1" w:themeFillShade="F2"/>
            <w:noWrap/>
            <w:vAlign w:val="center"/>
          </w:tcPr>
          <w:p w14:paraId="430BF58E" w14:textId="3AE3D9EF" w:rsidR="00AC445B" w:rsidRPr="005210C6" w:rsidRDefault="00AC445B" w:rsidP="00AC445B">
            <w:pPr>
              <w:spacing w:after="0" w:line="240" w:lineRule="exact"/>
              <w:jc w:val="center"/>
              <w:rPr>
                <w:rFonts w:ascii="Montserrat" w:hAnsi="Montserrat"/>
                <w:sz w:val="14"/>
                <w:szCs w:val="14"/>
                <w:lang w:val="es-ES_tradnl"/>
              </w:rPr>
            </w:pPr>
            <w:r w:rsidRPr="000F0321">
              <w:rPr>
                <w:rFonts w:ascii="Montserrat" w:hAnsi="Montserrat"/>
                <w:sz w:val="14"/>
                <w:szCs w:val="14"/>
                <w:lang w:val="es-ES_tradnl"/>
              </w:rPr>
              <w:t>7</w:t>
            </w:r>
          </w:p>
        </w:tc>
        <w:tc>
          <w:tcPr>
            <w:tcW w:w="708" w:type="dxa"/>
            <w:shd w:val="clear" w:color="auto" w:fill="F2F2F2" w:themeFill="background1" w:themeFillShade="F2"/>
            <w:noWrap/>
            <w:vAlign w:val="center"/>
          </w:tcPr>
          <w:p w14:paraId="3CD82786" w14:textId="522C8907" w:rsidR="00AC445B" w:rsidRPr="005210C6" w:rsidRDefault="00AC445B" w:rsidP="00AC445B">
            <w:pPr>
              <w:spacing w:after="0" w:line="240" w:lineRule="exact"/>
              <w:jc w:val="center"/>
              <w:rPr>
                <w:rFonts w:ascii="Montserrat" w:hAnsi="Montserrat"/>
                <w:sz w:val="14"/>
                <w:szCs w:val="14"/>
                <w:lang w:val="es-ES_tradnl"/>
              </w:rPr>
            </w:pPr>
            <w:r w:rsidRPr="000F0321">
              <w:rPr>
                <w:rFonts w:ascii="Montserrat" w:hAnsi="Montserrat"/>
                <w:sz w:val="14"/>
                <w:szCs w:val="14"/>
                <w:lang w:val="es-ES_tradnl"/>
              </w:rPr>
              <w:t>0</w:t>
            </w:r>
          </w:p>
        </w:tc>
        <w:tc>
          <w:tcPr>
            <w:tcW w:w="709" w:type="dxa"/>
            <w:shd w:val="clear" w:color="auto" w:fill="F2F2F2" w:themeFill="background1" w:themeFillShade="F2"/>
            <w:noWrap/>
            <w:vAlign w:val="center"/>
          </w:tcPr>
          <w:p w14:paraId="4B710F7A" w14:textId="1191BE44" w:rsidR="00AC445B" w:rsidRPr="005210C6" w:rsidRDefault="00AC445B" w:rsidP="00AC445B">
            <w:pPr>
              <w:spacing w:after="0" w:line="240" w:lineRule="exact"/>
              <w:jc w:val="center"/>
              <w:rPr>
                <w:rFonts w:ascii="Montserrat" w:hAnsi="Montserrat"/>
                <w:sz w:val="14"/>
                <w:szCs w:val="14"/>
                <w:lang w:val="es-ES_tradnl"/>
              </w:rPr>
            </w:pPr>
            <w:r w:rsidRPr="000F0321">
              <w:rPr>
                <w:rFonts w:ascii="Montserrat" w:hAnsi="Montserrat"/>
                <w:sz w:val="14"/>
                <w:szCs w:val="14"/>
                <w:lang w:val="es-ES_tradnl"/>
              </w:rPr>
              <w:t>00</w:t>
            </w:r>
          </w:p>
        </w:tc>
        <w:tc>
          <w:tcPr>
            <w:tcW w:w="709" w:type="dxa"/>
            <w:shd w:val="clear" w:color="auto" w:fill="F2F2F2" w:themeFill="background1" w:themeFillShade="F2"/>
            <w:noWrap/>
            <w:vAlign w:val="center"/>
          </w:tcPr>
          <w:p w14:paraId="4B6BA651" w14:textId="1F3CFFB0" w:rsidR="00AC445B" w:rsidRPr="005210C6" w:rsidRDefault="00AC445B" w:rsidP="00AC445B">
            <w:pPr>
              <w:spacing w:after="0" w:line="240" w:lineRule="exact"/>
              <w:jc w:val="center"/>
              <w:rPr>
                <w:rFonts w:ascii="Montserrat" w:hAnsi="Montserrat"/>
                <w:sz w:val="14"/>
                <w:szCs w:val="14"/>
                <w:lang w:val="es-ES_tradnl"/>
              </w:rPr>
            </w:pPr>
            <w:r w:rsidRPr="000F0321">
              <w:rPr>
                <w:rFonts w:ascii="Montserrat" w:hAnsi="Montserrat"/>
                <w:sz w:val="14"/>
                <w:szCs w:val="14"/>
                <w:lang w:val="es-ES_tradnl"/>
              </w:rPr>
              <w:t>00</w:t>
            </w:r>
          </w:p>
        </w:tc>
        <w:tc>
          <w:tcPr>
            <w:tcW w:w="567" w:type="dxa"/>
            <w:shd w:val="clear" w:color="auto" w:fill="F2F2F2" w:themeFill="background1" w:themeFillShade="F2"/>
            <w:noWrap/>
            <w:vAlign w:val="center"/>
          </w:tcPr>
          <w:p w14:paraId="7BD859F3" w14:textId="77777777" w:rsidR="00AC445B" w:rsidRPr="005210C6" w:rsidRDefault="00AC445B" w:rsidP="00AC445B">
            <w:pPr>
              <w:spacing w:after="0" w:line="240" w:lineRule="exact"/>
              <w:jc w:val="right"/>
              <w:rPr>
                <w:rFonts w:ascii="Montserrat" w:hAnsi="Montserrat"/>
                <w:sz w:val="14"/>
                <w:szCs w:val="14"/>
                <w:lang w:val="es-ES_tradnl"/>
              </w:rPr>
            </w:pPr>
          </w:p>
        </w:tc>
        <w:tc>
          <w:tcPr>
            <w:tcW w:w="884" w:type="dxa"/>
            <w:shd w:val="clear" w:color="auto" w:fill="F2F2F2" w:themeFill="background1" w:themeFillShade="F2"/>
            <w:noWrap/>
            <w:vAlign w:val="center"/>
          </w:tcPr>
          <w:p w14:paraId="35FFA807" w14:textId="77777777" w:rsidR="00AC445B" w:rsidRPr="005210C6" w:rsidRDefault="00AC445B" w:rsidP="00AC445B">
            <w:pPr>
              <w:spacing w:after="0" w:line="240" w:lineRule="exact"/>
              <w:jc w:val="right"/>
              <w:rPr>
                <w:rFonts w:ascii="Montserrat" w:hAnsi="Montserrat"/>
                <w:sz w:val="14"/>
                <w:szCs w:val="14"/>
                <w:lang w:val="es-ES_tradnl"/>
              </w:rPr>
            </w:pPr>
          </w:p>
        </w:tc>
        <w:tc>
          <w:tcPr>
            <w:tcW w:w="533" w:type="dxa"/>
            <w:shd w:val="clear" w:color="auto" w:fill="F2F2F2" w:themeFill="background1" w:themeFillShade="F2"/>
            <w:noWrap/>
            <w:vAlign w:val="center"/>
          </w:tcPr>
          <w:p w14:paraId="2BDDEBFC" w14:textId="77777777" w:rsidR="00AC445B" w:rsidRPr="005210C6" w:rsidRDefault="00AC445B" w:rsidP="00AC445B">
            <w:pPr>
              <w:spacing w:after="0" w:line="240" w:lineRule="exact"/>
              <w:jc w:val="right"/>
              <w:rPr>
                <w:rFonts w:ascii="Montserrat" w:hAnsi="Montserrat"/>
                <w:sz w:val="14"/>
                <w:szCs w:val="14"/>
                <w:lang w:val="es-ES_tradnl"/>
              </w:rPr>
            </w:pPr>
          </w:p>
        </w:tc>
        <w:tc>
          <w:tcPr>
            <w:tcW w:w="675" w:type="dxa"/>
            <w:shd w:val="clear" w:color="auto" w:fill="F2F2F2" w:themeFill="background1" w:themeFillShade="F2"/>
            <w:noWrap/>
            <w:vAlign w:val="center"/>
          </w:tcPr>
          <w:p w14:paraId="7BB2FB69" w14:textId="77777777" w:rsidR="00AC445B" w:rsidRPr="005210C6" w:rsidRDefault="00AC445B" w:rsidP="00AC445B">
            <w:pPr>
              <w:spacing w:after="0" w:line="240" w:lineRule="exact"/>
              <w:jc w:val="right"/>
              <w:rPr>
                <w:rFonts w:ascii="Montserrat" w:hAnsi="Montserrat"/>
                <w:sz w:val="14"/>
                <w:szCs w:val="14"/>
                <w:lang w:val="es-ES_tradnl"/>
              </w:rPr>
            </w:pPr>
          </w:p>
        </w:tc>
        <w:tc>
          <w:tcPr>
            <w:tcW w:w="602" w:type="dxa"/>
            <w:shd w:val="clear" w:color="auto" w:fill="F2F2F2" w:themeFill="background1" w:themeFillShade="F2"/>
            <w:noWrap/>
            <w:vAlign w:val="center"/>
          </w:tcPr>
          <w:p w14:paraId="1C63D552" w14:textId="77777777" w:rsidR="00AC445B" w:rsidRPr="005210C6" w:rsidRDefault="00AC445B" w:rsidP="00AC445B">
            <w:pPr>
              <w:spacing w:after="0" w:line="240" w:lineRule="exact"/>
              <w:jc w:val="right"/>
              <w:rPr>
                <w:rFonts w:ascii="Montserrat" w:hAnsi="Montserrat"/>
                <w:sz w:val="14"/>
                <w:szCs w:val="14"/>
                <w:lang w:val="es-ES_tradnl"/>
              </w:rPr>
            </w:pPr>
          </w:p>
        </w:tc>
        <w:tc>
          <w:tcPr>
            <w:tcW w:w="567" w:type="dxa"/>
            <w:shd w:val="clear" w:color="auto" w:fill="F2F2F2" w:themeFill="background1" w:themeFillShade="F2"/>
            <w:noWrap/>
            <w:vAlign w:val="center"/>
          </w:tcPr>
          <w:p w14:paraId="3CFB6D1A" w14:textId="77777777" w:rsidR="00AC445B" w:rsidRPr="005210C6" w:rsidRDefault="00AC445B" w:rsidP="00AC445B">
            <w:pPr>
              <w:spacing w:after="0" w:line="240" w:lineRule="exact"/>
              <w:jc w:val="right"/>
              <w:rPr>
                <w:rFonts w:ascii="Montserrat" w:hAnsi="Montserrat"/>
                <w:sz w:val="14"/>
                <w:szCs w:val="14"/>
                <w:lang w:val="es-ES_tradnl"/>
              </w:rPr>
            </w:pPr>
          </w:p>
        </w:tc>
        <w:tc>
          <w:tcPr>
            <w:tcW w:w="849" w:type="dxa"/>
            <w:shd w:val="clear" w:color="auto" w:fill="F2F2F2" w:themeFill="background1" w:themeFillShade="F2"/>
            <w:noWrap/>
            <w:vAlign w:val="center"/>
          </w:tcPr>
          <w:p w14:paraId="14954EC5" w14:textId="5E2CC43F" w:rsidR="00AC445B" w:rsidRPr="005210C6" w:rsidRDefault="00AC445B" w:rsidP="00AC445B">
            <w:pPr>
              <w:spacing w:after="0" w:line="240" w:lineRule="exact"/>
              <w:jc w:val="right"/>
              <w:rPr>
                <w:rFonts w:ascii="Montserrat" w:hAnsi="Montserrat"/>
                <w:sz w:val="14"/>
                <w:szCs w:val="14"/>
                <w:lang w:val="es-ES_tradnl"/>
              </w:rPr>
            </w:pPr>
            <w:r w:rsidRPr="000F0321">
              <w:rPr>
                <w:rFonts w:ascii="Montserrat" w:hAnsi="Montserrat"/>
                <w:sz w:val="14"/>
                <w:szCs w:val="14"/>
                <w:lang w:val="es-ES_tradnl"/>
              </w:rPr>
              <w:t>1.6250%</w:t>
            </w:r>
          </w:p>
        </w:tc>
        <w:tc>
          <w:tcPr>
            <w:tcW w:w="947" w:type="dxa"/>
            <w:shd w:val="clear" w:color="auto" w:fill="F2F2F2" w:themeFill="background1" w:themeFillShade="F2"/>
            <w:noWrap/>
            <w:vAlign w:val="bottom"/>
          </w:tcPr>
          <w:p w14:paraId="3EFBAA9E" w14:textId="77777777" w:rsidR="00AC445B" w:rsidRPr="005210C6" w:rsidRDefault="00AC445B" w:rsidP="00AC445B">
            <w:pPr>
              <w:spacing w:after="0" w:line="240" w:lineRule="exact"/>
              <w:jc w:val="right"/>
              <w:rPr>
                <w:rFonts w:ascii="Montserrat" w:hAnsi="Montserrat"/>
                <w:sz w:val="14"/>
                <w:szCs w:val="14"/>
                <w:lang w:val="es-ES_tradnl"/>
              </w:rPr>
            </w:pPr>
          </w:p>
        </w:tc>
      </w:tr>
      <w:tr w:rsidR="00AC445B" w:rsidRPr="005210C6" w14:paraId="0949562B" w14:textId="77777777" w:rsidTr="00AC445B">
        <w:trPr>
          <w:trHeight w:val="240"/>
          <w:jc w:val="center"/>
        </w:trPr>
        <w:tc>
          <w:tcPr>
            <w:tcW w:w="1312" w:type="dxa"/>
            <w:shd w:val="clear" w:color="auto" w:fill="F2F2F2" w:themeFill="background1" w:themeFillShade="F2"/>
            <w:noWrap/>
            <w:vAlign w:val="bottom"/>
          </w:tcPr>
          <w:p w14:paraId="00E66DC1" w14:textId="77777777" w:rsidR="00AC445B" w:rsidRPr="005210C6" w:rsidRDefault="00AC445B" w:rsidP="00AC445B">
            <w:pPr>
              <w:spacing w:after="0" w:line="240" w:lineRule="exact"/>
              <w:rPr>
                <w:rFonts w:ascii="Montserrat" w:hAnsi="Montserrat"/>
                <w:bCs/>
                <w:sz w:val="14"/>
                <w:szCs w:val="14"/>
                <w:lang w:val="es-ES_tradnl"/>
              </w:rPr>
            </w:pPr>
          </w:p>
        </w:tc>
        <w:tc>
          <w:tcPr>
            <w:tcW w:w="565" w:type="dxa"/>
            <w:vMerge/>
            <w:shd w:val="clear" w:color="auto" w:fill="F2F2F2" w:themeFill="background1" w:themeFillShade="F2"/>
            <w:noWrap/>
            <w:vAlign w:val="center"/>
          </w:tcPr>
          <w:p w14:paraId="230D3D63" w14:textId="77777777" w:rsidR="00AC445B" w:rsidRPr="005210C6" w:rsidRDefault="00AC445B" w:rsidP="00AC445B">
            <w:pPr>
              <w:spacing w:after="0" w:line="240" w:lineRule="exact"/>
              <w:rPr>
                <w:rFonts w:ascii="Montserrat" w:hAnsi="Montserrat"/>
                <w:sz w:val="14"/>
                <w:szCs w:val="14"/>
                <w:lang w:val="es-ES_tradnl"/>
              </w:rPr>
            </w:pPr>
          </w:p>
        </w:tc>
        <w:tc>
          <w:tcPr>
            <w:tcW w:w="494" w:type="dxa"/>
            <w:vMerge/>
            <w:shd w:val="clear" w:color="auto" w:fill="F2F2F2" w:themeFill="background1" w:themeFillShade="F2"/>
            <w:noWrap/>
            <w:vAlign w:val="center"/>
          </w:tcPr>
          <w:p w14:paraId="4DF8C240" w14:textId="77777777" w:rsidR="00AC445B" w:rsidRPr="005210C6" w:rsidRDefault="00AC445B" w:rsidP="00AC445B">
            <w:pPr>
              <w:spacing w:after="0" w:line="240" w:lineRule="exact"/>
              <w:rPr>
                <w:rFonts w:ascii="Montserrat" w:hAnsi="Montserrat"/>
                <w:sz w:val="14"/>
                <w:szCs w:val="14"/>
                <w:lang w:val="es-ES_tradnl"/>
              </w:rPr>
            </w:pPr>
          </w:p>
        </w:tc>
        <w:tc>
          <w:tcPr>
            <w:tcW w:w="2194" w:type="dxa"/>
            <w:gridSpan w:val="2"/>
            <w:vMerge/>
            <w:shd w:val="clear" w:color="auto" w:fill="F2F2F2" w:themeFill="background1" w:themeFillShade="F2"/>
            <w:noWrap/>
            <w:vAlign w:val="center"/>
          </w:tcPr>
          <w:p w14:paraId="5B40FAEF" w14:textId="77777777" w:rsidR="00AC445B" w:rsidRPr="005210C6" w:rsidRDefault="00AC445B" w:rsidP="00AC445B">
            <w:pPr>
              <w:spacing w:after="0" w:line="240" w:lineRule="exact"/>
              <w:jc w:val="center"/>
              <w:rPr>
                <w:rFonts w:ascii="Montserrat" w:hAnsi="Montserrat"/>
                <w:sz w:val="14"/>
                <w:szCs w:val="14"/>
                <w:lang w:val="es-ES_tradnl"/>
              </w:rPr>
            </w:pPr>
          </w:p>
        </w:tc>
        <w:tc>
          <w:tcPr>
            <w:tcW w:w="1436" w:type="dxa"/>
            <w:shd w:val="clear" w:color="auto" w:fill="F2F2F2" w:themeFill="background1" w:themeFillShade="F2"/>
            <w:noWrap/>
            <w:vAlign w:val="center"/>
          </w:tcPr>
          <w:p w14:paraId="66E797B6" w14:textId="12D79368" w:rsidR="00AC445B" w:rsidRPr="005210C6" w:rsidRDefault="00AC445B" w:rsidP="00AC445B">
            <w:pPr>
              <w:spacing w:after="0" w:line="240" w:lineRule="exact"/>
              <w:jc w:val="right"/>
              <w:rPr>
                <w:rFonts w:ascii="Montserrat" w:hAnsi="Montserrat"/>
                <w:sz w:val="14"/>
                <w:szCs w:val="14"/>
                <w:lang w:val="es-ES_tradnl"/>
              </w:rPr>
            </w:pPr>
            <w:r w:rsidRPr="00070196">
              <w:rPr>
                <w:rFonts w:ascii="Montserrat" w:hAnsi="Montserrat"/>
                <w:sz w:val="14"/>
                <w:szCs w:val="14"/>
                <w:lang w:val="es-ES_tradnl"/>
              </w:rPr>
              <w:t>21</w:t>
            </w:r>
            <w:r>
              <w:rPr>
                <w:rFonts w:ascii="Montserrat" w:hAnsi="Montserrat"/>
                <w:sz w:val="14"/>
                <w:szCs w:val="14"/>
                <w:lang w:val="es-ES_tradnl"/>
              </w:rPr>
              <w:t>,</w:t>
            </w:r>
            <w:r w:rsidRPr="00070196">
              <w:rPr>
                <w:rFonts w:ascii="Montserrat" w:hAnsi="Montserrat"/>
                <w:sz w:val="14"/>
                <w:szCs w:val="14"/>
                <w:lang w:val="es-ES_tradnl"/>
              </w:rPr>
              <w:t>190</w:t>
            </w:r>
            <w:r>
              <w:rPr>
                <w:rFonts w:ascii="Montserrat" w:hAnsi="Montserrat"/>
                <w:sz w:val="14"/>
                <w:szCs w:val="14"/>
                <w:lang w:val="es-ES_tradnl"/>
              </w:rPr>
              <w:t>,</w:t>
            </w:r>
            <w:r w:rsidRPr="00070196">
              <w:rPr>
                <w:rFonts w:ascii="Montserrat" w:hAnsi="Montserrat"/>
                <w:sz w:val="14"/>
                <w:szCs w:val="14"/>
                <w:lang w:val="es-ES_tradnl"/>
              </w:rPr>
              <w:t>827</w:t>
            </w:r>
            <w:r>
              <w:rPr>
                <w:rFonts w:ascii="Montserrat" w:hAnsi="Montserrat"/>
                <w:sz w:val="14"/>
                <w:szCs w:val="14"/>
                <w:lang w:val="es-ES_tradnl"/>
              </w:rPr>
              <w:t>,</w:t>
            </w:r>
            <w:r w:rsidRPr="00070196">
              <w:rPr>
                <w:rFonts w:ascii="Montserrat" w:hAnsi="Montserrat"/>
                <w:sz w:val="14"/>
                <w:szCs w:val="14"/>
                <w:lang w:val="es-ES_tradnl"/>
              </w:rPr>
              <w:t>775</w:t>
            </w:r>
          </w:p>
        </w:tc>
        <w:tc>
          <w:tcPr>
            <w:tcW w:w="609" w:type="dxa"/>
            <w:shd w:val="clear" w:color="auto" w:fill="F2F2F2" w:themeFill="background1" w:themeFillShade="F2"/>
            <w:noWrap/>
            <w:vAlign w:val="center"/>
          </w:tcPr>
          <w:p w14:paraId="5DB408BE" w14:textId="0229B345" w:rsidR="00AC445B" w:rsidRPr="005210C6" w:rsidRDefault="00AC445B" w:rsidP="00AC445B">
            <w:pPr>
              <w:spacing w:after="0" w:line="240" w:lineRule="exact"/>
              <w:jc w:val="center"/>
              <w:rPr>
                <w:rFonts w:ascii="Montserrat" w:hAnsi="Montserrat"/>
                <w:sz w:val="14"/>
                <w:szCs w:val="14"/>
                <w:lang w:val="es-ES_tradnl"/>
              </w:rPr>
            </w:pPr>
            <w:r w:rsidRPr="000F0321">
              <w:rPr>
                <w:rFonts w:ascii="Montserrat" w:hAnsi="Montserrat"/>
                <w:sz w:val="14"/>
                <w:szCs w:val="14"/>
                <w:lang w:val="es-ES_tradnl"/>
              </w:rPr>
              <w:t>20</w:t>
            </w:r>
          </w:p>
        </w:tc>
        <w:tc>
          <w:tcPr>
            <w:tcW w:w="708" w:type="dxa"/>
            <w:shd w:val="clear" w:color="auto" w:fill="F2F2F2" w:themeFill="background1" w:themeFillShade="F2"/>
            <w:noWrap/>
            <w:vAlign w:val="center"/>
          </w:tcPr>
          <w:p w14:paraId="5EC042E1" w14:textId="14CF179D" w:rsidR="00AC445B" w:rsidRPr="005210C6" w:rsidRDefault="00AC445B" w:rsidP="00AC445B">
            <w:pPr>
              <w:spacing w:after="0" w:line="240" w:lineRule="exact"/>
              <w:jc w:val="center"/>
              <w:rPr>
                <w:rFonts w:ascii="Montserrat" w:hAnsi="Montserrat"/>
                <w:sz w:val="14"/>
                <w:szCs w:val="14"/>
                <w:lang w:val="es-ES_tradnl"/>
              </w:rPr>
            </w:pPr>
            <w:r w:rsidRPr="000F0321">
              <w:rPr>
                <w:rFonts w:ascii="Montserrat" w:hAnsi="Montserrat"/>
                <w:sz w:val="14"/>
                <w:szCs w:val="14"/>
                <w:lang w:val="es-ES_tradnl"/>
              </w:rPr>
              <w:t>0</w:t>
            </w:r>
          </w:p>
        </w:tc>
        <w:tc>
          <w:tcPr>
            <w:tcW w:w="709" w:type="dxa"/>
            <w:shd w:val="clear" w:color="auto" w:fill="F2F2F2" w:themeFill="background1" w:themeFillShade="F2"/>
            <w:noWrap/>
            <w:vAlign w:val="center"/>
          </w:tcPr>
          <w:p w14:paraId="10D2941F" w14:textId="67C9A8B1" w:rsidR="00AC445B" w:rsidRPr="005210C6" w:rsidRDefault="00AC445B" w:rsidP="00AC445B">
            <w:pPr>
              <w:spacing w:after="0" w:line="240" w:lineRule="exact"/>
              <w:jc w:val="center"/>
              <w:rPr>
                <w:rFonts w:ascii="Montserrat" w:hAnsi="Montserrat"/>
                <w:sz w:val="14"/>
                <w:szCs w:val="14"/>
                <w:lang w:val="es-ES_tradnl"/>
              </w:rPr>
            </w:pPr>
            <w:r w:rsidRPr="000F0321">
              <w:rPr>
                <w:rFonts w:ascii="Montserrat" w:hAnsi="Montserrat"/>
                <w:sz w:val="14"/>
                <w:szCs w:val="14"/>
                <w:lang w:val="es-ES_tradnl"/>
              </w:rPr>
              <w:t>00</w:t>
            </w:r>
          </w:p>
        </w:tc>
        <w:tc>
          <w:tcPr>
            <w:tcW w:w="709" w:type="dxa"/>
            <w:shd w:val="clear" w:color="auto" w:fill="F2F2F2" w:themeFill="background1" w:themeFillShade="F2"/>
            <w:noWrap/>
            <w:vAlign w:val="center"/>
          </w:tcPr>
          <w:p w14:paraId="79892FB1" w14:textId="3E598A28" w:rsidR="00AC445B" w:rsidRPr="005210C6" w:rsidRDefault="00AC445B" w:rsidP="00AC445B">
            <w:pPr>
              <w:spacing w:after="0" w:line="240" w:lineRule="exact"/>
              <w:jc w:val="center"/>
              <w:rPr>
                <w:rFonts w:ascii="Montserrat" w:hAnsi="Montserrat"/>
                <w:sz w:val="14"/>
                <w:szCs w:val="14"/>
                <w:lang w:val="es-ES_tradnl"/>
              </w:rPr>
            </w:pPr>
            <w:r w:rsidRPr="000F0321">
              <w:rPr>
                <w:rFonts w:ascii="Montserrat" w:hAnsi="Montserrat"/>
                <w:sz w:val="14"/>
                <w:szCs w:val="14"/>
                <w:lang w:val="es-ES_tradnl"/>
              </w:rPr>
              <w:t>00</w:t>
            </w:r>
          </w:p>
        </w:tc>
        <w:tc>
          <w:tcPr>
            <w:tcW w:w="567" w:type="dxa"/>
            <w:shd w:val="clear" w:color="auto" w:fill="F2F2F2" w:themeFill="background1" w:themeFillShade="F2"/>
            <w:noWrap/>
            <w:vAlign w:val="center"/>
          </w:tcPr>
          <w:p w14:paraId="1EF78F9D" w14:textId="77777777" w:rsidR="00AC445B" w:rsidRPr="005210C6" w:rsidRDefault="00AC445B" w:rsidP="00AC445B">
            <w:pPr>
              <w:spacing w:after="0" w:line="240" w:lineRule="exact"/>
              <w:jc w:val="right"/>
              <w:rPr>
                <w:rFonts w:ascii="Montserrat" w:hAnsi="Montserrat"/>
                <w:sz w:val="14"/>
                <w:szCs w:val="14"/>
                <w:lang w:val="es-ES_tradnl"/>
              </w:rPr>
            </w:pPr>
          </w:p>
        </w:tc>
        <w:tc>
          <w:tcPr>
            <w:tcW w:w="884" w:type="dxa"/>
            <w:shd w:val="clear" w:color="auto" w:fill="F2F2F2" w:themeFill="background1" w:themeFillShade="F2"/>
            <w:noWrap/>
            <w:vAlign w:val="center"/>
          </w:tcPr>
          <w:p w14:paraId="1A4D4CAF" w14:textId="77777777" w:rsidR="00AC445B" w:rsidRPr="005210C6" w:rsidRDefault="00AC445B" w:rsidP="00AC445B">
            <w:pPr>
              <w:spacing w:after="0" w:line="240" w:lineRule="exact"/>
              <w:jc w:val="right"/>
              <w:rPr>
                <w:rFonts w:ascii="Montserrat" w:hAnsi="Montserrat"/>
                <w:sz w:val="14"/>
                <w:szCs w:val="14"/>
                <w:lang w:val="es-ES_tradnl"/>
              </w:rPr>
            </w:pPr>
          </w:p>
        </w:tc>
        <w:tc>
          <w:tcPr>
            <w:tcW w:w="533" w:type="dxa"/>
            <w:shd w:val="clear" w:color="auto" w:fill="F2F2F2" w:themeFill="background1" w:themeFillShade="F2"/>
            <w:noWrap/>
            <w:vAlign w:val="center"/>
          </w:tcPr>
          <w:p w14:paraId="22839677" w14:textId="77777777" w:rsidR="00AC445B" w:rsidRPr="005210C6" w:rsidRDefault="00AC445B" w:rsidP="00AC445B">
            <w:pPr>
              <w:spacing w:after="0" w:line="240" w:lineRule="exact"/>
              <w:jc w:val="right"/>
              <w:rPr>
                <w:rFonts w:ascii="Montserrat" w:hAnsi="Montserrat"/>
                <w:sz w:val="14"/>
                <w:szCs w:val="14"/>
                <w:lang w:val="es-ES_tradnl"/>
              </w:rPr>
            </w:pPr>
          </w:p>
        </w:tc>
        <w:tc>
          <w:tcPr>
            <w:tcW w:w="675" w:type="dxa"/>
            <w:shd w:val="clear" w:color="auto" w:fill="F2F2F2" w:themeFill="background1" w:themeFillShade="F2"/>
            <w:noWrap/>
            <w:vAlign w:val="center"/>
          </w:tcPr>
          <w:p w14:paraId="2D30123F" w14:textId="77777777" w:rsidR="00AC445B" w:rsidRPr="005210C6" w:rsidRDefault="00AC445B" w:rsidP="00AC445B">
            <w:pPr>
              <w:spacing w:after="0" w:line="240" w:lineRule="exact"/>
              <w:jc w:val="right"/>
              <w:rPr>
                <w:rFonts w:ascii="Montserrat" w:hAnsi="Montserrat"/>
                <w:sz w:val="14"/>
                <w:szCs w:val="14"/>
                <w:lang w:val="es-ES_tradnl"/>
              </w:rPr>
            </w:pPr>
          </w:p>
        </w:tc>
        <w:tc>
          <w:tcPr>
            <w:tcW w:w="602" w:type="dxa"/>
            <w:shd w:val="clear" w:color="auto" w:fill="F2F2F2" w:themeFill="background1" w:themeFillShade="F2"/>
            <w:noWrap/>
            <w:vAlign w:val="center"/>
          </w:tcPr>
          <w:p w14:paraId="2838CB83" w14:textId="77777777" w:rsidR="00AC445B" w:rsidRPr="005210C6" w:rsidRDefault="00AC445B" w:rsidP="00AC445B">
            <w:pPr>
              <w:spacing w:after="0" w:line="240" w:lineRule="exact"/>
              <w:jc w:val="right"/>
              <w:rPr>
                <w:rFonts w:ascii="Montserrat" w:hAnsi="Montserrat"/>
                <w:sz w:val="14"/>
                <w:szCs w:val="14"/>
                <w:lang w:val="es-ES_tradnl"/>
              </w:rPr>
            </w:pPr>
          </w:p>
        </w:tc>
        <w:tc>
          <w:tcPr>
            <w:tcW w:w="567" w:type="dxa"/>
            <w:shd w:val="clear" w:color="auto" w:fill="F2F2F2" w:themeFill="background1" w:themeFillShade="F2"/>
            <w:noWrap/>
            <w:vAlign w:val="center"/>
          </w:tcPr>
          <w:p w14:paraId="25E42527" w14:textId="77777777" w:rsidR="00AC445B" w:rsidRPr="005210C6" w:rsidRDefault="00AC445B" w:rsidP="00AC445B">
            <w:pPr>
              <w:spacing w:after="0" w:line="240" w:lineRule="exact"/>
              <w:jc w:val="right"/>
              <w:rPr>
                <w:rFonts w:ascii="Montserrat" w:hAnsi="Montserrat"/>
                <w:sz w:val="14"/>
                <w:szCs w:val="14"/>
                <w:lang w:val="es-ES_tradnl"/>
              </w:rPr>
            </w:pPr>
          </w:p>
        </w:tc>
        <w:tc>
          <w:tcPr>
            <w:tcW w:w="849" w:type="dxa"/>
            <w:shd w:val="clear" w:color="auto" w:fill="F2F2F2" w:themeFill="background1" w:themeFillShade="F2"/>
            <w:noWrap/>
            <w:vAlign w:val="center"/>
          </w:tcPr>
          <w:p w14:paraId="3C72045D" w14:textId="76719580" w:rsidR="00AC445B" w:rsidRPr="005210C6" w:rsidRDefault="00AC445B" w:rsidP="00AC445B">
            <w:pPr>
              <w:spacing w:after="0" w:line="240" w:lineRule="exact"/>
              <w:jc w:val="right"/>
              <w:rPr>
                <w:rFonts w:ascii="Montserrat" w:hAnsi="Montserrat"/>
                <w:sz w:val="14"/>
                <w:szCs w:val="14"/>
                <w:lang w:val="es-ES_tradnl"/>
              </w:rPr>
            </w:pPr>
            <w:r w:rsidRPr="000F0321">
              <w:rPr>
                <w:rFonts w:ascii="Montserrat" w:hAnsi="Montserrat"/>
                <w:sz w:val="14"/>
                <w:szCs w:val="14"/>
                <w:lang w:val="es-ES_tradnl"/>
              </w:rPr>
              <w:t>2.8750%</w:t>
            </w:r>
          </w:p>
        </w:tc>
        <w:tc>
          <w:tcPr>
            <w:tcW w:w="947" w:type="dxa"/>
            <w:shd w:val="clear" w:color="auto" w:fill="F2F2F2" w:themeFill="background1" w:themeFillShade="F2"/>
            <w:noWrap/>
            <w:vAlign w:val="bottom"/>
          </w:tcPr>
          <w:p w14:paraId="7D1E2A4A" w14:textId="77777777" w:rsidR="00AC445B" w:rsidRPr="005210C6" w:rsidRDefault="00AC445B" w:rsidP="00AC445B">
            <w:pPr>
              <w:spacing w:after="0" w:line="240" w:lineRule="exact"/>
              <w:jc w:val="right"/>
              <w:rPr>
                <w:rFonts w:ascii="Montserrat" w:hAnsi="Montserrat"/>
                <w:sz w:val="14"/>
                <w:szCs w:val="14"/>
                <w:lang w:val="es-ES_tradnl"/>
              </w:rPr>
            </w:pPr>
          </w:p>
        </w:tc>
      </w:tr>
      <w:tr w:rsidR="00AC445B" w:rsidRPr="005210C6" w14:paraId="4DC31971" w14:textId="77777777" w:rsidTr="00AC445B">
        <w:trPr>
          <w:trHeight w:val="240"/>
          <w:jc w:val="center"/>
        </w:trPr>
        <w:tc>
          <w:tcPr>
            <w:tcW w:w="1312" w:type="dxa"/>
            <w:shd w:val="clear" w:color="auto" w:fill="F2F2F2" w:themeFill="background1" w:themeFillShade="F2"/>
            <w:noWrap/>
            <w:vAlign w:val="bottom"/>
          </w:tcPr>
          <w:p w14:paraId="71D0F759" w14:textId="77777777" w:rsidR="00AC445B" w:rsidRPr="005210C6" w:rsidRDefault="00AC445B" w:rsidP="00AC445B">
            <w:pPr>
              <w:spacing w:after="0" w:line="240" w:lineRule="exact"/>
              <w:rPr>
                <w:rFonts w:ascii="Montserrat" w:hAnsi="Montserrat"/>
                <w:bCs/>
                <w:sz w:val="14"/>
                <w:szCs w:val="14"/>
                <w:lang w:val="es-ES_tradnl"/>
              </w:rPr>
            </w:pPr>
          </w:p>
        </w:tc>
        <w:tc>
          <w:tcPr>
            <w:tcW w:w="565" w:type="dxa"/>
            <w:vMerge w:val="restart"/>
            <w:shd w:val="clear" w:color="auto" w:fill="F2F2F2" w:themeFill="background1" w:themeFillShade="F2"/>
            <w:noWrap/>
            <w:vAlign w:val="center"/>
          </w:tcPr>
          <w:p w14:paraId="78AE052B" w14:textId="593312D0" w:rsidR="00AC445B" w:rsidRPr="005210C6" w:rsidRDefault="00AC445B" w:rsidP="00AC445B">
            <w:pPr>
              <w:spacing w:after="0" w:line="240" w:lineRule="exact"/>
              <w:rPr>
                <w:rFonts w:ascii="Montserrat" w:hAnsi="Montserrat"/>
                <w:sz w:val="14"/>
                <w:szCs w:val="14"/>
                <w:lang w:val="es-ES_tradnl"/>
              </w:rPr>
            </w:pPr>
            <w:r>
              <w:rPr>
                <w:rFonts w:ascii="Montserrat" w:hAnsi="Montserrat"/>
                <w:sz w:val="14"/>
                <w:szCs w:val="14"/>
                <w:lang w:val="es-ES_tradnl"/>
              </w:rPr>
              <w:t>Jpn</w:t>
            </w:r>
            <w:r w:rsidRPr="005210C6">
              <w:rPr>
                <w:rFonts w:ascii="Montserrat" w:hAnsi="Montserrat"/>
                <w:sz w:val="14"/>
                <w:szCs w:val="14"/>
                <w:lang w:val="es-ES_tradnl"/>
              </w:rPr>
              <w:t>.</w:t>
            </w:r>
          </w:p>
        </w:tc>
        <w:tc>
          <w:tcPr>
            <w:tcW w:w="494" w:type="dxa"/>
            <w:vMerge w:val="restart"/>
            <w:shd w:val="clear" w:color="auto" w:fill="F2F2F2" w:themeFill="background1" w:themeFillShade="F2"/>
            <w:noWrap/>
            <w:vAlign w:val="center"/>
          </w:tcPr>
          <w:p w14:paraId="47093BEE" w14:textId="4C517769" w:rsidR="00AC445B" w:rsidRPr="005210C6" w:rsidRDefault="00AC445B" w:rsidP="00AC445B">
            <w:pPr>
              <w:spacing w:after="0" w:line="240" w:lineRule="exact"/>
              <w:rPr>
                <w:rFonts w:ascii="Montserrat" w:hAnsi="Montserrat"/>
                <w:sz w:val="14"/>
                <w:szCs w:val="14"/>
                <w:lang w:val="es-ES_tradnl"/>
              </w:rPr>
            </w:pPr>
            <w:r>
              <w:rPr>
                <w:rFonts w:ascii="Montserrat" w:hAnsi="Montserrat"/>
                <w:sz w:val="14"/>
                <w:szCs w:val="14"/>
                <w:lang w:val="es-ES_tradnl"/>
              </w:rPr>
              <w:t>Yen</w:t>
            </w:r>
          </w:p>
        </w:tc>
        <w:tc>
          <w:tcPr>
            <w:tcW w:w="2194" w:type="dxa"/>
            <w:gridSpan w:val="2"/>
            <w:vMerge w:val="restart"/>
            <w:shd w:val="clear" w:color="auto" w:fill="F2F2F2" w:themeFill="background1" w:themeFillShade="F2"/>
            <w:noWrap/>
            <w:vAlign w:val="center"/>
          </w:tcPr>
          <w:p w14:paraId="484CF64C" w14:textId="14650A9F" w:rsidR="00AC445B" w:rsidRPr="005210C6" w:rsidRDefault="00AC445B" w:rsidP="00AC445B">
            <w:pPr>
              <w:spacing w:after="0" w:line="240" w:lineRule="exact"/>
              <w:jc w:val="center"/>
              <w:rPr>
                <w:rFonts w:ascii="Montserrat" w:hAnsi="Montserrat"/>
                <w:sz w:val="14"/>
                <w:szCs w:val="14"/>
                <w:lang w:val="es-ES_tradnl"/>
              </w:rPr>
            </w:pPr>
            <w:r w:rsidRPr="00070196">
              <w:rPr>
                <w:rFonts w:ascii="Montserrat" w:hAnsi="Montserrat"/>
                <w:sz w:val="14"/>
                <w:szCs w:val="14"/>
                <w:lang w:val="es-ES_tradnl"/>
              </w:rPr>
              <w:t>Mizuho, Nomura  y SMBC Nikko</w:t>
            </w:r>
          </w:p>
        </w:tc>
        <w:tc>
          <w:tcPr>
            <w:tcW w:w="1436" w:type="dxa"/>
            <w:shd w:val="clear" w:color="auto" w:fill="F2F2F2" w:themeFill="background1" w:themeFillShade="F2"/>
            <w:noWrap/>
            <w:vAlign w:val="center"/>
          </w:tcPr>
          <w:p w14:paraId="4B919D79" w14:textId="733EB965" w:rsidR="00AC445B" w:rsidRPr="005210C6" w:rsidRDefault="00AC445B" w:rsidP="00AC445B">
            <w:pPr>
              <w:spacing w:after="0" w:line="240" w:lineRule="exact"/>
              <w:jc w:val="right"/>
              <w:rPr>
                <w:rFonts w:ascii="Montserrat" w:hAnsi="Montserrat"/>
                <w:sz w:val="14"/>
                <w:szCs w:val="14"/>
                <w:lang w:val="es-ES_tradnl"/>
              </w:rPr>
            </w:pPr>
            <w:r w:rsidRPr="00070196">
              <w:rPr>
                <w:rFonts w:ascii="Montserrat" w:hAnsi="Montserrat"/>
                <w:sz w:val="14"/>
                <w:szCs w:val="14"/>
                <w:lang w:val="es-ES_tradnl"/>
              </w:rPr>
              <w:t>11</w:t>
            </w:r>
            <w:r>
              <w:rPr>
                <w:rFonts w:ascii="Montserrat" w:hAnsi="Montserrat"/>
                <w:sz w:val="14"/>
                <w:szCs w:val="14"/>
                <w:lang w:val="es-ES_tradnl"/>
              </w:rPr>
              <w:t>,</w:t>
            </w:r>
            <w:r w:rsidRPr="00070196">
              <w:rPr>
                <w:rFonts w:ascii="Montserrat" w:hAnsi="Montserrat"/>
                <w:sz w:val="14"/>
                <w:szCs w:val="14"/>
                <w:lang w:val="es-ES_tradnl"/>
              </w:rPr>
              <w:t>542</w:t>
            </w:r>
            <w:r>
              <w:rPr>
                <w:rFonts w:ascii="Montserrat" w:hAnsi="Montserrat"/>
                <w:sz w:val="14"/>
                <w:szCs w:val="14"/>
                <w:lang w:val="es-ES_tradnl"/>
              </w:rPr>
              <w:t>,</w:t>
            </w:r>
            <w:r w:rsidRPr="00070196">
              <w:rPr>
                <w:rFonts w:ascii="Montserrat" w:hAnsi="Montserrat"/>
                <w:sz w:val="14"/>
                <w:szCs w:val="14"/>
                <w:lang w:val="es-ES_tradnl"/>
              </w:rPr>
              <w:t>097</w:t>
            </w:r>
            <w:r>
              <w:rPr>
                <w:rFonts w:ascii="Montserrat" w:hAnsi="Montserrat"/>
                <w:sz w:val="14"/>
                <w:szCs w:val="14"/>
                <w:lang w:val="es-ES_tradnl"/>
              </w:rPr>
              <w:t>,</w:t>
            </w:r>
            <w:r w:rsidRPr="00070196">
              <w:rPr>
                <w:rFonts w:ascii="Montserrat" w:hAnsi="Montserrat"/>
                <w:sz w:val="14"/>
                <w:szCs w:val="14"/>
                <w:lang w:val="es-ES_tradnl"/>
              </w:rPr>
              <w:t>498</w:t>
            </w:r>
          </w:p>
        </w:tc>
        <w:tc>
          <w:tcPr>
            <w:tcW w:w="609" w:type="dxa"/>
            <w:shd w:val="clear" w:color="auto" w:fill="F2F2F2" w:themeFill="background1" w:themeFillShade="F2"/>
            <w:noWrap/>
            <w:vAlign w:val="center"/>
          </w:tcPr>
          <w:p w14:paraId="2C52F8F5" w14:textId="0C16040A" w:rsidR="00AC445B" w:rsidRPr="005210C6" w:rsidRDefault="00AC445B" w:rsidP="00AC445B">
            <w:pPr>
              <w:spacing w:after="0" w:line="240" w:lineRule="exact"/>
              <w:jc w:val="center"/>
              <w:rPr>
                <w:rFonts w:ascii="Montserrat" w:hAnsi="Montserrat"/>
                <w:sz w:val="14"/>
                <w:szCs w:val="14"/>
                <w:lang w:val="es-ES_tradnl"/>
              </w:rPr>
            </w:pPr>
            <w:r w:rsidRPr="000F0321">
              <w:rPr>
                <w:rFonts w:ascii="Montserrat" w:hAnsi="Montserrat"/>
                <w:sz w:val="14"/>
                <w:szCs w:val="14"/>
                <w:lang w:val="es-ES_tradnl"/>
              </w:rPr>
              <w:t>3</w:t>
            </w:r>
          </w:p>
        </w:tc>
        <w:tc>
          <w:tcPr>
            <w:tcW w:w="708" w:type="dxa"/>
            <w:shd w:val="clear" w:color="auto" w:fill="F2F2F2" w:themeFill="background1" w:themeFillShade="F2"/>
            <w:noWrap/>
            <w:vAlign w:val="center"/>
          </w:tcPr>
          <w:p w14:paraId="0625AC38" w14:textId="43A5AF80" w:rsidR="00AC445B" w:rsidRPr="005210C6" w:rsidRDefault="00AC445B" w:rsidP="00AC445B">
            <w:pPr>
              <w:spacing w:after="0" w:line="240" w:lineRule="exact"/>
              <w:jc w:val="center"/>
              <w:rPr>
                <w:rFonts w:ascii="Montserrat" w:hAnsi="Montserrat"/>
                <w:sz w:val="14"/>
                <w:szCs w:val="14"/>
                <w:lang w:val="es-ES_tradnl"/>
              </w:rPr>
            </w:pPr>
            <w:r w:rsidRPr="000F0321">
              <w:rPr>
                <w:rFonts w:ascii="Montserrat" w:hAnsi="Montserrat"/>
                <w:sz w:val="14"/>
                <w:szCs w:val="14"/>
                <w:lang w:val="es-ES_tradnl"/>
              </w:rPr>
              <w:t>0</w:t>
            </w:r>
          </w:p>
        </w:tc>
        <w:tc>
          <w:tcPr>
            <w:tcW w:w="709" w:type="dxa"/>
            <w:shd w:val="clear" w:color="auto" w:fill="F2F2F2" w:themeFill="background1" w:themeFillShade="F2"/>
            <w:noWrap/>
            <w:vAlign w:val="center"/>
          </w:tcPr>
          <w:p w14:paraId="6E4C9252" w14:textId="464AA05C" w:rsidR="00AC445B" w:rsidRPr="005210C6" w:rsidRDefault="00AC445B" w:rsidP="00AC445B">
            <w:pPr>
              <w:spacing w:after="0" w:line="240" w:lineRule="exact"/>
              <w:jc w:val="center"/>
              <w:rPr>
                <w:rFonts w:ascii="Montserrat" w:hAnsi="Montserrat"/>
                <w:sz w:val="14"/>
                <w:szCs w:val="14"/>
                <w:lang w:val="es-ES_tradnl"/>
              </w:rPr>
            </w:pPr>
            <w:r w:rsidRPr="000F0321">
              <w:rPr>
                <w:rFonts w:ascii="Montserrat" w:hAnsi="Montserrat"/>
                <w:sz w:val="14"/>
                <w:szCs w:val="14"/>
                <w:lang w:val="es-ES_tradnl"/>
              </w:rPr>
              <w:t>00</w:t>
            </w:r>
          </w:p>
        </w:tc>
        <w:tc>
          <w:tcPr>
            <w:tcW w:w="709" w:type="dxa"/>
            <w:shd w:val="clear" w:color="auto" w:fill="F2F2F2" w:themeFill="background1" w:themeFillShade="F2"/>
            <w:noWrap/>
            <w:vAlign w:val="center"/>
          </w:tcPr>
          <w:p w14:paraId="0A96338D" w14:textId="37F6C19D" w:rsidR="00AC445B" w:rsidRPr="005210C6" w:rsidRDefault="00AC445B" w:rsidP="00AC445B">
            <w:pPr>
              <w:spacing w:after="0" w:line="240" w:lineRule="exact"/>
              <w:jc w:val="center"/>
              <w:rPr>
                <w:rFonts w:ascii="Montserrat" w:hAnsi="Montserrat"/>
                <w:sz w:val="14"/>
                <w:szCs w:val="14"/>
                <w:lang w:val="es-ES_tradnl"/>
              </w:rPr>
            </w:pPr>
            <w:r w:rsidRPr="000F0321">
              <w:rPr>
                <w:rFonts w:ascii="Montserrat" w:hAnsi="Montserrat"/>
                <w:sz w:val="14"/>
                <w:szCs w:val="14"/>
                <w:lang w:val="es-ES_tradnl"/>
              </w:rPr>
              <w:t>00</w:t>
            </w:r>
          </w:p>
        </w:tc>
        <w:tc>
          <w:tcPr>
            <w:tcW w:w="567" w:type="dxa"/>
            <w:shd w:val="clear" w:color="auto" w:fill="F2F2F2" w:themeFill="background1" w:themeFillShade="F2"/>
            <w:noWrap/>
            <w:vAlign w:val="center"/>
          </w:tcPr>
          <w:p w14:paraId="3F446118" w14:textId="77777777" w:rsidR="00AC445B" w:rsidRPr="005210C6" w:rsidRDefault="00AC445B" w:rsidP="00AC445B">
            <w:pPr>
              <w:spacing w:after="0" w:line="240" w:lineRule="exact"/>
              <w:jc w:val="right"/>
              <w:rPr>
                <w:rFonts w:ascii="Montserrat" w:hAnsi="Montserrat"/>
                <w:sz w:val="14"/>
                <w:szCs w:val="14"/>
                <w:lang w:val="es-ES_tradnl"/>
              </w:rPr>
            </w:pPr>
          </w:p>
        </w:tc>
        <w:tc>
          <w:tcPr>
            <w:tcW w:w="884" w:type="dxa"/>
            <w:shd w:val="clear" w:color="auto" w:fill="F2F2F2" w:themeFill="background1" w:themeFillShade="F2"/>
            <w:noWrap/>
            <w:vAlign w:val="center"/>
          </w:tcPr>
          <w:p w14:paraId="3D4DAA63" w14:textId="77777777" w:rsidR="00AC445B" w:rsidRPr="005210C6" w:rsidRDefault="00AC445B" w:rsidP="00AC445B">
            <w:pPr>
              <w:spacing w:after="0" w:line="240" w:lineRule="exact"/>
              <w:jc w:val="right"/>
              <w:rPr>
                <w:rFonts w:ascii="Montserrat" w:hAnsi="Montserrat"/>
                <w:sz w:val="14"/>
                <w:szCs w:val="14"/>
                <w:lang w:val="es-ES_tradnl"/>
              </w:rPr>
            </w:pPr>
          </w:p>
        </w:tc>
        <w:tc>
          <w:tcPr>
            <w:tcW w:w="533" w:type="dxa"/>
            <w:shd w:val="clear" w:color="auto" w:fill="F2F2F2" w:themeFill="background1" w:themeFillShade="F2"/>
            <w:noWrap/>
            <w:vAlign w:val="center"/>
          </w:tcPr>
          <w:p w14:paraId="678E7B8B" w14:textId="77777777" w:rsidR="00AC445B" w:rsidRPr="005210C6" w:rsidRDefault="00AC445B" w:rsidP="00AC445B">
            <w:pPr>
              <w:spacing w:after="0" w:line="240" w:lineRule="exact"/>
              <w:jc w:val="right"/>
              <w:rPr>
                <w:rFonts w:ascii="Montserrat" w:hAnsi="Montserrat"/>
                <w:sz w:val="14"/>
                <w:szCs w:val="14"/>
                <w:lang w:val="es-ES_tradnl"/>
              </w:rPr>
            </w:pPr>
          </w:p>
        </w:tc>
        <w:tc>
          <w:tcPr>
            <w:tcW w:w="675" w:type="dxa"/>
            <w:shd w:val="clear" w:color="auto" w:fill="F2F2F2" w:themeFill="background1" w:themeFillShade="F2"/>
            <w:noWrap/>
            <w:vAlign w:val="center"/>
          </w:tcPr>
          <w:p w14:paraId="60266CB2" w14:textId="77777777" w:rsidR="00AC445B" w:rsidRPr="005210C6" w:rsidRDefault="00AC445B" w:rsidP="00AC445B">
            <w:pPr>
              <w:spacing w:after="0" w:line="240" w:lineRule="exact"/>
              <w:jc w:val="right"/>
              <w:rPr>
                <w:rFonts w:ascii="Montserrat" w:hAnsi="Montserrat"/>
                <w:sz w:val="14"/>
                <w:szCs w:val="14"/>
                <w:lang w:val="es-ES_tradnl"/>
              </w:rPr>
            </w:pPr>
          </w:p>
        </w:tc>
        <w:tc>
          <w:tcPr>
            <w:tcW w:w="602" w:type="dxa"/>
            <w:shd w:val="clear" w:color="auto" w:fill="F2F2F2" w:themeFill="background1" w:themeFillShade="F2"/>
            <w:noWrap/>
            <w:vAlign w:val="center"/>
          </w:tcPr>
          <w:p w14:paraId="3D24C367" w14:textId="77777777" w:rsidR="00AC445B" w:rsidRPr="005210C6" w:rsidRDefault="00AC445B" w:rsidP="00AC445B">
            <w:pPr>
              <w:spacing w:after="0" w:line="240" w:lineRule="exact"/>
              <w:jc w:val="right"/>
              <w:rPr>
                <w:rFonts w:ascii="Montserrat" w:hAnsi="Montserrat"/>
                <w:sz w:val="14"/>
                <w:szCs w:val="14"/>
                <w:lang w:val="es-ES_tradnl"/>
              </w:rPr>
            </w:pPr>
          </w:p>
        </w:tc>
        <w:tc>
          <w:tcPr>
            <w:tcW w:w="567" w:type="dxa"/>
            <w:shd w:val="clear" w:color="auto" w:fill="F2F2F2" w:themeFill="background1" w:themeFillShade="F2"/>
            <w:noWrap/>
            <w:vAlign w:val="center"/>
          </w:tcPr>
          <w:p w14:paraId="46691EFC" w14:textId="77777777" w:rsidR="00AC445B" w:rsidRPr="005210C6" w:rsidRDefault="00AC445B" w:rsidP="00AC445B">
            <w:pPr>
              <w:spacing w:after="0" w:line="240" w:lineRule="exact"/>
              <w:jc w:val="right"/>
              <w:rPr>
                <w:rFonts w:ascii="Montserrat" w:hAnsi="Montserrat"/>
                <w:sz w:val="14"/>
                <w:szCs w:val="14"/>
                <w:lang w:val="es-ES_tradnl"/>
              </w:rPr>
            </w:pPr>
          </w:p>
        </w:tc>
        <w:tc>
          <w:tcPr>
            <w:tcW w:w="849" w:type="dxa"/>
            <w:shd w:val="clear" w:color="auto" w:fill="F2F2F2" w:themeFill="background1" w:themeFillShade="F2"/>
            <w:noWrap/>
            <w:vAlign w:val="center"/>
          </w:tcPr>
          <w:p w14:paraId="49D677D9" w14:textId="7E814FEC" w:rsidR="00AC445B" w:rsidRPr="005210C6" w:rsidRDefault="00AC445B" w:rsidP="00AC445B">
            <w:pPr>
              <w:spacing w:after="0" w:line="240" w:lineRule="exact"/>
              <w:jc w:val="right"/>
              <w:rPr>
                <w:rFonts w:ascii="Montserrat" w:hAnsi="Montserrat"/>
                <w:sz w:val="14"/>
                <w:szCs w:val="14"/>
                <w:lang w:val="es-ES_tradnl"/>
              </w:rPr>
            </w:pPr>
            <w:r w:rsidRPr="000F0321">
              <w:rPr>
                <w:rFonts w:ascii="Montserrat" w:hAnsi="Montserrat"/>
                <w:sz w:val="14"/>
                <w:szCs w:val="14"/>
                <w:lang w:val="es-ES_tradnl"/>
              </w:rPr>
              <w:t>0.6200%</w:t>
            </w:r>
          </w:p>
        </w:tc>
        <w:tc>
          <w:tcPr>
            <w:tcW w:w="947" w:type="dxa"/>
            <w:shd w:val="clear" w:color="auto" w:fill="F2F2F2" w:themeFill="background1" w:themeFillShade="F2"/>
            <w:noWrap/>
            <w:vAlign w:val="bottom"/>
          </w:tcPr>
          <w:p w14:paraId="43C0928E" w14:textId="77777777" w:rsidR="00AC445B" w:rsidRPr="005210C6" w:rsidRDefault="00AC445B" w:rsidP="00AC445B">
            <w:pPr>
              <w:spacing w:after="0" w:line="240" w:lineRule="exact"/>
              <w:jc w:val="right"/>
              <w:rPr>
                <w:rFonts w:ascii="Montserrat" w:hAnsi="Montserrat"/>
                <w:sz w:val="14"/>
                <w:szCs w:val="14"/>
                <w:lang w:val="es-ES_tradnl"/>
              </w:rPr>
            </w:pPr>
          </w:p>
        </w:tc>
      </w:tr>
      <w:tr w:rsidR="00AC445B" w:rsidRPr="005210C6" w14:paraId="3BF664A7" w14:textId="77777777" w:rsidTr="00AC445B">
        <w:trPr>
          <w:trHeight w:val="240"/>
          <w:jc w:val="center"/>
        </w:trPr>
        <w:tc>
          <w:tcPr>
            <w:tcW w:w="1312" w:type="dxa"/>
            <w:shd w:val="clear" w:color="auto" w:fill="F2F2F2" w:themeFill="background1" w:themeFillShade="F2"/>
            <w:noWrap/>
            <w:vAlign w:val="bottom"/>
          </w:tcPr>
          <w:p w14:paraId="20BA0CC2" w14:textId="77777777" w:rsidR="00AC445B" w:rsidRPr="005210C6" w:rsidRDefault="00AC445B" w:rsidP="00AC445B">
            <w:pPr>
              <w:spacing w:after="0" w:line="240" w:lineRule="exact"/>
              <w:rPr>
                <w:rFonts w:ascii="Montserrat" w:hAnsi="Montserrat"/>
                <w:bCs/>
                <w:sz w:val="14"/>
                <w:szCs w:val="14"/>
                <w:lang w:val="es-ES_tradnl"/>
              </w:rPr>
            </w:pPr>
          </w:p>
        </w:tc>
        <w:tc>
          <w:tcPr>
            <w:tcW w:w="565" w:type="dxa"/>
            <w:vMerge/>
            <w:shd w:val="clear" w:color="auto" w:fill="F2F2F2" w:themeFill="background1" w:themeFillShade="F2"/>
            <w:noWrap/>
            <w:vAlign w:val="center"/>
          </w:tcPr>
          <w:p w14:paraId="1C883F8D" w14:textId="3E5F1F71" w:rsidR="00AC445B" w:rsidRPr="005210C6" w:rsidRDefault="00AC445B" w:rsidP="00AC445B">
            <w:pPr>
              <w:spacing w:after="0" w:line="240" w:lineRule="exact"/>
              <w:rPr>
                <w:rFonts w:ascii="Montserrat" w:hAnsi="Montserrat"/>
                <w:sz w:val="14"/>
                <w:szCs w:val="14"/>
                <w:lang w:val="es-ES_tradnl"/>
              </w:rPr>
            </w:pPr>
          </w:p>
        </w:tc>
        <w:tc>
          <w:tcPr>
            <w:tcW w:w="494" w:type="dxa"/>
            <w:vMerge/>
            <w:shd w:val="clear" w:color="auto" w:fill="F2F2F2" w:themeFill="background1" w:themeFillShade="F2"/>
            <w:noWrap/>
            <w:vAlign w:val="center"/>
          </w:tcPr>
          <w:p w14:paraId="31FACC3B" w14:textId="0323BC8A" w:rsidR="00AC445B" w:rsidRPr="005210C6" w:rsidRDefault="00AC445B" w:rsidP="00AC445B">
            <w:pPr>
              <w:spacing w:after="0" w:line="240" w:lineRule="exact"/>
              <w:rPr>
                <w:rFonts w:ascii="Montserrat" w:hAnsi="Montserrat"/>
                <w:sz w:val="14"/>
                <w:szCs w:val="14"/>
                <w:lang w:val="es-ES_tradnl"/>
              </w:rPr>
            </w:pPr>
          </w:p>
        </w:tc>
        <w:tc>
          <w:tcPr>
            <w:tcW w:w="2194" w:type="dxa"/>
            <w:gridSpan w:val="2"/>
            <w:vMerge/>
            <w:shd w:val="clear" w:color="auto" w:fill="F2F2F2" w:themeFill="background1" w:themeFillShade="F2"/>
            <w:noWrap/>
            <w:vAlign w:val="center"/>
          </w:tcPr>
          <w:p w14:paraId="7D79BC43" w14:textId="77777777" w:rsidR="00AC445B" w:rsidRPr="005210C6" w:rsidRDefault="00AC445B" w:rsidP="00AC445B">
            <w:pPr>
              <w:spacing w:after="0" w:line="240" w:lineRule="exact"/>
              <w:jc w:val="center"/>
              <w:rPr>
                <w:rFonts w:ascii="Montserrat" w:hAnsi="Montserrat"/>
                <w:sz w:val="14"/>
                <w:szCs w:val="14"/>
                <w:lang w:val="es-ES_tradnl"/>
              </w:rPr>
            </w:pPr>
          </w:p>
        </w:tc>
        <w:tc>
          <w:tcPr>
            <w:tcW w:w="1436" w:type="dxa"/>
            <w:shd w:val="clear" w:color="auto" w:fill="F2F2F2" w:themeFill="background1" w:themeFillShade="F2"/>
            <w:noWrap/>
            <w:vAlign w:val="center"/>
          </w:tcPr>
          <w:p w14:paraId="42384575" w14:textId="485B55DF" w:rsidR="00AC445B" w:rsidRPr="005210C6" w:rsidRDefault="00AC445B" w:rsidP="00AC445B">
            <w:pPr>
              <w:spacing w:after="0" w:line="240" w:lineRule="exact"/>
              <w:jc w:val="right"/>
              <w:rPr>
                <w:rFonts w:ascii="Montserrat" w:hAnsi="Montserrat"/>
                <w:sz w:val="14"/>
                <w:szCs w:val="14"/>
                <w:lang w:val="es-ES_tradnl"/>
              </w:rPr>
            </w:pPr>
            <w:r w:rsidRPr="00070196">
              <w:rPr>
                <w:rFonts w:ascii="Montserrat" w:hAnsi="Montserrat"/>
                <w:sz w:val="14"/>
                <w:szCs w:val="14"/>
                <w:lang w:val="es-ES_tradnl"/>
              </w:rPr>
              <w:t>7</w:t>
            </w:r>
            <w:r>
              <w:rPr>
                <w:rFonts w:ascii="Montserrat" w:hAnsi="Montserrat"/>
                <w:sz w:val="14"/>
                <w:szCs w:val="14"/>
                <w:lang w:val="es-ES_tradnl"/>
              </w:rPr>
              <w:t>,</w:t>
            </w:r>
            <w:r w:rsidRPr="00070196">
              <w:rPr>
                <w:rFonts w:ascii="Montserrat" w:hAnsi="Montserrat"/>
                <w:sz w:val="14"/>
                <w:szCs w:val="14"/>
                <w:lang w:val="es-ES_tradnl"/>
              </w:rPr>
              <w:t>260</w:t>
            </w:r>
            <w:r>
              <w:rPr>
                <w:rFonts w:ascii="Montserrat" w:hAnsi="Montserrat"/>
                <w:sz w:val="14"/>
                <w:szCs w:val="14"/>
                <w:lang w:val="es-ES_tradnl"/>
              </w:rPr>
              <w:t>,</w:t>
            </w:r>
            <w:r w:rsidRPr="00070196">
              <w:rPr>
                <w:rFonts w:ascii="Montserrat" w:hAnsi="Montserrat"/>
                <w:sz w:val="14"/>
                <w:szCs w:val="14"/>
                <w:lang w:val="es-ES_tradnl"/>
              </w:rPr>
              <w:t>043</w:t>
            </w:r>
            <w:r>
              <w:rPr>
                <w:rFonts w:ascii="Montserrat" w:hAnsi="Montserrat"/>
                <w:sz w:val="14"/>
                <w:szCs w:val="14"/>
                <w:lang w:val="es-ES_tradnl"/>
              </w:rPr>
              <w:t>,</w:t>
            </w:r>
            <w:r w:rsidRPr="00070196">
              <w:rPr>
                <w:rFonts w:ascii="Montserrat" w:hAnsi="Montserrat"/>
                <w:sz w:val="14"/>
                <w:szCs w:val="14"/>
                <w:lang w:val="es-ES_tradnl"/>
              </w:rPr>
              <w:t>000</w:t>
            </w:r>
          </w:p>
        </w:tc>
        <w:tc>
          <w:tcPr>
            <w:tcW w:w="609" w:type="dxa"/>
            <w:shd w:val="clear" w:color="auto" w:fill="F2F2F2" w:themeFill="background1" w:themeFillShade="F2"/>
            <w:noWrap/>
            <w:vAlign w:val="center"/>
          </w:tcPr>
          <w:p w14:paraId="03CD81BC" w14:textId="106E75DC" w:rsidR="00AC445B" w:rsidRPr="005210C6" w:rsidRDefault="00AC445B" w:rsidP="00AC445B">
            <w:pPr>
              <w:spacing w:after="0" w:line="240" w:lineRule="exact"/>
              <w:jc w:val="center"/>
              <w:rPr>
                <w:rFonts w:ascii="Montserrat" w:hAnsi="Montserrat"/>
                <w:sz w:val="14"/>
                <w:szCs w:val="14"/>
                <w:lang w:val="es-ES_tradnl"/>
              </w:rPr>
            </w:pPr>
            <w:r w:rsidRPr="000F0321">
              <w:rPr>
                <w:rFonts w:ascii="Montserrat" w:hAnsi="Montserrat"/>
                <w:sz w:val="14"/>
                <w:szCs w:val="14"/>
                <w:lang w:val="es-ES_tradnl"/>
              </w:rPr>
              <w:t>5</w:t>
            </w:r>
          </w:p>
        </w:tc>
        <w:tc>
          <w:tcPr>
            <w:tcW w:w="708" w:type="dxa"/>
            <w:shd w:val="clear" w:color="auto" w:fill="F2F2F2" w:themeFill="background1" w:themeFillShade="F2"/>
            <w:noWrap/>
            <w:vAlign w:val="center"/>
          </w:tcPr>
          <w:p w14:paraId="7DF6AFCE" w14:textId="78AC39E2" w:rsidR="00AC445B" w:rsidRPr="005210C6" w:rsidRDefault="00AC445B" w:rsidP="00AC445B">
            <w:pPr>
              <w:spacing w:after="0" w:line="240" w:lineRule="exact"/>
              <w:jc w:val="center"/>
              <w:rPr>
                <w:rFonts w:ascii="Montserrat" w:hAnsi="Montserrat"/>
                <w:sz w:val="14"/>
                <w:szCs w:val="14"/>
                <w:lang w:val="es-ES_tradnl"/>
              </w:rPr>
            </w:pPr>
            <w:r w:rsidRPr="000F0321">
              <w:rPr>
                <w:rFonts w:ascii="Montserrat" w:hAnsi="Montserrat"/>
                <w:sz w:val="14"/>
                <w:szCs w:val="14"/>
                <w:lang w:val="es-ES_tradnl"/>
              </w:rPr>
              <w:t>0</w:t>
            </w:r>
          </w:p>
        </w:tc>
        <w:tc>
          <w:tcPr>
            <w:tcW w:w="709" w:type="dxa"/>
            <w:shd w:val="clear" w:color="auto" w:fill="F2F2F2" w:themeFill="background1" w:themeFillShade="F2"/>
            <w:noWrap/>
            <w:vAlign w:val="center"/>
          </w:tcPr>
          <w:p w14:paraId="7BC37FF9" w14:textId="02357F74" w:rsidR="00AC445B" w:rsidRPr="005210C6" w:rsidRDefault="00AC445B" w:rsidP="00AC445B">
            <w:pPr>
              <w:spacing w:after="0" w:line="240" w:lineRule="exact"/>
              <w:jc w:val="center"/>
              <w:rPr>
                <w:rFonts w:ascii="Montserrat" w:hAnsi="Montserrat"/>
                <w:sz w:val="14"/>
                <w:szCs w:val="14"/>
                <w:lang w:val="es-ES_tradnl"/>
              </w:rPr>
            </w:pPr>
            <w:r w:rsidRPr="000F0321">
              <w:rPr>
                <w:rFonts w:ascii="Montserrat" w:hAnsi="Montserrat"/>
                <w:sz w:val="14"/>
                <w:szCs w:val="14"/>
                <w:lang w:val="es-ES_tradnl"/>
              </w:rPr>
              <w:t>00</w:t>
            </w:r>
          </w:p>
        </w:tc>
        <w:tc>
          <w:tcPr>
            <w:tcW w:w="709" w:type="dxa"/>
            <w:shd w:val="clear" w:color="auto" w:fill="F2F2F2" w:themeFill="background1" w:themeFillShade="F2"/>
            <w:noWrap/>
            <w:vAlign w:val="center"/>
          </w:tcPr>
          <w:p w14:paraId="16116354" w14:textId="59672B6E" w:rsidR="00AC445B" w:rsidRPr="005210C6" w:rsidRDefault="00AC445B" w:rsidP="00AC445B">
            <w:pPr>
              <w:spacing w:after="0" w:line="240" w:lineRule="exact"/>
              <w:jc w:val="center"/>
              <w:rPr>
                <w:rFonts w:ascii="Montserrat" w:hAnsi="Montserrat"/>
                <w:sz w:val="14"/>
                <w:szCs w:val="14"/>
                <w:lang w:val="es-ES_tradnl"/>
              </w:rPr>
            </w:pPr>
            <w:r w:rsidRPr="000F0321">
              <w:rPr>
                <w:rFonts w:ascii="Montserrat" w:hAnsi="Montserrat"/>
                <w:sz w:val="14"/>
                <w:szCs w:val="14"/>
                <w:lang w:val="es-ES_tradnl"/>
              </w:rPr>
              <w:t>00</w:t>
            </w:r>
          </w:p>
        </w:tc>
        <w:tc>
          <w:tcPr>
            <w:tcW w:w="567" w:type="dxa"/>
            <w:shd w:val="clear" w:color="auto" w:fill="F2F2F2" w:themeFill="background1" w:themeFillShade="F2"/>
            <w:noWrap/>
            <w:vAlign w:val="center"/>
          </w:tcPr>
          <w:p w14:paraId="341C4856" w14:textId="77777777" w:rsidR="00AC445B" w:rsidRPr="005210C6" w:rsidRDefault="00AC445B" w:rsidP="00AC445B">
            <w:pPr>
              <w:spacing w:after="0" w:line="240" w:lineRule="exact"/>
              <w:jc w:val="right"/>
              <w:rPr>
                <w:rFonts w:ascii="Montserrat" w:hAnsi="Montserrat"/>
                <w:sz w:val="14"/>
                <w:szCs w:val="14"/>
                <w:lang w:val="es-ES_tradnl"/>
              </w:rPr>
            </w:pPr>
          </w:p>
        </w:tc>
        <w:tc>
          <w:tcPr>
            <w:tcW w:w="884" w:type="dxa"/>
            <w:shd w:val="clear" w:color="auto" w:fill="F2F2F2" w:themeFill="background1" w:themeFillShade="F2"/>
            <w:noWrap/>
            <w:vAlign w:val="center"/>
          </w:tcPr>
          <w:p w14:paraId="3C0FD546" w14:textId="77777777" w:rsidR="00AC445B" w:rsidRPr="005210C6" w:rsidRDefault="00AC445B" w:rsidP="00AC445B">
            <w:pPr>
              <w:spacing w:after="0" w:line="240" w:lineRule="exact"/>
              <w:jc w:val="right"/>
              <w:rPr>
                <w:rFonts w:ascii="Montserrat" w:hAnsi="Montserrat"/>
                <w:sz w:val="14"/>
                <w:szCs w:val="14"/>
                <w:lang w:val="es-ES_tradnl"/>
              </w:rPr>
            </w:pPr>
          </w:p>
        </w:tc>
        <w:tc>
          <w:tcPr>
            <w:tcW w:w="533" w:type="dxa"/>
            <w:shd w:val="clear" w:color="auto" w:fill="F2F2F2" w:themeFill="background1" w:themeFillShade="F2"/>
            <w:noWrap/>
            <w:vAlign w:val="center"/>
          </w:tcPr>
          <w:p w14:paraId="4675A397" w14:textId="77777777" w:rsidR="00AC445B" w:rsidRPr="005210C6" w:rsidRDefault="00AC445B" w:rsidP="00AC445B">
            <w:pPr>
              <w:spacing w:after="0" w:line="240" w:lineRule="exact"/>
              <w:jc w:val="right"/>
              <w:rPr>
                <w:rFonts w:ascii="Montserrat" w:hAnsi="Montserrat"/>
                <w:sz w:val="14"/>
                <w:szCs w:val="14"/>
                <w:lang w:val="es-ES_tradnl"/>
              </w:rPr>
            </w:pPr>
          </w:p>
        </w:tc>
        <w:tc>
          <w:tcPr>
            <w:tcW w:w="675" w:type="dxa"/>
            <w:shd w:val="clear" w:color="auto" w:fill="F2F2F2" w:themeFill="background1" w:themeFillShade="F2"/>
            <w:noWrap/>
            <w:vAlign w:val="center"/>
          </w:tcPr>
          <w:p w14:paraId="2A11A46F" w14:textId="77777777" w:rsidR="00AC445B" w:rsidRPr="005210C6" w:rsidRDefault="00AC445B" w:rsidP="00AC445B">
            <w:pPr>
              <w:spacing w:after="0" w:line="240" w:lineRule="exact"/>
              <w:jc w:val="right"/>
              <w:rPr>
                <w:rFonts w:ascii="Montserrat" w:hAnsi="Montserrat"/>
                <w:sz w:val="14"/>
                <w:szCs w:val="14"/>
                <w:lang w:val="es-ES_tradnl"/>
              </w:rPr>
            </w:pPr>
          </w:p>
        </w:tc>
        <w:tc>
          <w:tcPr>
            <w:tcW w:w="602" w:type="dxa"/>
            <w:shd w:val="clear" w:color="auto" w:fill="F2F2F2" w:themeFill="background1" w:themeFillShade="F2"/>
            <w:noWrap/>
            <w:vAlign w:val="center"/>
          </w:tcPr>
          <w:p w14:paraId="01DE023B" w14:textId="77777777" w:rsidR="00AC445B" w:rsidRPr="005210C6" w:rsidRDefault="00AC445B" w:rsidP="00AC445B">
            <w:pPr>
              <w:spacing w:after="0" w:line="240" w:lineRule="exact"/>
              <w:jc w:val="right"/>
              <w:rPr>
                <w:rFonts w:ascii="Montserrat" w:hAnsi="Montserrat"/>
                <w:sz w:val="14"/>
                <w:szCs w:val="14"/>
                <w:lang w:val="es-ES_tradnl"/>
              </w:rPr>
            </w:pPr>
          </w:p>
        </w:tc>
        <w:tc>
          <w:tcPr>
            <w:tcW w:w="567" w:type="dxa"/>
            <w:shd w:val="clear" w:color="auto" w:fill="F2F2F2" w:themeFill="background1" w:themeFillShade="F2"/>
            <w:noWrap/>
            <w:vAlign w:val="center"/>
          </w:tcPr>
          <w:p w14:paraId="3D0844FC" w14:textId="77777777" w:rsidR="00AC445B" w:rsidRPr="005210C6" w:rsidRDefault="00AC445B" w:rsidP="00AC445B">
            <w:pPr>
              <w:spacing w:after="0" w:line="240" w:lineRule="exact"/>
              <w:jc w:val="right"/>
              <w:rPr>
                <w:rFonts w:ascii="Montserrat" w:hAnsi="Montserrat"/>
                <w:sz w:val="14"/>
                <w:szCs w:val="14"/>
                <w:lang w:val="es-ES_tradnl"/>
              </w:rPr>
            </w:pPr>
          </w:p>
        </w:tc>
        <w:tc>
          <w:tcPr>
            <w:tcW w:w="849" w:type="dxa"/>
            <w:shd w:val="clear" w:color="auto" w:fill="F2F2F2" w:themeFill="background1" w:themeFillShade="F2"/>
            <w:noWrap/>
            <w:vAlign w:val="center"/>
          </w:tcPr>
          <w:p w14:paraId="014B5032" w14:textId="41E41DD3" w:rsidR="00AC445B" w:rsidRPr="005210C6" w:rsidRDefault="00AC445B" w:rsidP="00AC445B">
            <w:pPr>
              <w:spacing w:after="0" w:line="240" w:lineRule="exact"/>
              <w:jc w:val="right"/>
              <w:rPr>
                <w:rFonts w:ascii="Montserrat" w:hAnsi="Montserrat"/>
                <w:sz w:val="14"/>
                <w:szCs w:val="14"/>
                <w:lang w:val="es-ES_tradnl"/>
              </w:rPr>
            </w:pPr>
            <w:r w:rsidRPr="000F0321">
              <w:rPr>
                <w:rFonts w:ascii="Montserrat" w:hAnsi="Montserrat"/>
                <w:sz w:val="14"/>
                <w:szCs w:val="14"/>
                <w:lang w:val="es-ES_tradnl"/>
              </w:rPr>
              <w:t>0.8300%</w:t>
            </w:r>
          </w:p>
        </w:tc>
        <w:tc>
          <w:tcPr>
            <w:tcW w:w="947" w:type="dxa"/>
            <w:shd w:val="clear" w:color="auto" w:fill="F2F2F2" w:themeFill="background1" w:themeFillShade="F2"/>
            <w:noWrap/>
            <w:vAlign w:val="bottom"/>
          </w:tcPr>
          <w:p w14:paraId="41502DB6" w14:textId="77777777" w:rsidR="00AC445B" w:rsidRPr="005210C6" w:rsidRDefault="00AC445B" w:rsidP="00AC445B">
            <w:pPr>
              <w:spacing w:after="0" w:line="240" w:lineRule="exact"/>
              <w:jc w:val="right"/>
              <w:rPr>
                <w:rFonts w:ascii="Montserrat" w:hAnsi="Montserrat"/>
                <w:sz w:val="14"/>
                <w:szCs w:val="14"/>
                <w:lang w:val="es-ES_tradnl"/>
              </w:rPr>
            </w:pPr>
          </w:p>
        </w:tc>
      </w:tr>
      <w:tr w:rsidR="00AC445B" w:rsidRPr="005210C6" w14:paraId="6E398FDF" w14:textId="77777777" w:rsidTr="00AC445B">
        <w:trPr>
          <w:trHeight w:val="240"/>
          <w:jc w:val="center"/>
        </w:trPr>
        <w:tc>
          <w:tcPr>
            <w:tcW w:w="1312" w:type="dxa"/>
            <w:shd w:val="clear" w:color="auto" w:fill="F2F2F2" w:themeFill="background1" w:themeFillShade="F2"/>
            <w:noWrap/>
            <w:vAlign w:val="bottom"/>
          </w:tcPr>
          <w:p w14:paraId="1AD81006" w14:textId="77777777" w:rsidR="00AC445B" w:rsidRPr="005210C6" w:rsidRDefault="00AC445B" w:rsidP="00AC445B">
            <w:pPr>
              <w:spacing w:after="0" w:line="240" w:lineRule="exact"/>
              <w:rPr>
                <w:rFonts w:ascii="Montserrat" w:hAnsi="Montserrat"/>
                <w:bCs/>
                <w:sz w:val="14"/>
                <w:szCs w:val="14"/>
                <w:lang w:val="es-ES_tradnl"/>
              </w:rPr>
            </w:pPr>
          </w:p>
        </w:tc>
        <w:tc>
          <w:tcPr>
            <w:tcW w:w="565" w:type="dxa"/>
            <w:vMerge/>
            <w:shd w:val="clear" w:color="auto" w:fill="F2F2F2" w:themeFill="background1" w:themeFillShade="F2"/>
            <w:noWrap/>
            <w:vAlign w:val="bottom"/>
          </w:tcPr>
          <w:p w14:paraId="6DEB6F0C" w14:textId="77777777" w:rsidR="00AC445B" w:rsidRPr="005210C6" w:rsidRDefault="00AC445B" w:rsidP="00AC445B">
            <w:pPr>
              <w:spacing w:after="0" w:line="240" w:lineRule="exact"/>
              <w:rPr>
                <w:rFonts w:ascii="Montserrat" w:hAnsi="Montserrat"/>
                <w:sz w:val="14"/>
                <w:szCs w:val="14"/>
                <w:lang w:val="es-ES_tradnl"/>
              </w:rPr>
            </w:pPr>
          </w:p>
        </w:tc>
        <w:tc>
          <w:tcPr>
            <w:tcW w:w="494" w:type="dxa"/>
            <w:vMerge/>
            <w:shd w:val="clear" w:color="auto" w:fill="F2F2F2" w:themeFill="background1" w:themeFillShade="F2"/>
            <w:noWrap/>
            <w:vAlign w:val="bottom"/>
          </w:tcPr>
          <w:p w14:paraId="7C101A63" w14:textId="77777777" w:rsidR="00AC445B" w:rsidRPr="005210C6" w:rsidRDefault="00AC445B" w:rsidP="00AC445B">
            <w:pPr>
              <w:spacing w:after="0" w:line="240" w:lineRule="exact"/>
              <w:rPr>
                <w:rFonts w:ascii="Montserrat" w:hAnsi="Montserrat"/>
                <w:sz w:val="14"/>
                <w:szCs w:val="14"/>
                <w:lang w:val="es-ES_tradnl"/>
              </w:rPr>
            </w:pPr>
          </w:p>
        </w:tc>
        <w:tc>
          <w:tcPr>
            <w:tcW w:w="2194" w:type="dxa"/>
            <w:gridSpan w:val="2"/>
            <w:vMerge/>
            <w:shd w:val="clear" w:color="auto" w:fill="F2F2F2" w:themeFill="background1" w:themeFillShade="F2"/>
            <w:noWrap/>
            <w:vAlign w:val="center"/>
          </w:tcPr>
          <w:p w14:paraId="10D15210" w14:textId="77777777" w:rsidR="00AC445B" w:rsidRPr="005210C6" w:rsidRDefault="00AC445B" w:rsidP="00AC445B">
            <w:pPr>
              <w:spacing w:after="0" w:line="240" w:lineRule="exact"/>
              <w:jc w:val="center"/>
              <w:rPr>
                <w:rFonts w:ascii="Montserrat" w:hAnsi="Montserrat"/>
                <w:sz w:val="14"/>
                <w:szCs w:val="14"/>
                <w:lang w:val="es-ES_tradnl"/>
              </w:rPr>
            </w:pPr>
          </w:p>
        </w:tc>
        <w:tc>
          <w:tcPr>
            <w:tcW w:w="1436" w:type="dxa"/>
            <w:shd w:val="clear" w:color="auto" w:fill="F2F2F2" w:themeFill="background1" w:themeFillShade="F2"/>
            <w:noWrap/>
            <w:vAlign w:val="center"/>
          </w:tcPr>
          <w:p w14:paraId="4945DA4C" w14:textId="72FA215A" w:rsidR="00AC445B" w:rsidRPr="005210C6" w:rsidRDefault="00AC445B" w:rsidP="00AC445B">
            <w:pPr>
              <w:spacing w:after="0" w:line="240" w:lineRule="exact"/>
              <w:jc w:val="right"/>
              <w:rPr>
                <w:rFonts w:ascii="Montserrat" w:hAnsi="Montserrat"/>
                <w:sz w:val="14"/>
                <w:szCs w:val="14"/>
                <w:lang w:val="es-ES_tradnl"/>
              </w:rPr>
            </w:pPr>
            <w:r w:rsidRPr="00070196">
              <w:rPr>
                <w:rFonts w:ascii="Montserrat" w:hAnsi="Montserrat"/>
                <w:sz w:val="14"/>
                <w:szCs w:val="14"/>
                <w:lang w:val="es-ES_tradnl"/>
              </w:rPr>
              <w:t>4</w:t>
            </w:r>
            <w:r>
              <w:rPr>
                <w:rFonts w:ascii="Montserrat" w:hAnsi="Montserrat"/>
                <w:sz w:val="14"/>
                <w:szCs w:val="14"/>
                <w:lang w:val="es-ES_tradnl"/>
              </w:rPr>
              <w:t>,</w:t>
            </w:r>
            <w:r w:rsidRPr="00070196">
              <w:rPr>
                <w:rFonts w:ascii="Montserrat" w:hAnsi="Montserrat"/>
                <w:sz w:val="14"/>
                <w:szCs w:val="14"/>
                <w:lang w:val="es-ES_tradnl"/>
              </w:rPr>
              <w:t>809</w:t>
            </w:r>
            <w:r>
              <w:rPr>
                <w:rFonts w:ascii="Montserrat" w:hAnsi="Montserrat"/>
                <w:sz w:val="14"/>
                <w:szCs w:val="14"/>
                <w:lang w:val="es-ES_tradnl"/>
              </w:rPr>
              <w:t>,</w:t>
            </w:r>
            <w:r w:rsidRPr="00070196">
              <w:rPr>
                <w:rFonts w:ascii="Montserrat" w:hAnsi="Montserrat"/>
                <w:sz w:val="14"/>
                <w:szCs w:val="14"/>
                <w:lang w:val="es-ES_tradnl"/>
              </w:rPr>
              <w:t>680</w:t>
            </w:r>
            <w:r>
              <w:rPr>
                <w:rFonts w:ascii="Montserrat" w:hAnsi="Montserrat"/>
                <w:sz w:val="14"/>
                <w:szCs w:val="14"/>
                <w:lang w:val="es-ES_tradnl"/>
              </w:rPr>
              <w:t>,</w:t>
            </w:r>
            <w:r w:rsidRPr="00070196">
              <w:rPr>
                <w:rFonts w:ascii="Montserrat" w:hAnsi="Montserrat"/>
                <w:sz w:val="14"/>
                <w:szCs w:val="14"/>
                <w:lang w:val="es-ES_tradnl"/>
              </w:rPr>
              <w:t>905</w:t>
            </w:r>
          </w:p>
        </w:tc>
        <w:tc>
          <w:tcPr>
            <w:tcW w:w="609" w:type="dxa"/>
            <w:shd w:val="clear" w:color="auto" w:fill="F2F2F2" w:themeFill="background1" w:themeFillShade="F2"/>
            <w:noWrap/>
            <w:vAlign w:val="center"/>
          </w:tcPr>
          <w:p w14:paraId="17D46F14" w14:textId="65F9EDD5" w:rsidR="00AC445B" w:rsidRPr="005210C6" w:rsidRDefault="00AC445B" w:rsidP="00AC445B">
            <w:pPr>
              <w:spacing w:after="0" w:line="240" w:lineRule="exact"/>
              <w:jc w:val="center"/>
              <w:rPr>
                <w:rFonts w:ascii="Montserrat" w:hAnsi="Montserrat"/>
                <w:sz w:val="14"/>
                <w:szCs w:val="14"/>
                <w:lang w:val="es-ES_tradnl"/>
              </w:rPr>
            </w:pPr>
            <w:r w:rsidRPr="000F0321">
              <w:rPr>
                <w:rFonts w:ascii="Montserrat" w:hAnsi="Montserrat"/>
                <w:sz w:val="14"/>
                <w:szCs w:val="14"/>
                <w:lang w:val="es-ES_tradnl"/>
              </w:rPr>
              <w:t>7</w:t>
            </w:r>
          </w:p>
        </w:tc>
        <w:tc>
          <w:tcPr>
            <w:tcW w:w="708" w:type="dxa"/>
            <w:shd w:val="clear" w:color="auto" w:fill="F2F2F2" w:themeFill="background1" w:themeFillShade="F2"/>
            <w:noWrap/>
            <w:vAlign w:val="center"/>
          </w:tcPr>
          <w:p w14:paraId="4BB60118" w14:textId="4025F12D" w:rsidR="00AC445B" w:rsidRPr="005210C6" w:rsidRDefault="00AC445B" w:rsidP="00AC445B">
            <w:pPr>
              <w:spacing w:after="0" w:line="240" w:lineRule="exact"/>
              <w:jc w:val="center"/>
              <w:rPr>
                <w:rFonts w:ascii="Montserrat" w:hAnsi="Montserrat"/>
                <w:sz w:val="14"/>
                <w:szCs w:val="14"/>
                <w:lang w:val="es-ES_tradnl"/>
              </w:rPr>
            </w:pPr>
            <w:r w:rsidRPr="000F0321">
              <w:rPr>
                <w:rFonts w:ascii="Montserrat" w:hAnsi="Montserrat"/>
                <w:sz w:val="14"/>
                <w:szCs w:val="14"/>
                <w:lang w:val="es-ES_tradnl"/>
              </w:rPr>
              <w:t>0</w:t>
            </w:r>
          </w:p>
        </w:tc>
        <w:tc>
          <w:tcPr>
            <w:tcW w:w="709" w:type="dxa"/>
            <w:shd w:val="clear" w:color="auto" w:fill="F2F2F2" w:themeFill="background1" w:themeFillShade="F2"/>
            <w:noWrap/>
            <w:vAlign w:val="center"/>
          </w:tcPr>
          <w:p w14:paraId="2054E3B7" w14:textId="0AA21B4D" w:rsidR="00AC445B" w:rsidRPr="005210C6" w:rsidRDefault="00AC445B" w:rsidP="00AC445B">
            <w:pPr>
              <w:spacing w:after="0" w:line="240" w:lineRule="exact"/>
              <w:jc w:val="center"/>
              <w:rPr>
                <w:rFonts w:ascii="Montserrat" w:hAnsi="Montserrat"/>
                <w:sz w:val="14"/>
                <w:szCs w:val="14"/>
                <w:lang w:val="es-ES_tradnl"/>
              </w:rPr>
            </w:pPr>
            <w:r w:rsidRPr="000F0321">
              <w:rPr>
                <w:rFonts w:ascii="Montserrat" w:hAnsi="Montserrat"/>
                <w:sz w:val="14"/>
                <w:szCs w:val="14"/>
                <w:lang w:val="es-ES_tradnl"/>
              </w:rPr>
              <w:t>00</w:t>
            </w:r>
          </w:p>
        </w:tc>
        <w:tc>
          <w:tcPr>
            <w:tcW w:w="709" w:type="dxa"/>
            <w:shd w:val="clear" w:color="auto" w:fill="F2F2F2" w:themeFill="background1" w:themeFillShade="F2"/>
            <w:noWrap/>
            <w:vAlign w:val="center"/>
          </w:tcPr>
          <w:p w14:paraId="73B0AFD4" w14:textId="07FE052F" w:rsidR="00AC445B" w:rsidRPr="005210C6" w:rsidRDefault="00AC445B" w:rsidP="00AC445B">
            <w:pPr>
              <w:spacing w:after="0" w:line="240" w:lineRule="exact"/>
              <w:jc w:val="center"/>
              <w:rPr>
                <w:rFonts w:ascii="Montserrat" w:hAnsi="Montserrat"/>
                <w:sz w:val="14"/>
                <w:szCs w:val="14"/>
                <w:lang w:val="es-ES_tradnl"/>
              </w:rPr>
            </w:pPr>
            <w:r w:rsidRPr="000F0321">
              <w:rPr>
                <w:rFonts w:ascii="Montserrat" w:hAnsi="Montserrat"/>
                <w:sz w:val="14"/>
                <w:szCs w:val="14"/>
                <w:lang w:val="es-ES_tradnl"/>
              </w:rPr>
              <w:t>00</w:t>
            </w:r>
          </w:p>
        </w:tc>
        <w:tc>
          <w:tcPr>
            <w:tcW w:w="567" w:type="dxa"/>
            <w:shd w:val="clear" w:color="auto" w:fill="F2F2F2" w:themeFill="background1" w:themeFillShade="F2"/>
            <w:noWrap/>
            <w:vAlign w:val="center"/>
          </w:tcPr>
          <w:p w14:paraId="5C565BBD" w14:textId="77777777" w:rsidR="00AC445B" w:rsidRPr="005210C6" w:rsidRDefault="00AC445B" w:rsidP="00AC445B">
            <w:pPr>
              <w:spacing w:after="0" w:line="240" w:lineRule="exact"/>
              <w:jc w:val="right"/>
              <w:rPr>
                <w:rFonts w:ascii="Montserrat" w:hAnsi="Montserrat"/>
                <w:sz w:val="14"/>
                <w:szCs w:val="14"/>
                <w:lang w:val="es-ES_tradnl"/>
              </w:rPr>
            </w:pPr>
          </w:p>
        </w:tc>
        <w:tc>
          <w:tcPr>
            <w:tcW w:w="884" w:type="dxa"/>
            <w:shd w:val="clear" w:color="auto" w:fill="F2F2F2" w:themeFill="background1" w:themeFillShade="F2"/>
            <w:noWrap/>
            <w:vAlign w:val="center"/>
          </w:tcPr>
          <w:p w14:paraId="780A4816" w14:textId="77777777" w:rsidR="00AC445B" w:rsidRPr="005210C6" w:rsidRDefault="00AC445B" w:rsidP="00AC445B">
            <w:pPr>
              <w:spacing w:after="0" w:line="240" w:lineRule="exact"/>
              <w:jc w:val="right"/>
              <w:rPr>
                <w:rFonts w:ascii="Montserrat" w:hAnsi="Montserrat"/>
                <w:sz w:val="14"/>
                <w:szCs w:val="14"/>
                <w:lang w:val="es-ES_tradnl"/>
              </w:rPr>
            </w:pPr>
          </w:p>
        </w:tc>
        <w:tc>
          <w:tcPr>
            <w:tcW w:w="533" w:type="dxa"/>
            <w:shd w:val="clear" w:color="auto" w:fill="F2F2F2" w:themeFill="background1" w:themeFillShade="F2"/>
            <w:noWrap/>
            <w:vAlign w:val="center"/>
          </w:tcPr>
          <w:p w14:paraId="3D7C5972" w14:textId="77777777" w:rsidR="00AC445B" w:rsidRPr="005210C6" w:rsidRDefault="00AC445B" w:rsidP="00AC445B">
            <w:pPr>
              <w:spacing w:after="0" w:line="240" w:lineRule="exact"/>
              <w:jc w:val="right"/>
              <w:rPr>
                <w:rFonts w:ascii="Montserrat" w:hAnsi="Montserrat"/>
                <w:sz w:val="14"/>
                <w:szCs w:val="14"/>
                <w:lang w:val="es-ES_tradnl"/>
              </w:rPr>
            </w:pPr>
          </w:p>
        </w:tc>
        <w:tc>
          <w:tcPr>
            <w:tcW w:w="675" w:type="dxa"/>
            <w:shd w:val="clear" w:color="auto" w:fill="F2F2F2" w:themeFill="background1" w:themeFillShade="F2"/>
            <w:noWrap/>
            <w:vAlign w:val="center"/>
          </w:tcPr>
          <w:p w14:paraId="66804227" w14:textId="77777777" w:rsidR="00AC445B" w:rsidRPr="005210C6" w:rsidRDefault="00AC445B" w:rsidP="00AC445B">
            <w:pPr>
              <w:spacing w:after="0" w:line="240" w:lineRule="exact"/>
              <w:jc w:val="right"/>
              <w:rPr>
                <w:rFonts w:ascii="Montserrat" w:hAnsi="Montserrat"/>
                <w:sz w:val="14"/>
                <w:szCs w:val="14"/>
                <w:lang w:val="es-ES_tradnl"/>
              </w:rPr>
            </w:pPr>
          </w:p>
        </w:tc>
        <w:tc>
          <w:tcPr>
            <w:tcW w:w="602" w:type="dxa"/>
            <w:shd w:val="clear" w:color="auto" w:fill="F2F2F2" w:themeFill="background1" w:themeFillShade="F2"/>
            <w:noWrap/>
            <w:vAlign w:val="center"/>
          </w:tcPr>
          <w:p w14:paraId="6176C6E8" w14:textId="77777777" w:rsidR="00AC445B" w:rsidRPr="005210C6" w:rsidRDefault="00AC445B" w:rsidP="00AC445B">
            <w:pPr>
              <w:spacing w:after="0" w:line="240" w:lineRule="exact"/>
              <w:jc w:val="right"/>
              <w:rPr>
                <w:rFonts w:ascii="Montserrat" w:hAnsi="Montserrat"/>
                <w:sz w:val="14"/>
                <w:szCs w:val="14"/>
                <w:lang w:val="es-ES_tradnl"/>
              </w:rPr>
            </w:pPr>
          </w:p>
        </w:tc>
        <w:tc>
          <w:tcPr>
            <w:tcW w:w="567" w:type="dxa"/>
            <w:shd w:val="clear" w:color="auto" w:fill="F2F2F2" w:themeFill="background1" w:themeFillShade="F2"/>
            <w:noWrap/>
            <w:vAlign w:val="center"/>
          </w:tcPr>
          <w:p w14:paraId="24B98BF9" w14:textId="77777777" w:rsidR="00AC445B" w:rsidRPr="005210C6" w:rsidRDefault="00AC445B" w:rsidP="00AC445B">
            <w:pPr>
              <w:spacing w:after="0" w:line="240" w:lineRule="exact"/>
              <w:jc w:val="right"/>
              <w:rPr>
                <w:rFonts w:ascii="Montserrat" w:hAnsi="Montserrat"/>
                <w:sz w:val="14"/>
                <w:szCs w:val="14"/>
                <w:lang w:val="es-ES_tradnl"/>
              </w:rPr>
            </w:pPr>
          </w:p>
        </w:tc>
        <w:tc>
          <w:tcPr>
            <w:tcW w:w="849" w:type="dxa"/>
            <w:shd w:val="clear" w:color="auto" w:fill="F2F2F2" w:themeFill="background1" w:themeFillShade="F2"/>
            <w:noWrap/>
            <w:vAlign w:val="center"/>
          </w:tcPr>
          <w:p w14:paraId="7D3B9330" w14:textId="675902B0" w:rsidR="00AC445B" w:rsidRPr="005210C6" w:rsidRDefault="00AC445B" w:rsidP="00AC445B">
            <w:pPr>
              <w:spacing w:after="0" w:line="240" w:lineRule="exact"/>
              <w:jc w:val="right"/>
              <w:rPr>
                <w:rFonts w:ascii="Montserrat" w:hAnsi="Montserrat"/>
                <w:sz w:val="14"/>
                <w:szCs w:val="14"/>
                <w:lang w:val="es-ES_tradnl"/>
              </w:rPr>
            </w:pPr>
            <w:r w:rsidRPr="000F0321">
              <w:rPr>
                <w:rFonts w:ascii="Montserrat" w:hAnsi="Montserrat"/>
                <w:sz w:val="14"/>
                <w:szCs w:val="14"/>
                <w:lang w:val="es-ES_tradnl"/>
              </w:rPr>
              <w:t>1.0500%</w:t>
            </w:r>
          </w:p>
        </w:tc>
        <w:tc>
          <w:tcPr>
            <w:tcW w:w="947" w:type="dxa"/>
            <w:shd w:val="clear" w:color="auto" w:fill="F2F2F2" w:themeFill="background1" w:themeFillShade="F2"/>
            <w:noWrap/>
            <w:vAlign w:val="bottom"/>
          </w:tcPr>
          <w:p w14:paraId="718AA06E" w14:textId="77777777" w:rsidR="00AC445B" w:rsidRPr="005210C6" w:rsidRDefault="00AC445B" w:rsidP="00AC445B">
            <w:pPr>
              <w:spacing w:after="0" w:line="240" w:lineRule="exact"/>
              <w:jc w:val="right"/>
              <w:rPr>
                <w:rFonts w:ascii="Montserrat" w:hAnsi="Montserrat"/>
                <w:sz w:val="14"/>
                <w:szCs w:val="14"/>
                <w:lang w:val="es-ES_tradnl"/>
              </w:rPr>
            </w:pPr>
          </w:p>
        </w:tc>
      </w:tr>
      <w:tr w:rsidR="00AC445B" w:rsidRPr="005210C6" w14:paraId="7634A55A" w14:textId="77777777" w:rsidTr="00AC445B">
        <w:trPr>
          <w:trHeight w:val="240"/>
          <w:jc w:val="center"/>
        </w:trPr>
        <w:tc>
          <w:tcPr>
            <w:tcW w:w="1312" w:type="dxa"/>
            <w:shd w:val="clear" w:color="auto" w:fill="F2F2F2" w:themeFill="background1" w:themeFillShade="F2"/>
            <w:noWrap/>
            <w:vAlign w:val="bottom"/>
          </w:tcPr>
          <w:p w14:paraId="3D5D38E0" w14:textId="77777777" w:rsidR="00AC445B" w:rsidRPr="005210C6" w:rsidRDefault="00AC445B" w:rsidP="00AC445B">
            <w:pPr>
              <w:spacing w:after="0" w:line="240" w:lineRule="exact"/>
              <w:rPr>
                <w:rFonts w:ascii="Montserrat" w:hAnsi="Montserrat"/>
                <w:bCs/>
                <w:sz w:val="14"/>
                <w:szCs w:val="14"/>
                <w:lang w:val="es-ES_tradnl"/>
              </w:rPr>
            </w:pPr>
          </w:p>
        </w:tc>
        <w:tc>
          <w:tcPr>
            <w:tcW w:w="565" w:type="dxa"/>
            <w:vMerge/>
            <w:shd w:val="clear" w:color="auto" w:fill="F2F2F2" w:themeFill="background1" w:themeFillShade="F2"/>
            <w:noWrap/>
            <w:vAlign w:val="bottom"/>
          </w:tcPr>
          <w:p w14:paraId="3C5BBF65" w14:textId="77777777" w:rsidR="00AC445B" w:rsidRPr="005210C6" w:rsidRDefault="00AC445B" w:rsidP="00AC445B">
            <w:pPr>
              <w:spacing w:after="0" w:line="240" w:lineRule="exact"/>
              <w:rPr>
                <w:rFonts w:ascii="Montserrat" w:hAnsi="Montserrat"/>
                <w:sz w:val="14"/>
                <w:szCs w:val="14"/>
                <w:lang w:val="es-ES_tradnl"/>
              </w:rPr>
            </w:pPr>
          </w:p>
        </w:tc>
        <w:tc>
          <w:tcPr>
            <w:tcW w:w="494" w:type="dxa"/>
            <w:vMerge/>
            <w:shd w:val="clear" w:color="auto" w:fill="F2F2F2" w:themeFill="background1" w:themeFillShade="F2"/>
            <w:noWrap/>
            <w:vAlign w:val="bottom"/>
          </w:tcPr>
          <w:p w14:paraId="26CA4D40" w14:textId="77777777" w:rsidR="00AC445B" w:rsidRPr="005210C6" w:rsidRDefault="00AC445B" w:rsidP="00AC445B">
            <w:pPr>
              <w:spacing w:after="0" w:line="240" w:lineRule="exact"/>
              <w:rPr>
                <w:rFonts w:ascii="Montserrat" w:hAnsi="Montserrat"/>
                <w:sz w:val="14"/>
                <w:szCs w:val="14"/>
                <w:lang w:val="es-ES_tradnl"/>
              </w:rPr>
            </w:pPr>
          </w:p>
        </w:tc>
        <w:tc>
          <w:tcPr>
            <w:tcW w:w="2194" w:type="dxa"/>
            <w:gridSpan w:val="2"/>
            <w:vMerge/>
            <w:shd w:val="clear" w:color="auto" w:fill="F2F2F2" w:themeFill="background1" w:themeFillShade="F2"/>
            <w:noWrap/>
            <w:vAlign w:val="center"/>
          </w:tcPr>
          <w:p w14:paraId="3A0255A2" w14:textId="77777777" w:rsidR="00AC445B" w:rsidRPr="005210C6" w:rsidRDefault="00AC445B" w:rsidP="00AC445B">
            <w:pPr>
              <w:spacing w:after="0" w:line="240" w:lineRule="exact"/>
              <w:jc w:val="center"/>
              <w:rPr>
                <w:rFonts w:ascii="Montserrat" w:hAnsi="Montserrat"/>
                <w:sz w:val="14"/>
                <w:szCs w:val="14"/>
                <w:lang w:val="es-ES_tradnl"/>
              </w:rPr>
            </w:pPr>
          </w:p>
        </w:tc>
        <w:tc>
          <w:tcPr>
            <w:tcW w:w="1436" w:type="dxa"/>
            <w:shd w:val="clear" w:color="auto" w:fill="F2F2F2" w:themeFill="background1" w:themeFillShade="F2"/>
            <w:noWrap/>
            <w:vAlign w:val="center"/>
          </w:tcPr>
          <w:p w14:paraId="069C0956" w14:textId="00DE75A2" w:rsidR="00AC445B" w:rsidRPr="005210C6" w:rsidRDefault="00AC445B" w:rsidP="00AC445B">
            <w:pPr>
              <w:spacing w:after="0" w:line="240" w:lineRule="exact"/>
              <w:jc w:val="right"/>
              <w:rPr>
                <w:rFonts w:ascii="Montserrat" w:hAnsi="Montserrat"/>
                <w:sz w:val="14"/>
                <w:szCs w:val="14"/>
                <w:lang w:val="es-ES_tradnl"/>
              </w:rPr>
            </w:pPr>
            <w:r w:rsidRPr="00070196">
              <w:rPr>
                <w:rFonts w:ascii="Montserrat" w:hAnsi="Montserrat"/>
                <w:sz w:val="14"/>
                <w:szCs w:val="14"/>
                <w:lang w:val="es-ES_tradnl"/>
              </w:rPr>
              <w:t>5</w:t>
            </w:r>
            <w:r>
              <w:rPr>
                <w:rFonts w:ascii="Montserrat" w:hAnsi="Montserrat"/>
                <w:sz w:val="14"/>
                <w:szCs w:val="14"/>
                <w:lang w:val="es-ES_tradnl"/>
              </w:rPr>
              <w:t>,</w:t>
            </w:r>
            <w:r w:rsidRPr="00070196">
              <w:rPr>
                <w:rFonts w:ascii="Montserrat" w:hAnsi="Montserrat"/>
                <w:sz w:val="14"/>
                <w:szCs w:val="14"/>
                <w:lang w:val="es-ES_tradnl"/>
              </w:rPr>
              <w:t>459</w:t>
            </w:r>
            <w:r>
              <w:rPr>
                <w:rFonts w:ascii="Montserrat" w:hAnsi="Montserrat"/>
                <w:sz w:val="14"/>
                <w:szCs w:val="14"/>
                <w:lang w:val="es-ES_tradnl"/>
              </w:rPr>
              <w:t>,</w:t>
            </w:r>
            <w:r w:rsidRPr="00070196">
              <w:rPr>
                <w:rFonts w:ascii="Montserrat" w:hAnsi="Montserrat"/>
                <w:sz w:val="14"/>
                <w:szCs w:val="14"/>
                <w:lang w:val="es-ES_tradnl"/>
              </w:rPr>
              <w:t>905</w:t>
            </w:r>
            <w:r>
              <w:rPr>
                <w:rFonts w:ascii="Montserrat" w:hAnsi="Montserrat"/>
                <w:sz w:val="14"/>
                <w:szCs w:val="14"/>
                <w:lang w:val="es-ES_tradnl"/>
              </w:rPr>
              <w:t>,</w:t>
            </w:r>
            <w:r w:rsidRPr="00070196">
              <w:rPr>
                <w:rFonts w:ascii="Montserrat" w:hAnsi="Montserrat"/>
                <w:sz w:val="14"/>
                <w:szCs w:val="14"/>
                <w:lang w:val="es-ES_tradnl"/>
              </w:rPr>
              <w:t>340</w:t>
            </w:r>
          </w:p>
        </w:tc>
        <w:tc>
          <w:tcPr>
            <w:tcW w:w="609" w:type="dxa"/>
            <w:shd w:val="clear" w:color="auto" w:fill="F2F2F2" w:themeFill="background1" w:themeFillShade="F2"/>
            <w:noWrap/>
            <w:vAlign w:val="bottom"/>
          </w:tcPr>
          <w:p w14:paraId="2B1EE7C8" w14:textId="371995FF" w:rsidR="00AC445B" w:rsidRPr="005210C6" w:rsidRDefault="00AC445B" w:rsidP="00AC445B">
            <w:pPr>
              <w:spacing w:after="0" w:line="240" w:lineRule="exact"/>
              <w:jc w:val="center"/>
              <w:rPr>
                <w:rFonts w:ascii="Montserrat" w:hAnsi="Montserrat"/>
                <w:sz w:val="14"/>
                <w:szCs w:val="14"/>
                <w:lang w:val="es-ES_tradnl"/>
              </w:rPr>
            </w:pPr>
            <w:r w:rsidRPr="000F0321">
              <w:rPr>
                <w:rFonts w:ascii="Montserrat" w:hAnsi="Montserrat"/>
                <w:sz w:val="14"/>
                <w:szCs w:val="14"/>
                <w:lang w:val="es-ES_tradnl"/>
              </w:rPr>
              <w:t>10</w:t>
            </w:r>
          </w:p>
        </w:tc>
        <w:tc>
          <w:tcPr>
            <w:tcW w:w="708" w:type="dxa"/>
            <w:shd w:val="clear" w:color="auto" w:fill="F2F2F2" w:themeFill="background1" w:themeFillShade="F2"/>
            <w:noWrap/>
            <w:vAlign w:val="center"/>
          </w:tcPr>
          <w:p w14:paraId="5BAEBEB1" w14:textId="6B9C1AC5" w:rsidR="00AC445B" w:rsidRPr="005210C6" w:rsidRDefault="00AC445B" w:rsidP="00AC445B">
            <w:pPr>
              <w:spacing w:after="0" w:line="240" w:lineRule="exact"/>
              <w:jc w:val="center"/>
              <w:rPr>
                <w:rFonts w:ascii="Montserrat" w:hAnsi="Montserrat"/>
                <w:sz w:val="14"/>
                <w:szCs w:val="14"/>
                <w:lang w:val="es-ES_tradnl"/>
              </w:rPr>
            </w:pPr>
            <w:r w:rsidRPr="000F0321">
              <w:rPr>
                <w:rFonts w:ascii="Montserrat" w:hAnsi="Montserrat"/>
                <w:sz w:val="14"/>
                <w:szCs w:val="14"/>
                <w:lang w:val="es-ES_tradnl"/>
              </w:rPr>
              <w:t>0</w:t>
            </w:r>
          </w:p>
        </w:tc>
        <w:tc>
          <w:tcPr>
            <w:tcW w:w="709" w:type="dxa"/>
            <w:shd w:val="clear" w:color="auto" w:fill="F2F2F2" w:themeFill="background1" w:themeFillShade="F2"/>
            <w:noWrap/>
            <w:vAlign w:val="center"/>
          </w:tcPr>
          <w:p w14:paraId="59D680BD" w14:textId="5EBBEE2D" w:rsidR="00AC445B" w:rsidRPr="005210C6" w:rsidRDefault="00AC445B" w:rsidP="00AC445B">
            <w:pPr>
              <w:spacing w:after="0" w:line="240" w:lineRule="exact"/>
              <w:jc w:val="center"/>
              <w:rPr>
                <w:rFonts w:ascii="Montserrat" w:hAnsi="Montserrat"/>
                <w:sz w:val="14"/>
                <w:szCs w:val="14"/>
                <w:lang w:val="es-ES_tradnl"/>
              </w:rPr>
            </w:pPr>
            <w:r w:rsidRPr="000F0321">
              <w:rPr>
                <w:rFonts w:ascii="Montserrat" w:hAnsi="Montserrat"/>
                <w:sz w:val="14"/>
                <w:szCs w:val="14"/>
                <w:lang w:val="es-ES_tradnl"/>
              </w:rPr>
              <w:t>00</w:t>
            </w:r>
          </w:p>
        </w:tc>
        <w:tc>
          <w:tcPr>
            <w:tcW w:w="709" w:type="dxa"/>
            <w:shd w:val="clear" w:color="auto" w:fill="F2F2F2" w:themeFill="background1" w:themeFillShade="F2"/>
            <w:noWrap/>
            <w:vAlign w:val="center"/>
          </w:tcPr>
          <w:p w14:paraId="1515B6D8" w14:textId="6AAD22DD" w:rsidR="00AC445B" w:rsidRPr="005210C6" w:rsidRDefault="00AC445B" w:rsidP="00AC445B">
            <w:pPr>
              <w:spacing w:after="0" w:line="240" w:lineRule="exact"/>
              <w:jc w:val="center"/>
              <w:rPr>
                <w:rFonts w:ascii="Montserrat" w:hAnsi="Montserrat"/>
                <w:sz w:val="14"/>
                <w:szCs w:val="14"/>
                <w:lang w:val="es-ES_tradnl"/>
              </w:rPr>
            </w:pPr>
            <w:r w:rsidRPr="000F0321">
              <w:rPr>
                <w:rFonts w:ascii="Montserrat" w:hAnsi="Montserrat"/>
                <w:sz w:val="14"/>
                <w:szCs w:val="14"/>
                <w:lang w:val="es-ES_tradnl"/>
              </w:rPr>
              <w:t>00</w:t>
            </w:r>
          </w:p>
        </w:tc>
        <w:tc>
          <w:tcPr>
            <w:tcW w:w="567" w:type="dxa"/>
            <w:shd w:val="clear" w:color="auto" w:fill="F2F2F2" w:themeFill="background1" w:themeFillShade="F2"/>
            <w:noWrap/>
            <w:vAlign w:val="center"/>
          </w:tcPr>
          <w:p w14:paraId="7D142A52" w14:textId="77777777" w:rsidR="00AC445B" w:rsidRPr="005210C6" w:rsidRDefault="00AC445B" w:rsidP="00AC445B">
            <w:pPr>
              <w:spacing w:after="0" w:line="240" w:lineRule="exact"/>
              <w:jc w:val="right"/>
              <w:rPr>
                <w:rFonts w:ascii="Montserrat" w:hAnsi="Montserrat"/>
                <w:sz w:val="14"/>
                <w:szCs w:val="14"/>
                <w:lang w:val="es-ES_tradnl"/>
              </w:rPr>
            </w:pPr>
          </w:p>
        </w:tc>
        <w:tc>
          <w:tcPr>
            <w:tcW w:w="884" w:type="dxa"/>
            <w:shd w:val="clear" w:color="auto" w:fill="F2F2F2" w:themeFill="background1" w:themeFillShade="F2"/>
            <w:noWrap/>
            <w:vAlign w:val="center"/>
          </w:tcPr>
          <w:p w14:paraId="09A8924A" w14:textId="77777777" w:rsidR="00AC445B" w:rsidRPr="005210C6" w:rsidRDefault="00AC445B" w:rsidP="00AC445B">
            <w:pPr>
              <w:spacing w:after="0" w:line="240" w:lineRule="exact"/>
              <w:jc w:val="right"/>
              <w:rPr>
                <w:rFonts w:ascii="Montserrat" w:hAnsi="Montserrat"/>
                <w:sz w:val="14"/>
                <w:szCs w:val="14"/>
                <w:lang w:val="es-ES_tradnl"/>
              </w:rPr>
            </w:pPr>
          </w:p>
        </w:tc>
        <w:tc>
          <w:tcPr>
            <w:tcW w:w="533" w:type="dxa"/>
            <w:shd w:val="clear" w:color="auto" w:fill="F2F2F2" w:themeFill="background1" w:themeFillShade="F2"/>
            <w:noWrap/>
            <w:vAlign w:val="center"/>
          </w:tcPr>
          <w:p w14:paraId="2300D629" w14:textId="77777777" w:rsidR="00AC445B" w:rsidRPr="005210C6" w:rsidRDefault="00AC445B" w:rsidP="00AC445B">
            <w:pPr>
              <w:spacing w:after="0" w:line="240" w:lineRule="exact"/>
              <w:jc w:val="right"/>
              <w:rPr>
                <w:rFonts w:ascii="Montserrat" w:hAnsi="Montserrat"/>
                <w:sz w:val="14"/>
                <w:szCs w:val="14"/>
                <w:lang w:val="es-ES_tradnl"/>
              </w:rPr>
            </w:pPr>
          </w:p>
        </w:tc>
        <w:tc>
          <w:tcPr>
            <w:tcW w:w="675" w:type="dxa"/>
            <w:shd w:val="clear" w:color="auto" w:fill="F2F2F2" w:themeFill="background1" w:themeFillShade="F2"/>
            <w:noWrap/>
            <w:vAlign w:val="center"/>
          </w:tcPr>
          <w:p w14:paraId="72249BFD" w14:textId="77777777" w:rsidR="00AC445B" w:rsidRPr="005210C6" w:rsidRDefault="00AC445B" w:rsidP="00AC445B">
            <w:pPr>
              <w:spacing w:after="0" w:line="240" w:lineRule="exact"/>
              <w:jc w:val="right"/>
              <w:rPr>
                <w:rFonts w:ascii="Montserrat" w:hAnsi="Montserrat"/>
                <w:sz w:val="14"/>
                <w:szCs w:val="14"/>
                <w:lang w:val="es-ES_tradnl"/>
              </w:rPr>
            </w:pPr>
          </w:p>
        </w:tc>
        <w:tc>
          <w:tcPr>
            <w:tcW w:w="602" w:type="dxa"/>
            <w:shd w:val="clear" w:color="auto" w:fill="F2F2F2" w:themeFill="background1" w:themeFillShade="F2"/>
            <w:noWrap/>
            <w:vAlign w:val="center"/>
          </w:tcPr>
          <w:p w14:paraId="0181227D" w14:textId="77777777" w:rsidR="00AC445B" w:rsidRPr="005210C6" w:rsidRDefault="00AC445B" w:rsidP="00AC445B">
            <w:pPr>
              <w:spacing w:after="0" w:line="240" w:lineRule="exact"/>
              <w:jc w:val="right"/>
              <w:rPr>
                <w:rFonts w:ascii="Montserrat" w:hAnsi="Montserrat"/>
                <w:sz w:val="14"/>
                <w:szCs w:val="14"/>
                <w:lang w:val="es-ES_tradnl"/>
              </w:rPr>
            </w:pPr>
          </w:p>
        </w:tc>
        <w:tc>
          <w:tcPr>
            <w:tcW w:w="567" w:type="dxa"/>
            <w:shd w:val="clear" w:color="auto" w:fill="F2F2F2" w:themeFill="background1" w:themeFillShade="F2"/>
            <w:noWrap/>
            <w:vAlign w:val="center"/>
          </w:tcPr>
          <w:p w14:paraId="5214C656" w14:textId="77777777" w:rsidR="00AC445B" w:rsidRPr="005210C6" w:rsidRDefault="00AC445B" w:rsidP="00AC445B">
            <w:pPr>
              <w:spacing w:after="0" w:line="240" w:lineRule="exact"/>
              <w:jc w:val="right"/>
              <w:rPr>
                <w:rFonts w:ascii="Montserrat" w:hAnsi="Montserrat"/>
                <w:sz w:val="14"/>
                <w:szCs w:val="14"/>
                <w:lang w:val="es-ES_tradnl"/>
              </w:rPr>
            </w:pPr>
          </w:p>
        </w:tc>
        <w:tc>
          <w:tcPr>
            <w:tcW w:w="849" w:type="dxa"/>
            <w:shd w:val="clear" w:color="auto" w:fill="F2F2F2" w:themeFill="background1" w:themeFillShade="F2"/>
            <w:noWrap/>
            <w:vAlign w:val="center"/>
          </w:tcPr>
          <w:p w14:paraId="0209C28A" w14:textId="5CC90E60" w:rsidR="00AC445B" w:rsidRPr="005210C6" w:rsidRDefault="00AC445B" w:rsidP="00AC445B">
            <w:pPr>
              <w:spacing w:after="0" w:line="240" w:lineRule="exact"/>
              <w:jc w:val="right"/>
              <w:rPr>
                <w:rFonts w:ascii="Montserrat" w:hAnsi="Montserrat"/>
                <w:sz w:val="14"/>
                <w:szCs w:val="14"/>
                <w:lang w:val="es-ES_tradnl"/>
              </w:rPr>
            </w:pPr>
            <w:r w:rsidRPr="000F0321">
              <w:rPr>
                <w:rFonts w:ascii="Montserrat" w:hAnsi="Montserrat"/>
                <w:sz w:val="14"/>
                <w:szCs w:val="14"/>
                <w:lang w:val="es-ES_tradnl"/>
              </w:rPr>
              <w:t>1.3000%</w:t>
            </w:r>
          </w:p>
        </w:tc>
        <w:tc>
          <w:tcPr>
            <w:tcW w:w="947" w:type="dxa"/>
            <w:shd w:val="clear" w:color="auto" w:fill="F2F2F2" w:themeFill="background1" w:themeFillShade="F2"/>
            <w:noWrap/>
            <w:vAlign w:val="bottom"/>
          </w:tcPr>
          <w:p w14:paraId="4B78D949" w14:textId="77777777" w:rsidR="00AC445B" w:rsidRPr="005210C6" w:rsidRDefault="00AC445B" w:rsidP="00AC445B">
            <w:pPr>
              <w:spacing w:after="0" w:line="240" w:lineRule="exact"/>
              <w:jc w:val="right"/>
              <w:rPr>
                <w:rFonts w:ascii="Montserrat" w:hAnsi="Montserrat"/>
                <w:sz w:val="14"/>
                <w:szCs w:val="14"/>
                <w:lang w:val="es-ES_tradnl"/>
              </w:rPr>
            </w:pPr>
          </w:p>
        </w:tc>
      </w:tr>
      <w:tr w:rsidR="00AC445B" w:rsidRPr="005210C6" w14:paraId="11ACA850" w14:textId="77777777" w:rsidTr="000F0321">
        <w:trPr>
          <w:trHeight w:val="240"/>
          <w:jc w:val="center"/>
        </w:trPr>
        <w:tc>
          <w:tcPr>
            <w:tcW w:w="1312" w:type="dxa"/>
            <w:tcBorders>
              <w:bottom w:val="single" w:sz="12" w:space="0" w:color="808080" w:themeColor="background1" w:themeShade="80"/>
              <w:right w:val="nil"/>
            </w:tcBorders>
            <w:shd w:val="clear" w:color="auto" w:fill="F2F2F2" w:themeFill="background1" w:themeFillShade="F2"/>
            <w:noWrap/>
            <w:vAlign w:val="bottom"/>
          </w:tcPr>
          <w:p w14:paraId="3393D8F4" w14:textId="77777777" w:rsidR="00AC445B" w:rsidRPr="005210C6" w:rsidRDefault="00AC445B" w:rsidP="00AC445B">
            <w:pPr>
              <w:spacing w:after="0" w:line="240" w:lineRule="exact"/>
              <w:rPr>
                <w:rFonts w:ascii="Montserrat" w:hAnsi="Montserrat"/>
                <w:bCs/>
                <w:sz w:val="14"/>
                <w:szCs w:val="14"/>
                <w:lang w:val="es-ES_tradnl"/>
              </w:rPr>
            </w:pPr>
          </w:p>
        </w:tc>
        <w:tc>
          <w:tcPr>
            <w:tcW w:w="565" w:type="dxa"/>
            <w:tcBorders>
              <w:left w:val="nil"/>
              <w:bottom w:val="single" w:sz="12" w:space="0" w:color="808080" w:themeColor="background1" w:themeShade="80"/>
              <w:right w:val="nil"/>
            </w:tcBorders>
            <w:shd w:val="clear" w:color="auto" w:fill="F2F2F2" w:themeFill="background1" w:themeFillShade="F2"/>
            <w:noWrap/>
            <w:vAlign w:val="bottom"/>
          </w:tcPr>
          <w:p w14:paraId="49F6D465" w14:textId="77777777" w:rsidR="00AC445B" w:rsidRPr="005210C6" w:rsidRDefault="00AC445B" w:rsidP="00AC445B">
            <w:pPr>
              <w:spacing w:after="0" w:line="240" w:lineRule="exact"/>
              <w:rPr>
                <w:rFonts w:ascii="Montserrat" w:hAnsi="Montserrat"/>
                <w:sz w:val="14"/>
                <w:szCs w:val="14"/>
                <w:lang w:val="es-ES_tradnl"/>
              </w:rPr>
            </w:pPr>
          </w:p>
        </w:tc>
        <w:tc>
          <w:tcPr>
            <w:tcW w:w="494" w:type="dxa"/>
            <w:tcBorders>
              <w:left w:val="nil"/>
              <w:bottom w:val="single" w:sz="12" w:space="0" w:color="808080" w:themeColor="background1" w:themeShade="80"/>
              <w:right w:val="nil"/>
            </w:tcBorders>
            <w:shd w:val="clear" w:color="auto" w:fill="F2F2F2" w:themeFill="background1" w:themeFillShade="F2"/>
            <w:noWrap/>
            <w:vAlign w:val="bottom"/>
          </w:tcPr>
          <w:p w14:paraId="1D3EF2AC" w14:textId="77777777" w:rsidR="00AC445B" w:rsidRPr="005210C6" w:rsidRDefault="00AC445B" w:rsidP="00AC445B">
            <w:pPr>
              <w:spacing w:after="0" w:line="240" w:lineRule="exact"/>
              <w:rPr>
                <w:rFonts w:ascii="Montserrat" w:hAnsi="Montserrat"/>
                <w:sz w:val="14"/>
                <w:szCs w:val="14"/>
                <w:lang w:val="es-ES_tradnl"/>
              </w:rPr>
            </w:pPr>
          </w:p>
        </w:tc>
        <w:tc>
          <w:tcPr>
            <w:tcW w:w="2194" w:type="dxa"/>
            <w:gridSpan w:val="2"/>
            <w:tcBorders>
              <w:left w:val="nil"/>
              <w:bottom w:val="single" w:sz="12" w:space="0" w:color="808080" w:themeColor="background1" w:themeShade="80"/>
              <w:right w:val="nil"/>
            </w:tcBorders>
            <w:shd w:val="clear" w:color="auto" w:fill="F2F2F2" w:themeFill="background1" w:themeFillShade="F2"/>
            <w:noWrap/>
            <w:vAlign w:val="center"/>
          </w:tcPr>
          <w:p w14:paraId="12F06B02" w14:textId="77777777" w:rsidR="00AC445B" w:rsidRPr="005210C6" w:rsidRDefault="00AC445B" w:rsidP="00AC445B">
            <w:pPr>
              <w:spacing w:after="0" w:line="240" w:lineRule="exact"/>
              <w:jc w:val="center"/>
              <w:rPr>
                <w:rFonts w:ascii="Montserrat" w:hAnsi="Montserrat"/>
                <w:sz w:val="14"/>
                <w:szCs w:val="14"/>
                <w:lang w:val="es-ES_tradnl"/>
              </w:rPr>
            </w:pPr>
          </w:p>
        </w:tc>
        <w:tc>
          <w:tcPr>
            <w:tcW w:w="1436" w:type="dxa"/>
            <w:tcBorders>
              <w:left w:val="nil"/>
              <w:bottom w:val="single" w:sz="12" w:space="0" w:color="808080" w:themeColor="background1" w:themeShade="80"/>
              <w:right w:val="nil"/>
            </w:tcBorders>
            <w:shd w:val="clear" w:color="auto" w:fill="F2F2F2" w:themeFill="background1" w:themeFillShade="F2"/>
            <w:noWrap/>
            <w:vAlign w:val="center"/>
          </w:tcPr>
          <w:p w14:paraId="2C45D9E2" w14:textId="77777777" w:rsidR="00AC445B" w:rsidRPr="005210C6" w:rsidRDefault="00AC445B" w:rsidP="00AC445B">
            <w:pPr>
              <w:spacing w:after="0" w:line="240" w:lineRule="exact"/>
              <w:jc w:val="right"/>
              <w:rPr>
                <w:rFonts w:ascii="Montserrat" w:hAnsi="Montserrat"/>
                <w:sz w:val="14"/>
                <w:szCs w:val="14"/>
                <w:lang w:val="es-ES_tradnl"/>
              </w:rPr>
            </w:pPr>
          </w:p>
        </w:tc>
        <w:tc>
          <w:tcPr>
            <w:tcW w:w="609" w:type="dxa"/>
            <w:tcBorders>
              <w:left w:val="nil"/>
              <w:bottom w:val="single" w:sz="12" w:space="0" w:color="808080" w:themeColor="background1" w:themeShade="80"/>
              <w:right w:val="nil"/>
            </w:tcBorders>
            <w:shd w:val="clear" w:color="auto" w:fill="F2F2F2" w:themeFill="background1" w:themeFillShade="F2"/>
            <w:noWrap/>
            <w:vAlign w:val="center"/>
          </w:tcPr>
          <w:p w14:paraId="0EC488BF" w14:textId="77777777" w:rsidR="00AC445B" w:rsidRPr="005210C6" w:rsidRDefault="00AC445B" w:rsidP="00AC445B">
            <w:pPr>
              <w:spacing w:after="0" w:line="240" w:lineRule="exact"/>
              <w:jc w:val="center"/>
              <w:rPr>
                <w:rFonts w:ascii="Montserrat" w:hAnsi="Montserrat"/>
                <w:sz w:val="14"/>
                <w:szCs w:val="14"/>
                <w:lang w:val="es-ES_tradnl"/>
              </w:rPr>
            </w:pPr>
          </w:p>
        </w:tc>
        <w:tc>
          <w:tcPr>
            <w:tcW w:w="708" w:type="dxa"/>
            <w:tcBorders>
              <w:left w:val="nil"/>
              <w:bottom w:val="single" w:sz="12" w:space="0" w:color="808080" w:themeColor="background1" w:themeShade="80"/>
              <w:right w:val="nil"/>
            </w:tcBorders>
            <w:shd w:val="clear" w:color="auto" w:fill="F2F2F2" w:themeFill="background1" w:themeFillShade="F2"/>
            <w:noWrap/>
            <w:vAlign w:val="center"/>
          </w:tcPr>
          <w:p w14:paraId="24BED278" w14:textId="77777777" w:rsidR="00AC445B" w:rsidRPr="005210C6" w:rsidRDefault="00AC445B" w:rsidP="00AC445B">
            <w:pPr>
              <w:spacing w:after="0" w:line="240" w:lineRule="exact"/>
              <w:jc w:val="center"/>
              <w:rPr>
                <w:rFonts w:ascii="Montserrat" w:hAnsi="Montserrat"/>
                <w:sz w:val="14"/>
                <w:szCs w:val="14"/>
                <w:lang w:val="es-ES_tradnl"/>
              </w:rPr>
            </w:pPr>
          </w:p>
        </w:tc>
        <w:tc>
          <w:tcPr>
            <w:tcW w:w="709" w:type="dxa"/>
            <w:tcBorders>
              <w:left w:val="nil"/>
              <w:bottom w:val="single" w:sz="12" w:space="0" w:color="808080" w:themeColor="background1" w:themeShade="80"/>
              <w:right w:val="nil"/>
            </w:tcBorders>
            <w:shd w:val="clear" w:color="auto" w:fill="F2F2F2" w:themeFill="background1" w:themeFillShade="F2"/>
            <w:noWrap/>
            <w:vAlign w:val="center"/>
          </w:tcPr>
          <w:p w14:paraId="479CF938" w14:textId="77777777" w:rsidR="00AC445B" w:rsidRPr="005210C6" w:rsidRDefault="00AC445B" w:rsidP="00AC445B">
            <w:pPr>
              <w:spacing w:after="0" w:line="240" w:lineRule="exact"/>
              <w:jc w:val="center"/>
              <w:rPr>
                <w:rFonts w:ascii="Montserrat" w:hAnsi="Montserrat"/>
                <w:sz w:val="14"/>
                <w:szCs w:val="14"/>
                <w:lang w:val="es-ES_tradnl"/>
              </w:rPr>
            </w:pPr>
          </w:p>
        </w:tc>
        <w:tc>
          <w:tcPr>
            <w:tcW w:w="709" w:type="dxa"/>
            <w:tcBorders>
              <w:left w:val="nil"/>
              <w:bottom w:val="single" w:sz="12" w:space="0" w:color="808080" w:themeColor="background1" w:themeShade="80"/>
              <w:right w:val="nil"/>
            </w:tcBorders>
            <w:shd w:val="clear" w:color="auto" w:fill="F2F2F2" w:themeFill="background1" w:themeFillShade="F2"/>
            <w:noWrap/>
            <w:vAlign w:val="center"/>
          </w:tcPr>
          <w:p w14:paraId="6C11B8F3" w14:textId="77777777" w:rsidR="00AC445B" w:rsidRPr="005210C6" w:rsidRDefault="00AC445B" w:rsidP="00AC445B">
            <w:pPr>
              <w:spacing w:after="0" w:line="240" w:lineRule="exact"/>
              <w:jc w:val="center"/>
              <w:rPr>
                <w:rFonts w:ascii="Montserrat" w:hAnsi="Montserrat"/>
                <w:sz w:val="14"/>
                <w:szCs w:val="14"/>
                <w:lang w:val="es-ES_tradnl"/>
              </w:rPr>
            </w:pPr>
          </w:p>
        </w:tc>
        <w:tc>
          <w:tcPr>
            <w:tcW w:w="567" w:type="dxa"/>
            <w:tcBorders>
              <w:left w:val="nil"/>
              <w:bottom w:val="single" w:sz="12" w:space="0" w:color="808080" w:themeColor="background1" w:themeShade="80"/>
              <w:right w:val="nil"/>
            </w:tcBorders>
            <w:shd w:val="clear" w:color="auto" w:fill="F2F2F2" w:themeFill="background1" w:themeFillShade="F2"/>
            <w:noWrap/>
            <w:vAlign w:val="center"/>
          </w:tcPr>
          <w:p w14:paraId="7EF139C9" w14:textId="77777777" w:rsidR="00AC445B" w:rsidRPr="005210C6" w:rsidRDefault="00AC445B" w:rsidP="00AC445B">
            <w:pPr>
              <w:spacing w:after="0" w:line="240" w:lineRule="exact"/>
              <w:jc w:val="right"/>
              <w:rPr>
                <w:rFonts w:ascii="Montserrat" w:hAnsi="Montserrat"/>
                <w:sz w:val="14"/>
                <w:szCs w:val="14"/>
                <w:lang w:val="es-ES_tradnl"/>
              </w:rPr>
            </w:pPr>
          </w:p>
        </w:tc>
        <w:tc>
          <w:tcPr>
            <w:tcW w:w="884" w:type="dxa"/>
            <w:tcBorders>
              <w:left w:val="nil"/>
              <w:bottom w:val="single" w:sz="12" w:space="0" w:color="808080" w:themeColor="background1" w:themeShade="80"/>
              <w:right w:val="nil"/>
            </w:tcBorders>
            <w:shd w:val="clear" w:color="auto" w:fill="F2F2F2" w:themeFill="background1" w:themeFillShade="F2"/>
            <w:noWrap/>
            <w:vAlign w:val="center"/>
          </w:tcPr>
          <w:p w14:paraId="0742C970" w14:textId="77777777" w:rsidR="00AC445B" w:rsidRPr="005210C6" w:rsidRDefault="00AC445B" w:rsidP="00AC445B">
            <w:pPr>
              <w:spacing w:after="0" w:line="240" w:lineRule="exact"/>
              <w:jc w:val="right"/>
              <w:rPr>
                <w:rFonts w:ascii="Montserrat" w:hAnsi="Montserrat"/>
                <w:sz w:val="14"/>
                <w:szCs w:val="14"/>
                <w:lang w:val="es-ES_tradnl"/>
              </w:rPr>
            </w:pPr>
          </w:p>
        </w:tc>
        <w:tc>
          <w:tcPr>
            <w:tcW w:w="533" w:type="dxa"/>
            <w:tcBorders>
              <w:left w:val="nil"/>
              <w:bottom w:val="single" w:sz="12" w:space="0" w:color="808080" w:themeColor="background1" w:themeShade="80"/>
              <w:right w:val="nil"/>
            </w:tcBorders>
            <w:shd w:val="clear" w:color="auto" w:fill="F2F2F2" w:themeFill="background1" w:themeFillShade="F2"/>
            <w:noWrap/>
            <w:vAlign w:val="center"/>
          </w:tcPr>
          <w:p w14:paraId="28367314" w14:textId="77777777" w:rsidR="00AC445B" w:rsidRPr="005210C6" w:rsidRDefault="00AC445B" w:rsidP="00AC445B">
            <w:pPr>
              <w:spacing w:after="0" w:line="240" w:lineRule="exact"/>
              <w:jc w:val="right"/>
              <w:rPr>
                <w:rFonts w:ascii="Montserrat" w:hAnsi="Montserrat"/>
                <w:sz w:val="14"/>
                <w:szCs w:val="14"/>
                <w:lang w:val="es-ES_tradnl"/>
              </w:rPr>
            </w:pPr>
          </w:p>
        </w:tc>
        <w:tc>
          <w:tcPr>
            <w:tcW w:w="675" w:type="dxa"/>
            <w:tcBorders>
              <w:left w:val="nil"/>
              <w:bottom w:val="single" w:sz="12" w:space="0" w:color="808080" w:themeColor="background1" w:themeShade="80"/>
              <w:right w:val="nil"/>
            </w:tcBorders>
            <w:shd w:val="clear" w:color="auto" w:fill="F2F2F2" w:themeFill="background1" w:themeFillShade="F2"/>
            <w:noWrap/>
            <w:vAlign w:val="center"/>
          </w:tcPr>
          <w:p w14:paraId="4BE9923E" w14:textId="77777777" w:rsidR="00AC445B" w:rsidRPr="005210C6" w:rsidRDefault="00AC445B" w:rsidP="00AC445B">
            <w:pPr>
              <w:spacing w:after="0" w:line="240" w:lineRule="exact"/>
              <w:jc w:val="right"/>
              <w:rPr>
                <w:rFonts w:ascii="Montserrat" w:hAnsi="Montserrat"/>
                <w:sz w:val="14"/>
                <w:szCs w:val="14"/>
                <w:lang w:val="es-ES_tradnl"/>
              </w:rPr>
            </w:pPr>
          </w:p>
        </w:tc>
        <w:tc>
          <w:tcPr>
            <w:tcW w:w="602" w:type="dxa"/>
            <w:tcBorders>
              <w:left w:val="nil"/>
              <w:bottom w:val="single" w:sz="12" w:space="0" w:color="808080" w:themeColor="background1" w:themeShade="80"/>
              <w:right w:val="nil"/>
            </w:tcBorders>
            <w:shd w:val="clear" w:color="auto" w:fill="F2F2F2" w:themeFill="background1" w:themeFillShade="F2"/>
            <w:noWrap/>
            <w:vAlign w:val="center"/>
          </w:tcPr>
          <w:p w14:paraId="5A9C3568" w14:textId="77777777" w:rsidR="00AC445B" w:rsidRPr="005210C6" w:rsidRDefault="00AC445B" w:rsidP="00AC445B">
            <w:pPr>
              <w:spacing w:after="0" w:line="240" w:lineRule="exact"/>
              <w:jc w:val="right"/>
              <w:rPr>
                <w:rFonts w:ascii="Montserrat" w:hAnsi="Montserrat"/>
                <w:sz w:val="14"/>
                <w:szCs w:val="14"/>
                <w:lang w:val="es-ES_tradnl"/>
              </w:rPr>
            </w:pPr>
          </w:p>
        </w:tc>
        <w:tc>
          <w:tcPr>
            <w:tcW w:w="567" w:type="dxa"/>
            <w:tcBorders>
              <w:left w:val="nil"/>
              <w:bottom w:val="single" w:sz="12" w:space="0" w:color="808080" w:themeColor="background1" w:themeShade="80"/>
              <w:right w:val="nil"/>
            </w:tcBorders>
            <w:shd w:val="clear" w:color="auto" w:fill="F2F2F2" w:themeFill="background1" w:themeFillShade="F2"/>
            <w:noWrap/>
            <w:vAlign w:val="center"/>
          </w:tcPr>
          <w:p w14:paraId="35B9AB4D" w14:textId="77777777" w:rsidR="00AC445B" w:rsidRPr="005210C6" w:rsidRDefault="00AC445B" w:rsidP="00AC445B">
            <w:pPr>
              <w:spacing w:after="0" w:line="240" w:lineRule="exact"/>
              <w:jc w:val="right"/>
              <w:rPr>
                <w:rFonts w:ascii="Montserrat" w:hAnsi="Montserrat"/>
                <w:sz w:val="14"/>
                <w:szCs w:val="14"/>
                <w:lang w:val="es-ES_tradnl"/>
              </w:rPr>
            </w:pPr>
          </w:p>
        </w:tc>
        <w:tc>
          <w:tcPr>
            <w:tcW w:w="849" w:type="dxa"/>
            <w:tcBorders>
              <w:left w:val="nil"/>
              <w:bottom w:val="single" w:sz="12" w:space="0" w:color="808080" w:themeColor="background1" w:themeShade="80"/>
              <w:right w:val="nil"/>
            </w:tcBorders>
            <w:shd w:val="clear" w:color="auto" w:fill="F2F2F2" w:themeFill="background1" w:themeFillShade="F2"/>
            <w:noWrap/>
            <w:vAlign w:val="center"/>
          </w:tcPr>
          <w:p w14:paraId="2EED7E9E" w14:textId="77777777" w:rsidR="00AC445B" w:rsidRPr="005210C6" w:rsidRDefault="00AC445B" w:rsidP="00AC445B">
            <w:pPr>
              <w:spacing w:after="0" w:line="240" w:lineRule="exact"/>
              <w:jc w:val="right"/>
              <w:rPr>
                <w:rFonts w:ascii="Montserrat" w:hAnsi="Montserrat"/>
                <w:sz w:val="14"/>
                <w:szCs w:val="14"/>
                <w:lang w:val="es-ES_tradnl"/>
              </w:rPr>
            </w:pPr>
          </w:p>
        </w:tc>
        <w:tc>
          <w:tcPr>
            <w:tcW w:w="947" w:type="dxa"/>
            <w:tcBorders>
              <w:left w:val="nil"/>
              <w:bottom w:val="single" w:sz="12" w:space="0" w:color="808080" w:themeColor="background1" w:themeShade="80"/>
            </w:tcBorders>
            <w:shd w:val="clear" w:color="auto" w:fill="F2F2F2" w:themeFill="background1" w:themeFillShade="F2"/>
            <w:noWrap/>
            <w:vAlign w:val="bottom"/>
          </w:tcPr>
          <w:p w14:paraId="681F3E79" w14:textId="77777777" w:rsidR="00AC445B" w:rsidRPr="005210C6" w:rsidRDefault="00AC445B" w:rsidP="00AC445B">
            <w:pPr>
              <w:spacing w:after="0" w:line="240" w:lineRule="exact"/>
              <w:jc w:val="right"/>
              <w:rPr>
                <w:rFonts w:ascii="Montserrat" w:hAnsi="Montserrat"/>
                <w:sz w:val="14"/>
                <w:szCs w:val="14"/>
                <w:lang w:val="es-ES_tradnl"/>
              </w:rPr>
            </w:pPr>
          </w:p>
        </w:tc>
      </w:tr>
    </w:tbl>
    <w:p w14:paraId="6F157FD5" w14:textId="77777777" w:rsidR="00905B63" w:rsidRDefault="00905B63" w:rsidP="008B6EC9">
      <w:pPr>
        <w:spacing w:after="0" w:line="240" w:lineRule="auto"/>
        <w:jc w:val="both"/>
        <w:rPr>
          <w:rFonts w:ascii="Montserrat" w:hAnsi="Montserrat" w:cs="Arial"/>
          <w:spacing w:val="-1"/>
          <w:sz w:val="18"/>
          <w:szCs w:val="18"/>
        </w:rPr>
      </w:pPr>
    </w:p>
    <w:p w14:paraId="7B3E41A2" w14:textId="77777777" w:rsidR="00B34F6C" w:rsidRDefault="00B34F6C" w:rsidP="008B6EC9">
      <w:pPr>
        <w:spacing w:after="0" w:line="240" w:lineRule="auto"/>
        <w:jc w:val="both"/>
        <w:rPr>
          <w:rFonts w:ascii="Montserrat" w:hAnsi="Montserrat" w:cs="Arial"/>
          <w:spacing w:val="-1"/>
          <w:sz w:val="18"/>
          <w:szCs w:val="18"/>
        </w:rPr>
      </w:pPr>
    </w:p>
    <w:p w14:paraId="26D612C7" w14:textId="77777777" w:rsidR="00FB3416" w:rsidRPr="00F174D8" w:rsidRDefault="00FB3416" w:rsidP="000F0321">
      <w:pPr>
        <w:spacing w:after="120" w:line="240" w:lineRule="exact"/>
        <w:jc w:val="both"/>
        <w:rPr>
          <w:rFonts w:ascii="Montserrat" w:hAnsi="Montserrat" w:cs="Arial"/>
          <w:b/>
          <w:spacing w:val="-1"/>
          <w:sz w:val="18"/>
          <w:szCs w:val="18"/>
        </w:rPr>
      </w:pPr>
      <w:r w:rsidRPr="00F174D8">
        <w:rPr>
          <w:rFonts w:ascii="Montserrat" w:hAnsi="Montserrat" w:cs="Arial"/>
          <w:b/>
          <w:spacing w:val="-1"/>
          <w:sz w:val="18"/>
          <w:szCs w:val="18"/>
        </w:rPr>
        <w:t>12. Calificaciones otorgadas</w:t>
      </w:r>
    </w:p>
    <w:p w14:paraId="427122AB" w14:textId="77777777" w:rsidR="003354BA" w:rsidRPr="000F0321" w:rsidRDefault="003354BA" w:rsidP="000F0321">
      <w:pPr>
        <w:spacing w:after="120" w:line="240" w:lineRule="exact"/>
        <w:jc w:val="both"/>
        <w:rPr>
          <w:rFonts w:ascii="Montserrat" w:hAnsi="Montserrat" w:cs="Arial"/>
          <w:spacing w:val="-1"/>
          <w:sz w:val="18"/>
          <w:szCs w:val="18"/>
        </w:rPr>
      </w:pPr>
      <w:r w:rsidRPr="000F0321">
        <w:rPr>
          <w:rFonts w:ascii="Montserrat" w:hAnsi="Montserrat" w:cs="Arial"/>
          <w:spacing w:val="-1"/>
          <w:sz w:val="18"/>
          <w:szCs w:val="18"/>
        </w:rPr>
        <w:t>Las agencias calificadoras especializadas en la evaluación del riesgo de crédito de valores emitidos por instituciones financieras, empresas y gobiernos, calificaron a la deuda soberana de largo plazo de México denominada en moneda extranjera con el grado de inversión.</w:t>
      </w:r>
    </w:p>
    <w:p w14:paraId="094BE067" w14:textId="77777777" w:rsidR="003354BA" w:rsidRPr="000F0321" w:rsidRDefault="003354BA" w:rsidP="000F0321">
      <w:pPr>
        <w:spacing w:after="120" w:line="240" w:lineRule="exact"/>
        <w:jc w:val="both"/>
        <w:rPr>
          <w:rFonts w:ascii="Montserrat" w:hAnsi="Montserrat" w:cs="Arial"/>
          <w:spacing w:val="-1"/>
          <w:sz w:val="18"/>
          <w:szCs w:val="18"/>
        </w:rPr>
      </w:pPr>
      <w:r w:rsidRPr="000F0321">
        <w:rPr>
          <w:rFonts w:ascii="Montserrat" w:hAnsi="Montserrat" w:cs="Arial"/>
          <w:spacing w:val="-1"/>
          <w:sz w:val="18"/>
          <w:szCs w:val="18"/>
        </w:rPr>
        <w:t>Las agencias calificadoras emitieron en el 2019 la calificación de la deuda del país:</w:t>
      </w:r>
    </w:p>
    <w:p w14:paraId="3EEC8092" w14:textId="77777777" w:rsidR="003354BA" w:rsidRPr="000F0321" w:rsidRDefault="003354BA" w:rsidP="000F0321">
      <w:pPr>
        <w:spacing w:after="120" w:line="240" w:lineRule="exact"/>
        <w:jc w:val="both"/>
        <w:rPr>
          <w:rFonts w:ascii="Montserrat" w:hAnsi="Montserrat" w:cs="Arial"/>
          <w:spacing w:val="-1"/>
          <w:sz w:val="18"/>
          <w:szCs w:val="18"/>
        </w:rPr>
      </w:pPr>
      <w:r w:rsidRPr="000F0321">
        <w:rPr>
          <w:rFonts w:ascii="Montserrat" w:hAnsi="Montserrat" w:cs="Arial"/>
          <w:spacing w:val="-1"/>
          <w:sz w:val="18"/>
          <w:szCs w:val="18"/>
        </w:rPr>
        <w:t xml:space="preserve">Standard and Poor’s el 19 de diciembre de 2019, confirmó sus calificaciones de largo plazo en moneda extranjera en ‘BBB+’. Anteriormente, el 01 de marzo de 2019, revisó la perspectiva de las calificaciones de largo plazo en moneda extranjera modificando la perspectiva del soberano a negativo. </w:t>
      </w:r>
    </w:p>
    <w:p w14:paraId="120D40E0" w14:textId="77777777" w:rsidR="003354BA" w:rsidRPr="000F0321" w:rsidRDefault="003354BA" w:rsidP="000F0321">
      <w:pPr>
        <w:spacing w:after="120" w:line="240" w:lineRule="exact"/>
        <w:jc w:val="both"/>
        <w:rPr>
          <w:rFonts w:ascii="Montserrat" w:hAnsi="Montserrat" w:cs="Arial"/>
          <w:spacing w:val="-1"/>
          <w:sz w:val="18"/>
          <w:szCs w:val="18"/>
        </w:rPr>
      </w:pPr>
      <w:r w:rsidRPr="000F0321">
        <w:rPr>
          <w:rFonts w:ascii="Montserrat" w:hAnsi="Montserrat" w:cs="Arial"/>
          <w:spacing w:val="-1"/>
          <w:sz w:val="18"/>
          <w:szCs w:val="18"/>
        </w:rPr>
        <w:t xml:space="preserve">La calificadora Fitch, el 13 de diciembre de 2019, confirmó la calificación soberana de largo plazo en moneda extranjera “BBB” con una perspectiva “estable”, anteriormente, el 5 de junio de 2019, bajó la calificación soberana de las calificaciones de largo plazo en moneda extranjera y local de México de “BBB+” a “BBB” y la perspectiva de “estable” a “negativa”. </w:t>
      </w:r>
    </w:p>
    <w:p w14:paraId="217E9111" w14:textId="77777777" w:rsidR="003354BA" w:rsidRDefault="003354BA" w:rsidP="000F0321">
      <w:pPr>
        <w:spacing w:after="120" w:line="240" w:lineRule="exact"/>
        <w:jc w:val="both"/>
        <w:rPr>
          <w:rFonts w:ascii="Montserrat" w:hAnsi="Montserrat" w:cs="Arial"/>
          <w:spacing w:val="-1"/>
          <w:sz w:val="18"/>
          <w:szCs w:val="18"/>
        </w:rPr>
      </w:pPr>
      <w:r w:rsidRPr="000F0321">
        <w:rPr>
          <w:rFonts w:ascii="Montserrat" w:hAnsi="Montserrat" w:cs="Arial"/>
          <w:spacing w:val="-1"/>
          <w:sz w:val="18"/>
          <w:szCs w:val="18"/>
        </w:rPr>
        <w:lastRenderedPageBreak/>
        <w:t>Finalmente, Moody’s,  el 5 de junio de 2019, revisó la perspectiva de las calificaciones de largo plazo de México al cambiarla de “estable” a “negativa”, al tiempo que afirmó las calificaciones en moneda extranjera y local en ‘A3’.</w:t>
      </w:r>
    </w:p>
    <w:p w14:paraId="17566E48" w14:textId="77777777" w:rsidR="003655A9" w:rsidRDefault="003655A9" w:rsidP="003655A9">
      <w:pPr>
        <w:spacing w:after="120" w:line="240" w:lineRule="exact"/>
        <w:jc w:val="center"/>
        <w:rPr>
          <w:rFonts w:ascii="Montserrat" w:hAnsi="Montserrat" w:cs="Arial"/>
          <w:b/>
          <w:spacing w:val="-1"/>
          <w:sz w:val="18"/>
          <w:szCs w:val="18"/>
        </w:rPr>
      </w:pPr>
    </w:p>
    <w:p w14:paraId="6B97BADC" w14:textId="2F1C9035" w:rsidR="003655A9" w:rsidRDefault="003655A9" w:rsidP="003655A9">
      <w:pPr>
        <w:spacing w:after="120" w:line="240" w:lineRule="exact"/>
        <w:jc w:val="center"/>
        <w:rPr>
          <w:rFonts w:ascii="Montserrat" w:hAnsi="Montserrat" w:cs="Arial"/>
          <w:spacing w:val="-1"/>
          <w:sz w:val="18"/>
          <w:szCs w:val="18"/>
        </w:rPr>
      </w:pPr>
      <w:r w:rsidRPr="000F0321">
        <w:rPr>
          <w:rFonts w:ascii="Montserrat" w:hAnsi="Montserrat" w:cs="Arial"/>
          <w:b/>
          <w:spacing w:val="-1"/>
          <w:sz w:val="18"/>
          <w:szCs w:val="18"/>
        </w:rPr>
        <w:t>Calificaciones de la Deuda Soberana de Largo Plazo</w:t>
      </w:r>
    </w:p>
    <w:p w14:paraId="36E87C30" w14:textId="66278F8C" w:rsidR="003655A9" w:rsidRDefault="003655A9" w:rsidP="003655A9">
      <w:pPr>
        <w:spacing w:after="120" w:line="240" w:lineRule="exact"/>
        <w:jc w:val="center"/>
        <w:rPr>
          <w:rFonts w:ascii="Montserrat" w:hAnsi="Montserrat" w:cs="Arial"/>
          <w:b/>
          <w:spacing w:val="-1"/>
          <w:sz w:val="18"/>
          <w:szCs w:val="18"/>
        </w:rPr>
      </w:pPr>
      <w:r w:rsidRPr="000F0321">
        <w:rPr>
          <w:rFonts w:ascii="Montserrat" w:hAnsi="Montserrat" w:cs="Arial"/>
          <w:b/>
          <w:spacing w:val="-1"/>
          <w:sz w:val="18"/>
          <w:szCs w:val="18"/>
        </w:rPr>
        <w:t>Denominada en Moneda Extranjera de México</w:t>
      </w:r>
    </w:p>
    <w:p w14:paraId="2E1DF97C" w14:textId="4EF8CA69" w:rsidR="003655A9" w:rsidRPr="000F0321" w:rsidRDefault="003655A9" w:rsidP="003655A9">
      <w:pPr>
        <w:spacing w:after="120" w:line="240" w:lineRule="exact"/>
        <w:jc w:val="center"/>
        <w:rPr>
          <w:rFonts w:ascii="Montserrat" w:hAnsi="Montserrat" w:cs="Arial"/>
          <w:spacing w:val="-1"/>
          <w:sz w:val="18"/>
          <w:szCs w:val="18"/>
        </w:rPr>
      </w:pPr>
      <w:r w:rsidRPr="000F0321">
        <w:rPr>
          <w:rFonts w:ascii="Montserrat" w:hAnsi="Montserrat" w:cs="Arial"/>
          <w:b/>
          <w:spacing w:val="-1"/>
          <w:sz w:val="18"/>
          <w:szCs w:val="18"/>
        </w:rPr>
        <w:t>Agencias Calificadoras</w:t>
      </w:r>
    </w:p>
    <w:tbl>
      <w:tblPr>
        <w:tblW w:w="6521" w:type="dxa"/>
        <w:jc w:val="center"/>
        <w:tblLayout w:type="fixed"/>
        <w:tblCellMar>
          <w:left w:w="0" w:type="dxa"/>
          <w:right w:w="0" w:type="dxa"/>
        </w:tblCellMar>
        <w:tblLook w:val="04A0" w:firstRow="1" w:lastRow="0" w:firstColumn="1" w:lastColumn="0" w:noHBand="0" w:noVBand="1"/>
      </w:tblPr>
      <w:tblGrid>
        <w:gridCol w:w="2268"/>
        <w:gridCol w:w="2112"/>
        <w:gridCol w:w="2141"/>
      </w:tblGrid>
      <w:tr w:rsidR="0063158A" w:rsidRPr="006F0DF1" w14:paraId="0BB03388" w14:textId="77777777" w:rsidTr="000F0321">
        <w:trPr>
          <w:trHeight w:val="215"/>
          <w:jc w:val="center"/>
        </w:trPr>
        <w:tc>
          <w:tcPr>
            <w:tcW w:w="6521" w:type="dxa"/>
            <w:gridSpan w:val="3"/>
            <w:tcBorders>
              <w:bottom w:val="single" w:sz="12" w:space="0" w:color="808080" w:themeColor="background1" w:themeShade="80"/>
            </w:tcBorders>
            <w:shd w:val="clear" w:color="auto" w:fill="auto"/>
            <w:tcMar>
              <w:top w:w="0" w:type="dxa"/>
              <w:left w:w="108" w:type="dxa"/>
              <w:bottom w:w="0" w:type="dxa"/>
              <w:right w:w="108" w:type="dxa"/>
            </w:tcMar>
          </w:tcPr>
          <w:p w14:paraId="1854E3B4" w14:textId="3979F91C" w:rsidR="0063158A" w:rsidRPr="00685332" w:rsidRDefault="003655A9" w:rsidP="000F0321">
            <w:pPr>
              <w:spacing w:after="120" w:line="240" w:lineRule="exact"/>
              <w:jc w:val="center"/>
              <w:rPr>
                <w:rFonts w:ascii="Montserrat" w:hAnsi="Montserrat"/>
                <w:color w:val="FFFFFF"/>
                <w:spacing w:val="-1"/>
                <w:sz w:val="16"/>
                <w:szCs w:val="16"/>
              </w:rPr>
            </w:pPr>
            <w:r>
              <w:rPr>
                <w:rFonts w:ascii="Montserrat" w:hAnsi="Montserrat"/>
                <w:spacing w:val="-1"/>
                <w:sz w:val="16"/>
                <w:szCs w:val="16"/>
              </w:rPr>
              <w:t xml:space="preserve"> </w:t>
            </w:r>
            <w:r w:rsidR="0063158A">
              <w:rPr>
                <w:rFonts w:ascii="Montserrat" w:hAnsi="Montserrat"/>
                <w:spacing w:val="-1"/>
                <w:sz w:val="16"/>
                <w:szCs w:val="16"/>
              </w:rPr>
              <w:t>(2019</w:t>
            </w:r>
            <w:r w:rsidR="0063158A" w:rsidRPr="00685332">
              <w:rPr>
                <w:rFonts w:ascii="Montserrat" w:hAnsi="Montserrat"/>
                <w:spacing w:val="-1"/>
                <w:sz w:val="16"/>
                <w:szCs w:val="16"/>
              </w:rPr>
              <w:t>)</w:t>
            </w:r>
          </w:p>
        </w:tc>
      </w:tr>
      <w:tr w:rsidR="0063158A" w:rsidRPr="006F0DF1" w14:paraId="31E2C5A4" w14:textId="77777777" w:rsidTr="000F0321">
        <w:trPr>
          <w:trHeight w:val="317"/>
          <w:jc w:val="center"/>
        </w:trPr>
        <w:tc>
          <w:tcPr>
            <w:tcW w:w="2268" w:type="dxa"/>
            <w:tcBorders>
              <w:bottom w:val="double" w:sz="12" w:space="0" w:color="808080" w:themeColor="background1" w:themeShade="80"/>
              <w:right w:val="single" w:sz="8" w:space="0" w:color="FFFFFF" w:themeColor="background1"/>
            </w:tcBorders>
            <w:shd w:val="clear" w:color="auto" w:fill="D4C19C"/>
            <w:tcMar>
              <w:top w:w="0" w:type="dxa"/>
              <w:left w:w="108" w:type="dxa"/>
              <w:bottom w:w="0" w:type="dxa"/>
              <w:right w:w="108" w:type="dxa"/>
            </w:tcMar>
            <w:vAlign w:val="center"/>
            <w:hideMark/>
          </w:tcPr>
          <w:p w14:paraId="55EAD951" w14:textId="3AEAF963" w:rsidR="0063158A" w:rsidRPr="006F0DF1" w:rsidRDefault="0063158A" w:rsidP="000F0321">
            <w:pPr>
              <w:spacing w:after="120" w:line="240" w:lineRule="exact"/>
              <w:jc w:val="center"/>
              <w:rPr>
                <w:rFonts w:ascii="Montserrat" w:hAnsi="Montserrat"/>
                <w:b/>
                <w:bCs/>
                <w:color w:val="FFFFFF"/>
                <w:spacing w:val="-1"/>
                <w:sz w:val="16"/>
                <w:szCs w:val="16"/>
              </w:rPr>
            </w:pPr>
            <w:r w:rsidRPr="00414E8C">
              <w:rPr>
                <w:rFonts w:ascii="Montserrat" w:hAnsi="Montserrat"/>
                <w:b/>
                <w:bCs/>
                <w:color w:val="FFFFFF" w:themeColor="background1"/>
                <w:sz w:val="15"/>
                <w:szCs w:val="15"/>
              </w:rPr>
              <w:t>Fitch</w:t>
            </w:r>
          </w:p>
        </w:tc>
        <w:tc>
          <w:tcPr>
            <w:tcW w:w="2112" w:type="dxa"/>
            <w:tcBorders>
              <w:left w:val="single" w:sz="8" w:space="0" w:color="FFFFFF" w:themeColor="background1"/>
              <w:bottom w:val="double" w:sz="12" w:space="0" w:color="808080" w:themeColor="background1" w:themeShade="80"/>
              <w:right w:val="single" w:sz="8" w:space="0" w:color="FFFFFF" w:themeColor="background1"/>
            </w:tcBorders>
            <w:shd w:val="clear" w:color="auto" w:fill="D4C19C"/>
            <w:vAlign w:val="center"/>
          </w:tcPr>
          <w:p w14:paraId="2D9FD411" w14:textId="1B169C78" w:rsidR="0063158A" w:rsidRPr="006F0DF1" w:rsidRDefault="0063158A" w:rsidP="000F0321">
            <w:pPr>
              <w:spacing w:after="120" w:line="240" w:lineRule="exact"/>
              <w:jc w:val="center"/>
              <w:rPr>
                <w:rFonts w:ascii="Montserrat" w:hAnsi="Montserrat"/>
                <w:b/>
                <w:bCs/>
                <w:color w:val="FFFFFF"/>
                <w:spacing w:val="-1"/>
                <w:sz w:val="16"/>
                <w:szCs w:val="16"/>
              </w:rPr>
            </w:pPr>
            <w:r w:rsidRPr="00414E8C">
              <w:rPr>
                <w:rFonts w:ascii="Montserrat" w:hAnsi="Montserrat"/>
                <w:b/>
                <w:bCs/>
                <w:color w:val="FFFFFF" w:themeColor="background1"/>
                <w:sz w:val="15"/>
                <w:szCs w:val="15"/>
              </w:rPr>
              <w:t>Standard &amp; Poor’s</w:t>
            </w:r>
          </w:p>
        </w:tc>
        <w:tc>
          <w:tcPr>
            <w:tcW w:w="2141" w:type="dxa"/>
            <w:tcBorders>
              <w:left w:val="single" w:sz="8" w:space="0" w:color="FFFFFF" w:themeColor="background1"/>
              <w:bottom w:val="double" w:sz="12" w:space="0" w:color="808080" w:themeColor="background1" w:themeShade="80"/>
              <w:right w:val="single" w:sz="8" w:space="0" w:color="BFBFBF"/>
            </w:tcBorders>
            <w:shd w:val="clear" w:color="auto" w:fill="D4C19C"/>
            <w:tcMar>
              <w:top w:w="0" w:type="dxa"/>
              <w:left w:w="108" w:type="dxa"/>
              <w:bottom w:w="0" w:type="dxa"/>
              <w:right w:w="108" w:type="dxa"/>
            </w:tcMar>
            <w:vAlign w:val="center"/>
          </w:tcPr>
          <w:p w14:paraId="67974945" w14:textId="6A51F641" w:rsidR="0063158A" w:rsidRPr="006F0DF1" w:rsidRDefault="0063158A" w:rsidP="000F0321">
            <w:pPr>
              <w:spacing w:after="120" w:line="240" w:lineRule="exact"/>
              <w:jc w:val="center"/>
              <w:rPr>
                <w:rFonts w:ascii="Montserrat" w:hAnsi="Montserrat"/>
                <w:b/>
                <w:bCs/>
                <w:color w:val="FFFFFF"/>
                <w:spacing w:val="-1"/>
                <w:sz w:val="16"/>
                <w:szCs w:val="16"/>
              </w:rPr>
            </w:pPr>
            <w:r w:rsidRPr="00414E8C">
              <w:rPr>
                <w:rFonts w:ascii="Montserrat" w:hAnsi="Montserrat"/>
                <w:b/>
                <w:bCs/>
                <w:color w:val="FFFFFF" w:themeColor="background1"/>
                <w:sz w:val="15"/>
                <w:szCs w:val="15"/>
              </w:rPr>
              <w:t>Moody’s</w:t>
            </w:r>
          </w:p>
        </w:tc>
      </w:tr>
      <w:tr w:rsidR="0063158A" w:rsidRPr="006F0DF1" w14:paraId="1E9A6B70" w14:textId="77777777" w:rsidTr="000F0321">
        <w:trPr>
          <w:trHeight w:val="215"/>
          <w:jc w:val="center"/>
        </w:trPr>
        <w:tc>
          <w:tcPr>
            <w:tcW w:w="2268" w:type="dxa"/>
            <w:tcBorders>
              <w:bottom w:val="single" w:sz="12" w:space="0" w:color="808080" w:themeColor="background1" w:themeShade="80"/>
            </w:tcBorders>
            <w:shd w:val="clear" w:color="auto" w:fill="F2F2F2" w:themeFill="background1" w:themeFillShade="F2"/>
            <w:tcMar>
              <w:top w:w="0" w:type="dxa"/>
              <w:left w:w="108" w:type="dxa"/>
              <w:bottom w:w="0" w:type="dxa"/>
              <w:right w:w="108" w:type="dxa"/>
            </w:tcMar>
          </w:tcPr>
          <w:p w14:paraId="6A6A3DBB" w14:textId="77777777" w:rsidR="0063158A" w:rsidRPr="00414E8C" w:rsidRDefault="0063158A" w:rsidP="000F0321">
            <w:pPr>
              <w:pStyle w:val="Default"/>
              <w:spacing w:after="120" w:line="240" w:lineRule="exact"/>
              <w:jc w:val="center"/>
              <w:rPr>
                <w:rFonts w:ascii="Montserrat" w:hAnsi="Montserrat"/>
                <w:sz w:val="15"/>
                <w:szCs w:val="15"/>
              </w:rPr>
            </w:pPr>
            <w:r w:rsidRPr="00414E8C">
              <w:rPr>
                <w:rFonts w:ascii="Montserrat" w:hAnsi="Montserrat"/>
                <w:sz w:val="15"/>
                <w:szCs w:val="15"/>
              </w:rPr>
              <w:t>BBB</w:t>
            </w:r>
          </w:p>
          <w:p w14:paraId="6F4C3441" w14:textId="08CF0DDF" w:rsidR="0063158A" w:rsidRPr="00414E8C" w:rsidRDefault="0063158A" w:rsidP="000F0321">
            <w:pPr>
              <w:spacing w:after="120" w:line="240" w:lineRule="exact"/>
              <w:rPr>
                <w:rFonts w:ascii="Montserrat" w:hAnsi="Montserrat"/>
                <w:bCs/>
                <w:spacing w:val="-1"/>
                <w:sz w:val="15"/>
                <w:szCs w:val="15"/>
              </w:rPr>
            </w:pPr>
            <w:r w:rsidRPr="00414E8C">
              <w:rPr>
                <w:rFonts w:ascii="Montserrat" w:hAnsi="Montserrat"/>
                <w:sz w:val="15"/>
                <w:szCs w:val="15"/>
              </w:rPr>
              <w:t>Perspectiva: Estable</w:t>
            </w:r>
          </w:p>
        </w:tc>
        <w:tc>
          <w:tcPr>
            <w:tcW w:w="2112" w:type="dxa"/>
            <w:tcBorders>
              <w:bottom w:val="single" w:sz="12" w:space="0" w:color="808080" w:themeColor="background1" w:themeShade="80"/>
            </w:tcBorders>
            <w:shd w:val="clear" w:color="auto" w:fill="F2F2F2" w:themeFill="background1" w:themeFillShade="F2"/>
          </w:tcPr>
          <w:p w14:paraId="0A53DCD0" w14:textId="77777777" w:rsidR="0063158A" w:rsidRPr="00414E8C" w:rsidRDefault="0063158A" w:rsidP="000F0321">
            <w:pPr>
              <w:pStyle w:val="Default"/>
              <w:spacing w:after="120" w:line="240" w:lineRule="exact"/>
              <w:jc w:val="center"/>
              <w:rPr>
                <w:rFonts w:ascii="Montserrat" w:hAnsi="Montserrat"/>
                <w:sz w:val="15"/>
                <w:szCs w:val="15"/>
              </w:rPr>
            </w:pPr>
            <w:r w:rsidRPr="00414E8C">
              <w:rPr>
                <w:rFonts w:ascii="Montserrat" w:hAnsi="Montserrat"/>
                <w:sz w:val="15"/>
                <w:szCs w:val="15"/>
              </w:rPr>
              <w:t xml:space="preserve">BBB+ </w:t>
            </w:r>
          </w:p>
          <w:p w14:paraId="597D8CC2" w14:textId="4E4ABEE6" w:rsidR="0063158A" w:rsidRPr="00414E8C" w:rsidRDefault="0063158A" w:rsidP="000F0321">
            <w:pPr>
              <w:spacing w:after="120" w:line="240" w:lineRule="exact"/>
              <w:ind w:right="57"/>
              <w:jc w:val="right"/>
              <w:rPr>
                <w:rFonts w:ascii="Montserrat" w:hAnsi="Montserrat"/>
                <w:spacing w:val="-1"/>
                <w:sz w:val="15"/>
                <w:szCs w:val="15"/>
              </w:rPr>
            </w:pPr>
            <w:r w:rsidRPr="00414E8C">
              <w:rPr>
                <w:rFonts w:ascii="Montserrat" w:hAnsi="Montserrat"/>
                <w:sz w:val="15"/>
                <w:szCs w:val="15"/>
              </w:rPr>
              <w:t>Perspectiva: Negativa</w:t>
            </w:r>
          </w:p>
        </w:tc>
        <w:tc>
          <w:tcPr>
            <w:tcW w:w="2141" w:type="dxa"/>
            <w:tcBorders>
              <w:bottom w:val="single" w:sz="12" w:space="0" w:color="808080" w:themeColor="background1" w:themeShade="80"/>
            </w:tcBorders>
            <w:shd w:val="clear" w:color="auto" w:fill="F2F2F2" w:themeFill="background1" w:themeFillShade="F2"/>
            <w:tcMar>
              <w:top w:w="0" w:type="dxa"/>
              <w:left w:w="108" w:type="dxa"/>
              <w:bottom w:w="0" w:type="dxa"/>
              <w:right w:w="108" w:type="dxa"/>
            </w:tcMar>
          </w:tcPr>
          <w:p w14:paraId="248A6542" w14:textId="77777777" w:rsidR="0063158A" w:rsidRPr="00414E8C" w:rsidRDefault="0063158A" w:rsidP="000F0321">
            <w:pPr>
              <w:pStyle w:val="Default"/>
              <w:spacing w:after="120" w:line="240" w:lineRule="exact"/>
              <w:jc w:val="center"/>
              <w:rPr>
                <w:rFonts w:ascii="Montserrat" w:hAnsi="Montserrat"/>
                <w:sz w:val="15"/>
                <w:szCs w:val="15"/>
              </w:rPr>
            </w:pPr>
            <w:r w:rsidRPr="00414E8C">
              <w:rPr>
                <w:rFonts w:ascii="Montserrat" w:hAnsi="Montserrat"/>
                <w:sz w:val="15"/>
                <w:szCs w:val="15"/>
              </w:rPr>
              <w:t xml:space="preserve">A3 </w:t>
            </w:r>
          </w:p>
          <w:p w14:paraId="408DE517" w14:textId="6C5B5770" w:rsidR="0063158A" w:rsidRPr="00414E8C" w:rsidRDefault="0063158A" w:rsidP="000F0321">
            <w:pPr>
              <w:spacing w:after="120" w:line="240" w:lineRule="exact"/>
              <w:ind w:right="57"/>
              <w:jc w:val="right"/>
              <w:rPr>
                <w:rFonts w:ascii="Montserrat" w:hAnsi="Montserrat"/>
                <w:spacing w:val="-1"/>
                <w:sz w:val="15"/>
                <w:szCs w:val="15"/>
              </w:rPr>
            </w:pPr>
            <w:r w:rsidRPr="00414E8C">
              <w:rPr>
                <w:rFonts w:ascii="Montserrat" w:hAnsi="Montserrat"/>
                <w:sz w:val="15"/>
                <w:szCs w:val="15"/>
              </w:rPr>
              <w:t>Perspectiva: Negativa</w:t>
            </w:r>
          </w:p>
        </w:tc>
      </w:tr>
    </w:tbl>
    <w:p w14:paraId="034C0D0F" w14:textId="77777777" w:rsidR="0063158A" w:rsidRDefault="0063158A" w:rsidP="000F0321">
      <w:pPr>
        <w:spacing w:after="120" w:line="240" w:lineRule="exact"/>
        <w:jc w:val="both"/>
        <w:rPr>
          <w:rFonts w:ascii="Montserrat" w:hAnsi="Montserrat" w:cs="Arial"/>
          <w:spacing w:val="-1"/>
          <w:sz w:val="20"/>
          <w:szCs w:val="20"/>
        </w:rPr>
      </w:pPr>
    </w:p>
    <w:p w14:paraId="711ACC62" w14:textId="01317B91" w:rsidR="003354BA" w:rsidRPr="000F0321" w:rsidRDefault="003354BA" w:rsidP="000F0321">
      <w:pPr>
        <w:spacing w:after="120" w:line="240" w:lineRule="exact"/>
        <w:jc w:val="both"/>
        <w:rPr>
          <w:rFonts w:ascii="Montserrat" w:hAnsi="Montserrat" w:cs="Arial"/>
          <w:spacing w:val="-1"/>
          <w:sz w:val="18"/>
          <w:szCs w:val="18"/>
        </w:rPr>
      </w:pPr>
      <w:r w:rsidRPr="000F0321">
        <w:rPr>
          <w:rFonts w:ascii="Montserrat" w:hAnsi="Montserrat" w:cs="Arial"/>
          <w:spacing w:val="-1"/>
          <w:sz w:val="18"/>
          <w:szCs w:val="18"/>
        </w:rPr>
        <w:t>En el ejercicio 2019, las emisiones realizadas en los mercados financieros internacionales por el Gobierno Federal obtuvieron condiciones de costo y plazo favorables que reflejan la confianza de los inversionistas en las perspectivas del país.</w:t>
      </w:r>
    </w:p>
    <w:p w14:paraId="56D83DD3" w14:textId="77777777" w:rsidR="003354BA" w:rsidRPr="000F0321" w:rsidRDefault="003354BA" w:rsidP="000F0321">
      <w:pPr>
        <w:spacing w:after="120" w:line="240" w:lineRule="exact"/>
        <w:jc w:val="both"/>
        <w:rPr>
          <w:rFonts w:ascii="Montserrat" w:hAnsi="Montserrat" w:cs="Arial"/>
          <w:spacing w:val="-1"/>
          <w:sz w:val="18"/>
          <w:szCs w:val="18"/>
        </w:rPr>
      </w:pPr>
      <w:r w:rsidRPr="000F0321">
        <w:rPr>
          <w:rFonts w:ascii="Montserrat" w:hAnsi="Montserrat" w:cs="Arial"/>
          <w:spacing w:val="-1"/>
          <w:sz w:val="18"/>
          <w:szCs w:val="18"/>
        </w:rPr>
        <w:t xml:space="preserve">En 2019 se realizaron cuatro operaciones de colocación de bonos en los mercados financieros internacionales: </w:t>
      </w:r>
    </w:p>
    <w:p w14:paraId="40C8BC64" w14:textId="60162515" w:rsidR="003354BA" w:rsidRPr="000F0321" w:rsidRDefault="003354BA" w:rsidP="000F0321">
      <w:pPr>
        <w:spacing w:after="120" w:line="240" w:lineRule="exact"/>
        <w:jc w:val="both"/>
        <w:rPr>
          <w:rFonts w:ascii="Montserrat" w:hAnsi="Montserrat" w:cs="Arial"/>
          <w:spacing w:val="-1"/>
          <w:sz w:val="18"/>
          <w:szCs w:val="18"/>
        </w:rPr>
      </w:pPr>
      <w:r w:rsidRPr="000F0321">
        <w:rPr>
          <w:rFonts w:ascii="Montserrat" w:hAnsi="Montserrat" w:cs="Arial"/>
          <w:spacing w:val="-1"/>
          <w:sz w:val="18"/>
          <w:szCs w:val="18"/>
        </w:rPr>
        <w:t>En enero de 2019 se realizó una operación de financiamiento en los mercados internacionales por un monto de 2 mil millones de dólares. Los recursos se obtuvieron, mediante la emisión de un nuevo bono de referencia a 10 años con vencimiento en abril de 2029, con una tasa de rend</w:t>
      </w:r>
      <w:r w:rsidR="00CA3625">
        <w:rPr>
          <w:rFonts w:ascii="Montserrat" w:hAnsi="Montserrat" w:cs="Arial"/>
          <w:spacing w:val="-1"/>
          <w:sz w:val="18"/>
          <w:szCs w:val="18"/>
        </w:rPr>
        <w:t xml:space="preserve">imiento al vencimiento de 4.577% </w:t>
      </w:r>
      <w:r w:rsidRPr="000F0321">
        <w:rPr>
          <w:rFonts w:ascii="Montserrat" w:hAnsi="Montserrat" w:cs="Arial"/>
          <w:spacing w:val="-1"/>
          <w:sz w:val="18"/>
          <w:szCs w:val="18"/>
        </w:rPr>
        <w:t>y una tasa cupón de 4.500</w:t>
      </w:r>
      <w:r w:rsidR="00CA3625">
        <w:rPr>
          <w:rFonts w:ascii="Montserrat" w:hAnsi="Montserrat" w:cs="Arial"/>
          <w:spacing w:val="-1"/>
          <w:sz w:val="18"/>
          <w:szCs w:val="18"/>
        </w:rPr>
        <w:t>%</w:t>
      </w:r>
      <w:r w:rsidRPr="000F0321">
        <w:rPr>
          <w:rFonts w:ascii="Montserrat" w:hAnsi="Montserrat" w:cs="Arial"/>
          <w:spacing w:val="-1"/>
          <w:sz w:val="18"/>
          <w:szCs w:val="18"/>
        </w:rPr>
        <w:t>. La operación tuvo una demanda total de aproximadamente 8,000 mdd, equivalente a 4.0 veces el monto emitido, con una participación de más de 320 inversionistas institucionales de América, Europa, Asia y Oriente Medio, lo que demuestra el amplio interés del público inversionista por los instrumentos de deuda emitidos por el Gobierno Federal en los mercados internacionales.</w:t>
      </w:r>
    </w:p>
    <w:p w14:paraId="6FF02204" w14:textId="3E082CAF" w:rsidR="003354BA" w:rsidRPr="000F0321" w:rsidRDefault="003354BA" w:rsidP="000F0321">
      <w:pPr>
        <w:spacing w:after="120" w:line="240" w:lineRule="exact"/>
        <w:jc w:val="both"/>
        <w:rPr>
          <w:rFonts w:ascii="Montserrat" w:hAnsi="Montserrat" w:cs="Arial"/>
          <w:spacing w:val="-1"/>
          <w:sz w:val="18"/>
          <w:szCs w:val="18"/>
        </w:rPr>
      </w:pPr>
      <w:r w:rsidRPr="000F0321">
        <w:rPr>
          <w:rFonts w:ascii="Montserrat" w:hAnsi="Montserrat" w:cs="Arial"/>
          <w:spacing w:val="-1"/>
          <w:sz w:val="18"/>
          <w:szCs w:val="18"/>
        </w:rPr>
        <w:t>En abril de 2019, el Gobierno Federal realizó una operación de financiamiento en el mercado europ</w:t>
      </w:r>
      <w:r w:rsidR="00CA3625">
        <w:rPr>
          <w:rFonts w:ascii="Montserrat" w:hAnsi="Montserrat" w:cs="Arial"/>
          <w:spacing w:val="-1"/>
          <w:sz w:val="18"/>
          <w:szCs w:val="18"/>
        </w:rPr>
        <w:t>eo por un monto total de 2,500</w:t>
      </w:r>
      <w:r w:rsidRPr="000F0321">
        <w:rPr>
          <w:rFonts w:ascii="Montserrat" w:hAnsi="Montserrat" w:cs="Arial"/>
          <w:spacing w:val="-1"/>
          <w:sz w:val="18"/>
          <w:szCs w:val="18"/>
        </w:rPr>
        <w:t xml:space="preserve"> millones de euros (aproximadamente 2,800 millones de dólares).  Con dos bonos de referencia uno a 7 años con vencimiento en 2026, fue colocado a una tasa</w:t>
      </w:r>
      <w:r w:rsidR="00CA3625">
        <w:rPr>
          <w:rFonts w:ascii="Montserrat" w:hAnsi="Montserrat" w:cs="Arial"/>
          <w:spacing w:val="-1"/>
          <w:sz w:val="18"/>
          <w:szCs w:val="18"/>
        </w:rPr>
        <w:t xml:space="preserve"> de rendimiento de 1.669% </w:t>
      </w:r>
      <w:r w:rsidRPr="000F0321">
        <w:rPr>
          <w:rFonts w:ascii="Montserrat" w:hAnsi="Montserrat" w:cs="Arial"/>
          <w:spacing w:val="-1"/>
          <w:sz w:val="18"/>
          <w:szCs w:val="18"/>
        </w:rPr>
        <w:t>y a una tasa cupón de 1.625</w:t>
      </w:r>
      <w:r w:rsidR="00CA3625">
        <w:rPr>
          <w:rFonts w:ascii="Montserrat" w:hAnsi="Montserrat" w:cs="Arial"/>
          <w:spacing w:val="-1"/>
          <w:sz w:val="18"/>
          <w:szCs w:val="18"/>
        </w:rPr>
        <w:t>%</w:t>
      </w:r>
      <w:r w:rsidRPr="000F0321">
        <w:rPr>
          <w:rFonts w:ascii="Montserrat" w:hAnsi="Montserrat" w:cs="Arial"/>
          <w:spacing w:val="-1"/>
          <w:sz w:val="18"/>
          <w:szCs w:val="18"/>
        </w:rPr>
        <w:t>. Y otro bono de referencia a 20 años con vencimie</w:t>
      </w:r>
      <w:r w:rsidR="00CA3625">
        <w:rPr>
          <w:rFonts w:ascii="Montserrat" w:hAnsi="Montserrat" w:cs="Arial"/>
          <w:spacing w:val="-1"/>
          <w:sz w:val="18"/>
          <w:szCs w:val="18"/>
        </w:rPr>
        <w:t xml:space="preserve">nto en 2039, con cupón de 2.875% </w:t>
      </w:r>
      <w:r w:rsidRPr="000F0321">
        <w:rPr>
          <w:rFonts w:ascii="Montserrat" w:hAnsi="Montserrat" w:cs="Arial"/>
          <w:spacing w:val="-1"/>
          <w:sz w:val="18"/>
          <w:szCs w:val="18"/>
        </w:rPr>
        <w:t>y rendimiento al vencimiento de 2.969</w:t>
      </w:r>
      <w:r w:rsidR="00CA3625">
        <w:rPr>
          <w:rFonts w:ascii="Montserrat" w:hAnsi="Montserrat" w:cs="Arial"/>
          <w:spacing w:val="-1"/>
          <w:sz w:val="18"/>
          <w:szCs w:val="18"/>
        </w:rPr>
        <w:t>%</w:t>
      </w:r>
      <w:r w:rsidRPr="000F0321">
        <w:rPr>
          <w:rFonts w:ascii="Montserrat" w:hAnsi="Montserrat" w:cs="Arial"/>
          <w:spacing w:val="-1"/>
          <w:sz w:val="18"/>
          <w:szCs w:val="18"/>
        </w:rPr>
        <w:t>.</w:t>
      </w:r>
    </w:p>
    <w:p w14:paraId="6A55DD8D" w14:textId="554AD549" w:rsidR="003354BA" w:rsidRPr="000F0321" w:rsidRDefault="003354BA" w:rsidP="000F0321">
      <w:pPr>
        <w:spacing w:after="120" w:line="240" w:lineRule="exact"/>
        <w:jc w:val="both"/>
        <w:rPr>
          <w:rFonts w:ascii="Montserrat" w:hAnsi="Montserrat" w:cs="Arial"/>
          <w:spacing w:val="-1"/>
          <w:sz w:val="18"/>
          <w:szCs w:val="18"/>
        </w:rPr>
      </w:pPr>
      <w:r w:rsidRPr="000F0321">
        <w:rPr>
          <w:rFonts w:ascii="Montserrat" w:hAnsi="Montserrat" w:cs="Arial"/>
          <w:spacing w:val="-1"/>
          <w:sz w:val="18"/>
          <w:szCs w:val="18"/>
        </w:rPr>
        <w:t>Para el 27 de junio de 2019 el Gobierno Federal llevó a cabo una operación de financiamiento en el mercado japonés, a través de la cual se colocaron 165,000 millones de yenes (aproximadamente 1,500 millones de dólares) en cuatro bonos de referencia a plazos de 3, 5, 7 y 10 años con un monto de 65.5, 41.2, 27.3 y 31 miles de millones de llenes. Las tasas de interés alcanzadas por los bonos con vencimientos en 2022, 2024, 2026 y 2029 fueron 0.62%, 0.83%, 1.05% y</w:t>
      </w:r>
      <w:r w:rsidR="00CA3625">
        <w:rPr>
          <w:rFonts w:ascii="Montserrat" w:hAnsi="Montserrat" w:cs="Arial"/>
          <w:spacing w:val="-1"/>
          <w:sz w:val="18"/>
          <w:szCs w:val="18"/>
        </w:rPr>
        <w:t xml:space="preserve"> 1.30%, respectivamente (alcanzó</w:t>
      </w:r>
      <w:r w:rsidRPr="000F0321">
        <w:rPr>
          <w:rFonts w:ascii="Montserrat" w:hAnsi="Montserrat" w:cs="Arial"/>
          <w:spacing w:val="-1"/>
          <w:sz w:val="18"/>
          <w:szCs w:val="18"/>
        </w:rPr>
        <w:t xml:space="preserve"> una demanda total </w:t>
      </w:r>
      <w:r w:rsidR="00B549B6">
        <w:rPr>
          <w:rFonts w:ascii="Montserrat" w:hAnsi="Montserrat" w:cs="Arial"/>
          <w:spacing w:val="-1"/>
          <w:sz w:val="18"/>
          <w:szCs w:val="18"/>
        </w:rPr>
        <w:t xml:space="preserve">de </w:t>
      </w:r>
      <w:r w:rsidRPr="000F0321">
        <w:rPr>
          <w:rFonts w:ascii="Montserrat" w:hAnsi="Montserrat" w:cs="Arial"/>
          <w:spacing w:val="-1"/>
          <w:sz w:val="18"/>
          <w:szCs w:val="18"/>
        </w:rPr>
        <w:t>225.000 millones de dólares equivalente a 1.36 veces el monto colocado). Vale la pena resaltar que tanto el monto colocado como la demanda alcanzada en esta transacción significan máximos históricos para una emisión de deuda realizada por el Gobierno Federal en el mercado japonés. Lo anterior, reitera la confianza de los inversionistas japoneses en las finanzas públicas del país.</w:t>
      </w:r>
    </w:p>
    <w:p w14:paraId="7B214BDA" w14:textId="282A1FF3" w:rsidR="003354BA" w:rsidRPr="000F0321" w:rsidRDefault="003354BA" w:rsidP="000F0321">
      <w:pPr>
        <w:spacing w:after="120" w:line="240" w:lineRule="exact"/>
        <w:jc w:val="both"/>
        <w:rPr>
          <w:rFonts w:ascii="Montserrat" w:hAnsi="Montserrat" w:cs="Arial"/>
          <w:spacing w:val="-1"/>
          <w:sz w:val="18"/>
          <w:szCs w:val="18"/>
        </w:rPr>
      </w:pPr>
      <w:r w:rsidRPr="000F0321">
        <w:rPr>
          <w:rFonts w:ascii="Montserrat" w:hAnsi="Montserrat" w:cs="Arial"/>
          <w:spacing w:val="-1"/>
          <w:sz w:val="18"/>
          <w:szCs w:val="18"/>
        </w:rPr>
        <w:lastRenderedPageBreak/>
        <w:t>El 24 julio de 2019 se realizó una gestión de deuda externa de mercado, por un monto aproximado de 3,560 millones de dólares, s</w:t>
      </w:r>
      <w:r w:rsidR="00B549B6">
        <w:rPr>
          <w:rFonts w:ascii="Montserrat" w:hAnsi="Montserrat" w:cs="Arial"/>
          <w:spacing w:val="-1"/>
          <w:sz w:val="18"/>
          <w:szCs w:val="18"/>
        </w:rPr>
        <w:t>e utilizaron</w:t>
      </w:r>
      <w:r w:rsidR="00CA3625">
        <w:rPr>
          <w:rFonts w:ascii="Montserrat" w:hAnsi="Montserrat" w:cs="Arial"/>
          <w:spacing w:val="-1"/>
          <w:sz w:val="18"/>
          <w:szCs w:val="18"/>
        </w:rPr>
        <w:t xml:space="preserve"> recursos obtenidos de</w:t>
      </w:r>
      <w:r w:rsidRPr="000F0321">
        <w:rPr>
          <w:rFonts w:ascii="Montserrat" w:hAnsi="Montserrat" w:cs="Arial"/>
          <w:spacing w:val="-1"/>
          <w:sz w:val="18"/>
          <w:szCs w:val="18"/>
        </w:rPr>
        <w:t xml:space="preserve"> la reapertura del bono en dólares con vencimiento en 2029 y tasa cupón de 4.500% por un monto total de 1,456 millones de dólares a una tasa de rendimiento al vencimiento de 3.738% y la emisión de un nuevo bono de referencia a 30 años con vencimiento en 2050 y tasa cupón 4.500% por un monto total de 2,104 millones de dólares a una tasa de interés de rendimiento al vencimiento de 4.552% (Se llevó a cabo sin incurrir en endeudamiento adicional, con esto mejor</w:t>
      </w:r>
      <w:r w:rsidR="00B549B6">
        <w:rPr>
          <w:rFonts w:ascii="Montserrat" w:hAnsi="Montserrat" w:cs="Arial"/>
          <w:spacing w:val="-1"/>
          <w:sz w:val="18"/>
          <w:szCs w:val="18"/>
        </w:rPr>
        <w:t>ó</w:t>
      </w:r>
      <w:r w:rsidRPr="000F0321">
        <w:rPr>
          <w:rFonts w:ascii="Montserrat" w:hAnsi="Montserrat" w:cs="Arial"/>
          <w:spacing w:val="-1"/>
          <w:sz w:val="18"/>
          <w:szCs w:val="18"/>
        </w:rPr>
        <w:t xml:space="preserve"> el gobierno de México tanto su perfil de vencimiento de deuda externa de mercado como la posición financiera de su po</w:t>
      </w:r>
      <w:r w:rsidR="00B549B6">
        <w:rPr>
          <w:rFonts w:ascii="Montserrat" w:hAnsi="Montserrat" w:cs="Arial"/>
          <w:spacing w:val="-1"/>
          <w:sz w:val="18"/>
          <w:szCs w:val="18"/>
        </w:rPr>
        <w:t>rtafolio de deuda y se disminuyeron</w:t>
      </w:r>
      <w:r w:rsidRPr="000F0321">
        <w:rPr>
          <w:rFonts w:ascii="Montserrat" w:hAnsi="Montserrat" w:cs="Arial"/>
          <w:spacing w:val="-1"/>
          <w:sz w:val="18"/>
          <w:szCs w:val="18"/>
        </w:rPr>
        <w:t xml:space="preserve"> compromisos de pagos de amortización durante los siguientes 7 años, se reduj</w:t>
      </w:r>
      <w:r w:rsidR="00B549B6">
        <w:rPr>
          <w:rFonts w:ascii="Montserrat" w:hAnsi="Montserrat" w:cs="Arial"/>
          <w:spacing w:val="-1"/>
          <w:sz w:val="18"/>
          <w:szCs w:val="18"/>
        </w:rPr>
        <w:t>eron</w:t>
      </w:r>
      <w:r w:rsidRPr="000F0321">
        <w:rPr>
          <w:rFonts w:ascii="Montserrat" w:hAnsi="Montserrat" w:cs="Arial"/>
          <w:spacing w:val="-1"/>
          <w:sz w:val="18"/>
          <w:szCs w:val="18"/>
        </w:rPr>
        <w:t xml:space="preserve"> en alrededor de 37% lo</w:t>
      </w:r>
      <w:r w:rsidR="00B549B6">
        <w:rPr>
          <w:rFonts w:ascii="Montserrat" w:hAnsi="Montserrat" w:cs="Arial"/>
          <w:spacing w:val="-1"/>
          <w:sz w:val="18"/>
          <w:szCs w:val="18"/>
        </w:rPr>
        <w:t>s compromisos de pago programados para 2021.).</w:t>
      </w:r>
      <w:r w:rsidRPr="000F0321">
        <w:rPr>
          <w:rFonts w:ascii="Montserrat" w:hAnsi="Montserrat" w:cs="Arial"/>
          <w:spacing w:val="-1"/>
          <w:sz w:val="18"/>
          <w:szCs w:val="18"/>
        </w:rPr>
        <w:t xml:space="preserve"> Las condiciones alcanzadas en dicha transacción, así como la extensa participación del público inversionista, refleja</w:t>
      </w:r>
      <w:r w:rsidR="00B549B6">
        <w:rPr>
          <w:rFonts w:ascii="Montserrat" w:hAnsi="Montserrat" w:cs="Arial"/>
          <w:spacing w:val="-1"/>
          <w:sz w:val="18"/>
          <w:szCs w:val="18"/>
        </w:rPr>
        <w:t>n</w:t>
      </w:r>
      <w:r w:rsidRPr="000F0321">
        <w:rPr>
          <w:rFonts w:ascii="Montserrat" w:hAnsi="Montserrat" w:cs="Arial"/>
          <w:spacing w:val="-1"/>
          <w:sz w:val="18"/>
          <w:szCs w:val="18"/>
        </w:rPr>
        <w:t xml:space="preserve"> la confianza en el manejo macroeconómico </w:t>
      </w:r>
      <w:r w:rsidR="00B549B6">
        <w:rPr>
          <w:rFonts w:ascii="Montserrat" w:hAnsi="Montserrat" w:cs="Arial"/>
          <w:spacing w:val="-1"/>
          <w:sz w:val="18"/>
          <w:szCs w:val="18"/>
        </w:rPr>
        <w:t>de</w:t>
      </w:r>
      <w:r w:rsidRPr="000F0321">
        <w:rPr>
          <w:rFonts w:ascii="Montserrat" w:hAnsi="Montserrat" w:cs="Arial"/>
          <w:spacing w:val="-1"/>
          <w:sz w:val="18"/>
          <w:szCs w:val="18"/>
        </w:rPr>
        <w:t xml:space="preserve"> la</w:t>
      </w:r>
      <w:r w:rsidR="00CA3625">
        <w:rPr>
          <w:rFonts w:ascii="Montserrat" w:hAnsi="Montserrat" w:cs="Arial"/>
          <w:spacing w:val="-1"/>
          <w:sz w:val="18"/>
          <w:szCs w:val="18"/>
        </w:rPr>
        <w:t>s finanzas públicas de México.</w:t>
      </w:r>
    </w:p>
    <w:p w14:paraId="6873EA09" w14:textId="77777777" w:rsidR="003354BA" w:rsidRPr="000A7F3A" w:rsidRDefault="003354BA" w:rsidP="000F0321">
      <w:pPr>
        <w:spacing w:after="120" w:line="240" w:lineRule="exact"/>
        <w:jc w:val="both"/>
        <w:rPr>
          <w:rFonts w:ascii="Montserrat" w:hAnsi="Montserrat" w:cs="Arial"/>
          <w:spacing w:val="-1"/>
          <w:sz w:val="18"/>
          <w:szCs w:val="18"/>
        </w:rPr>
      </w:pPr>
    </w:p>
    <w:p w14:paraId="583EB9A9" w14:textId="77777777" w:rsidR="009C3C24" w:rsidRPr="00F174D8" w:rsidRDefault="009C3C24" w:rsidP="000F0321">
      <w:pPr>
        <w:spacing w:after="120" w:line="240" w:lineRule="exact"/>
        <w:jc w:val="both"/>
        <w:rPr>
          <w:rFonts w:ascii="Montserrat" w:hAnsi="Montserrat" w:cs="Arial"/>
          <w:b/>
          <w:spacing w:val="-1"/>
          <w:sz w:val="18"/>
          <w:szCs w:val="18"/>
        </w:rPr>
      </w:pPr>
      <w:r w:rsidRPr="00F174D8">
        <w:rPr>
          <w:rFonts w:ascii="Montserrat" w:hAnsi="Montserrat" w:cs="Arial"/>
          <w:b/>
          <w:spacing w:val="-1"/>
          <w:sz w:val="18"/>
          <w:szCs w:val="18"/>
        </w:rPr>
        <w:t>13. Proceso de Mejora</w:t>
      </w:r>
    </w:p>
    <w:p w14:paraId="79655EC9" w14:textId="77777777" w:rsidR="007D6DA7" w:rsidRPr="00887D16" w:rsidRDefault="007D6DA7" w:rsidP="000F0321">
      <w:pPr>
        <w:spacing w:after="120" w:line="240" w:lineRule="exact"/>
        <w:jc w:val="both"/>
        <w:rPr>
          <w:rFonts w:ascii="Montserrat" w:hAnsi="Montserrat" w:cs="Arial"/>
          <w:spacing w:val="-1"/>
          <w:sz w:val="18"/>
          <w:szCs w:val="18"/>
        </w:rPr>
      </w:pPr>
      <w:r w:rsidRPr="00887D16">
        <w:rPr>
          <w:rFonts w:ascii="Montserrat" w:hAnsi="Montserrat" w:cs="Arial"/>
          <w:spacing w:val="-1"/>
          <w:sz w:val="18"/>
          <w:szCs w:val="18"/>
        </w:rPr>
        <w:t>Principales Políticas de Control Interno</w:t>
      </w:r>
    </w:p>
    <w:p w14:paraId="40F22F6B" w14:textId="77777777" w:rsidR="007D6DA7" w:rsidRPr="000A7F3A" w:rsidRDefault="007D6DA7" w:rsidP="000F0321">
      <w:pPr>
        <w:spacing w:after="120" w:line="240" w:lineRule="exact"/>
        <w:jc w:val="both"/>
        <w:rPr>
          <w:rFonts w:ascii="Montserrat" w:hAnsi="Montserrat" w:cs="Arial"/>
          <w:spacing w:val="-1"/>
          <w:sz w:val="18"/>
          <w:szCs w:val="18"/>
        </w:rPr>
      </w:pPr>
      <w:r w:rsidRPr="000A7F3A">
        <w:rPr>
          <w:rFonts w:ascii="Montserrat" w:hAnsi="Montserrat" w:cs="Arial"/>
          <w:spacing w:val="-1"/>
          <w:sz w:val="18"/>
          <w:szCs w:val="18"/>
        </w:rPr>
        <w:t>Las políticas de control interno, están dirigidas a realizar actividades de control con un enfoque preventivo, centrando su atención en el análisis y mejora de los controles internos, procedimientos, trámites, servicios, programas, procesos, transacciones u operaciones, con un enfoque orientado a resultados y teniendo como eje central la acción gubernamental; para ello, se realizan revisiones en las dependencias y entidades con el propósito de contribuir al cumplimiento de sus metas y objetivos, dentro del marco normativo que les corresponda, encaminando los esfuerzos a brindar certeza mediante una mayor transparencia y rendición de cuentas, así como estrechar la relación con los ciudadanos.</w:t>
      </w:r>
    </w:p>
    <w:p w14:paraId="697D0020" w14:textId="77777777" w:rsidR="00BC67A9" w:rsidRPr="005665CA" w:rsidRDefault="00BC67A9" w:rsidP="00BC67A9">
      <w:pPr>
        <w:spacing w:after="120" w:line="240" w:lineRule="exact"/>
        <w:jc w:val="both"/>
        <w:rPr>
          <w:rFonts w:ascii="Montserrat" w:hAnsi="Montserrat" w:cs="Arial"/>
          <w:spacing w:val="-1"/>
          <w:sz w:val="18"/>
          <w:szCs w:val="18"/>
        </w:rPr>
      </w:pPr>
      <w:r w:rsidRPr="005665CA">
        <w:rPr>
          <w:rFonts w:ascii="Montserrat" w:hAnsi="Montserrat" w:cs="Arial"/>
          <w:spacing w:val="-1"/>
          <w:sz w:val="18"/>
          <w:szCs w:val="18"/>
        </w:rPr>
        <w:t xml:space="preserve">El Gobierno de México tiene como una prioridad el combate a la corrupción y la impunidad. En ese sentido, se han implementado medidas para prevenir y sancionar la corrupción, además de impulsar una Nueva Ética Pública en la Administración Pública Federal (APF), se ha fortalecido la vigilancia y el </w:t>
      </w:r>
      <w:r w:rsidRPr="00BC67A9">
        <w:rPr>
          <w:rFonts w:ascii="Montserrat" w:hAnsi="Montserrat" w:cs="Arial"/>
          <w:spacing w:val="-1"/>
          <w:sz w:val="18"/>
          <w:szCs w:val="18"/>
        </w:rPr>
        <w:t>control inter</w:t>
      </w:r>
      <w:r w:rsidRPr="005665CA">
        <w:rPr>
          <w:rFonts w:ascii="Montserrat" w:hAnsi="Montserrat" w:cs="Arial"/>
          <w:spacing w:val="-1"/>
          <w:sz w:val="18"/>
          <w:szCs w:val="18"/>
        </w:rPr>
        <w:t xml:space="preserve">no en todas las dependencias y entidades de la APF, a través de 213 Órganos Internos de Control (OIC) y unidades de responsabilidades, se promueve una gestión pública con integridad en todo el gobierno. </w:t>
      </w:r>
    </w:p>
    <w:p w14:paraId="7B7AB1F9" w14:textId="77777777" w:rsidR="00BC67A9" w:rsidRPr="005665CA" w:rsidRDefault="00BC67A9" w:rsidP="00BC67A9">
      <w:pPr>
        <w:spacing w:after="120" w:line="240" w:lineRule="exact"/>
        <w:jc w:val="both"/>
        <w:rPr>
          <w:rFonts w:ascii="Montserrat" w:hAnsi="Montserrat" w:cs="Arial"/>
          <w:spacing w:val="-1"/>
          <w:sz w:val="18"/>
          <w:szCs w:val="18"/>
        </w:rPr>
      </w:pPr>
      <w:r w:rsidRPr="005665CA">
        <w:rPr>
          <w:rFonts w:ascii="Montserrat" w:hAnsi="Montserrat" w:cs="Arial"/>
          <w:spacing w:val="-1"/>
          <w:sz w:val="18"/>
          <w:szCs w:val="18"/>
        </w:rPr>
        <w:t xml:space="preserve">Para combatir las causas y efectos de la corrupción, el Gobierno de México ha emprendido una campaña para abatir el rezago en los procedimientos de quejas y denuncias, de responsabilidades administrativas de los servidores públicos y de sanciones a proveedores y contratistas. </w:t>
      </w:r>
    </w:p>
    <w:p w14:paraId="2D0AA24E" w14:textId="77777777" w:rsidR="00BC67A9" w:rsidRDefault="00BC67A9" w:rsidP="00BC67A9">
      <w:pPr>
        <w:spacing w:after="120" w:line="240" w:lineRule="exact"/>
        <w:jc w:val="both"/>
        <w:rPr>
          <w:rFonts w:ascii="Montserrat" w:hAnsi="Montserrat" w:cs="Arial"/>
          <w:spacing w:val="-1"/>
          <w:sz w:val="18"/>
          <w:szCs w:val="18"/>
        </w:rPr>
      </w:pPr>
      <w:r w:rsidRPr="005665CA">
        <w:rPr>
          <w:rFonts w:ascii="Montserrat" w:hAnsi="Montserrat" w:cs="Arial"/>
          <w:spacing w:val="-1"/>
          <w:sz w:val="18"/>
          <w:szCs w:val="18"/>
        </w:rPr>
        <w:t>El relanzamiento de la Función Pública como dependencia responsable de la lucha contra la corrupción no se limita a mejorar lo que antes se hacía mal, sino que, además, busca construir una institución capaz de conformar una nueva ética pública en el país. Para lograrlo, se desarrolló un plan de acción basado en cinco ejes: 1) Impulsar la Austeridad Republicana; 2) Ciudadanizar el Combate a la Corrupción; 3) Relanzar el Servicio Profesional de Carrera; 4) Democratizar las Tecnologías,</w:t>
      </w:r>
      <w:r>
        <w:rPr>
          <w:rFonts w:ascii="Montserrat" w:hAnsi="Montserrat" w:cs="Arial"/>
          <w:spacing w:val="-1"/>
          <w:sz w:val="18"/>
          <w:szCs w:val="18"/>
        </w:rPr>
        <w:t xml:space="preserve"> y</w:t>
      </w:r>
      <w:r w:rsidRPr="005665CA">
        <w:rPr>
          <w:rFonts w:ascii="Montserrat" w:hAnsi="Montserrat" w:cs="Arial"/>
          <w:spacing w:val="-1"/>
          <w:sz w:val="18"/>
          <w:szCs w:val="18"/>
        </w:rPr>
        <w:t xml:space="preserve"> 5) Proteger la denun</w:t>
      </w:r>
      <w:r w:rsidRPr="00A41D97">
        <w:rPr>
          <w:rFonts w:ascii="Montserrat" w:hAnsi="Montserrat" w:cs="Arial"/>
          <w:spacing w:val="-1"/>
          <w:sz w:val="18"/>
          <w:szCs w:val="18"/>
        </w:rPr>
        <w:t>cia y a los alertadores internos.</w:t>
      </w:r>
      <w:r w:rsidRPr="00BC67A9">
        <w:rPr>
          <w:rFonts w:ascii="Montserrat" w:hAnsi="Montserrat" w:cs="Arial"/>
          <w:spacing w:val="-1"/>
          <w:sz w:val="18"/>
          <w:szCs w:val="18"/>
        </w:rPr>
        <w:t xml:space="preserve"> </w:t>
      </w:r>
    </w:p>
    <w:p w14:paraId="2B4E7DC1" w14:textId="7D3B1207" w:rsidR="00BC67A9" w:rsidRPr="00BC67A9" w:rsidRDefault="00BC67A9" w:rsidP="00BC67A9">
      <w:pPr>
        <w:spacing w:after="120" w:line="240" w:lineRule="exact"/>
        <w:jc w:val="both"/>
        <w:rPr>
          <w:rFonts w:ascii="Montserrat" w:hAnsi="Montserrat" w:cs="Arial"/>
          <w:spacing w:val="-1"/>
          <w:sz w:val="16"/>
          <w:szCs w:val="18"/>
        </w:rPr>
      </w:pPr>
      <w:r w:rsidRPr="00BC67A9">
        <w:rPr>
          <w:rFonts w:ascii="Montserrat" w:hAnsi="Montserrat" w:cs="Arial"/>
          <w:spacing w:val="-1"/>
          <w:sz w:val="16"/>
          <w:szCs w:val="18"/>
        </w:rPr>
        <w:t>Fuente: 1er Informe de Gobierno 2019</w:t>
      </w:r>
    </w:p>
    <w:p w14:paraId="170A78EA" w14:textId="77777777" w:rsidR="00BC67A9" w:rsidRDefault="00BC67A9" w:rsidP="000F0321">
      <w:pPr>
        <w:spacing w:after="120" w:line="240" w:lineRule="exact"/>
        <w:jc w:val="both"/>
        <w:rPr>
          <w:rFonts w:ascii="Montserrat" w:hAnsi="Montserrat" w:cs="Arial"/>
          <w:spacing w:val="-1"/>
          <w:sz w:val="18"/>
          <w:szCs w:val="18"/>
          <w:highlight w:val="green"/>
        </w:rPr>
      </w:pPr>
    </w:p>
    <w:p w14:paraId="21FBD901" w14:textId="53BCF25B" w:rsidR="009C3C24" w:rsidRPr="00887D16" w:rsidRDefault="009C3C24" w:rsidP="000F0321">
      <w:pPr>
        <w:spacing w:after="120" w:line="240" w:lineRule="exact"/>
        <w:jc w:val="both"/>
        <w:rPr>
          <w:rFonts w:ascii="Montserrat" w:hAnsi="Montserrat" w:cs="Arial"/>
          <w:spacing w:val="-1"/>
          <w:sz w:val="18"/>
          <w:szCs w:val="18"/>
        </w:rPr>
      </w:pPr>
      <w:r w:rsidRPr="00BA3294">
        <w:rPr>
          <w:rFonts w:ascii="Montserrat" w:hAnsi="Montserrat" w:cs="Arial"/>
          <w:spacing w:val="-1"/>
          <w:sz w:val="18"/>
          <w:szCs w:val="18"/>
        </w:rPr>
        <w:t>Medidas de desem</w:t>
      </w:r>
      <w:r w:rsidR="00BA3294" w:rsidRPr="00BA3294">
        <w:rPr>
          <w:rFonts w:ascii="Montserrat" w:hAnsi="Montserrat" w:cs="Arial"/>
          <w:spacing w:val="-1"/>
          <w:sz w:val="18"/>
          <w:szCs w:val="18"/>
        </w:rPr>
        <w:t>peño financiero, metas y alcance</w:t>
      </w:r>
    </w:p>
    <w:p w14:paraId="33AD8881" w14:textId="7A969532" w:rsidR="00BA3294" w:rsidRPr="00BA3294" w:rsidRDefault="00BA3294" w:rsidP="00B34F6C">
      <w:pPr>
        <w:spacing w:after="120" w:line="240" w:lineRule="exact"/>
        <w:jc w:val="both"/>
        <w:rPr>
          <w:rFonts w:ascii="Montserrat" w:hAnsi="Montserrat" w:cs="Arial"/>
          <w:spacing w:val="-1"/>
          <w:sz w:val="18"/>
          <w:szCs w:val="18"/>
        </w:rPr>
      </w:pPr>
      <w:r w:rsidRPr="00BA3294">
        <w:rPr>
          <w:rFonts w:ascii="Montserrat" w:hAnsi="Montserrat" w:cs="Arial"/>
          <w:spacing w:val="-1"/>
          <w:sz w:val="18"/>
          <w:szCs w:val="18"/>
        </w:rPr>
        <w:t>Desde el inicio de la presente administración el Gobierno de México estableció el compromiso de mantener la disciplina fiscal y de no incrementar la deuda como porcentaje del Producto Interno Bruto (PIB). Lo anterior, en línea con los principios de equilibrio presupuestario y responsabilidad fiscal que señala la LFPRH. Asimismo, el Plan Nacional de Desarrollo 2019-2024 definió el objetivo de retomar el camino del crecimiento con austeridad y sin corrupción, manteniendo la disciplina fiscal y buscando que la deuda mantenga una trayectoria estable a lo largo del tiempo</w:t>
      </w:r>
      <w:r>
        <w:rPr>
          <w:rFonts w:ascii="Montserrat" w:hAnsi="Montserrat" w:cs="Arial"/>
          <w:spacing w:val="-1"/>
          <w:sz w:val="18"/>
          <w:szCs w:val="18"/>
        </w:rPr>
        <w:t>.</w:t>
      </w:r>
    </w:p>
    <w:p w14:paraId="235A8BEA" w14:textId="7021B8C8" w:rsidR="00BA3294" w:rsidRDefault="00BA3294" w:rsidP="00B34F6C">
      <w:pPr>
        <w:spacing w:after="120" w:line="240" w:lineRule="exact"/>
        <w:jc w:val="both"/>
        <w:rPr>
          <w:rFonts w:ascii="Montserrat" w:hAnsi="Montserrat" w:cs="Arial"/>
          <w:spacing w:val="-1"/>
          <w:sz w:val="18"/>
          <w:szCs w:val="18"/>
        </w:rPr>
      </w:pPr>
      <w:r w:rsidRPr="00BA3294">
        <w:rPr>
          <w:rFonts w:ascii="Montserrat" w:hAnsi="Montserrat" w:cs="Arial"/>
          <w:spacing w:val="-1"/>
          <w:sz w:val="18"/>
          <w:szCs w:val="18"/>
        </w:rPr>
        <w:lastRenderedPageBreak/>
        <w:t>Para 2019 se estableció una meta de 2.5% del PIB para los Requerimientos Financieros del Sector Público (RFSP), la medida más amplia y robusta de balance del sector público federal. Este nivel permitía mantener constante como proporción del PIB la deuda neta en su versión más amplia, el Saldo Histórico de los Requerimientos Financieros del Sector Público (SHRFSP), que con la información disponible se estimaba en 45.3% del PIB para el cierre de 2019. A su vez, el balance del sector público presupuestario estimó un déficit de 2.0% del PIB. Estos niveles de balance y la estimación del costo financiero eran congruentes con un superávit primario de 1.0% del PIB.</w:t>
      </w:r>
    </w:p>
    <w:p w14:paraId="55DC5A63" w14:textId="04FDE97D" w:rsidR="00BA3294" w:rsidRPr="00BA3294" w:rsidRDefault="00BA3294" w:rsidP="00B34F6C">
      <w:pPr>
        <w:spacing w:after="120" w:line="240" w:lineRule="exact"/>
        <w:jc w:val="both"/>
        <w:rPr>
          <w:rFonts w:ascii="Montserrat" w:hAnsi="Montserrat" w:cs="Arial"/>
          <w:spacing w:val="-1"/>
          <w:sz w:val="18"/>
          <w:szCs w:val="18"/>
        </w:rPr>
      </w:pPr>
      <w:r w:rsidRPr="00BA3294">
        <w:rPr>
          <w:rFonts w:ascii="Montserrat" w:hAnsi="Montserrat" w:cs="Arial"/>
          <w:spacing w:val="-1"/>
          <w:sz w:val="18"/>
          <w:szCs w:val="18"/>
        </w:rPr>
        <w:t xml:space="preserve">En materia de política de ingresos para 2019 se preservó la estructura tributaria, enfocando los esfuerzos de recaudación en la administración tributaria; al mismo tiempo, se implementó un paquete de estímulos para los municipios de la frontera norte con el fin de reactivar la economía en esa región del país que durante la última década ha sido afectada por la violencia, por el crimen organizado y por los flujos migratorios. </w:t>
      </w:r>
    </w:p>
    <w:p w14:paraId="01847716" w14:textId="1BF323C6" w:rsidR="00BA3294" w:rsidRPr="00BA3294" w:rsidRDefault="00BA3294" w:rsidP="00B34F6C">
      <w:pPr>
        <w:spacing w:after="120" w:line="240" w:lineRule="exact"/>
        <w:jc w:val="both"/>
        <w:rPr>
          <w:rFonts w:ascii="Montserrat" w:hAnsi="Montserrat" w:cs="Arial"/>
          <w:spacing w:val="-1"/>
          <w:sz w:val="18"/>
          <w:szCs w:val="18"/>
        </w:rPr>
      </w:pPr>
      <w:r w:rsidRPr="00BA3294">
        <w:rPr>
          <w:rFonts w:ascii="Montserrat" w:hAnsi="Montserrat" w:cs="Arial"/>
          <w:spacing w:val="-1"/>
          <w:sz w:val="18"/>
          <w:szCs w:val="18"/>
        </w:rPr>
        <w:t xml:space="preserve">En materia de gasto público, el Proyecto de Presupuesto de Egresos de la Federación tuvo como eje central una política de ahorro y austeridad que permitiera canalizar los recursos públicos a las necesidades prioritarias de la sociedad e impulsar el gasto en inversión productiva. Con el propósito de que el gasto público sea el instrumento del desarrollo sostenible que garantice la redistribución del ingreso y el desarrollo económico para el bienestar de toda la población y en todo el territorio, el Gobierno de la República emprendió acciones que favorecen y garantizan un ejercicio transparente y eficiente del gasto público, orientado a reducir las brechas de desigualdad y pobreza, cuidando que su ejercicio sea para el fin establecido y previniendo actos de corrupción. </w:t>
      </w:r>
    </w:p>
    <w:p w14:paraId="51D948C7" w14:textId="59B021B8" w:rsidR="00BA3294" w:rsidRPr="00BA3294" w:rsidRDefault="00BA3294" w:rsidP="00B34F6C">
      <w:pPr>
        <w:spacing w:after="120" w:line="240" w:lineRule="exact"/>
        <w:jc w:val="both"/>
        <w:rPr>
          <w:rFonts w:ascii="Montserrat" w:hAnsi="Montserrat" w:cs="Arial"/>
          <w:spacing w:val="-1"/>
          <w:sz w:val="18"/>
          <w:szCs w:val="18"/>
        </w:rPr>
      </w:pPr>
      <w:r w:rsidRPr="00BA3294">
        <w:rPr>
          <w:rFonts w:ascii="Montserrat" w:hAnsi="Montserrat" w:cs="Arial"/>
          <w:spacing w:val="-1"/>
          <w:sz w:val="18"/>
          <w:szCs w:val="18"/>
        </w:rPr>
        <w:t xml:space="preserve">La política de deuda se orientó a mantener una estructura de pasivos sólida en la que predominaron los pasivos en moneda nacional a largo plazo y a tasa fija, para mejorar el perfil de vencimientos de la deuda y disminuir los riesgos sobre las finanzas públicas de movimientos adversos en las variables financieras. Para ello, estuvo orientada por el principio de transparencia, informando de manera regular, detallada y clara sobre la evolución de la deuda pública y las principales acciones para su manejo. </w:t>
      </w:r>
    </w:p>
    <w:p w14:paraId="17C9E691" w14:textId="6D7BEEE5" w:rsidR="00BA3294" w:rsidRPr="00BA3294" w:rsidRDefault="00BA3294" w:rsidP="00B34F6C">
      <w:pPr>
        <w:spacing w:after="120" w:line="240" w:lineRule="exact"/>
        <w:jc w:val="both"/>
        <w:rPr>
          <w:rFonts w:ascii="Montserrat" w:hAnsi="Montserrat" w:cs="Arial"/>
          <w:spacing w:val="-1"/>
          <w:sz w:val="18"/>
          <w:szCs w:val="18"/>
        </w:rPr>
      </w:pPr>
      <w:r w:rsidRPr="00BA3294">
        <w:rPr>
          <w:rFonts w:ascii="Montserrat" w:hAnsi="Montserrat" w:cs="Arial"/>
          <w:spacing w:val="-1"/>
          <w:sz w:val="18"/>
          <w:szCs w:val="18"/>
        </w:rPr>
        <w:t>En 2019 se cumplieron los objetivos fiscales establecidos en el Paquete Económico para el año, a pesar de un menor dinamismo de la economía y la reducción de la plataforma de producción de petróleo respecto a lo previsto originalmente. Los RFSP, registraron un déficit de 2.3% del PIB, menor a la meta de 2.5% del PIB presentada en los Criterios General</w:t>
      </w:r>
      <w:r w:rsidR="00446A73">
        <w:rPr>
          <w:rFonts w:ascii="Montserrat" w:hAnsi="Montserrat" w:cs="Arial"/>
          <w:spacing w:val="-1"/>
          <w:sz w:val="18"/>
          <w:szCs w:val="18"/>
        </w:rPr>
        <w:t>es de Política Económica de 2019</w:t>
      </w:r>
      <w:r w:rsidRPr="00BA3294">
        <w:rPr>
          <w:rFonts w:ascii="Montserrat" w:hAnsi="Montserrat" w:cs="Arial"/>
          <w:spacing w:val="-1"/>
          <w:sz w:val="18"/>
          <w:szCs w:val="18"/>
        </w:rPr>
        <w:t xml:space="preserve">. </w:t>
      </w:r>
    </w:p>
    <w:p w14:paraId="379F19AD" w14:textId="0CC16206" w:rsidR="00BA3294" w:rsidRPr="00BA3294" w:rsidRDefault="00BA3294" w:rsidP="00B34F6C">
      <w:pPr>
        <w:spacing w:after="120" w:line="240" w:lineRule="exact"/>
        <w:jc w:val="both"/>
        <w:rPr>
          <w:rFonts w:ascii="Montserrat" w:hAnsi="Montserrat" w:cs="Arial"/>
          <w:spacing w:val="-1"/>
          <w:sz w:val="18"/>
          <w:szCs w:val="18"/>
        </w:rPr>
      </w:pPr>
      <w:r w:rsidRPr="00BA3294">
        <w:rPr>
          <w:rFonts w:ascii="Montserrat" w:hAnsi="Montserrat" w:cs="Arial"/>
          <w:spacing w:val="-1"/>
          <w:sz w:val="18"/>
          <w:szCs w:val="18"/>
        </w:rPr>
        <w:t>El sector público presupuestario presentó un déficit de 1.6% del PIB, inferior al proyectado originalmente de 2.0% del PIB e inferior al déficit registrado en 2018, también de 2.0% del PIB.</w:t>
      </w:r>
    </w:p>
    <w:p w14:paraId="6DA8C2E2" w14:textId="71DA3A3F" w:rsidR="00BA3294" w:rsidRPr="00BA3294" w:rsidRDefault="00BA3294" w:rsidP="00B34F6C">
      <w:pPr>
        <w:spacing w:after="120" w:line="240" w:lineRule="exact"/>
        <w:jc w:val="both"/>
        <w:rPr>
          <w:rFonts w:ascii="Montserrat" w:hAnsi="Montserrat" w:cs="Arial"/>
          <w:spacing w:val="-1"/>
          <w:sz w:val="18"/>
          <w:szCs w:val="18"/>
        </w:rPr>
      </w:pPr>
      <w:r w:rsidRPr="00BA3294">
        <w:rPr>
          <w:rFonts w:ascii="Montserrat" w:hAnsi="Montserrat" w:cs="Arial"/>
          <w:spacing w:val="-1"/>
          <w:sz w:val="18"/>
          <w:szCs w:val="18"/>
        </w:rPr>
        <w:t xml:space="preserve">El balance primario del sector público presupuestario, definido como la diferencia entre los ingresos totales y los gastos distintos del costo financiero, registró un superávit equivalente a 1.1% del PIB, mayor al previsto originalmente de 1.0% del PIB, debido a que el costo financiero se ubicó por abajo de lo originalmente previsto. </w:t>
      </w:r>
    </w:p>
    <w:p w14:paraId="7E494B6A" w14:textId="5BF97A52" w:rsidR="00BA3294" w:rsidRPr="00BA3294" w:rsidRDefault="00BA3294" w:rsidP="00B34F6C">
      <w:pPr>
        <w:spacing w:after="120" w:line="240" w:lineRule="exact"/>
        <w:jc w:val="both"/>
        <w:rPr>
          <w:rFonts w:ascii="Montserrat" w:hAnsi="Montserrat" w:cs="Arial"/>
          <w:spacing w:val="-1"/>
          <w:sz w:val="18"/>
          <w:szCs w:val="18"/>
        </w:rPr>
      </w:pPr>
      <w:r w:rsidRPr="00BA3294">
        <w:rPr>
          <w:rFonts w:ascii="Montserrat" w:hAnsi="Montserrat" w:cs="Arial"/>
          <w:spacing w:val="-1"/>
          <w:sz w:val="18"/>
          <w:szCs w:val="18"/>
        </w:rPr>
        <w:t>Al excluir del balance público presupuestario hasta el 2.0% del PIB de la inversión del Gobierno Federal y de las empresas productivas del Estado para evaluar la meta anual del balance presupuestario en equilibrio, equivalente a 0.0% del PIB, se obtiene un superávit de 0.4% del PIB.</w:t>
      </w:r>
    </w:p>
    <w:p w14:paraId="5CDF1053" w14:textId="0CD68A50" w:rsidR="00BA3294" w:rsidRPr="00BA3294" w:rsidRDefault="00BA3294" w:rsidP="00B34F6C">
      <w:pPr>
        <w:spacing w:after="120" w:line="240" w:lineRule="exact"/>
        <w:jc w:val="both"/>
        <w:rPr>
          <w:rFonts w:ascii="Montserrat" w:hAnsi="Montserrat" w:cs="Arial"/>
          <w:spacing w:val="-1"/>
          <w:sz w:val="18"/>
          <w:szCs w:val="18"/>
        </w:rPr>
      </w:pPr>
      <w:r w:rsidRPr="00BA3294">
        <w:rPr>
          <w:rFonts w:ascii="Montserrat" w:hAnsi="Montserrat" w:cs="Arial"/>
          <w:spacing w:val="-1"/>
          <w:sz w:val="18"/>
          <w:szCs w:val="18"/>
        </w:rPr>
        <w:t>En la composición del déficit público, el Gobierno Federal registró un déficit de 489 mil 987 millones de pesos, en tanto que las empresas productivas del Estado (</w:t>
      </w:r>
      <w:r w:rsidR="00B549B6">
        <w:rPr>
          <w:rFonts w:ascii="Montserrat" w:hAnsi="Montserrat" w:cs="Arial"/>
          <w:spacing w:val="-1"/>
          <w:sz w:val="18"/>
          <w:szCs w:val="18"/>
        </w:rPr>
        <w:t>PEMEX</w:t>
      </w:r>
      <w:r w:rsidRPr="00BA3294">
        <w:rPr>
          <w:rFonts w:ascii="Montserrat" w:hAnsi="Montserrat" w:cs="Arial"/>
          <w:spacing w:val="-1"/>
          <w:sz w:val="18"/>
          <w:szCs w:val="18"/>
        </w:rPr>
        <w:t xml:space="preserve"> y CFE) y las entidades de control presupuestario directo (IMSS e ISSSTE) reportaron un superávit de 33 mil 196 millones de pesos y 57 mil 898 millones de pesos, respectivamente. Por su parte, el ahorro corriente del sector público presupuestario fue de 0.6% del PIB, inferior al previsto para 2019 en 0.2 puntos porcentuales y al registrado en 2018 en 0.5 puntos porcentuales.</w:t>
      </w:r>
    </w:p>
    <w:p w14:paraId="748232DD" w14:textId="1D84CF78" w:rsidR="00BA3294" w:rsidRPr="00BA3294" w:rsidRDefault="00BA3294" w:rsidP="00B34F6C">
      <w:pPr>
        <w:spacing w:after="120" w:line="240" w:lineRule="exact"/>
        <w:jc w:val="both"/>
        <w:rPr>
          <w:rFonts w:ascii="Montserrat" w:hAnsi="Montserrat" w:cs="Arial"/>
          <w:spacing w:val="-1"/>
          <w:sz w:val="18"/>
          <w:szCs w:val="18"/>
        </w:rPr>
      </w:pPr>
      <w:r w:rsidRPr="00BA3294">
        <w:rPr>
          <w:rFonts w:ascii="Montserrat" w:hAnsi="Montserrat" w:cs="Arial"/>
          <w:spacing w:val="-1"/>
          <w:sz w:val="18"/>
          <w:szCs w:val="18"/>
        </w:rPr>
        <w:t>Asimismo, continuó la modernización del Sistema de Contabilidad Gubernamental a través del seguimiento al registro de las transacciones.</w:t>
      </w:r>
    </w:p>
    <w:p w14:paraId="73D5E5C7" w14:textId="77777777" w:rsidR="00BA3294" w:rsidRPr="00BC67A9" w:rsidRDefault="00BA3294" w:rsidP="00B34F6C">
      <w:pPr>
        <w:spacing w:after="120" w:line="240" w:lineRule="exact"/>
        <w:jc w:val="both"/>
        <w:rPr>
          <w:rFonts w:ascii="Montserrat" w:hAnsi="Montserrat" w:cs="Arial"/>
          <w:spacing w:val="-1"/>
          <w:sz w:val="16"/>
          <w:szCs w:val="18"/>
        </w:rPr>
      </w:pPr>
      <w:r w:rsidRPr="00BC67A9">
        <w:rPr>
          <w:rFonts w:ascii="Montserrat" w:hAnsi="Montserrat" w:cs="Arial"/>
          <w:spacing w:val="-1"/>
          <w:sz w:val="16"/>
          <w:szCs w:val="18"/>
        </w:rPr>
        <w:t>Fuente: 1er Informe de Gobierno 2019 y CP 2019 Resultados Generales</w:t>
      </w:r>
    </w:p>
    <w:p w14:paraId="18CF10C4" w14:textId="77777777" w:rsidR="00BA3294" w:rsidRDefault="00BA3294" w:rsidP="00B34F6C">
      <w:pPr>
        <w:spacing w:after="120" w:line="240" w:lineRule="exact"/>
        <w:jc w:val="both"/>
        <w:rPr>
          <w:rFonts w:ascii="Montserrat" w:hAnsi="Montserrat" w:cs="Arial"/>
          <w:spacing w:val="-1"/>
          <w:sz w:val="18"/>
          <w:szCs w:val="18"/>
        </w:rPr>
      </w:pPr>
    </w:p>
    <w:p w14:paraId="719E731F" w14:textId="77777777" w:rsidR="009C3C24" w:rsidRPr="00F174D8" w:rsidRDefault="009C3C24" w:rsidP="00887D16">
      <w:pPr>
        <w:spacing w:after="120" w:line="250" w:lineRule="exact"/>
        <w:jc w:val="both"/>
        <w:rPr>
          <w:rFonts w:ascii="Montserrat" w:hAnsi="Montserrat" w:cs="Arial"/>
          <w:b/>
          <w:spacing w:val="-1"/>
          <w:sz w:val="18"/>
          <w:szCs w:val="18"/>
        </w:rPr>
      </w:pPr>
      <w:r w:rsidRPr="00F174D8">
        <w:rPr>
          <w:rFonts w:ascii="Montserrat" w:hAnsi="Montserrat" w:cs="Arial"/>
          <w:b/>
          <w:spacing w:val="-1"/>
          <w:sz w:val="18"/>
          <w:szCs w:val="18"/>
        </w:rPr>
        <w:lastRenderedPageBreak/>
        <w:t>14. Información por Segmentos</w:t>
      </w:r>
    </w:p>
    <w:p w14:paraId="66B3663E" w14:textId="77777777" w:rsidR="009C3C24" w:rsidRPr="000A7F3A" w:rsidRDefault="009C3C24" w:rsidP="00887D16">
      <w:pPr>
        <w:spacing w:after="120" w:line="250" w:lineRule="exact"/>
        <w:jc w:val="both"/>
        <w:rPr>
          <w:rFonts w:ascii="Montserrat" w:hAnsi="Montserrat" w:cs="Arial"/>
          <w:spacing w:val="-1"/>
          <w:sz w:val="18"/>
          <w:szCs w:val="18"/>
        </w:rPr>
      </w:pPr>
      <w:r w:rsidRPr="000A7F3A">
        <w:rPr>
          <w:rFonts w:ascii="Montserrat" w:hAnsi="Montserrat" w:cs="Arial"/>
          <w:spacing w:val="-1"/>
          <w:sz w:val="18"/>
          <w:szCs w:val="18"/>
        </w:rPr>
        <w:t>Determina que segmento es una actividad o grupo de actividades de la entidad, que son identificables y para las cuales es apropiado presentar información financiera separada con el fin de evaluar el rendimiento pasado de la entidad en la consecución de sus objetivos, y tomar decisiones respecto a la futura asignación de recursos.</w:t>
      </w:r>
    </w:p>
    <w:p w14:paraId="0B66592E" w14:textId="77777777" w:rsidR="009C3C24" w:rsidRDefault="009C3C24" w:rsidP="00887D16">
      <w:pPr>
        <w:spacing w:after="120" w:line="250" w:lineRule="exact"/>
        <w:jc w:val="both"/>
        <w:rPr>
          <w:rFonts w:ascii="Montserrat" w:hAnsi="Montserrat" w:cs="Arial"/>
          <w:spacing w:val="-1"/>
          <w:sz w:val="18"/>
          <w:szCs w:val="18"/>
        </w:rPr>
      </w:pPr>
      <w:r w:rsidRPr="000A7F3A">
        <w:rPr>
          <w:rFonts w:ascii="Montserrat" w:hAnsi="Montserrat" w:cs="Arial"/>
          <w:spacing w:val="-1"/>
          <w:sz w:val="18"/>
          <w:szCs w:val="18"/>
        </w:rPr>
        <w:t>Dado que no se da el supuesto anterior el Poder Ejecutivo Federal no presenta información financiera por segmentos.</w:t>
      </w:r>
    </w:p>
    <w:p w14:paraId="7077E877" w14:textId="77777777" w:rsidR="001F53E4" w:rsidRPr="000A7F3A" w:rsidRDefault="001F53E4" w:rsidP="00814165">
      <w:pPr>
        <w:spacing w:after="0" w:line="240" w:lineRule="auto"/>
        <w:jc w:val="both"/>
        <w:rPr>
          <w:rFonts w:ascii="Montserrat" w:hAnsi="Montserrat" w:cs="Arial"/>
          <w:spacing w:val="-1"/>
          <w:sz w:val="18"/>
          <w:szCs w:val="18"/>
        </w:rPr>
      </w:pPr>
    </w:p>
    <w:p w14:paraId="431E0442" w14:textId="77777777" w:rsidR="009C3C24" w:rsidRPr="00F174D8" w:rsidRDefault="009C3C24" w:rsidP="00887D16">
      <w:pPr>
        <w:spacing w:after="120" w:line="250" w:lineRule="exact"/>
        <w:jc w:val="both"/>
        <w:rPr>
          <w:rFonts w:ascii="Montserrat" w:hAnsi="Montserrat" w:cs="Arial"/>
          <w:b/>
          <w:spacing w:val="-1"/>
          <w:sz w:val="18"/>
          <w:szCs w:val="18"/>
        </w:rPr>
      </w:pPr>
      <w:r w:rsidRPr="00F174D8">
        <w:rPr>
          <w:rFonts w:ascii="Montserrat" w:hAnsi="Montserrat" w:cs="Arial"/>
          <w:b/>
          <w:spacing w:val="-1"/>
          <w:sz w:val="18"/>
          <w:szCs w:val="18"/>
        </w:rPr>
        <w:t>15. Eventos Posteriores al Cierre</w:t>
      </w:r>
    </w:p>
    <w:p w14:paraId="289D80A3" w14:textId="1E516480" w:rsidR="009C647C" w:rsidRDefault="007257FE" w:rsidP="00814165">
      <w:pPr>
        <w:spacing w:after="0" w:line="240" w:lineRule="auto"/>
        <w:jc w:val="both"/>
        <w:rPr>
          <w:rFonts w:ascii="Montserrat" w:hAnsi="Montserrat" w:cs="Arial"/>
          <w:spacing w:val="-1"/>
          <w:sz w:val="18"/>
          <w:szCs w:val="18"/>
        </w:rPr>
      </w:pPr>
      <w:r w:rsidRPr="00D06797">
        <w:rPr>
          <w:rFonts w:ascii="Montserrat" w:hAnsi="Montserrat" w:cs="Arial"/>
          <w:spacing w:val="-1"/>
          <w:sz w:val="18"/>
          <w:szCs w:val="18"/>
        </w:rPr>
        <w:t xml:space="preserve">En este apartado se informa el efecto en los estados financieros de aquellos hechos ocurridos en el periodo posterior al que </w:t>
      </w:r>
      <w:r w:rsidR="00D06797" w:rsidRPr="00D06797">
        <w:rPr>
          <w:rFonts w:ascii="Montserrat" w:hAnsi="Montserrat" w:cs="Arial"/>
          <w:spacing w:val="-1"/>
          <w:sz w:val="18"/>
          <w:szCs w:val="18"/>
        </w:rPr>
        <w:t xml:space="preserve">se </w:t>
      </w:r>
      <w:r w:rsidRPr="00D06797">
        <w:rPr>
          <w:rFonts w:ascii="Montserrat" w:hAnsi="Montserrat" w:cs="Arial"/>
          <w:spacing w:val="-1"/>
          <w:sz w:val="18"/>
          <w:szCs w:val="18"/>
        </w:rPr>
        <w:t>informa, que proporcionen mayor evidencia</w:t>
      </w:r>
      <w:r w:rsidRPr="007257FE">
        <w:rPr>
          <w:rFonts w:ascii="Montserrat" w:hAnsi="Montserrat" w:cs="Arial"/>
          <w:spacing w:val="-1"/>
          <w:sz w:val="18"/>
          <w:szCs w:val="18"/>
        </w:rPr>
        <w:t xml:space="preserve"> sobre eventos que afectan económicamente </w:t>
      </w:r>
      <w:r w:rsidR="00D06797">
        <w:rPr>
          <w:rFonts w:ascii="Montserrat" w:hAnsi="Montserrat" w:cs="Arial"/>
          <w:spacing w:val="-1"/>
          <w:sz w:val="18"/>
          <w:szCs w:val="18"/>
        </w:rPr>
        <w:t xml:space="preserve">al Ente Público </w:t>
      </w:r>
      <w:r w:rsidRPr="007257FE">
        <w:rPr>
          <w:rFonts w:ascii="Montserrat" w:hAnsi="Montserrat" w:cs="Arial"/>
          <w:spacing w:val="-1"/>
          <w:sz w:val="18"/>
          <w:szCs w:val="18"/>
        </w:rPr>
        <w:t>y que no se conocían a la fecha de</w:t>
      </w:r>
      <w:r w:rsidR="00D06797">
        <w:rPr>
          <w:rFonts w:ascii="Montserrat" w:hAnsi="Montserrat" w:cs="Arial"/>
          <w:spacing w:val="-1"/>
          <w:sz w:val="18"/>
          <w:szCs w:val="18"/>
        </w:rPr>
        <w:t>l</w:t>
      </w:r>
      <w:r w:rsidRPr="007257FE">
        <w:rPr>
          <w:rFonts w:ascii="Montserrat" w:hAnsi="Montserrat" w:cs="Arial"/>
          <w:spacing w:val="-1"/>
          <w:sz w:val="18"/>
          <w:szCs w:val="18"/>
        </w:rPr>
        <w:t xml:space="preserve"> cierre</w:t>
      </w:r>
      <w:r w:rsidR="00D06797">
        <w:rPr>
          <w:rFonts w:ascii="Montserrat" w:hAnsi="Montserrat" w:cs="Arial"/>
          <w:spacing w:val="-1"/>
          <w:sz w:val="18"/>
          <w:szCs w:val="18"/>
        </w:rPr>
        <w:t xml:space="preserve"> del ejercicio</w:t>
      </w:r>
      <w:r w:rsidRPr="007257FE">
        <w:rPr>
          <w:rFonts w:ascii="Montserrat" w:hAnsi="Montserrat" w:cs="Arial"/>
          <w:spacing w:val="-1"/>
          <w:sz w:val="18"/>
          <w:szCs w:val="18"/>
        </w:rPr>
        <w:t>.</w:t>
      </w:r>
      <w:r>
        <w:rPr>
          <w:rFonts w:ascii="Montserrat" w:hAnsi="Montserrat" w:cs="Arial"/>
          <w:spacing w:val="-1"/>
          <w:sz w:val="18"/>
          <w:szCs w:val="18"/>
        </w:rPr>
        <w:t xml:space="preserve"> En este sentido no existen eventos posteriores al cierre </w:t>
      </w:r>
      <w:r w:rsidR="000A60DD">
        <w:rPr>
          <w:rFonts w:ascii="Montserrat" w:hAnsi="Montserrat" w:cs="Arial"/>
          <w:spacing w:val="-1"/>
          <w:sz w:val="18"/>
          <w:szCs w:val="18"/>
        </w:rPr>
        <w:t xml:space="preserve">del ejercicio </w:t>
      </w:r>
      <w:r>
        <w:rPr>
          <w:rFonts w:ascii="Montserrat" w:hAnsi="Montserrat" w:cs="Arial"/>
          <w:spacing w:val="-1"/>
          <w:sz w:val="18"/>
          <w:szCs w:val="18"/>
        </w:rPr>
        <w:t>que revelar.</w:t>
      </w:r>
    </w:p>
    <w:p w14:paraId="53275E00" w14:textId="77777777" w:rsidR="007257FE" w:rsidRPr="000A7F3A" w:rsidRDefault="007257FE" w:rsidP="00814165">
      <w:pPr>
        <w:spacing w:after="0" w:line="240" w:lineRule="auto"/>
        <w:jc w:val="both"/>
        <w:rPr>
          <w:rFonts w:ascii="Montserrat" w:hAnsi="Montserrat" w:cs="Arial"/>
          <w:spacing w:val="-1"/>
          <w:sz w:val="18"/>
          <w:szCs w:val="18"/>
        </w:rPr>
      </w:pPr>
    </w:p>
    <w:p w14:paraId="3D5CACAE" w14:textId="77777777" w:rsidR="009C3C24" w:rsidRPr="00F174D8" w:rsidRDefault="009C3C24" w:rsidP="00887D16">
      <w:pPr>
        <w:spacing w:after="120" w:line="250" w:lineRule="exact"/>
        <w:jc w:val="both"/>
        <w:rPr>
          <w:rFonts w:ascii="Montserrat" w:hAnsi="Montserrat" w:cs="Arial"/>
          <w:b/>
          <w:spacing w:val="-1"/>
          <w:sz w:val="18"/>
          <w:szCs w:val="18"/>
        </w:rPr>
      </w:pPr>
      <w:r w:rsidRPr="00F174D8">
        <w:rPr>
          <w:rFonts w:ascii="Montserrat" w:hAnsi="Montserrat" w:cs="Arial"/>
          <w:b/>
          <w:spacing w:val="-1"/>
          <w:sz w:val="18"/>
          <w:szCs w:val="18"/>
        </w:rPr>
        <w:t>16. Partes Relacionadas</w:t>
      </w:r>
    </w:p>
    <w:p w14:paraId="27596348" w14:textId="77777777" w:rsidR="009C3C24" w:rsidRPr="000A7F3A" w:rsidRDefault="009C3C24" w:rsidP="00887D16">
      <w:pPr>
        <w:spacing w:after="120" w:line="250" w:lineRule="exact"/>
        <w:jc w:val="both"/>
        <w:rPr>
          <w:rFonts w:ascii="Montserrat" w:hAnsi="Montserrat" w:cs="Arial"/>
          <w:spacing w:val="-1"/>
          <w:sz w:val="18"/>
          <w:szCs w:val="18"/>
        </w:rPr>
      </w:pPr>
      <w:r w:rsidRPr="000A7F3A">
        <w:rPr>
          <w:rFonts w:ascii="Montserrat" w:hAnsi="Montserrat" w:cs="Arial"/>
          <w:spacing w:val="-1"/>
          <w:sz w:val="18"/>
          <w:szCs w:val="18"/>
        </w:rPr>
        <w:t xml:space="preserve">Una parte se considera relacionada con otra </w:t>
      </w:r>
      <w:r w:rsidR="009C647C">
        <w:rPr>
          <w:rFonts w:ascii="Montserrat" w:hAnsi="Montserrat" w:cs="Arial"/>
          <w:spacing w:val="-1"/>
          <w:sz w:val="18"/>
          <w:szCs w:val="18"/>
        </w:rPr>
        <w:t xml:space="preserve">parte </w:t>
      </w:r>
      <w:r w:rsidRPr="000A7F3A">
        <w:rPr>
          <w:rFonts w:ascii="Montserrat" w:hAnsi="Montserrat" w:cs="Arial"/>
          <w:spacing w:val="-1"/>
          <w:sz w:val="18"/>
          <w:szCs w:val="18"/>
        </w:rPr>
        <w:t>si una de ellas tiene la posibilidad de ejercer el control sobre la otra, o de ejercer influencia significativa sobre ella al tomar sus decisiones financieras y operativas o si la parte relacionada y otra entidad están sujetas a control común.</w:t>
      </w:r>
    </w:p>
    <w:p w14:paraId="2B42935B" w14:textId="77777777" w:rsidR="009C3C24" w:rsidRDefault="009C3C24" w:rsidP="00887D16">
      <w:pPr>
        <w:spacing w:after="120" w:line="250" w:lineRule="exact"/>
        <w:jc w:val="both"/>
        <w:rPr>
          <w:rFonts w:ascii="Montserrat" w:hAnsi="Montserrat" w:cs="Arial"/>
          <w:spacing w:val="-1"/>
          <w:sz w:val="18"/>
          <w:szCs w:val="18"/>
        </w:rPr>
      </w:pPr>
      <w:r w:rsidRPr="000A7F3A">
        <w:rPr>
          <w:rFonts w:ascii="Montserrat" w:hAnsi="Montserrat" w:cs="Arial"/>
          <w:spacing w:val="-1"/>
          <w:sz w:val="18"/>
          <w:szCs w:val="18"/>
        </w:rPr>
        <w:t>Por lo anterior, no existen partes relacionadas que pudieran ejercer influencia significativa sobre la toma de decisiones financieras y operativas.</w:t>
      </w:r>
    </w:p>
    <w:p w14:paraId="341BC780" w14:textId="77777777" w:rsidR="009C647C" w:rsidRPr="000A7F3A" w:rsidRDefault="009C647C" w:rsidP="00814165">
      <w:pPr>
        <w:spacing w:after="0" w:line="240" w:lineRule="auto"/>
        <w:jc w:val="both"/>
        <w:rPr>
          <w:rFonts w:ascii="Montserrat" w:hAnsi="Montserrat" w:cs="Arial"/>
          <w:spacing w:val="-1"/>
          <w:sz w:val="18"/>
          <w:szCs w:val="18"/>
        </w:rPr>
      </w:pPr>
    </w:p>
    <w:p w14:paraId="28C1513E" w14:textId="77777777" w:rsidR="009C3C24" w:rsidRPr="00F174D8" w:rsidRDefault="009C3C24" w:rsidP="00887D16">
      <w:pPr>
        <w:spacing w:after="120" w:line="250" w:lineRule="exact"/>
        <w:jc w:val="both"/>
        <w:rPr>
          <w:rFonts w:ascii="Montserrat" w:hAnsi="Montserrat" w:cs="Arial"/>
          <w:b/>
          <w:spacing w:val="-1"/>
          <w:sz w:val="18"/>
          <w:szCs w:val="18"/>
        </w:rPr>
      </w:pPr>
      <w:r w:rsidRPr="00F174D8">
        <w:rPr>
          <w:rFonts w:ascii="Montserrat" w:hAnsi="Montserrat" w:cs="Arial"/>
          <w:b/>
          <w:spacing w:val="-1"/>
          <w:sz w:val="18"/>
          <w:szCs w:val="18"/>
        </w:rPr>
        <w:t>17. Responsabilidad sobre la Presentación Razonable de la Información Contable</w:t>
      </w:r>
    </w:p>
    <w:p w14:paraId="1B5685E7" w14:textId="77777777" w:rsidR="009C3C24" w:rsidRPr="000A7F3A" w:rsidRDefault="009C3C24" w:rsidP="00887D16">
      <w:pPr>
        <w:spacing w:after="120" w:line="250" w:lineRule="exact"/>
        <w:jc w:val="both"/>
        <w:rPr>
          <w:rFonts w:ascii="Montserrat" w:hAnsi="Montserrat" w:cs="Arial"/>
          <w:spacing w:val="-1"/>
          <w:sz w:val="18"/>
          <w:szCs w:val="18"/>
        </w:rPr>
      </w:pPr>
      <w:r w:rsidRPr="000A7F3A">
        <w:rPr>
          <w:rFonts w:ascii="Montserrat" w:hAnsi="Montserrat" w:cs="Arial"/>
          <w:spacing w:val="-1"/>
          <w:sz w:val="18"/>
          <w:szCs w:val="18"/>
        </w:rPr>
        <w:t>“Bajo protesta de decir verdad declaramos que los Estados Financieros y sus notas, son razonablemente correctos y son responsabilidad del emisor”.</w:t>
      </w:r>
    </w:p>
    <w:tbl>
      <w:tblPr>
        <w:tblW w:w="12376" w:type="dxa"/>
        <w:tblInd w:w="496" w:type="dxa"/>
        <w:tblCellMar>
          <w:left w:w="70" w:type="dxa"/>
          <w:right w:w="70" w:type="dxa"/>
        </w:tblCellMar>
        <w:tblLook w:val="04A0" w:firstRow="1" w:lastRow="0" w:firstColumn="1" w:lastColumn="0" w:noHBand="0" w:noVBand="1"/>
      </w:tblPr>
      <w:tblGrid>
        <w:gridCol w:w="5840"/>
        <w:gridCol w:w="280"/>
        <w:gridCol w:w="416"/>
        <w:gridCol w:w="5840"/>
      </w:tblGrid>
      <w:tr w:rsidR="009C3C24" w:rsidRPr="00887D16" w14:paraId="16F01341" w14:textId="77777777" w:rsidTr="002F797B">
        <w:trPr>
          <w:trHeight w:val="499"/>
        </w:trPr>
        <w:tc>
          <w:tcPr>
            <w:tcW w:w="5840" w:type="dxa"/>
            <w:tcBorders>
              <w:top w:val="nil"/>
              <w:left w:val="nil"/>
              <w:bottom w:val="single" w:sz="4" w:space="0" w:color="auto"/>
              <w:right w:val="nil"/>
            </w:tcBorders>
            <w:shd w:val="clear" w:color="auto" w:fill="auto"/>
            <w:noWrap/>
            <w:vAlign w:val="bottom"/>
            <w:hideMark/>
          </w:tcPr>
          <w:p w14:paraId="615BA23E" w14:textId="77777777" w:rsidR="009C3C24" w:rsidRDefault="009C3C24" w:rsidP="00814165">
            <w:pPr>
              <w:spacing w:after="0" w:line="240" w:lineRule="auto"/>
              <w:jc w:val="both"/>
              <w:rPr>
                <w:rFonts w:ascii="Montserrat" w:hAnsi="Montserrat" w:cs="Arial"/>
                <w:spacing w:val="-1"/>
                <w:sz w:val="18"/>
                <w:szCs w:val="18"/>
              </w:rPr>
            </w:pPr>
          </w:p>
          <w:p w14:paraId="4AF400C3" w14:textId="77777777" w:rsidR="00F90D6D" w:rsidRDefault="00F90D6D" w:rsidP="00814165">
            <w:pPr>
              <w:spacing w:after="0" w:line="240" w:lineRule="auto"/>
              <w:jc w:val="both"/>
              <w:rPr>
                <w:rFonts w:ascii="Montserrat" w:hAnsi="Montserrat" w:cs="Arial"/>
                <w:spacing w:val="-1"/>
                <w:sz w:val="18"/>
                <w:szCs w:val="18"/>
              </w:rPr>
            </w:pPr>
          </w:p>
          <w:p w14:paraId="69D18217" w14:textId="77777777" w:rsidR="003655A9" w:rsidRDefault="003655A9" w:rsidP="00814165">
            <w:pPr>
              <w:spacing w:after="0" w:line="240" w:lineRule="auto"/>
              <w:jc w:val="both"/>
              <w:rPr>
                <w:rFonts w:ascii="Montserrat" w:hAnsi="Montserrat" w:cs="Arial"/>
                <w:spacing w:val="-1"/>
                <w:sz w:val="18"/>
                <w:szCs w:val="18"/>
              </w:rPr>
            </w:pPr>
          </w:p>
          <w:p w14:paraId="2578A691" w14:textId="77777777" w:rsidR="003655A9" w:rsidRDefault="003655A9" w:rsidP="00814165">
            <w:pPr>
              <w:spacing w:after="0" w:line="240" w:lineRule="auto"/>
              <w:jc w:val="both"/>
              <w:rPr>
                <w:rFonts w:ascii="Montserrat" w:hAnsi="Montserrat" w:cs="Arial"/>
                <w:spacing w:val="-1"/>
                <w:sz w:val="18"/>
                <w:szCs w:val="18"/>
              </w:rPr>
            </w:pPr>
          </w:p>
          <w:p w14:paraId="209AC5F8" w14:textId="77777777" w:rsidR="003655A9" w:rsidRDefault="003655A9" w:rsidP="00814165">
            <w:pPr>
              <w:spacing w:after="0" w:line="240" w:lineRule="auto"/>
              <w:jc w:val="both"/>
              <w:rPr>
                <w:rFonts w:ascii="Montserrat" w:hAnsi="Montserrat" w:cs="Arial"/>
                <w:spacing w:val="-1"/>
                <w:sz w:val="18"/>
                <w:szCs w:val="18"/>
              </w:rPr>
            </w:pPr>
          </w:p>
          <w:p w14:paraId="6CA984E5" w14:textId="77777777" w:rsidR="003655A9" w:rsidRDefault="003655A9" w:rsidP="00814165">
            <w:pPr>
              <w:spacing w:after="0" w:line="240" w:lineRule="auto"/>
              <w:jc w:val="both"/>
              <w:rPr>
                <w:rFonts w:ascii="Montserrat" w:hAnsi="Montserrat" w:cs="Arial"/>
                <w:spacing w:val="-1"/>
                <w:sz w:val="18"/>
                <w:szCs w:val="18"/>
              </w:rPr>
            </w:pPr>
          </w:p>
          <w:p w14:paraId="3E5C422C" w14:textId="77777777" w:rsidR="003655A9" w:rsidRDefault="003655A9" w:rsidP="00814165">
            <w:pPr>
              <w:spacing w:after="0" w:line="240" w:lineRule="auto"/>
              <w:jc w:val="both"/>
              <w:rPr>
                <w:rFonts w:ascii="Montserrat" w:hAnsi="Montserrat" w:cs="Arial"/>
                <w:spacing w:val="-1"/>
                <w:sz w:val="18"/>
                <w:szCs w:val="18"/>
              </w:rPr>
            </w:pPr>
          </w:p>
          <w:p w14:paraId="74636AEC" w14:textId="77777777" w:rsidR="003655A9" w:rsidRDefault="003655A9" w:rsidP="00814165">
            <w:pPr>
              <w:spacing w:after="0" w:line="240" w:lineRule="auto"/>
              <w:jc w:val="both"/>
              <w:rPr>
                <w:rFonts w:ascii="Montserrat" w:hAnsi="Montserrat" w:cs="Arial"/>
                <w:spacing w:val="-1"/>
                <w:sz w:val="18"/>
                <w:szCs w:val="18"/>
              </w:rPr>
            </w:pPr>
          </w:p>
          <w:p w14:paraId="2509D0E1" w14:textId="77777777" w:rsidR="003655A9" w:rsidRDefault="003655A9" w:rsidP="00814165">
            <w:pPr>
              <w:spacing w:after="0" w:line="240" w:lineRule="auto"/>
              <w:jc w:val="both"/>
              <w:rPr>
                <w:rFonts w:ascii="Montserrat" w:hAnsi="Montserrat" w:cs="Arial"/>
                <w:spacing w:val="-1"/>
                <w:sz w:val="18"/>
                <w:szCs w:val="18"/>
              </w:rPr>
            </w:pPr>
          </w:p>
          <w:p w14:paraId="049F0602" w14:textId="77777777" w:rsidR="003655A9" w:rsidRDefault="003655A9" w:rsidP="00814165">
            <w:pPr>
              <w:spacing w:after="0" w:line="240" w:lineRule="auto"/>
              <w:jc w:val="both"/>
              <w:rPr>
                <w:rFonts w:ascii="Montserrat" w:hAnsi="Montserrat" w:cs="Arial"/>
                <w:spacing w:val="-1"/>
                <w:sz w:val="18"/>
                <w:szCs w:val="18"/>
              </w:rPr>
            </w:pPr>
          </w:p>
          <w:p w14:paraId="060773CE" w14:textId="77777777" w:rsidR="00905B63" w:rsidRPr="00887D16" w:rsidRDefault="00905B63" w:rsidP="00887D16">
            <w:pPr>
              <w:spacing w:after="120" w:line="250" w:lineRule="exact"/>
              <w:jc w:val="both"/>
              <w:rPr>
                <w:rFonts w:ascii="Montserrat" w:hAnsi="Montserrat" w:cs="Arial"/>
                <w:spacing w:val="-1"/>
                <w:sz w:val="18"/>
                <w:szCs w:val="18"/>
              </w:rPr>
            </w:pPr>
          </w:p>
        </w:tc>
        <w:tc>
          <w:tcPr>
            <w:tcW w:w="280" w:type="dxa"/>
            <w:tcBorders>
              <w:top w:val="nil"/>
              <w:left w:val="nil"/>
              <w:bottom w:val="nil"/>
              <w:right w:val="nil"/>
            </w:tcBorders>
            <w:shd w:val="clear" w:color="auto" w:fill="auto"/>
            <w:noWrap/>
            <w:vAlign w:val="bottom"/>
          </w:tcPr>
          <w:p w14:paraId="66F250D8" w14:textId="77777777" w:rsidR="009C3C24" w:rsidRPr="00887D16" w:rsidRDefault="009C3C24" w:rsidP="00887D16">
            <w:pPr>
              <w:spacing w:after="120" w:line="250" w:lineRule="exact"/>
              <w:jc w:val="both"/>
              <w:rPr>
                <w:rFonts w:ascii="Montserrat" w:hAnsi="Montserrat" w:cs="Arial"/>
                <w:spacing w:val="-1"/>
                <w:sz w:val="18"/>
                <w:szCs w:val="18"/>
              </w:rPr>
            </w:pPr>
          </w:p>
        </w:tc>
        <w:tc>
          <w:tcPr>
            <w:tcW w:w="416" w:type="dxa"/>
            <w:tcBorders>
              <w:top w:val="nil"/>
              <w:left w:val="nil"/>
              <w:bottom w:val="nil"/>
              <w:right w:val="nil"/>
            </w:tcBorders>
            <w:shd w:val="clear" w:color="auto" w:fill="auto"/>
            <w:noWrap/>
            <w:vAlign w:val="bottom"/>
          </w:tcPr>
          <w:p w14:paraId="79145258" w14:textId="77777777" w:rsidR="009C3C24" w:rsidRPr="00887D16" w:rsidRDefault="009C3C24" w:rsidP="00887D16">
            <w:pPr>
              <w:spacing w:after="120" w:line="250" w:lineRule="exact"/>
              <w:jc w:val="both"/>
              <w:rPr>
                <w:rFonts w:ascii="Montserrat" w:hAnsi="Montserrat" w:cs="Arial"/>
                <w:spacing w:val="-1"/>
                <w:sz w:val="18"/>
                <w:szCs w:val="18"/>
              </w:rPr>
            </w:pPr>
          </w:p>
        </w:tc>
        <w:tc>
          <w:tcPr>
            <w:tcW w:w="5840" w:type="dxa"/>
            <w:tcBorders>
              <w:top w:val="nil"/>
              <w:left w:val="nil"/>
              <w:bottom w:val="single" w:sz="4" w:space="0" w:color="auto"/>
              <w:right w:val="nil"/>
            </w:tcBorders>
            <w:shd w:val="clear" w:color="auto" w:fill="auto"/>
            <w:noWrap/>
            <w:vAlign w:val="center"/>
            <w:hideMark/>
          </w:tcPr>
          <w:p w14:paraId="1BA7FF0B" w14:textId="77777777" w:rsidR="009C3C24" w:rsidRPr="00887D16" w:rsidRDefault="009C3C24" w:rsidP="00887D16">
            <w:pPr>
              <w:spacing w:after="120" w:line="250" w:lineRule="exact"/>
              <w:jc w:val="both"/>
              <w:rPr>
                <w:rFonts w:ascii="Montserrat" w:hAnsi="Montserrat" w:cs="Arial"/>
                <w:spacing w:val="-1"/>
                <w:sz w:val="18"/>
                <w:szCs w:val="18"/>
              </w:rPr>
            </w:pPr>
          </w:p>
        </w:tc>
      </w:tr>
      <w:tr w:rsidR="009C3C24" w:rsidRPr="006F0DF1" w14:paraId="239F00A9" w14:textId="77777777" w:rsidTr="002F797B">
        <w:trPr>
          <w:trHeight w:val="167"/>
        </w:trPr>
        <w:tc>
          <w:tcPr>
            <w:tcW w:w="5840" w:type="dxa"/>
            <w:tcBorders>
              <w:top w:val="single" w:sz="4" w:space="0" w:color="auto"/>
              <w:left w:val="nil"/>
              <w:bottom w:val="nil"/>
              <w:right w:val="nil"/>
            </w:tcBorders>
            <w:shd w:val="clear" w:color="auto" w:fill="auto"/>
            <w:noWrap/>
            <w:vAlign w:val="bottom"/>
            <w:hideMark/>
          </w:tcPr>
          <w:p w14:paraId="131F5851" w14:textId="77777777" w:rsidR="009C3C24" w:rsidRPr="006F0DF1" w:rsidRDefault="009C3C24" w:rsidP="002F797B">
            <w:pPr>
              <w:jc w:val="center"/>
              <w:rPr>
                <w:rFonts w:ascii="Montserrat" w:hAnsi="Montserrat"/>
                <w:color w:val="000000"/>
                <w:sz w:val="18"/>
                <w:szCs w:val="18"/>
              </w:rPr>
            </w:pPr>
            <w:r w:rsidRPr="006F0DF1">
              <w:rPr>
                <w:rFonts w:ascii="Montserrat" w:hAnsi="Montserrat"/>
                <w:color w:val="000000"/>
                <w:sz w:val="18"/>
                <w:szCs w:val="18"/>
              </w:rPr>
              <w:t>Autorizó</w:t>
            </w:r>
            <w:r w:rsidR="00B30C16">
              <w:rPr>
                <w:rFonts w:ascii="Montserrat" w:hAnsi="Montserrat"/>
                <w:color w:val="000000"/>
                <w:sz w:val="18"/>
                <w:szCs w:val="18"/>
              </w:rPr>
              <w:t xml:space="preserve">: L.C.P. Juan Torres García </w:t>
            </w:r>
          </w:p>
        </w:tc>
        <w:tc>
          <w:tcPr>
            <w:tcW w:w="280" w:type="dxa"/>
            <w:tcBorders>
              <w:top w:val="nil"/>
              <w:left w:val="nil"/>
              <w:bottom w:val="nil"/>
              <w:right w:val="nil"/>
            </w:tcBorders>
            <w:shd w:val="clear" w:color="auto" w:fill="auto"/>
            <w:noWrap/>
            <w:vAlign w:val="bottom"/>
          </w:tcPr>
          <w:p w14:paraId="348BDBA4" w14:textId="77777777" w:rsidR="009C3C24" w:rsidRPr="006F0DF1" w:rsidRDefault="009C3C24" w:rsidP="002F797B">
            <w:pPr>
              <w:rPr>
                <w:rFonts w:ascii="Montserrat" w:hAnsi="Montserrat"/>
                <w:color w:val="000000"/>
                <w:sz w:val="18"/>
                <w:szCs w:val="18"/>
              </w:rPr>
            </w:pPr>
          </w:p>
        </w:tc>
        <w:tc>
          <w:tcPr>
            <w:tcW w:w="416" w:type="dxa"/>
            <w:tcBorders>
              <w:top w:val="nil"/>
              <w:left w:val="nil"/>
              <w:bottom w:val="nil"/>
              <w:right w:val="nil"/>
            </w:tcBorders>
            <w:shd w:val="clear" w:color="auto" w:fill="auto"/>
            <w:noWrap/>
            <w:vAlign w:val="bottom"/>
          </w:tcPr>
          <w:p w14:paraId="7475EF9A" w14:textId="77777777" w:rsidR="009C3C24" w:rsidRPr="006F0DF1" w:rsidRDefault="009C3C24" w:rsidP="002F797B">
            <w:pPr>
              <w:rPr>
                <w:rFonts w:ascii="Montserrat" w:hAnsi="Montserrat"/>
                <w:color w:val="000000"/>
                <w:sz w:val="18"/>
                <w:szCs w:val="18"/>
              </w:rPr>
            </w:pPr>
          </w:p>
        </w:tc>
        <w:tc>
          <w:tcPr>
            <w:tcW w:w="5840" w:type="dxa"/>
            <w:tcBorders>
              <w:top w:val="single" w:sz="4" w:space="0" w:color="auto"/>
              <w:left w:val="nil"/>
              <w:bottom w:val="nil"/>
              <w:right w:val="nil"/>
            </w:tcBorders>
            <w:shd w:val="clear" w:color="auto" w:fill="auto"/>
            <w:noWrap/>
            <w:vAlign w:val="bottom"/>
            <w:hideMark/>
          </w:tcPr>
          <w:p w14:paraId="6B75DCA8" w14:textId="77777777" w:rsidR="009C3C24" w:rsidRPr="006F0DF1" w:rsidRDefault="004B6378" w:rsidP="002F797B">
            <w:pPr>
              <w:jc w:val="center"/>
              <w:rPr>
                <w:rFonts w:ascii="Montserrat" w:hAnsi="Montserrat"/>
                <w:color w:val="000000"/>
                <w:sz w:val="18"/>
                <w:szCs w:val="18"/>
              </w:rPr>
            </w:pPr>
            <w:r>
              <w:rPr>
                <w:rFonts w:ascii="Montserrat" w:hAnsi="Montserrat"/>
                <w:color w:val="000000"/>
                <w:sz w:val="18"/>
                <w:szCs w:val="18"/>
              </w:rPr>
              <w:t>Elaboró</w:t>
            </w:r>
            <w:r w:rsidR="009C3C24" w:rsidRPr="006F0DF1">
              <w:rPr>
                <w:rFonts w:ascii="Montserrat" w:hAnsi="Montserrat"/>
                <w:color w:val="000000"/>
                <w:sz w:val="18"/>
                <w:szCs w:val="18"/>
              </w:rPr>
              <w:t>: L.C.P. Pino Aparicio Soto</w:t>
            </w:r>
          </w:p>
        </w:tc>
      </w:tr>
      <w:tr w:rsidR="009C3C24" w:rsidRPr="006F0DF1" w14:paraId="54945F7A" w14:textId="77777777" w:rsidTr="002F797B">
        <w:trPr>
          <w:trHeight w:val="60"/>
        </w:trPr>
        <w:tc>
          <w:tcPr>
            <w:tcW w:w="5840" w:type="dxa"/>
            <w:tcBorders>
              <w:top w:val="nil"/>
              <w:left w:val="nil"/>
              <w:bottom w:val="nil"/>
              <w:right w:val="nil"/>
            </w:tcBorders>
            <w:shd w:val="clear" w:color="auto" w:fill="auto"/>
            <w:hideMark/>
          </w:tcPr>
          <w:p w14:paraId="25E90EF7" w14:textId="77777777" w:rsidR="009C3C24" w:rsidRPr="006F0DF1" w:rsidRDefault="009C3C24" w:rsidP="002F797B">
            <w:pPr>
              <w:jc w:val="center"/>
              <w:rPr>
                <w:rFonts w:ascii="Montserrat" w:hAnsi="Montserrat"/>
                <w:sz w:val="18"/>
                <w:szCs w:val="18"/>
              </w:rPr>
            </w:pPr>
            <w:r w:rsidRPr="006F0DF1">
              <w:rPr>
                <w:rFonts w:ascii="Montserrat" w:hAnsi="Montserrat"/>
                <w:sz w:val="18"/>
                <w:szCs w:val="18"/>
              </w:rPr>
              <w:t>Titular de la Unidad de Contabilidad Gubernamental</w:t>
            </w:r>
          </w:p>
        </w:tc>
        <w:tc>
          <w:tcPr>
            <w:tcW w:w="280" w:type="dxa"/>
            <w:tcBorders>
              <w:top w:val="nil"/>
              <w:left w:val="nil"/>
              <w:bottom w:val="nil"/>
              <w:right w:val="nil"/>
            </w:tcBorders>
            <w:shd w:val="clear" w:color="auto" w:fill="auto"/>
            <w:noWrap/>
            <w:vAlign w:val="bottom"/>
          </w:tcPr>
          <w:p w14:paraId="78EFDCB7" w14:textId="77777777" w:rsidR="009C3C24" w:rsidRPr="006F0DF1" w:rsidRDefault="009C3C24" w:rsidP="002F797B">
            <w:pPr>
              <w:rPr>
                <w:rFonts w:ascii="Montserrat" w:hAnsi="Montserrat"/>
                <w:color w:val="000000"/>
                <w:sz w:val="18"/>
                <w:szCs w:val="18"/>
              </w:rPr>
            </w:pPr>
          </w:p>
        </w:tc>
        <w:tc>
          <w:tcPr>
            <w:tcW w:w="416" w:type="dxa"/>
            <w:tcBorders>
              <w:top w:val="nil"/>
              <w:left w:val="nil"/>
              <w:bottom w:val="nil"/>
              <w:right w:val="nil"/>
            </w:tcBorders>
            <w:shd w:val="clear" w:color="auto" w:fill="auto"/>
            <w:noWrap/>
            <w:vAlign w:val="bottom"/>
          </w:tcPr>
          <w:p w14:paraId="24F34128" w14:textId="77777777" w:rsidR="009C3C24" w:rsidRPr="006F0DF1" w:rsidRDefault="009C3C24" w:rsidP="002F797B">
            <w:pPr>
              <w:rPr>
                <w:rFonts w:ascii="Montserrat" w:hAnsi="Montserrat"/>
                <w:color w:val="000000"/>
                <w:sz w:val="18"/>
                <w:szCs w:val="18"/>
              </w:rPr>
            </w:pPr>
          </w:p>
        </w:tc>
        <w:tc>
          <w:tcPr>
            <w:tcW w:w="5840" w:type="dxa"/>
            <w:tcBorders>
              <w:top w:val="nil"/>
              <w:left w:val="nil"/>
              <w:bottom w:val="nil"/>
              <w:right w:val="nil"/>
            </w:tcBorders>
            <w:shd w:val="clear" w:color="auto" w:fill="auto"/>
            <w:hideMark/>
          </w:tcPr>
          <w:p w14:paraId="23176BEE" w14:textId="77777777" w:rsidR="009C3C24" w:rsidRPr="006F0DF1" w:rsidRDefault="009C3C24" w:rsidP="002F797B">
            <w:pPr>
              <w:jc w:val="center"/>
              <w:rPr>
                <w:rFonts w:ascii="Montserrat" w:hAnsi="Montserrat"/>
                <w:sz w:val="18"/>
                <w:szCs w:val="18"/>
              </w:rPr>
            </w:pPr>
            <w:r w:rsidRPr="006F0DF1">
              <w:rPr>
                <w:rFonts w:ascii="Montserrat" w:hAnsi="Montserrat"/>
                <w:sz w:val="18"/>
                <w:szCs w:val="18"/>
              </w:rPr>
              <w:t>Director General Adjunto de Normatividad Contable</w:t>
            </w:r>
          </w:p>
        </w:tc>
      </w:tr>
    </w:tbl>
    <w:p w14:paraId="5B1FB93D" w14:textId="77777777" w:rsidR="004E0D88" w:rsidRPr="00814165" w:rsidRDefault="004E0D88">
      <w:pPr>
        <w:pStyle w:val="SUBTITULO"/>
        <w:spacing w:before="0" w:after="0" w:line="240" w:lineRule="auto"/>
        <w:jc w:val="both"/>
        <w:rPr>
          <w:sz w:val="4"/>
          <w:szCs w:val="4"/>
        </w:rPr>
      </w:pPr>
    </w:p>
    <w:sectPr w:rsidR="004E0D88" w:rsidRPr="00814165" w:rsidSect="00441690">
      <w:headerReference w:type="default" r:id="rId8"/>
      <w:footerReference w:type="default" r:id="rId9"/>
      <w:headerReference w:type="first" r:id="rId10"/>
      <w:footerReference w:type="first" r:id="rId11"/>
      <w:pgSz w:w="15840" w:h="12240" w:orient="landscape" w:code="1"/>
      <w:pgMar w:top="567" w:right="1418" w:bottom="567" w:left="1418" w:header="709" w:footer="38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F45862" w14:textId="77777777" w:rsidR="00534227" w:rsidRDefault="00534227" w:rsidP="00140DD8">
      <w:pPr>
        <w:spacing w:after="0" w:line="240" w:lineRule="auto"/>
      </w:pPr>
      <w:r>
        <w:separator/>
      </w:r>
    </w:p>
  </w:endnote>
  <w:endnote w:type="continuationSeparator" w:id="0">
    <w:p w14:paraId="76179FCA" w14:textId="77777777" w:rsidR="00534227" w:rsidRDefault="00534227" w:rsidP="00140D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EurekaSans-Regular">
    <w:panose1 w:val="00000000000000000000"/>
    <w:charset w:val="00"/>
    <w:family w:val="moder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Soberana Sans Light">
    <w:panose1 w:val="02000000000000000000"/>
    <w:charset w:val="00"/>
    <w:family w:val="modern"/>
    <w:notTrueType/>
    <w:pitch w:val="variable"/>
    <w:sig w:usb0="800000AF" w:usb1="4000204B" w:usb2="00000000" w:usb3="00000000" w:csb0="00000001" w:csb1="00000000"/>
  </w:font>
  <w:font w:name="Arial">
    <w:panose1 w:val="020B0604020202020204"/>
    <w:charset w:val="00"/>
    <w:family w:val="swiss"/>
    <w:pitch w:val="variable"/>
    <w:sig w:usb0="E0002EFF" w:usb1="C000785B" w:usb2="00000009" w:usb3="00000000" w:csb0="000001FF" w:csb1="00000000"/>
  </w:font>
  <w:font w:name="Montserrat Light">
    <w:panose1 w:val="00000400000000000000"/>
    <w:charset w:val="00"/>
    <w:family w:val="auto"/>
    <w:pitch w:val="variable"/>
    <w:sig w:usb0="2000020F" w:usb1="00000003" w:usb2="00000000" w:usb3="00000000" w:csb0="00000197"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Montserrat SemiBold">
    <w:panose1 w:val="00000700000000000000"/>
    <w:charset w:val="00"/>
    <w:family w:val="auto"/>
    <w:pitch w:val="variable"/>
    <w:sig w:usb0="2000020F" w:usb1="00000003" w:usb2="00000000" w:usb3="00000000" w:csb0="00000197" w:csb1="00000000"/>
  </w:font>
  <w:font w:name="Arial,Bold">
    <w:panose1 w:val="00000000000000000000"/>
    <w:charset w:val="00"/>
    <w:family w:val="swiss"/>
    <w:notTrueType/>
    <w:pitch w:val="default"/>
    <w:sig w:usb0="00000003" w:usb1="00000000" w:usb2="00000000" w:usb3="00000000" w:csb0="00000001" w:csb1="00000000"/>
  </w:font>
  <w:font w:name="Montserrat-Regular">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EurekaSans-Light">
    <w:altName w:val="Courier New"/>
    <w:panose1 w:val="00000000000000000000"/>
    <w:charset w:val="00"/>
    <w:family w:val="modern"/>
    <w:notTrueType/>
    <w:pitch w:val="variable"/>
    <w:sig w:usb0="00000003" w:usb1="00000000" w:usb2="00000000" w:usb3="00000000" w:csb0="00000001" w:csb1="00000000"/>
  </w:font>
  <w:font w:name="PalmSprings">
    <w:altName w:val="Courier New"/>
    <w:charset w:val="00"/>
    <w:family w:val="swiss"/>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G Times">
    <w:altName w:val="Times New Roman"/>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R Frutiger Roman">
    <w:altName w:val="Times New Roman"/>
    <w:charset w:val="00"/>
    <w:family w:val="auto"/>
    <w:pitch w:val="variable"/>
    <w:sig w:usb0="03000000"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Soberana Sans">
    <w:panose1 w:val="02000000000000000000"/>
    <w:charset w:val="00"/>
    <w:family w:val="modern"/>
    <w:notTrueType/>
    <w:pitch w:val="variable"/>
    <w:sig w:usb0="800000AF" w:usb1="4000204B" w:usb2="00000000" w:usb3="00000000" w:csb0="00000001" w:csb1="00000000"/>
  </w:font>
  <w:font w:name="SymbolMT">
    <w:altName w:val="Malgun Gothic Semilight"/>
    <w:panose1 w:val="00000000000000000000"/>
    <w:charset w:val="88"/>
    <w:family w:val="auto"/>
    <w:notTrueType/>
    <w:pitch w:val="default"/>
    <w:sig w:usb0="00000003" w:usb1="08080000" w:usb2="00000010" w:usb3="00000000" w:csb0="00100001" w:csb1="00000000"/>
  </w:font>
  <w:font w:name="ACaslonPro-Regular">
    <w:altName w:val="Georgia"/>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3137" w:type="dxa"/>
      <w:jc w:val="center"/>
      <w:tblBorders>
        <w:top w:val="single" w:sz="8" w:space="0" w:color="808080"/>
      </w:tblBorders>
      <w:tblLook w:val="04A0" w:firstRow="1" w:lastRow="0" w:firstColumn="1" w:lastColumn="0" w:noHBand="0" w:noVBand="1"/>
    </w:tblPr>
    <w:tblGrid>
      <w:gridCol w:w="2077"/>
      <w:gridCol w:w="8964"/>
      <w:gridCol w:w="2096"/>
    </w:tblGrid>
    <w:tr w:rsidR="005E508C" w:rsidRPr="00654D98" w14:paraId="51EA1E70" w14:textId="77777777" w:rsidTr="00760530">
      <w:trPr>
        <w:jc w:val="center"/>
      </w:trPr>
      <w:tc>
        <w:tcPr>
          <w:tcW w:w="2122" w:type="dxa"/>
          <w:tcBorders>
            <w:top w:val="nil"/>
            <w:bottom w:val="single" w:sz="12" w:space="0" w:color="D4C19C"/>
          </w:tcBorders>
          <w:shd w:val="clear" w:color="auto" w:fill="auto"/>
        </w:tcPr>
        <w:p w14:paraId="63A95E9D" w14:textId="77777777" w:rsidR="005E508C" w:rsidRPr="00654D98" w:rsidRDefault="005E508C" w:rsidP="00566761">
          <w:pPr>
            <w:pStyle w:val="Encabezado"/>
            <w:spacing w:after="0" w:line="240" w:lineRule="auto"/>
            <w:rPr>
              <w:rFonts w:ascii="Montserrat" w:hAnsi="Montserrat"/>
              <w:sz w:val="16"/>
              <w:szCs w:val="16"/>
            </w:rPr>
          </w:pPr>
        </w:p>
      </w:tc>
      <w:tc>
        <w:tcPr>
          <w:tcW w:w="9156" w:type="dxa"/>
          <w:tcBorders>
            <w:top w:val="nil"/>
            <w:bottom w:val="single" w:sz="12" w:space="0" w:color="D4C19C"/>
          </w:tcBorders>
          <w:shd w:val="clear" w:color="auto" w:fill="auto"/>
        </w:tcPr>
        <w:p w14:paraId="739F8DFD" w14:textId="77777777" w:rsidR="005E508C" w:rsidRPr="00654D98" w:rsidRDefault="005E508C" w:rsidP="00135C64">
          <w:pPr>
            <w:pStyle w:val="PIEPAGENTE"/>
            <w:rPr>
              <w:rFonts w:ascii="Montserrat" w:hAnsi="Montserrat"/>
              <w:sz w:val="16"/>
            </w:rPr>
          </w:pPr>
        </w:p>
      </w:tc>
      <w:tc>
        <w:tcPr>
          <w:tcW w:w="2126" w:type="dxa"/>
          <w:tcBorders>
            <w:top w:val="nil"/>
            <w:bottom w:val="single" w:sz="12" w:space="0" w:color="D4C19C"/>
          </w:tcBorders>
          <w:shd w:val="clear" w:color="auto" w:fill="auto"/>
        </w:tcPr>
        <w:p w14:paraId="4B1724C3" w14:textId="77777777" w:rsidR="005E508C" w:rsidRPr="00654D98" w:rsidRDefault="005E508C" w:rsidP="00566761">
          <w:pPr>
            <w:pStyle w:val="Encabezado"/>
            <w:spacing w:after="0" w:line="240" w:lineRule="auto"/>
            <w:jc w:val="right"/>
            <w:rPr>
              <w:rFonts w:ascii="Montserrat" w:hAnsi="Montserrat"/>
              <w:sz w:val="16"/>
              <w:szCs w:val="16"/>
            </w:rPr>
          </w:pPr>
        </w:p>
      </w:tc>
    </w:tr>
    <w:tr w:rsidR="005E508C" w:rsidRPr="00CB202B" w14:paraId="59B15A29" w14:textId="77777777" w:rsidTr="00760530">
      <w:trPr>
        <w:jc w:val="center"/>
      </w:trPr>
      <w:tc>
        <w:tcPr>
          <w:tcW w:w="2122" w:type="dxa"/>
          <w:tcBorders>
            <w:top w:val="single" w:sz="12" w:space="0" w:color="D4C19C"/>
          </w:tcBorders>
          <w:shd w:val="clear" w:color="auto" w:fill="auto"/>
        </w:tcPr>
        <w:p w14:paraId="1D9E811C" w14:textId="77777777" w:rsidR="005E508C" w:rsidRPr="00CB202B" w:rsidRDefault="005E508C" w:rsidP="00B91081">
          <w:pPr>
            <w:pStyle w:val="Encabezado"/>
            <w:spacing w:before="60" w:after="60" w:line="240" w:lineRule="auto"/>
            <w:rPr>
              <w:sz w:val="16"/>
              <w:szCs w:val="16"/>
            </w:rPr>
          </w:pPr>
        </w:p>
      </w:tc>
      <w:tc>
        <w:tcPr>
          <w:tcW w:w="9156" w:type="dxa"/>
          <w:tcBorders>
            <w:top w:val="single" w:sz="12" w:space="0" w:color="D4C19C"/>
          </w:tcBorders>
          <w:shd w:val="clear" w:color="auto" w:fill="auto"/>
        </w:tcPr>
        <w:p w14:paraId="64CBE184" w14:textId="77777777" w:rsidR="005E508C" w:rsidRPr="007C7497" w:rsidRDefault="005E508C" w:rsidP="00A72C80">
          <w:pPr>
            <w:pStyle w:val="PIEPAGENTE"/>
            <w:spacing w:before="60" w:after="60"/>
            <w:rPr>
              <w:rFonts w:ascii="Montserrat" w:hAnsi="Montserrat"/>
            </w:rPr>
          </w:pPr>
          <w:r>
            <w:rPr>
              <w:rFonts w:ascii="Montserrat" w:hAnsi="Montserrat"/>
            </w:rPr>
            <w:t>poder ejecutivo federal</w:t>
          </w:r>
        </w:p>
      </w:tc>
      <w:tc>
        <w:tcPr>
          <w:tcW w:w="2126" w:type="dxa"/>
          <w:tcBorders>
            <w:top w:val="single" w:sz="12" w:space="0" w:color="D4C19C"/>
          </w:tcBorders>
          <w:shd w:val="clear" w:color="auto" w:fill="auto"/>
        </w:tcPr>
        <w:p w14:paraId="7C9776B1" w14:textId="77777777" w:rsidR="005E508C" w:rsidRPr="00102975" w:rsidRDefault="005E508C" w:rsidP="00A72C80">
          <w:pPr>
            <w:pStyle w:val="Piedepgina"/>
            <w:spacing w:before="60" w:after="60" w:line="240" w:lineRule="auto"/>
            <w:jc w:val="right"/>
            <w:rPr>
              <w:rFonts w:ascii="Montserrat" w:hAnsi="Montserrat"/>
              <w:sz w:val="18"/>
              <w:szCs w:val="18"/>
            </w:rPr>
          </w:pPr>
          <w:r w:rsidRPr="00102975">
            <w:rPr>
              <w:rFonts w:ascii="Montserrat" w:hAnsi="Montserrat"/>
              <w:sz w:val="18"/>
              <w:szCs w:val="18"/>
            </w:rPr>
            <w:t xml:space="preserve">Página </w:t>
          </w:r>
          <w:r w:rsidRPr="00102975">
            <w:rPr>
              <w:rFonts w:ascii="Montserrat" w:hAnsi="Montserrat"/>
              <w:sz w:val="18"/>
              <w:szCs w:val="18"/>
            </w:rPr>
            <w:fldChar w:fldCharType="begin"/>
          </w:r>
          <w:r w:rsidRPr="00102975">
            <w:rPr>
              <w:rFonts w:ascii="Montserrat" w:hAnsi="Montserrat"/>
              <w:sz w:val="18"/>
              <w:szCs w:val="18"/>
            </w:rPr>
            <w:instrText>PAGE</w:instrText>
          </w:r>
          <w:r w:rsidRPr="00102975">
            <w:rPr>
              <w:rFonts w:ascii="Montserrat" w:hAnsi="Montserrat"/>
              <w:sz w:val="18"/>
              <w:szCs w:val="18"/>
            </w:rPr>
            <w:fldChar w:fldCharType="separate"/>
          </w:r>
          <w:r w:rsidR="009B2C23">
            <w:rPr>
              <w:rFonts w:ascii="Montserrat" w:hAnsi="Montserrat"/>
              <w:noProof/>
              <w:sz w:val="18"/>
              <w:szCs w:val="18"/>
            </w:rPr>
            <w:t>64</w:t>
          </w:r>
          <w:r w:rsidRPr="00102975">
            <w:rPr>
              <w:rFonts w:ascii="Montserrat" w:hAnsi="Montserrat"/>
              <w:sz w:val="18"/>
              <w:szCs w:val="18"/>
            </w:rPr>
            <w:fldChar w:fldCharType="end"/>
          </w:r>
          <w:r w:rsidRPr="00102975">
            <w:rPr>
              <w:rFonts w:ascii="Montserrat" w:hAnsi="Montserrat"/>
              <w:sz w:val="18"/>
              <w:szCs w:val="18"/>
            </w:rPr>
            <w:t xml:space="preserve"> de </w:t>
          </w:r>
          <w:r w:rsidRPr="00102975">
            <w:rPr>
              <w:rFonts w:ascii="Montserrat" w:hAnsi="Montserrat"/>
              <w:sz w:val="18"/>
              <w:szCs w:val="18"/>
            </w:rPr>
            <w:fldChar w:fldCharType="begin"/>
          </w:r>
          <w:r w:rsidRPr="00102975">
            <w:rPr>
              <w:rFonts w:ascii="Montserrat" w:hAnsi="Montserrat"/>
              <w:sz w:val="18"/>
              <w:szCs w:val="18"/>
            </w:rPr>
            <w:instrText>NUMPAGES</w:instrText>
          </w:r>
          <w:r w:rsidRPr="00102975">
            <w:rPr>
              <w:rFonts w:ascii="Montserrat" w:hAnsi="Montserrat"/>
              <w:sz w:val="18"/>
              <w:szCs w:val="18"/>
            </w:rPr>
            <w:fldChar w:fldCharType="separate"/>
          </w:r>
          <w:r w:rsidR="009B2C23">
            <w:rPr>
              <w:rFonts w:ascii="Montserrat" w:hAnsi="Montserrat"/>
              <w:noProof/>
              <w:sz w:val="18"/>
              <w:szCs w:val="18"/>
            </w:rPr>
            <w:t>64</w:t>
          </w:r>
          <w:r w:rsidRPr="00102975">
            <w:rPr>
              <w:rFonts w:ascii="Montserrat" w:hAnsi="Montserrat"/>
              <w:sz w:val="18"/>
              <w:szCs w:val="18"/>
            </w:rPr>
            <w:fldChar w:fldCharType="end"/>
          </w:r>
        </w:p>
      </w:tc>
    </w:tr>
  </w:tbl>
  <w:p w14:paraId="03DCCC76" w14:textId="77777777" w:rsidR="005E508C" w:rsidRPr="00CB202B" w:rsidRDefault="005E508C" w:rsidP="00180F7A">
    <w:pPr>
      <w:pStyle w:val="Piedepgina"/>
      <w:spacing w:after="0" w:line="240" w:lineRule="auto"/>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3137" w:type="dxa"/>
      <w:jc w:val="center"/>
      <w:tblBorders>
        <w:top w:val="single" w:sz="8" w:space="0" w:color="808080"/>
      </w:tblBorders>
      <w:tblLook w:val="04A0" w:firstRow="1" w:lastRow="0" w:firstColumn="1" w:lastColumn="0" w:noHBand="0" w:noVBand="1"/>
    </w:tblPr>
    <w:tblGrid>
      <w:gridCol w:w="2080"/>
      <w:gridCol w:w="8959"/>
      <w:gridCol w:w="2098"/>
    </w:tblGrid>
    <w:tr w:rsidR="005E508C" w:rsidRPr="00654D98" w14:paraId="720440AB" w14:textId="77777777" w:rsidTr="00BF3140">
      <w:trPr>
        <w:jc w:val="center"/>
      </w:trPr>
      <w:tc>
        <w:tcPr>
          <w:tcW w:w="2122" w:type="dxa"/>
          <w:tcBorders>
            <w:top w:val="nil"/>
            <w:bottom w:val="single" w:sz="12" w:space="0" w:color="D4C19C"/>
          </w:tcBorders>
          <w:shd w:val="clear" w:color="auto" w:fill="auto"/>
        </w:tcPr>
        <w:p w14:paraId="61A2C3C1" w14:textId="77777777" w:rsidR="005E508C" w:rsidRPr="00654D98" w:rsidRDefault="005E508C" w:rsidP="00441690">
          <w:pPr>
            <w:pStyle w:val="Encabezado"/>
            <w:spacing w:after="0" w:line="240" w:lineRule="auto"/>
            <w:rPr>
              <w:rFonts w:ascii="Montserrat" w:hAnsi="Montserrat"/>
              <w:sz w:val="16"/>
              <w:szCs w:val="16"/>
            </w:rPr>
          </w:pPr>
        </w:p>
      </w:tc>
      <w:tc>
        <w:tcPr>
          <w:tcW w:w="9156" w:type="dxa"/>
          <w:tcBorders>
            <w:top w:val="nil"/>
            <w:bottom w:val="single" w:sz="12" w:space="0" w:color="D4C19C"/>
          </w:tcBorders>
          <w:shd w:val="clear" w:color="auto" w:fill="auto"/>
        </w:tcPr>
        <w:p w14:paraId="3C3C9E61" w14:textId="77777777" w:rsidR="005E508C" w:rsidRPr="00654D98" w:rsidRDefault="005E508C" w:rsidP="00441690">
          <w:pPr>
            <w:pStyle w:val="PIEPAGENTE"/>
            <w:rPr>
              <w:rFonts w:ascii="Montserrat" w:hAnsi="Montserrat"/>
              <w:sz w:val="16"/>
            </w:rPr>
          </w:pPr>
        </w:p>
      </w:tc>
      <w:tc>
        <w:tcPr>
          <w:tcW w:w="2126" w:type="dxa"/>
          <w:tcBorders>
            <w:top w:val="nil"/>
            <w:bottom w:val="single" w:sz="12" w:space="0" w:color="D4C19C"/>
          </w:tcBorders>
          <w:shd w:val="clear" w:color="auto" w:fill="auto"/>
        </w:tcPr>
        <w:p w14:paraId="7C94C2DB" w14:textId="77777777" w:rsidR="005E508C" w:rsidRPr="00654D98" w:rsidRDefault="005E508C" w:rsidP="00441690">
          <w:pPr>
            <w:pStyle w:val="Encabezado"/>
            <w:spacing w:after="0" w:line="240" w:lineRule="auto"/>
            <w:jc w:val="right"/>
            <w:rPr>
              <w:rFonts w:ascii="Montserrat" w:hAnsi="Montserrat"/>
              <w:sz w:val="16"/>
              <w:szCs w:val="16"/>
            </w:rPr>
          </w:pPr>
        </w:p>
      </w:tc>
    </w:tr>
    <w:tr w:rsidR="005E508C" w:rsidRPr="00CB202B" w14:paraId="2EC7D561" w14:textId="77777777" w:rsidTr="00BF3140">
      <w:trPr>
        <w:jc w:val="center"/>
      </w:trPr>
      <w:tc>
        <w:tcPr>
          <w:tcW w:w="2122" w:type="dxa"/>
          <w:tcBorders>
            <w:top w:val="single" w:sz="12" w:space="0" w:color="D4C19C"/>
          </w:tcBorders>
          <w:shd w:val="clear" w:color="auto" w:fill="auto"/>
        </w:tcPr>
        <w:p w14:paraId="2831DCBB" w14:textId="77777777" w:rsidR="005E508C" w:rsidRPr="00CB202B" w:rsidRDefault="005E508C" w:rsidP="00441690">
          <w:pPr>
            <w:pStyle w:val="Encabezado"/>
            <w:spacing w:before="60" w:after="60" w:line="240" w:lineRule="auto"/>
            <w:rPr>
              <w:sz w:val="16"/>
              <w:szCs w:val="16"/>
            </w:rPr>
          </w:pPr>
        </w:p>
      </w:tc>
      <w:tc>
        <w:tcPr>
          <w:tcW w:w="9156" w:type="dxa"/>
          <w:tcBorders>
            <w:top w:val="single" w:sz="12" w:space="0" w:color="D4C19C"/>
          </w:tcBorders>
          <w:shd w:val="clear" w:color="auto" w:fill="auto"/>
        </w:tcPr>
        <w:p w14:paraId="1BEDA81C" w14:textId="77777777" w:rsidR="005E508C" w:rsidRPr="007C7497" w:rsidRDefault="005E508C" w:rsidP="00441690">
          <w:pPr>
            <w:pStyle w:val="PIEPAGENTE"/>
            <w:spacing w:before="60" w:after="60"/>
            <w:rPr>
              <w:rFonts w:ascii="Montserrat" w:hAnsi="Montserrat"/>
            </w:rPr>
          </w:pPr>
        </w:p>
      </w:tc>
      <w:tc>
        <w:tcPr>
          <w:tcW w:w="2126" w:type="dxa"/>
          <w:tcBorders>
            <w:top w:val="single" w:sz="12" w:space="0" w:color="D4C19C"/>
          </w:tcBorders>
          <w:shd w:val="clear" w:color="auto" w:fill="auto"/>
        </w:tcPr>
        <w:p w14:paraId="0756FA2A" w14:textId="77777777" w:rsidR="005E508C" w:rsidRPr="00102975" w:rsidRDefault="005E508C" w:rsidP="00A72C80">
          <w:pPr>
            <w:pStyle w:val="Piedepgina"/>
            <w:spacing w:before="60" w:after="60" w:line="240" w:lineRule="auto"/>
            <w:jc w:val="right"/>
            <w:rPr>
              <w:rFonts w:ascii="Montserrat" w:hAnsi="Montserrat"/>
              <w:sz w:val="18"/>
              <w:szCs w:val="18"/>
            </w:rPr>
          </w:pPr>
          <w:r w:rsidRPr="00102975">
            <w:rPr>
              <w:rFonts w:ascii="Montserrat" w:hAnsi="Montserrat"/>
              <w:sz w:val="18"/>
              <w:szCs w:val="18"/>
            </w:rPr>
            <w:t xml:space="preserve">Página </w:t>
          </w:r>
          <w:r w:rsidRPr="00102975">
            <w:rPr>
              <w:rFonts w:ascii="Montserrat" w:hAnsi="Montserrat"/>
              <w:sz w:val="18"/>
              <w:szCs w:val="18"/>
            </w:rPr>
            <w:fldChar w:fldCharType="begin"/>
          </w:r>
          <w:r w:rsidRPr="00102975">
            <w:rPr>
              <w:rFonts w:ascii="Montserrat" w:hAnsi="Montserrat"/>
              <w:sz w:val="18"/>
              <w:szCs w:val="18"/>
            </w:rPr>
            <w:instrText>PAGE</w:instrText>
          </w:r>
          <w:r w:rsidRPr="00102975">
            <w:rPr>
              <w:rFonts w:ascii="Montserrat" w:hAnsi="Montserrat"/>
              <w:sz w:val="18"/>
              <w:szCs w:val="18"/>
            </w:rPr>
            <w:fldChar w:fldCharType="separate"/>
          </w:r>
          <w:r w:rsidR="009B2C23">
            <w:rPr>
              <w:rFonts w:ascii="Montserrat" w:hAnsi="Montserrat"/>
              <w:noProof/>
              <w:sz w:val="18"/>
              <w:szCs w:val="18"/>
            </w:rPr>
            <w:t>1</w:t>
          </w:r>
          <w:r w:rsidRPr="00102975">
            <w:rPr>
              <w:rFonts w:ascii="Montserrat" w:hAnsi="Montserrat"/>
              <w:sz w:val="18"/>
              <w:szCs w:val="18"/>
            </w:rPr>
            <w:fldChar w:fldCharType="end"/>
          </w:r>
          <w:r w:rsidRPr="00102975">
            <w:rPr>
              <w:rFonts w:ascii="Montserrat" w:hAnsi="Montserrat"/>
              <w:sz w:val="18"/>
              <w:szCs w:val="18"/>
            </w:rPr>
            <w:t xml:space="preserve"> de </w:t>
          </w:r>
          <w:r w:rsidRPr="00102975">
            <w:rPr>
              <w:rFonts w:ascii="Montserrat" w:hAnsi="Montserrat"/>
              <w:sz w:val="18"/>
              <w:szCs w:val="18"/>
            </w:rPr>
            <w:fldChar w:fldCharType="begin"/>
          </w:r>
          <w:r w:rsidRPr="00102975">
            <w:rPr>
              <w:rFonts w:ascii="Montserrat" w:hAnsi="Montserrat"/>
              <w:sz w:val="18"/>
              <w:szCs w:val="18"/>
            </w:rPr>
            <w:instrText>NUMPAGES</w:instrText>
          </w:r>
          <w:r w:rsidRPr="00102975">
            <w:rPr>
              <w:rFonts w:ascii="Montserrat" w:hAnsi="Montserrat"/>
              <w:sz w:val="18"/>
              <w:szCs w:val="18"/>
            </w:rPr>
            <w:fldChar w:fldCharType="separate"/>
          </w:r>
          <w:r w:rsidR="009B2C23">
            <w:rPr>
              <w:rFonts w:ascii="Montserrat" w:hAnsi="Montserrat"/>
              <w:noProof/>
              <w:sz w:val="18"/>
              <w:szCs w:val="18"/>
            </w:rPr>
            <w:t>64</w:t>
          </w:r>
          <w:r w:rsidRPr="00102975">
            <w:rPr>
              <w:rFonts w:ascii="Montserrat" w:hAnsi="Montserrat"/>
              <w:sz w:val="18"/>
              <w:szCs w:val="18"/>
            </w:rPr>
            <w:fldChar w:fldCharType="end"/>
          </w:r>
        </w:p>
      </w:tc>
    </w:tr>
  </w:tbl>
  <w:p w14:paraId="4351C5F3" w14:textId="77777777" w:rsidR="005E508C" w:rsidRPr="00AD10AF" w:rsidRDefault="005E508C" w:rsidP="001F44BC">
    <w:pPr>
      <w:pStyle w:val="Piedepgina"/>
      <w:rPr>
        <w:sz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94D1CC" w14:textId="77777777" w:rsidR="00534227" w:rsidRDefault="00534227" w:rsidP="00140DD8">
      <w:pPr>
        <w:spacing w:after="0" w:line="240" w:lineRule="auto"/>
      </w:pPr>
      <w:r>
        <w:separator/>
      </w:r>
    </w:p>
  </w:footnote>
  <w:footnote w:type="continuationSeparator" w:id="0">
    <w:p w14:paraId="17E4D7A5" w14:textId="77777777" w:rsidR="00534227" w:rsidRDefault="00534227" w:rsidP="00140D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3137" w:type="dxa"/>
      <w:tblBorders>
        <w:bottom w:val="single" w:sz="12" w:space="0" w:color="9D2449"/>
      </w:tblBorders>
      <w:tblLook w:val="04A0" w:firstRow="1" w:lastRow="0" w:firstColumn="1" w:lastColumn="0" w:noHBand="0" w:noVBand="1"/>
    </w:tblPr>
    <w:tblGrid>
      <w:gridCol w:w="13137"/>
    </w:tblGrid>
    <w:tr w:rsidR="005E508C" w:rsidRPr="004E66AE" w14:paraId="547094C1" w14:textId="77777777" w:rsidTr="008F3CB6">
      <w:tc>
        <w:tcPr>
          <w:tcW w:w="13137" w:type="dxa"/>
          <w:tcBorders>
            <w:bottom w:val="nil"/>
          </w:tcBorders>
          <w:shd w:val="clear" w:color="auto" w:fill="auto"/>
          <w:vAlign w:val="bottom"/>
        </w:tcPr>
        <w:p w14:paraId="17C0A46C" w14:textId="2A996199" w:rsidR="005E508C" w:rsidRPr="00135E0C" w:rsidRDefault="005E508C" w:rsidP="004826AE">
          <w:pPr>
            <w:pStyle w:val="Encabezado"/>
            <w:spacing w:after="60" w:line="240" w:lineRule="auto"/>
            <w:jc w:val="center"/>
            <w:rPr>
              <w:rFonts w:ascii="Montserrat SemiBold" w:hAnsi="Montserrat SemiBold"/>
              <w:color w:val="9D2449"/>
              <w:sz w:val="26"/>
              <w:szCs w:val="26"/>
            </w:rPr>
          </w:pPr>
          <w:r w:rsidRPr="00135E0C">
            <w:rPr>
              <w:rFonts w:ascii="Montserrat SemiBold" w:hAnsi="Montserrat SemiBold"/>
              <w:color w:val="9D2449"/>
              <w:sz w:val="26"/>
              <w:szCs w:val="26"/>
            </w:rPr>
            <w:t>Cuenta Pública 201</w:t>
          </w:r>
          <w:r>
            <w:rPr>
              <w:rFonts w:ascii="Montserrat SemiBold" w:hAnsi="Montserrat SemiBold"/>
              <w:color w:val="9D2449"/>
              <w:sz w:val="26"/>
              <w:szCs w:val="26"/>
            </w:rPr>
            <w:t>9</w:t>
          </w:r>
        </w:p>
      </w:tc>
    </w:tr>
  </w:tbl>
  <w:p w14:paraId="7E07A1ED" w14:textId="77777777" w:rsidR="005E508C" w:rsidRPr="00180068" w:rsidRDefault="005E508C" w:rsidP="004826AE">
    <w:pPr>
      <w:pStyle w:val="Encabezado"/>
      <w:spacing w:after="0" w:line="240" w:lineRule="auto"/>
      <w:rPr>
        <w:sz w:val="22"/>
      </w:rPr>
    </w:pPr>
    <w:r>
      <w:rPr>
        <w:noProof/>
        <w:lang w:val="es-MX" w:eastAsia="es-MX"/>
      </w:rPr>
      <mc:AlternateContent>
        <mc:Choice Requires="wps">
          <w:drawing>
            <wp:anchor distT="4294967294" distB="4294967294" distL="114300" distR="114300" simplePos="0" relativeHeight="251661824" behindDoc="0" locked="0" layoutInCell="1" allowOverlap="1" wp14:anchorId="66E5850F" wp14:editId="0E2E7742">
              <wp:simplePos x="0" y="0"/>
              <wp:positionH relativeFrom="column">
                <wp:posOffset>-71755</wp:posOffset>
              </wp:positionH>
              <wp:positionV relativeFrom="paragraph">
                <wp:posOffset>1269</wp:posOffset>
              </wp:positionV>
              <wp:extent cx="8336915" cy="0"/>
              <wp:effectExtent l="0" t="19050" r="26035" b="19050"/>
              <wp:wrapNone/>
              <wp:docPr id="1" name="Conector recto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336915" cy="0"/>
                      </a:xfrm>
                      <a:prstGeom prst="line">
                        <a:avLst/>
                      </a:prstGeom>
                      <a:noFill/>
                      <a:ln w="57150" cap="flat" cmpd="thickThin" algn="ctr">
                        <a:solidFill>
                          <a:srgbClr val="D4C19C"/>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52781F24" id="Conector recto 12" o:spid="_x0000_s1026" style="position:absolute;z-index:25166182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65pt,.1pt" to="650.8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" strokecolor="#d4c19c" strokeweight="4.5pt">
              <v:stroke linestyle="thickThin" joinstyle="miter"/>
              <o:lock v:ext="edit" shapetype="f"/>
            </v:lin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3137" w:type="dxa"/>
      <w:tblBorders>
        <w:bottom w:val="single" w:sz="12" w:space="0" w:color="9D2449"/>
      </w:tblBorders>
      <w:tblLook w:val="04A0" w:firstRow="1" w:lastRow="0" w:firstColumn="1" w:lastColumn="0" w:noHBand="0" w:noVBand="1"/>
    </w:tblPr>
    <w:tblGrid>
      <w:gridCol w:w="13137"/>
    </w:tblGrid>
    <w:tr w:rsidR="005E508C" w:rsidRPr="004E66AE" w14:paraId="12CF7A4C" w14:textId="77777777" w:rsidTr="00BF3140">
      <w:tc>
        <w:tcPr>
          <w:tcW w:w="13137" w:type="dxa"/>
          <w:tcBorders>
            <w:bottom w:val="nil"/>
          </w:tcBorders>
          <w:shd w:val="clear" w:color="auto" w:fill="auto"/>
          <w:vAlign w:val="bottom"/>
        </w:tcPr>
        <w:p w14:paraId="369F2808" w14:textId="77777777" w:rsidR="005E508C" w:rsidRPr="00476C78" w:rsidRDefault="005E508C" w:rsidP="00441690">
          <w:pPr>
            <w:pStyle w:val="Encabezado"/>
            <w:spacing w:after="60" w:line="240" w:lineRule="auto"/>
            <w:jc w:val="center"/>
            <w:rPr>
              <w:rFonts w:ascii="Montserrat SemiBold" w:hAnsi="Montserrat SemiBold"/>
              <w:color w:val="9D2449"/>
              <w:sz w:val="26"/>
              <w:szCs w:val="26"/>
            </w:rPr>
          </w:pPr>
          <w:r w:rsidRPr="00476C78">
            <w:rPr>
              <w:rFonts w:ascii="Montserrat SemiBold" w:hAnsi="Montserrat SemiBold"/>
              <w:color w:val="9D2449"/>
              <w:sz w:val="26"/>
              <w:szCs w:val="26"/>
            </w:rPr>
            <w:t xml:space="preserve">Cuenta Pública </w:t>
          </w:r>
          <w:r>
            <w:rPr>
              <w:rFonts w:ascii="Montserrat SemiBold" w:hAnsi="Montserrat SemiBold"/>
              <w:color w:val="9D2449"/>
              <w:sz w:val="26"/>
              <w:szCs w:val="26"/>
            </w:rPr>
            <w:t>2019</w:t>
          </w:r>
        </w:p>
      </w:tc>
    </w:tr>
  </w:tbl>
  <w:p w14:paraId="3C9382B6" w14:textId="77777777" w:rsidR="005E508C" w:rsidRPr="00180068" w:rsidRDefault="005E508C" w:rsidP="00441690">
    <w:pPr>
      <w:pStyle w:val="Encabezado"/>
      <w:spacing w:after="0" w:line="240" w:lineRule="auto"/>
      <w:rPr>
        <w:sz w:val="22"/>
      </w:rPr>
    </w:pPr>
    <w:r>
      <w:rPr>
        <w:noProof/>
        <w:lang w:val="es-MX" w:eastAsia="es-MX"/>
      </w:rPr>
      <mc:AlternateContent>
        <mc:Choice Requires="wps">
          <w:drawing>
            <wp:anchor distT="4294967295" distB="4294967295" distL="114300" distR="114300" simplePos="0" relativeHeight="251659776" behindDoc="0" locked="0" layoutInCell="1" allowOverlap="1" wp14:anchorId="27A1CB30" wp14:editId="04FCAA5C">
              <wp:simplePos x="0" y="0"/>
              <wp:positionH relativeFrom="column">
                <wp:posOffset>-71755</wp:posOffset>
              </wp:positionH>
              <wp:positionV relativeFrom="paragraph">
                <wp:posOffset>1269</wp:posOffset>
              </wp:positionV>
              <wp:extent cx="8336915" cy="0"/>
              <wp:effectExtent l="0" t="19050" r="45085" b="38100"/>
              <wp:wrapNone/>
              <wp:docPr id="3" name="Conector recto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336915" cy="0"/>
                      </a:xfrm>
                      <a:prstGeom prst="line">
                        <a:avLst/>
                      </a:prstGeom>
                      <a:noFill/>
                      <a:ln w="57150" cap="flat" cmpd="thickThin" algn="ctr">
                        <a:solidFill>
                          <a:srgbClr val="D4C19C"/>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71A3C655" id="Conector recto 3" o:spid="_x0000_s1026" style="position:absolute;z-index:251659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65pt,.1pt" to="650.8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" strokecolor="#d4c19c" strokeweight="4.5pt">
              <v:stroke linestyle="thickThin" joinstyle="miter"/>
              <o:lock v:ext="edit" shapetype="f"/>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8404D"/>
    <w:multiLevelType w:val="hybridMultilevel"/>
    <w:tmpl w:val="39061722"/>
    <w:lvl w:ilvl="0" w:tplc="080A000F">
      <w:start w:val="1"/>
      <w:numFmt w:val="decimal"/>
      <w:lvlText w:val="%1."/>
      <w:lvlJc w:val="left"/>
      <w:pPr>
        <w:ind w:left="928" w:hanging="360"/>
      </w:pPr>
    </w:lvl>
    <w:lvl w:ilvl="1" w:tplc="080A0019" w:tentative="1">
      <w:start w:val="1"/>
      <w:numFmt w:val="lowerLetter"/>
      <w:lvlText w:val="%2."/>
      <w:lvlJc w:val="left"/>
      <w:pPr>
        <w:ind w:left="1648" w:hanging="360"/>
      </w:pPr>
    </w:lvl>
    <w:lvl w:ilvl="2" w:tplc="080A001B" w:tentative="1">
      <w:start w:val="1"/>
      <w:numFmt w:val="lowerRoman"/>
      <w:lvlText w:val="%3."/>
      <w:lvlJc w:val="right"/>
      <w:pPr>
        <w:ind w:left="2368" w:hanging="180"/>
      </w:pPr>
    </w:lvl>
    <w:lvl w:ilvl="3" w:tplc="080A000F" w:tentative="1">
      <w:start w:val="1"/>
      <w:numFmt w:val="decimal"/>
      <w:lvlText w:val="%4."/>
      <w:lvlJc w:val="left"/>
      <w:pPr>
        <w:ind w:left="3088" w:hanging="360"/>
      </w:pPr>
    </w:lvl>
    <w:lvl w:ilvl="4" w:tplc="080A0019" w:tentative="1">
      <w:start w:val="1"/>
      <w:numFmt w:val="lowerLetter"/>
      <w:lvlText w:val="%5."/>
      <w:lvlJc w:val="left"/>
      <w:pPr>
        <w:ind w:left="3808" w:hanging="360"/>
      </w:pPr>
    </w:lvl>
    <w:lvl w:ilvl="5" w:tplc="080A001B" w:tentative="1">
      <w:start w:val="1"/>
      <w:numFmt w:val="lowerRoman"/>
      <w:lvlText w:val="%6."/>
      <w:lvlJc w:val="right"/>
      <w:pPr>
        <w:ind w:left="4528" w:hanging="180"/>
      </w:pPr>
    </w:lvl>
    <w:lvl w:ilvl="6" w:tplc="080A000F" w:tentative="1">
      <w:start w:val="1"/>
      <w:numFmt w:val="decimal"/>
      <w:lvlText w:val="%7."/>
      <w:lvlJc w:val="left"/>
      <w:pPr>
        <w:ind w:left="5248" w:hanging="360"/>
      </w:pPr>
    </w:lvl>
    <w:lvl w:ilvl="7" w:tplc="080A0019" w:tentative="1">
      <w:start w:val="1"/>
      <w:numFmt w:val="lowerLetter"/>
      <w:lvlText w:val="%8."/>
      <w:lvlJc w:val="left"/>
      <w:pPr>
        <w:ind w:left="5968" w:hanging="360"/>
      </w:pPr>
    </w:lvl>
    <w:lvl w:ilvl="8" w:tplc="080A001B" w:tentative="1">
      <w:start w:val="1"/>
      <w:numFmt w:val="lowerRoman"/>
      <w:lvlText w:val="%9."/>
      <w:lvlJc w:val="right"/>
      <w:pPr>
        <w:ind w:left="6688" w:hanging="180"/>
      </w:pPr>
    </w:lvl>
  </w:abstractNum>
  <w:abstractNum w:abstractNumId="1" w15:restartNumberingAfterBreak="0">
    <w:nsid w:val="04153A86"/>
    <w:multiLevelType w:val="hybridMultilevel"/>
    <w:tmpl w:val="C684737C"/>
    <w:lvl w:ilvl="0" w:tplc="080A0009">
      <w:start w:val="1"/>
      <w:numFmt w:val="bullet"/>
      <w:lvlText w:val=""/>
      <w:lvlJc w:val="left"/>
      <w:pPr>
        <w:ind w:left="928"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50363D4"/>
    <w:multiLevelType w:val="hybridMultilevel"/>
    <w:tmpl w:val="1AB28572"/>
    <w:lvl w:ilvl="0" w:tplc="F14C734E">
      <w:start w:val="1"/>
      <w:numFmt w:val="bullet"/>
      <w:pStyle w:val="BULET"/>
      <w:lvlText w:val=""/>
      <w:lvlJc w:val="left"/>
      <w:pPr>
        <w:tabs>
          <w:tab w:val="num" w:pos="717"/>
        </w:tabs>
        <w:ind w:left="697" w:hanging="340"/>
      </w:pPr>
      <w:rPr>
        <w:rFonts w:ascii="Symbol" w:hAnsi="Symbol" w:hint="default"/>
      </w:rPr>
    </w:lvl>
    <w:lvl w:ilvl="1" w:tplc="0C0A0001">
      <w:start w:val="1"/>
      <w:numFmt w:val="bullet"/>
      <w:lvlText w:val=""/>
      <w:lvlJc w:val="left"/>
      <w:pPr>
        <w:tabs>
          <w:tab w:val="num" w:pos="946"/>
        </w:tabs>
        <w:ind w:left="946" w:hanging="360"/>
      </w:pPr>
      <w:rPr>
        <w:rFonts w:ascii="Symbol" w:hAnsi="Symbol" w:hint="default"/>
      </w:rPr>
    </w:lvl>
    <w:lvl w:ilvl="2" w:tplc="0C0A0005" w:tentative="1">
      <w:start w:val="1"/>
      <w:numFmt w:val="bullet"/>
      <w:lvlText w:val=""/>
      <w:lvlJc w:val="left"/>
      <w:pPr>
        <w:tabs>
          <w:tab w:val="num" w:pos="1666"/>
        </w:tabs>
        <w:ind w:left="1666" w:hanging="360"/>
      </w:pPr>
      <w:rPr>
        <w:rFonts w:ascii="Wingdings" w:hAnsi="Wingdings" w:hint="default"/>
      </w:rPr>
    </w:lvl>
    <w:lvl w:ilvl="3" w:tplc="0C0A0001" w:tentative="1">
      <w:start w:val="1"/>
      <w:numFmt w:val="bullet"/>
      <w:lvlText w:val=""/>
      <w:lvlJc w:val="left"/>
      <w:pPr>
        <w:tabs>
          <w:tab w:val="num" w:pos="2386"/>
        </w:tabs>
        <w:ind w:left="2386" w:hanging="360"/>
      </w:pPr>
      <w:rPr>
        <w:rFonts w:ascii="Symbol" w:hAnsi="Symbol" w:hint="default"/>
      </w:rPr>
    </w:lvl>
    <w:lvl w:ilvl="4" w:tplc="0C0A0003" w:tentative="1">
      <w:start w:val="1"/>
      <w:numFmt w:val="bullet"/>
      <w:lvlText w:val="o"/>
      <w:lvlJc w:val="left"/>
      <w:pPr>
        <w:tabs>
          <w:tab w:val="num" w:pos="3106"/>
        </w:tabs>
        <w:ind w:left="3106" w:hanging="360"/>
      </w:pPr>
      <w:rPr>
        <w:rFonts w:ascii="Courier New" w:hAnsi="Courier New" w:hint="default"/>
      </w:rPr>
    </w:lvl>
    <w:lvl w:ilvl="5" w:tplc="0C0A0005" w:tentative="1">
      <w:start w:val="1"/>
      <w:numFmt w:val="bullet"/>
      <w:lvlText w:val=""/>
      <w:lvlJc w:val="left"/>
      <w:pPr>
        <w:tabs>
          <w:tab w:val="num" w:pos="3826"/>
        </w:tabs>
        <w:ind w:left="3826" w:hanging="360"/>
      </w:pPr>
      <w:rPr>
        <w:rFonts w:ascii="Wingdings" w:hAnsi="Wingdings" w:hint="default"/>
      </w:rPr>
    </w:lvl>
    <w:lvl w:ilvl="6" w:tplc="0C0A0001" w:tentative="1">
      <w:start w:val="1"/>
      <w:numFmt w:val="bullet"/>
      <w:lvlText w:val=""/>
      <w:lvlJc w:val="left"/>
      <w:pPr>
        <w:tabs>
          <w:tab w:val="num" w:pos="4546"/>
        </w:tabs>
        <w:ind w:left="4546" w:hanging="360"/>
      </w:pPr>
      <w:rPr>
        <w:rFonts w:ascii="Symbol" w:hAnsi="Symbol" w:hint="default"/>
      </w:rPr>
    </w:lvl>
    <w:lvl w:ilvl="7" w:tplc="0C0A0003" w:tentative="1">
      <w:start w:val="1"/>
      <w:numFmt w:val="bullet"/>
      <w:lvlText w:val="o"/>
      <w:lvlJc w:val="left"/>
      <w:pPr>
        <w:tabs>
          <w:tab w:val="num" w:pos="5266"/>
        </w:tabs>
        <w:ind w:left="5266" w:hanging="360"/>
      </w:pPr>
      <w:rPr>
        <w:rFonts w:ascii="Courier New" w:hAnsi="Courier New" w:hint="default"/>
      </w:rPr>
    </w:lvl>
    <w:lvl w:ilvl="8" w:tplc="0C0A0005" w:tentative="1">
      <w:start w:val="1"/>
      <w:numFmt w:val="bullet"/>
      <w:lvlText w:val=""/>
      <w:lvlJc w:val="left"/>
      <w:pPr>
        <w:tabs>
          <w:tab w:val="num" w:pos="5986"/>
        </w:tabs>
        <w:ind w:left="5986" w:hanging="360"/>
      </w:pPr>
      <w:rPr>
        <w:rFonts w:ascii="Wingdings" w:hAnsi="Wingdings" w:hint="default"/>
      </w:rPr>
    </w:lvl>
  </w:abstractNum>
  <w:abstractNum w:abstractNumId="3" w15:restartNumberingAfterBreak="0">
    <w:nsid w:val="055120CC"/>
    <w:multiLevelType w:val="hybridMultilevel"/>
    <w:tmpl w:val="43E4CFA8"/>
    <w:lvl w:ilvl="0" w:tplc="ECA89778">
      <w:start w:val="1"/>
      <w:numFmt w:val="bullet"/>
      <w:pStyle w:val="Vieta1"/>
      <w:lvlText w:val="•"/>
      <w:lvlJc w:val="left"/>
      <w:pPr>
        <w:tabs>
          <w:tab w:val="num" w:pos="240"/>
        </w:tabs>
        <w:ind w:left="480" w:hanging="240"/>
      </w:pPr>
      <w:rPr>
        <w:rFonts w:ascii="EurekaSans-Regular" w:hAnsi="EurekaSans-Regular" w:hint="default"/>
        <w:sz w:val="32"/>
      </w:rPr>
    </w:lvl>
    <w:lvl w:ilvl="1" w:tplc="040A0003">
      <w:start w:val="1"/>
      <w:numFmt w:val="bullet"/>
      <w:lvlText w:val="o"/>
      <w:lvlJc w:val="left"/>
      <w:pPr>
        <w:tabs>
          <w:tab w:val="num" w:pos="1440"/>
        </w:tabs>
        <w:ind w:left="1440" w:hanging="360"/>
      </w:pPr>
      <w:rPr>
        <w:rFonts w:ascii="Courier" w:hAnsi="Courier" w:hint="default"/>
      </w:rPr>
    </w:lvl>
    <w:lvl w:ilvl="2" w:tplc="040A0005">
      <w:start w:val="1"/>
      <w:numFmt w:val="bullet"/>
      <w:lvlText w:val=""/>
      <w:lvlJc w:val="left"/>
      <w:pPr>
        <w:tabs>
          <w:tab w:val="num" w:pos="2160"/>
        </w:tabs>
        <w:ind w:left="2160" w:hanging="360"/>
      </w:pPr>
      <w:rPr>
        <w:rFonts w:ascii="Symbol" w:eastAsia="Times New Roman" w:hAnsi="Symbol" w:hint="default"/>
      </w:rPr>
    </w:lvl>
    <w:lvl w:ilvl="3" w:tplc="040A0001">
      <w:start w:val="1"/>
      <w:numFmt w:val="bullet"/>
      <w:lvlText w:val=""/>
      <w:lvlJc w:val="left"/>
      <w:pPr>
        <w:tabs>
          <w:tab w:val="num" w:pos="2880"/>
        </w:tabs>
        <w:ind w:left="2880" w:hanging="360"/>
      </w:pPr>
      <w:rPr>
        <w:rFonts w:ascii="Symbol" w:eastAsia="Times New Roman" w:hAnsi="Symbol" w:hint="default"/>
      </w:rPr>
    </w:lvl>
    <w:lvl w:ilvl="4" w:tplc="040A0003">
      <w:start w:val="1"/>
      <w:numFmt w:val="bullet"/>
      <w:lvlText w:val="o"/>
      <w:lvlJc w:val="left"/>
      <w:pPr>
        <w:tabs>
          <w:tab w:val="num" w:pos="3600"/>
        </w:tabs>
        <w:ind w:left="3600" w:hanging="360"/>
      </w:pPr>
      <w:rPr>
        <w:rFonts w:ascii="Courier" w:hAnsi="Courier" w:hint="default"/>
      </w:rPr>
    </w:lvl>
    <w:lvl w:ilvl="5" w:tplc="040A0005">
      <w:start w:val="1"/>
      <w:numFmt w:val="bullet"/>
      <w:lvlText w:val=""/>
      <w:lvlJc w:val="left"/>
      <w:pPr>
        <w:tabs>
          <w:tab w:val="num" w:pos="4320"/>
        </w:tabs>
        <w:ind w:left="4320" w:hanging="360"/>
      </w:pPr>
      <w:rPr>
        <w:rFonts w:ascii="Symbol" w:eastAsia="Times New Roman" w:hAnsi="Symbol" w:hint="default"/>
      </w:rPr>
    </w:lvl>
    <w:lvl w:ilvl="6" w:tplc="040A0001">
      <w:start w:val="1"/>
      <w:numFmt w:val="bullet"/>
      <w:lvlText w:val=""/>
      <w:lvlJc w:val="left"/>
      <w:pPr>
        <w:tabs>
          <w:tab w:val="num" w:pos="5040"/>
        </w:tabs>
        <w:ind w:left="5040" w:hanging="360"/>
      </w:pPr>
      <w:rPr>
        <w:rFonts w:ascii="Symbol" w:eastAsia="Times New Roman" w:hAnsi="Symbol" w:hint="default"/>
      </w:rPr>
    </w:lvl>
    <w:lvl w:ilvl="7" w:tplc="040A0003">
      <w:start w:val="1"/>
      <w:numFmt w:val="bullet"/>
      <w:lvlText w:val="o"/>
      <w:lvlJc w:val="left"/>
      <w:pPr>
        <w:tabs>
          <w:tab w:val="num" w:pos="5760"/>
        </w:tabs>
        <w:ind w:left="5760" w:hanging="360"/>
      </w:pPr>
      <w:rPr>
        <w:rFonts w:ascii="Courier" w:hAnsi="Courier" w:hint="default"/>
      </w:rPr>
    </w:lvl>
    <w:lvl w:ilvl="8" w:tplc="040A0005">
      <w:start w:val="1"/>
      <w:numFmt w:val="bullet"/>
      <w:lvlText w:val=""/>
      <w:lvlJc w:val="left"/>
      <w:pPr>
        <w:tabs>
          <w:tab w:val="num" w:pos="6480"/>
        </w:tabs>
        <w:ind w:left="6480" w:hanging="360"/>
      </w:pPr>
      <w:rPr>
        <w:rFonts w:ascii="Symbol" w:eastAsia="Times New Roman" w:hAnsi="Symbol" w:hint="default"/>
      </w:rPr>
    </w:lvl>
  </w:abstractNum>
  <w:abstractNum w:abstractNumId="4" w15:restartNumberingAfterBreak="0">
    <w:nsid w:val="068E2212"/>
    <w:multiLevelType w:val="hybridMultilevel"/>
    <w:tmpl w:val="7B76FD6A"/>
    <w:lvl w:ilvl="0" w:tplc="080A0009">
      <w:start w:val="1"/>
      <w:numFmt w:val="bullet"/>
      <w:lvlText w:val=""/>
      <w:lvlJc w:val="left"/>
      <w:pPr>
        <w:ind w:left="2138" w:hanging="360"/>
      </w:pPr>
      <w:rPr>
        <w:rFonts w:ascii="Wingdings" w:hAnsi="Wingdings" w:hint="default"/>
      </w:rPr>
    </w:lvl>
    <w:lvl w:ilvl="1" w:tplc="080A0003" w:tentative="1">
      <w:start w:val="1"/>
      <w:numFmt w:val="bullet"/>
      <w:lvlText w:val="o"/>
      <w:lvlJc w:val="left"/>
      <w:pPr>
        <w:ind w:left="2858" w:hanging="360"/>
      </w:pPr>
      <w:rPr>
        <w:rFonts w:ascii="Courier New" w:hAnsi="Courier New" w:cs="Courier New" w:hint="default"/>
      </w:rPr>
    </w:lvl>
    <w:lvl w:ilvl="2" w:tplc="080A0005" w:tentative="1">
      <w:start w:val="1"/>
      <w:numFmt w:val="bullet"/>
      <w:lvlText w:val=""/>
      <w:lvlJc w:val="left"/>
      <w:pPr>
        <w:ind w:left="3578" w:hanging="360"/>
      </w:pPr>
      <w:rPr>
        <w:rFonts w:ascii="Wingdings" w:hAnsi="Wingdings" w:hint="default"/>
      </w:rPr>
    </w:lvl>
    <w:lvl w:ilvl="3" w:tplc="080A0001" w:tentative="1">
      <w:start w:val="1"/>
      <w:numFmt w:val="bullet"/>
      <w:lvlText w:val=""/>
      <w:lvlJc w:val="left"/>
      <w:pPr>
        <w:ind w:left="4298" w:hanging="360"/>
      </w:pPr>
      <w:rPr>
        <w:rFonts w:ascii="Symbol" w:hAnsi="Symbol" w:hint="default"/>
      </w:rPr>
    </w:lvl>
    <w:lvl w:ilvl="4" w:tplc="080A0003" w:tentative="1">
      <w:start w:val="1"/>
      <w:numFmt w:val="bullet"/>
      <w:lvlText w:val="o"/>
      <w:lvlJc w:val="left"/>
      <w:pPr>
        <w:ind w:left="5018" w:hanging="360"/>
      </w:pPr>
      <w:rPr>
        <w:rFonts w:ascii="Courier New" w:hAnsi="Courier New" w:cs="Courier New" w:hint="default"/>
      </w:rPr>
    </w:lvl>
    <w:lvl w:ilvl="5" w:tplc="080A0005" w:tentative="1">
      <w:start w:val="1"/>
      <w:numFmt w:val="bullet"/>
      <w:lvlText w:val=""/>
      <w:lvlJc w:val="left"/>
      <w:pPr>
        <w:ind w:left="5738" w:hanging="360"/>
      </w:pPr>
      <w:rPr>
        <w:rFonts w:ascii="Wingdings" w:hAnsi="Wingdings" w:hint="default"/>
      </w:rPr>
    </w:lvl>
    <w:lvl w:ilvl="6" w:tplc="080A0001" w:tentative="1">
      <w:start w:val="1"/>
      <w:numFmt w:val="bullet"/>
      <w:lvlText w:val=""/>
      <w:lvlJc w:val="left"/>
      <w:pPr>
        <w:ind w:left="6458" w:hanging="360"/>
      </w:pPr>
      <w:rPr>
        <w:rFonts w:ascii="Symbol" w:hAnsi="Symbol" w:hint="default"/>
      </w:rPr>
    </w:lvl>
    <w:lvl w:ilvl="7" w:tplc="080A0003" w:tentative="1">
      <w:start w:val="1"/>
      <w:numFmt w:val="bullet"/>
      <w:lvlText w:val="o"/>
      <w:lvlJc w:val="left"/>
      <w:pPr>
        <w:ind w:left="7178" w:hanging="360"/>
      </w:pPr>
      <w:rPr>
        <w:rFonts w:ascii="Courier New" w:hAnsi="Courier New" w:cs="Courier New" w:hint="default"/>
      </w:rPr>
    </w:lvl>
    <w:lvl w:ilvl="8" w:tplc="080A0005" w:tentative="1">
      <w:start w:val="1"/>
      <w:numFmt w:val="bullet"/>
      <w:lvlText w:val=""/>
      <w:lvlJc w:val="left"/>
      <w:pPr>
        <w:ind w:left="7898" w:hanging="360"/>
      </w:pPr>
      <w:rPr>
        <w:rFonts w:ascii="Wingdings" w:hAnsi="Wingdings" w:hint="default"/>
      </w:rPr>
    </w:lvl>
  </w:abstractNum>
  <w:abstractNum w:abstractNumId="5" w15:restartNumberingAfterBreak="0">
    <w:nsid w:val="09761865"/>
    <w:multiLevelType w:val="singleLevel"/>
    <w:tmpl w:val="3EBAF0BE"/>
    <w:lvl w:ilvl="0">
      <w:start w:val="1"/>
      <w:numFmt w:val="bullet"/>
      <w:pStyle w:val="Bala"/>
      <w:lvlText w:val=""/>
      <w:lvlJc w:val="left"/>
      <w:pPr>
        <w:tabs>
          <w:tab w:val="num" w:pos="397"/>
        </w:tabs>
        <w:ind w:left="397" w:hanging="397"/>
      </w:pPr>
      <w:rPr>
        <w:rFonts w:ascii="Symbol" w:hAnsi="Symbol" w:hint="default"/>
      </w:rPr>
    </w:lvl>
  </w:abstractNum>
  <w:abstractNum w:abstractNumId="6" w15:restartNumberingAfterBreak="0">
    <w:nsid w:val="0D0766F2"/>
    <w:multiLevelType w:val="hybridMultilevel"/>
    <w:tmpl w:val="56C65A06"/>
    <w:lvl w:ilvl="0" w:tplc="080A000B">
      <w:start w:val="1"/>
      <w:numFmt w:val="bullet"/>
      <w:lvlText w:val=""/>
      <w:lvlJc w:val="left"/>
      <w:pPr>
        <w:ind w:left="928" w:hanging="360"/>
      </w:pPr>
      <w:rPr>
        <w:rFonts w:ascii="Wingdings" w:hAnsi="Wingdings" w:hint="default"/>
      </w:rPr>
    </w:lvl>
    <w:lvl w:ilvl="1" w:tplc="080A0003" w:tentative="1">
      <w:start w:val="1"/>
      <w:numFmt w:val="bullet"/>
      <w:lvlText w:val="o"/>
      <w:lvlJc w:val="left"/>
      <w:pPr>
        <w:ind w:left="1648" w:hanging="360"/>
      </w:pPr>
      <w:rPr>
        <w:rFonts w:ascii="Courier New" w:hAnsi="Courier New" w:cs="Courier New" w:hint="default"/>
      </w:rPr>
    </w:lvl>
    <w:lvl w:ilvl="2" w:tplc="080A0005" w:tentative="1">
      <w:start w:val="1"/>
      <w:numFmt w:val="bullet"/>
      <w:lvlText w:val=""/>
      <w:lvlJc w:val="left"/>
      <w:pPr>
        <w:ind w:left="2368" w:hanging="360"/>
      </w:pPr>
      <w:rPr>
        <w:rFonts w:ascii="Wingdings" w:hAnsi="Wingdings" w:hint="default"/>
      </w:rPr>
    </w:lvl>
    <w:lvl w:ilvl="3" w:tplc="080A0001" w:tentative="1">
      <w:start w:val="1"/>
      <w:numFmt w:val="bullet"/>
      <w:lvlText w:val=""/>
      <w:lvlJc w:val="left"/>
      <w:pPr>
        <w:ind w:left="3088" w:hanging="360"/>
      </w:pPr>
      <w:rPr>
        <w:rFonts w:ascii="Symbol" w:hAnsi="Symbol" w:hint="default"/>
      </w:rPr>
    </w:lvl>
    <w:lvl w:ilvl="4" w:tplc="080A0003" w:tentative="1">
      <w:start w:val="1"/>
      <w:numFmt w:val="bullet"/>
      <w:lvlText w:val="o"/>
      <w:lvlJc w:val="left"/>
      <w:pPr>
        <w:ind w:left="3808" w:hanging="360"/>
      </w:pPr>
      <w:rPr>
        <w:rFonts w:ascii="Courier New" w:hAnsi="Courier New" w:cs="Courier New" w:hint="default"/>
      </w:rPr>
    </w:lvl>
    <w:lvl w:ilvl="5" w:tplc="080A0005" w:tentative="1">
      <w:start w:val="1"/>
      <w:numFmt w:val="bullet"/>
      <w:lvlText w:val=""/>
      <w:lvlJc w:val="left"/>
      <w:pPr>
        <w:ind w:left="4528" w:hanging="360"/>
      </w:pPr>
      <w:rPr>
        <w:rFonts w:ascii="Wingdings" w:hAnsi="Wingdings" w:hint="default"/>
      </w:rPr>
    </w:lvl>
    <w:lvl w:ilvl="6" w:tplc="080A0001" w:tentative="1">
      <w:start w:val="1"/>
      <w:numFmt w:val="bullet"/>
      <w:lvlText w:val=""/>
      <w:lvlJc w:val="left"/>
      <w:pPr>
        <w:ind w:left="5248" w:hanging="360"/>
      </w:pPr>
      <w:rPr>
        <w:rFonts w:ascii="Symbol" w:hAnsi="Symbol" w:hint="default"/>
      </w:rPr>
    </w:lvl>
    <w:lvl w:ilvl="7" w:tplc="080A0003" w:tentative="1">
      <w:start w:val="1"/>
      <w:numFmt w:val="bullet"/>
      <w:lvlText w:val="o"/>
      <w:lvlJc w:val="left"/>
      <w:pPr>
        <w:ind w:left="5968" w:hanging="360"/>
      </w:pPr>
      <w:rPr>
        <w:rFonts w:ascii="Courier New" w:hAnsi="Courier New" w:cs="Courier New" w:hint="default"/>
      </w:rPr>
    </w:lvl>
    <w:lvl w:ilvl="8" w:tplc="080A0005" w:tentative="1">
      <w:start w:val="1"/>
      <w:numFmt w:val="bullet"/>
      <w:lvlText w:val=""/>
      <w:lvlJc w:val="left"/>
      <w:pPr>
        <w:ind w:left="6688" w:hanging="360"/>
      </w:pPr>
      <w:rPr>
        <w:rFonts w:ascii="Wingdings" w:hAnsi="Wingdings" w:hint="default"/>
      </w:rPr>
    </w:lvl>
  </w:abstractNum>
  <w:abstractNum w:abstractNumId="7" w15:restartNumberingAfterBreak="0">
    <w:nsid w:val="0D2D21CE"/>
    <w:multiLevelType w:val="hybridMultilevel"/>
    <w:tmpl w:val="49709EA8"/>
    <w:lvl w:ilvl="0" w:tplc="080A0001">
      <w:start w:val="1"/>
      <w:numFmt w:val="bullet"/>
      <w:lvlText w:val=""/>
      <w:lvlJc w:val="left"/>
      <w:pPr>
        <w:ind w:left="928"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0D3D1FCE"/>
    <w:multiLevelType w:val="hybridMultilevel"/>
    <w:tmpl w:val="B25E5826"/>
    <w:lvl w:ilvl="0" w:tplc="080A0001">
      <w:start w:val="1"/>
      <w:numFmt w:val="bullet"/>
      <w:lvlText w:val=""/>
      <w:lvlJc w:val="left"/>
      <w:pPr>
        <w:ind w:left="1429" w:hanging="360"/>
      </w:pPr>
      <w:rPr>
        <w:rFonts w:ascii="Symbol" w:hAnsi="Symbol" w:hint="default"/>
      </w:rPr>
    </w:lvl>
    <w:lvl w:ilvl="1" w:tplc="080A0003">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9" w15:restartNumberingAfterBreak="0">
    <w:nsid w:val="0D582656"/>
    <w:multiLevelType w:val="hybridMultilevel"/>
    <w:tmpl w:val="EAD45B4A"/>
    <w:lvl w:ilvl="0" w:tplc="B31CCF98">
      <w:start w:val="1"/>
      <w:numFmt w:val="bullet"/>
      <w:pStyle w:val="PRIMERNIVELBULLET"/>
      <w:lvlText w:val=""/>
      <w:lvlJc w:val="left"/>
      <w:pPr>
        <w:ind w:left="720" w:hanging="360"/>
      </w:pPr>
      <w:rPr>
        <w:rFonts w:ascii="Symbol" w:hAnsi="Symbol" w:hint="default"/>
        <w:color w:val="000000"/>
        <w:sz w:val="18"/>
        <w:szCs w:val="2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2016F30"/>
    <w:multiLevelType w:val="hybridMultilevel"/>
    <w:tmpl w:val="A420E59C"/>
    <w:lvl w:ilvl="0" w:tplc="080A0009">
      <w:start w:val="1"/>
      <w:numFmt w:val="bullet"/>
      <w:lvlText w:val=""/>
      <w:lvlJc w:val="left"/>
      <w:pPr>
        <w:ind w:left="1429" w:hanging="360"/>
      </w:pPr>
      <w:rPr>
        <w:rFonts w:ascii="Wingdings" w:hAnsi="Wingdings" w:hint="default"/>
      </w:rPr>
    </w:lvl>
    <w:lvl w:ilvl="1" w:tplc="080A0003">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1" w15:restartNumberingAfterBreak="0">
    <w:nsid w:val="129D4B6E"/>
    <w:multiLevelType w:val="hybridMultilevel"/>
    <w:tmpl w:val="DA046692"/>
    <w:lvl w:ilvl="0" w:tplc="080A000B">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168655D6"/>
    <w:multiLevelType w:val="hybridMultilevel"/>
    <w:tmpl w:val="9670CDBE"/>
    <w:lvl w:ilvl="0" w:tplc="080A0005">
      <w:start w:val="1"/>
      <w:numFmt w:val="bullet"/>
      <w:lvlText w:val=""/>
      <w:lvlJc w:val="left"/>
      <w:pPr>
        <w:ind w:left="1776" w:hanging="360"/>
      </w:pPr>
      <w:rPr>
        <w:rFonts w:ascii="Wingdings" w:hAnsi="Wingdings" w:hint="default"/>
      </w:rPr>
    </w:lvl>
    <w:lvl w:ilvl="1" w:tplc="080A0003">
      <w:start w:val="1"/>
      <w:numFmt w:val="bullet"/>
      <w:lvlText w:val="o"/>
      <w:lvlJc w:val="left"/>
      <w:pPr>
        <w:ind w:left="2496" w:hanging="360"/>
      </w:pPr>
      <w:rPr>
        <w:rFonts w:ascii="Courier New" w:hAnsi="Courier New" w:cs="Courier New" w:hint="default"/>
      </w:rPr>
    </w:lvl>
    <w:lvl w:ilvl="2" w:tplc="080A0005" w:tentative="1">
      <w:start w:val="1"/>
      <w:numFmt w:val="bullet"/>
      <w:lvlText w:val=""/>
      <w:lvlJc w:val="left"/>
      <w:pPr>
        <w:ind w:left="3216" w:hanging="360"/>
      </w:pPr>
      <w:rPr>
        <w:rFonts w:ascii="Wingdings" w:hAnsi="Wingdings" w:hint="default"/>
      </w:rPr>
    </w:lvl>
    <w:lvl w:ilvl="3" w:tplc="080A0001" w:tentative="1">
      <w:start w:val="1"/>
      <w:numFmt w:val="bullet"/>
      <w:lvlText w:val=""/>
      <w:lvlJc w:val="left"/>
      <w:pPr>
        <w:ind w:left="3936" w:hanging="360"/>
      </w:pPr>
      <w:rPr>
        <w:rFonts w:ascii="Symbol" w:hAnsi="Symbol" w:hint="default"/>
      </w:rPr>
    </w:lvl>
    <w:lvl w:ilvl="4" w:tplc="080A0003" w:tentative="1">
      <w:start w:val="1"/>
      <w:numFmt w:val="bullet"/>
      <w:lvlText w:val="o"/>
      <w:lvlJc w:val="left"/>
      <w:pPr>
        <w:ind w:left="4656" w:hanging="360"/>
      </w:pPr>
      <w:rPr>
        <w:rFonts w:ascii="Courier New" w:hAnsi="Courier New" w:cs="Courier New" w:hint="default"/>
      </w:rPr>
    </w:lvl>
    <w:lvl w:ilvl="5" w:tplc="080A0005" w:tentative="1">
      <w:start w:val="1"/>
      <w:numFmt w:val="bullet"/>
      <w:lvlText w:val=""/>
      <w:lvlJc w:val="left"/>
      <w:pPr>
        <w:ind w:left="5376" w:hanging="360"/>
      </w:pPr>
      <w:rPr>
        <w:rFonts w:ascii="Wingdings" w:hAnsi="Wingdings" w:hint="default"/>
      </w:rPr>
    </w:lvl>
    <w:lvl w:ilvl="6" w:tplc="080A0001" w:tentative="1">
      <w:start w:val="1"/>
      <w:numFmt w:val="bullet"/>
      <w:lvlText w:val=""/>
      <w:lvlJc w:val="left"/>
      <w:pPr>
        <w:ind w:left="6096" w:hanging="360"/>
      </w:pPr>
      <w:rPr>
        <w:rFonts w:ascii="Symbol" w:hAnsi="Symbol" w:hint="default"/>
      </w:rPr>
    </w:lvl>
    <w:lvl w:ilvl="7" w:tplc="080A0003" w:tentative="1">
      <w:start w:val="1"/>
      <w:numFmt w:val="bullet"/>
      <w:lvlText w:val="o"/>
      <w:lvlJc w:val="left"/>
      <w:pPr>
        <w:ind w:left="6816" w:hanging="360"/>
      </w:pPr>
      <w:rPr>
        <w:rFonts w:ascii="Courier New" w:hAnsi="Courier New" w:cs="Courier New" w:hint="default"/>
      </w:rPr>
    </w:lvl>
    <w:lvl w:ilvl="8" w:tplc="080A0005" w:tentative="1">
      <w:start w:val="1"/>
      <w:numFmt w:val="bullet"/>
      <w:lvlText w:val=""/>
      <w:lvlJc w:val="left"/>
      <w:pPr>
        <w:ind w:left="7536" w:hanging="360"/>
      </w:pPr>
      <w:rPr>
        <w:rFonts w:ascii="Wingdings" w:hAnsi="Wingdings" w:hint="default"/>
      </w:rPr>
    </w:lvl>
  </w:abstractNum>
  <w:abstractNum w:abstractNumId="13" w15:restartNumberingAfterBreak="0">
    <w:nsid w:val="17C17AE0"/>
    <w:multiLevelType w:val="hybridMultilevel"/>
    <w:tmpl w:val="0A34C902"/>
    <w:lvl w:ilvl="0" w:tplc="080A0013">
      <w:start w:val="1"/>
      <w:numFmt w:val="upperRoman"/>
      <w:lvlText w:val="%1."/>
      <w:lvlJc w:val="right"/>
      <w:pPr>
        <w:ind w:left="1429" w:hanging="360"/>
      </w:pPr>
    </w:lvl>
    <w:lvl w:ilvl="1" w:tplc="03D2CF62">
      <w:start w:val="1"/>
      <w:numFmt w:val="decimal"/>
      <w:lvlText w:val="%2)"/>
      <w:lvlJc w:val="left"/>
      <w:pPr>
        <w:ind w:left="2149" w:hanging="360"/>
      </w:pPr>
      <w:rPr>
        <w:rFonts w:hint="default"/>
      </w:r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4" w15:restartNumberingAfterBreak="0">
    <w:nsid w:val="30403220"/>
    <w:multiLevelType w:val="hybridMultilevel"/>
    <w:tmpl w:val="65142450"/>
    <w:lvl w:ilvl="0" w:tplc="080A0013">
      <w:start w:val="1"/>
      <w:numFmt w:val="upperRoman"/>
      <w:lvlText w:val="%1."/>
      <w:lvlJc w:val="right"/>
      <w:pPr>
        <w:ind w:left="1773" w:hanging="360"/>
      </w:pPr>
    </w:lvl>
    <w:lvl w:ilvl="1" w:tplc="080A0019" w:tentative="1">
      <w:start w:val="1"/>
      <w:numFmt w:val="lowerLetter"/>
      <w:lvlText w:val="%2."/>
      <w:lvlJc w:val="left"/>
      <w:pPr>
        <w:ind w:left="2493" w:hanging="360"/>
      </w:pPr>
    </w:lvl>
    <w:lvl w:ilvl="2" w:tplc="080A001B" w:tentative="1">
      <w:start w:val="1"/>
      <w:numFmt w:val="lowerRoman"/>
      <w:lvlText w:val="%3."/>
      <w:lvlJc w:val="right"/>
      <w:pPr>
        <w:ind w:left="3213" w:hanging="180"/>
      </w:pPr>
    </w:lvl>
    <w:lvl w:ilvl="3" w:tplc="080A000F" w:tentative="1">
      <w:start w:val="1"/>
      <w:numFmt w:val="decimal"/>
      <w:lvlText w:val="%4."/>
      <w:lvlJc w:val="left"/>
      <w:pPr>
        <w:ind w:left="3933" w:hanging="360"/>
      </w:pPr>
    </w:lvl>
    <w:lvl w:ilvl="4" w:tplc="080A0019" w:tentative="1">
      <w:start w:val="1"/>
      <w:numFmt w:val="lowerLetter"/>
      <w:lvlText w:val="%5."/>
      <w:lvlJc w:val="left"/>
      <w:pPr>
        <w:ind w:left="4653" w:hanging="360"/>
      </w:pPr>
    </w:lvl>
    <w:lvl w:ilvl="5" w:tplc="080A001B" w:tentative="1">
      <w:start w:val="1"/>
      <w:numFmt w:val="lowerRoman"/>
      <w:lvlText w:val="%6."/>
      <w:lvlJc w:val="right"/>
      <w:pPr>
        <w:ind w:left="5373" w:hanging="180"/>
      </w:pPr>
    </w:lvl>
    <w:lvl w:ilvl="6" w:tplc="080A000F" w:tentative="1">
      <w:start w:val="1"/>
      <w:numFmt w:val="decimal"/>
      <w:lvlText w:val="%7."/>
      <w:lvlJc w:val="left"/>
      <w:pPr>
        <w:ind w:left="6093" w:hanging="360"/>
      </w:pPr>
    </w:lvl>
    <w:lvl w:ilvl="7" w:tplc="080A0019" w:tentative="1">
      <w:start w:val="1"/>
      <w:numFmt w:val="lowerLetter"/>
      <w:lvlText w:val="%8."/>
      <w:lvlJc w:val="left"/>
      <w:pPr>
        <w:ind w:left="6813" w:hanging="360"/>
      </w:pPr>
    </w:lvl>
    <w:lvl w:ilvl="8" w:tplc="080A001B" w:tentative="1">
      <w:start w:val="1"/>
      <w:numFmt w:val="lowerRoman"/>
      <w:lvlText w:val="%9."/>
      <w:lvlJc w:val="right"/>
      <w:pPr>
        <w:ind w:left="7533" w:hanging="180"/>
      </w:pPr>
    </w:lvl>
  </w:abstractNum>
  <w:abstractNum w:abstractNumId="15" w15:restartNumberingAfterBreak="0">
    <w:nsid w:val="31DF779E"/>
    <w:multiLevelType w:val="hybridMultilevel"/>
    <w:tmpl w:val="5046FAFE"/>
    <w:lvl w:ilvl="0" w:tplc="080A0009">
      <w:start w:val="1"/>
      <w:numFmt w:val="bullet"/>
      <w:lvlText w:val=""/>
      <w:lvlJc w:val="left"/>
      <w:pPr>
        <w:ind w:left="928"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4AD1783"/>
    <w:multiLevelType w:val="hybridMultilevel"/>
    <w:tmpl w:val="6DFE1FC4"/>
    <w:lvl w:ilvl="0" w:tplc="080A000B">
      <w:start w:val="1"/>
      <w:numFmt w:val="bullet"/>
      <w:lvlText w:val=""/>
      <w:lvlJc w:val="left"/>
      <w:pPr>
        <w:ind w:left="1080" w:hanging="360"/>
      </w:pPr>
      <w:rPr>
        <w:rFonts w:ascii="Wingdings" w:hAnsi="Wingdings" w:hint="default"/>
      </w:rPr>
    </w:lvl>
    <w:lvl w:ilvl="1" w:tplc="080A0001">
      <w:start w:val="1"/>
      <w:numFmt w:val="bullet"/>
      <w:lvlText w:val=""/>
      <w:lvlJc w:val="left"/>
      <w:pPr>
        <w:ind w:left="1800" w:hanging="360"/>
      </w:pPr>
      <w:rPr>
        <w:rFonts w:ascii="Symbol" w:hAnsi="Symbol"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7" w15:restartNumberingAfterBreak="0">
    <w:nsid w:val="3DBA4DF7"/>
    <w:multiLevelType w:val="hybridMultilevel"/>
    <w:tmpl w:val="77265008"/>
    <w:lvl w:ilvl="0" w:tplc="080A0009">
      <w:start w:val="1"/>
      <w:numFmt w:val="bullet"/>
      <w:lvlText w:val=""/>
      <w:lvlJc w:val="left"/>
      <w:pPr>
        <w:ind w:left="2138" w:hanging="360"/>
      </w:pPr>
      <w:rPr>
        <w:rFonts w:ascii="Wingdings" w:hAnsi="Wingdings" w:hint="default"/>
      </w:rPr>
    </w:lvl>
    <w:lvl w:ilvl="1" w:tplc="080A0003" w:tentative="1">
      <w:start w:val="1"/>
      <w:numFmt w:val="bullet"/>
      <w:lvlText w:val="o"/>
      <w:lvlJc w:val="left"/>
      <w:pPr>
        <w:ind w:left="2858" w:hanging="360"/>
      </w:pPr>
      <w:rPr>
        <w:rFonts w:ascii="Courier New" w:hAnsi="Courier New" w:cs="Courier New" w:hint="default"/>
      </w:rPr>
    </w:lvl>
    <w:lvl w:ilvl="2" w:tplc="080A0005" w:tentative="1">
      <w:start w:val="1"/>
      <w:numFmt w:val="bullet"/>
      <w:lvlText w:val=""/>
      <w:lvlJc w:val="left"/>
      <w:pPr>
        <w:ind w:left="3578" w:hanging="360"/>
      </w:pPr>
      <w:rPr>
        <w:rFonts w:ascii="Wingdings" w:hAnsi="Wingdings" w:hint="default"/>
      </w:rPr>
    </w:lvl>
    <w:lvl w:ilvl="3" w:tplc="080A0001" w:tentative="1">
      <w:start w:val="1"/>
      <w:numFmt w:val="bullet"/>
      <w:lvlText w:val=""/>
      <w:lvlJc w:val="left"/>
      <w:pPr>
        <w:ind w:left="4298" w:hanging="360"/>
      </w:pPr>
      <w:rPr>
        <w:rFonts w:ascii="Symbol" w:hAnsi="Symbol" w:hint="default"/>
      </w:rPr>
    </w:lvl>
    <w:lvl w:ilvl="4" w:tplc="080A0003" w:tentative="1">
      <w:start w:val="1"/>
      <w:numFmt w:val="bullet"/>
      <w:lvlText w:val="o"/>
      <w:lvlJc w:val="left"/>
      <w:pPr>
        <w:ind w:left="5018" w:hanging="360"/>
      </w:pPr>
      <w:rPr>
        <w:rFonts w:ascii="Courier New" w:hAnsi="Courier New" w:cs="Courier New" w:hint="default"/>
      </w:rPr>
    </w:lvl>
    <w:lvl w:ilvl="5" w:tplc="080A0005" w:tentative="1">
      <w:start w:val="1"/>
      <w:numFmt w:val="bullet"/>
      <w:lvlText w:val=""/>
      <w:lvlJc w:val="left"/>
      <w:pPr>
        <w:ind w:left="5738" w:hanging="360"/>
      </w:pPr>
      <w:rPr>
        <w:rFonts w:ascii="Wingdings" w:hAnsi="Wingdings" w:hint="default"/>
      </w:rPr>
    </w:lvl>
    <w:lvl w:ilvl="6" w:tplc="080A0001" w:tentative="1">
      <w:start w:val="1"/>
      <w:numFmt w:val="bullet"/>
      <w:lvlText w:val=""/>
      <w:lvlJc w:val="left"/>
      <w:pPr>
        <w:ind w:left="6458" w:hanging="360"/>
      </w:pPr>
      <w:rPr>
        <w:rFonts w:ascii="Symbol" w:hAnsi="Symbol" w:hint="default"/>
      </w:rPr>
    </w:lvl>
    <w:lvl w:ilvl="7" w:tplc="080A0003" w:tentative="1">
      <w:start w:val="1"/>
      <w:numFmt w:val="bullet"/>
      <w:lvlText w:val="o"/>
      <w:lvlJc w:val="left"/>
      <w:pPr>
        <w:ind w:left="7178" w:hanging="360"/>
      </w:pPr>
      <w:rPr>
        <w:rFonts w:ascii="Courier New" w:hAnsi="Courier New" w:cs="Courier New" w:hint="default"/>
      </w:rPr>
    </w:lvl>
    <w:lvl w:ilvl="8" w:tplc="080A0005" w:tentative="1">
      <w:start w:val="1"/>
      <w:numFmt w:val="bullet"/>
      <w:lvlText w:val=""/>
      <w:lvlJc w:val="left"/>
      <w:pPr>
        <w:ind w:left="7898" w:hanging="360"/>
      </w:pPr>
      <w:rPr>
        <w:rFonts w:ascii="Wingdings" w:hAnsi="Wingdings" w:hint="default"/>
      </w:rPr>
    </w:lvl>
  </w:abstractNum>
  <w:abstractNum w:abstractNumId="18" w15:restartNumberingAfterBreak="0">
    <w:nsid w:val="44E371A0"/>
    <w:multiLevelType w:val="hybridMultilevel"/>
    <w:tmpl w:val="8FCE4A2C"/>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45C84AB0"/>
    <w:multiLevelType w:val="hybridMultilevel"/>
    <w:tmpl w:val="132868AC"/>
    <w:lvl w:ilvl="0" w:tplc="080A0001">
      <w:start w:val="1"/>
      <w:numFmt w:val="bullet"/>
      <w:lvlText w:val=""/>
      <w:lvlJc w:val="left"/>
      <w:pPr>
        <w:ind w:left="1797" w:hanging="360"/>
      </w:pPr>
      <w:rPr>
        <w:rFonts w:ascii="Symbol" w:hAnsi="Symbol" w:hint="default"/>
      </w:rPr>
    </w:lvl>
    <w:lvl w:ilvl="1" w:tplc="080A0003" w:tentative="1">
      <w:start w:val="1"/>
      <w:numFmt w:val="bullet"/>
      <w:lvlText w:val="o"/>
      <w:lvlJc w:val="left"/>
      <w:pPr>
        <w:ind w:left="2517" w:hanging="360"/>
      </w:pPr>
      <w:rPr>
        <w:rFonts w:ascii="Courier New" w:hAnsi="Courier New" w:cs="Courier New" w:hint="default"/>
      </w:rPr>
    </w:lvl>
    <w:lvl w:ilvl="2" w:tplc="080A0005" w:tentative="1">
      <w:start w:val="1"/>
      <w:numFmt w:val="bullet"/>
      <w:lvlText w:val=""/>
      <w:lvlJc w:val="left"/>
      <w:pPr>
        <w:ind w:left="3237" w:hanging="360"/>
      </w:pPr>
      <w:rPr>
        <w:rFonts w:ascii="Wingdings" w:hAnsi="Wingdings" w:hint="default"/>
      </w:rPr>
    </w:lvl>
    <w:lvl w:ilvl="3" w:tplc="080A0001" w:tentative="1">
      <w:start w:val="1"/>
      <w:numFmt w:val="bullet"/>
      <w:lvlText w:val=""/>
      <w:lvlJc w:val="left"/>
      <w:pPr>
        <w:ind w:left="3957" w:hanging="360"/>
      </w:pPr>
      <w:rPr>
        <w:rFonts w:ascii="Symbol" w:hAnsi="Symbol" w:hint="default"/>
      </w:rPr>
    </w:lvl>
    <w:lvl w:ilvl="4" w:tplc="080A0003" w:tentative="1">
      <w:start w:val="1"/>
      <w:numFmt w:val="bullet"/>
      <w:lvlText w:val="o"/>
      <w:lvlJc w:val="left"/>
      <w:pPr>
        <w:ind w:left="4677" w:hanging="360"/>
      </w:pPr>
      <w:rPr>
        <w:rFonts w:ascii="Courier New" w:hAnsi="Courier New" w:cs="Courier New" w:hint="default"/>
      </w:rPr>
    </w:lvl>
    <w:lvl w:ilvl="5" w:tplc="080A0005" w:tentative="1">
      <w:start w:val="1"/>
      <w:numFmt w:val="bullet"/>
      <w:lvlText w:val=""/>
      <w:lvlJc w:val="left"/>
      <w:pPr>
        <w:ind w:left="5397" w:hanging="360"/>
      </w:pPr>
      <w:rPr>
        <w:rFonts w:ascii="Wingdings" w:hAnsi="Wingdings" w:hint="default"/>
      </w:rPr>
    </w:lvl>
    <w:lvl w:ilvl="6" w:tplc="080A0001" w:tentative="1">
      <w:start w:val="1"/>
      <w:numFmt w:val="bullet"/>
      <w:lvlText w:val=""/>
      <w:lvlJc w:val="left"/>
      <w:pPr>
        <w:ind w:left="6117" w:hanging="360"/>
      </w:pPr>
      <w:rPr>
        <w:rFonts w:ascii="Symbol" w:hAnsi="Symbol" w:hint="default"/>
      </w:rPr>
    </w:lvl>
    <w:lvl w:ilvl="7" w:tplc="080A0003" w:tentative="1">
      <w:start w:val="1"/>
      <w:numFmt w:val="bullet"/>
      <w:lvlText w:val="o"/>
      <w:lvlJc w:val="left"/>
      <w:pPr>
        <w:ind w:left="6837" w:hanging="360"/>
      </w:pPr>
      <w:rPr>
        <w:rFonts w:ascii="Courier New" w:hAnsi="Courier New" w:cs="Courier New" w:hint="default"/>
      </w:rPr>
    </w:lvl>
    <w:lvl w:ilvl="8" w:tplc="080A0005" w:tentative="1">
      <w:start w:val="1"/>
      <w:numFmt w:val="bullet"/>
      <w:lvlText w:val=""/>
      <w:lvlJc w:val="left"/>
      <w:pPr>
        <w:ind w:left="7557" w:hanging="360"/>
      </w:pPr>
      <w:rPr>
        <w:rFonts w:ascii="Wingdings" w:hAnsi="Wingdings" w:hint="default"/>
      </w:rPr>
    </w:lvl>
  </w:abstractNum>
  <w:abstractNum w:abstractNumId="20" w15:restartNumberingAfterBreak="0">
    <w:nsid w:val="45F62062"/>
    <w:multiLevelType w:val="hybridMultilevel"/>
    <w:tmpl w:val="44CE1F2C"/>
    <w:lvl w:ilvl="0" w:tplc="940C1DC4">
      <w:start w:val="1"/>
      <w:numFmt w:val="bullet"/>
      <w:pStyle w:val="VIETAROMBO"/>
      <w:lvlText w:val=""/>
      <w:lvlJc w:val="left"/>
      <w:pPr>
        <w:ind w:left="757"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4A04523C"/>
    <w:multiLevelType w:val="hybridMultilevel"/>
    <w:tmpl w:val="3FD41198"/>
    <w:lvl w:ilvl="0" w:tplc="080A0001">
      <w:start w:val="1"/>
      <w:numFmt w:val="bullet"/>
      <w:lvlText w:val=""/>
      <w:lvlJc w:val="left"/>
      <w:pPr>
        <w:ind w:left="1429" w:hanging="360"/>
      </w:pPr>
      <w:rPr>
        <w:rFonts w:ascii="Symbol" w:hAnsi="Symbol" w:hint="default"/>
      </w:rPr>
    </w:lvl>
    <w:lvl w:ilvl="1" w:tplc="080A0003">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22" w15:restartNumberingAfterBreak="0">
    <w:nsid w:val="4C121E86"/>
    <w:multiLevelType w:val="hybridMultilevel"/>
    <w:tmpl w:val="58DAF662"/>
    <w:lvl w:ilvl="0" w:tplc="080A0001">
      <w:start w:val="1"/>
      <w:numFmt w:val="bullet"/>
      <w:lvlText w:val=""/>
      <w:lvlJc w:val="left"/>
      <w:pPr>
        <w:ind w:left="1146" w:hanging="360"/>
      </w:pPr>
      <w:rPr>
        <w:rFonts w:ascii="Symbol" w:hAnsi="Symbol" w:hint="default"/>
      </w:rPr>
    </w:lvl>
    <w:lvl w:ilvl="1" w:tplc="080A0003" w:tentative="1">
      <w:start w:val="1"/>
      <w:numFmt w:val="bullet"/>
      <w:lvlText w:val="o"/>
      <w:lvlJc w:val="left"/>
      <w:pPr>
        <w:ind w:left="1866" w:hanging="360"/>
      </w:pPr>
      <w:rPr>
        <w:rFonts w:ascii="Courier New" w:hAnsi="Courier New" w:cs="Courier New" w:hint="default"/>
      </w:rPr>
    </w:lvl>
    <w:lvl w:ilvl="2" w:tplc="080A0005" w:tentative="1">
      <w:start w:val="1"/>
      <w:numFmt w:val="bullet"/>
      <w:lvlText w:val=""/>
      <w:lvlJc w:val="left"/>
      <w:pPr>
        <w:ind w:left="2586" w:hanging="360"/>
      </w:pPr>
      <w:rPr>
        <w:rFonts w:ascii="Wingdings" w:hAnsi="Wingdings" w:hint="default"/>
      </w:rPr>
    </w:lvl>
    <w:lvl w:ilvl="3" w:tplc="080A0001" w:tentative="1">
      <w:start w:val="1"/>
      <w:numFmt w:val="bullet"/>
      <w:lvlText w:val=""/>
      <w:lvlJc w:val="left"/>
      <w:pPr>
        <w:ind w:left="3306" w:hanging="360"/>
      </w:pPr>
      <w:rPr>
        <w:rFonts w:ascii="Symbol" w:hAnsi="Symbol" w:hint="default"/>
      </w:rPr>
    </w:lvl>
    <w:lvl w:ilvl="4" w:tplc="080A0003" w:tentative="1">
      <w:start w:val="1"/>
      <w:numFmt w:val="bullet"/>
      <w:lvlText w:val="o"/>
      <w:lvlJc w:val="left"/>
      <w:pPr>
        <w:ind w:left="4026" w:hanging="360"/>
      </w:pPr>
      <w:rPr>
        <w:rFonts w:ascii="Courier New" w:hAnsi="Courier New" w:cs="Courier New" w:hint="default"/>
      </w:rPr>
    </w:lvl>
    <w:lvl w:ilvl="5" w:tplc="080A0005" w:tentative="1">
      <w:start w:val="1"/>
      <w:numFmt w:val="bullet"/>
      <w:lvlText w:val=""/>
      <w:lvlJc w:val="left"/>
      <w:pPr>
        <w:ind w:left="4746" w:hanging="360"/>
      </w:pPr>
      <w:rPr>
        <w:rFonts w:ascii="Wingdings" w:hAnsi="Wingdings" w:hint="default"/>
      </w:rPr>
    </w:lvl>
    <w:lvl w:ilvl="6" w:tplc="080A0001" w:tentative="1">
      <w:start w:val="1"/>
      <w:numFmt w:val="bullet"/>
      <w:lvlText w:val=""/>
      <w:lvlJc w:val="left"/>
      <w:pPr>
        <w:ind w:left="5466" w:hanging="360"/>
      </w:pPr>
      <w:rPr>
        <w:rFonts w:ascii="Symbol" w:hAnsi="Symbol" w:hint="default"/>
      </w:rPr>
    </w:lvl>
    <w:lvl w:ilvl="7" w:tplc="080A0003" w:tentative="1">
      <w:start w:val="1"/>
      <w:numFmt w:val="bullet"/>
      <w:lvlText w:val="o"/>
      <w:lvlJc w:val="left"/>
      <w:pPr>
        <w:ind w:left="6186" w:hanging="360"/>
      </w:pPr>
      <w:rPr>
        <w:rFonts w:ascii="Courier New" w:hAnsi="Courier New" w:cs="Courier New" w:hint="default"/>
      </w:rPr>
    </w:lvl>
    <w:lvl w:ilvl="8" w:tplc="080A0005" w:tentative="1">
      <w:start w:val="1"/>
      <w:numFmt w:val="bullet"/>
      <w:lvlText w:val=""/>
      <w:lvlJc w:val="left"/>
      <w:pPr>
        <w:ind w:left="6906" w:hanging="360"/>
      </w:pPr>
      <w:rPr>
        <w:rFonts w:ascii="Wingdings" w:hAnsi="Wingdings" w:hint="default"/>
      </w:rPr>
    </w:lvl>
  </w:abstractNum>
  <w:abstractNum w:abstractNumId="23" w15:restartNumberingAfterBreak="0">
    <w:nsid w:val="4D656535"/>
    <w:multiLevelType w:val="hybridMultilevel"/>
    <w:tmpl w:val="ACAAA7EA"/>
    <w:lvl w:ilvl="0" w:tplc="02D4D958">
      <w:start w:val="1"/>
      <w:numFmt w:val="upperRoman"/>
      <w:pStyle w:val="SUBTITULO1"/>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09A7557"/>
    <w:multiLevelType w:val="hybridMultilevel"/>
    <w:tmpl w:val="B5FC3A7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55CD6EA4"/>
    <w:multiLevelType w:val="hybridMultilevel"/>
    <w:tmpl w:val="7138DAC4"/>
    <w:lvl w:ilvl="0" w:tplc="080A000B">
      <w:start w:val="1"/>
      <w:numFmt w:val="bullet"/>
      <w:lvlText w:val=""/>
      <w:lvlJc w:val="left"/>
      <w:pPr>
        <w:ind w:left="928"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57FC336F"/>
    <w:multiLevelType w:val="hybridMultilevel"/>
    <w:tmpl w:val="65142450"/>
    <w:lvl w:ilvl="0" w:tplc="080A0013">
      <w:start w:val="1"/>
      <w:numFmt w:val="upperRoman"/>
      <w:lvlText w:val="%1."/>
      <w:lvlJc w:val="right"/>
      <w:pPr>
        <w:ind w:left="1773" w:hanging="360"/>
      </w:pPr>
    </w:lvl>
    <w:lvl w:ilvl="1" w:tplc="080A0019" w:tentative="1">
      <w:start w:val="1"/>
      <w:numFmt w:val="lowerLetter"/>
      <w:lvlText w:val="%2."/>
      <w:lvlJc w:val="left"/>
      <w:pPr>
        <w:ind w:left="2493" w:hanging="360"/>
      </w:pPr>
    </w:lvl>
    <w:lvl w:ilvl="2" w:tplc="080A001B" w:tentative="1">
      <w:start w:val="1"/>
      <w:numFmt w:val="lowerRoman"/>
      <w:lvlText w:val="%3."/>
      <w:lvlJc w:val="right"/>
      <w:pPr>
        <w:ind w:left="3213" w:hanging="180"/>
      </w:pPr>
    </w:lvl>
    <w:lvl w:ilvl="3" w:tplc="080A000F" w:tentative="1">
      <w:start w:val="1"/>
      <w:numFmt w:val="decimal"/>
      <w:lvlText w:val="%4."/>
      <w:lvlJc w:val="left"/>
      <w:pPr>
        <w:ind w:left="3933" w:hanging="360"/>
      </w:pPr>
    </w:lvl>
    <w:lvl w:ilvl="4" w:tplc="080A0019" w:tentative="1">
      <w:start w:val="1"/>
      <w:numFmt w:val="lowerLetter"/>
      <w:lvlText w:val="%5."/>
      <w:lvlJc w:val="left"/>
      <w:pPr>
        <w:ind w:left="4653" w:hanging="360"/>
      </w:pPr>
    </w:lvl>
    <w:lvl w:ilvl="5" w:tplc="080A001B" w:tentative="1">
      <w:start w:val="1"/>
      <w:numFmt w:val="lowerRoman"/>
      <w:lvlText w:val="%6."/>
      <w:lvlJc w:val="right"/>
      <w:pPr>
        <w:ind w:left="5373" w:hanging="180"/>
      </w:pPr>
    </w:lvl>
    <w:lvl w:ilvl="6" w:tplc="080A000F" w:tentative="1">
      <w:start w:val="1"/>
      <w:numFmt w:val="decimal"/>
      <w:lvlText w:val="%7."/>
      <w:lvlJc w:val="left"/>
      <w:pPr>
        <w:ind w:left="6093" w:hanging="360"/>
      </w:pPr>
    </w:lvl>
    <w:lvl w:ilvl="7" w:tplc="080A0019" w:tentative="1">
      <w:start w:val="1"/>
      <w:numFmt w:val="lowerLetter"/>
      <w:lvlText w:val="%8."/>
      <w:lvlJc w:val="left"/>
      <w:pPr>
        <w:ind w:left="6813" w:hanging="360"/>
      </w:pPr>
    </w:lvl>
    <w:lvl w:ilvl="8" w:tplc="080A001B" w:tentative="1">
      <w:start w:val="1"/>
      <w:numFmt w:val="lowerRoman"/>
      <w:lvlText w:val="%9."/>
      <w:lvlJc w:val="right"/>
      <w:pPr>
        <w:ind w:left="7533" w:hanging="180"/>
      </w:pPr>
    </w:lvl>
  </w:abstractNum>
  <w:abstractNum w:abstractNumId="27" w15:restartNumberingAfterBreak="0">
    <w:nsid w:val="5AF6638F"/>
    <w:multiLevelType w:val="hybridMultilevel"/>
    <w:tmpl w:val="621A05D4"/>
    <w:lvl w:ilvl="0" w:tplc="080A0001">
      <w:start w:val="1"/>
      <w:numFmt w:val="bullet"/>
      <w:lvlText w:val=""/>
      <w:lvlJc w:val="left"/>
      <w:pPr>
        <w:ind w:left="1776" w:hanging="360"/>
      </w:pPr>
      <w:rPr>
        <w:rFonts w:ascii="Symbol" w:hAnsi="Symbol" w:hint="default"/>
      </w:rPr>
    </w:lvl>
    <w:lvl w:ilvl="1" w:tplc="080A0003" w:tentative="1">
      <w:start w:val="1"/>
      <w:numFmt w:val="bullet"/>
      <w:lvlText w:val="o"/>
      <w:lvlJc w:val="left"/>
      <w:pPr>
        <w:ind w:left="2496" w:hanging="360"/>
      </w:pPr>
      <w:rPr>
        <w:rFonts w:ascii="Courier New" w:hAnsi="Courier New" w:cs="Courier New" w:hint="default"/>
      </w:rPr>
    </w:lvl>
    <w:lvl w:ilvl="2" w:tplc="080A0005" w:tentative="1">
      <w:start w:val="1"/>
      <w:numFmt w:val="bullet"/>
      <w:lvlText w:val=""/>
      <w:lvlJc w:val="left"/>
      <w:pPr>
        <w:ind w:left="3216" w:hanging="360"/>
      </w:pPr>
      <w:rPr>
        <w:rFonts w:ascii="Wingdings" w:hAnsi="Wingdings" w:hint="default"/>
      </w:rPr>
    </w:lvl>
    <w:lvl w:ilvl="3" w:tplc="080A0001" w:tentative="1">
      <w:start w:val="1"/>
      <w:numFmt w:val="bullet"/>
      <w:lvlText w:val=""/>
      <w:lvlJc w:val="left"/>
      <w:pPr>
        <w:ind w:left="3936" w:hanging="360"/>
      </w:pPr>
      <w:rPr>
        <w:rFonts w:ascii="Symbol" w:hAnsi="Symbol" w:hint="default"/>
      </w:rPr>
    </w:lvl>
    <w:lvl w:ilvl="4" w:tplc="080A0003" w:tentative="1">
      <w:start w:val="1"/>
      <w:numFmt w:val="bullet"/>
      <w:lvlText w:val="o"/>
      <w:lvlJc w:val="left"/>
      <w:pPr>
        <w:ind w:left="4656" w:hanging="360"/>
      </w:pPr>
      <w:rPr>
        <w:rFonts w:ascii="Courier New" w:hAnsi="Courier New" w:cs="Courier New" w:hint="default"/>
      </w:rPr>
    </w:lvl>
    <w:lvl w:ilvl="5" w:tplc="080A0005" w:tentative="1">
      <w:start w:val="1"/>
      <w:numFmt w:val="bullet"/>
      <w:lvlText w:val=""/>
      <w:lvlJc w:val="left"/>
      <w:pPr>
        <w:ind w:left="5376" w:hanging="360"/>
      </w:pPr>
      <w:rPr>
        <w:rFonts w:ascii="Wingdings" w:hAnsi="Wingdings" w:hint="default"/>
      </w:rPr>
    </w:lvl>
    <w:lvl w:ilvl="6" w:tplc="080A0001" w:tentative="1">
      <w:start w:val="1"/>
      <w:numFmt w:val="bullet"/>
      <w:lvlText w:val=""/>
      <w:lvlJc w:val="left"/>
      <w:pPr>
        <w:ind w:left="6096" w:hanging="360"/>
      </w:pPr>
      <w:rPr>
        <w:rFonts w:ascii="Symbol" w:hAnsi="Symbol" w:hint="default"/>
      </w:rPr>
    </w:lvl>
    <w:lvl w:ilvl="7" w:tplc="080A0003" w:tentative="1">
      <w:start w:val="1"/>
      <w:numFmt w:val="bullet"/>
      <w:lvlText w:val="o"/>
      <w:lvlJc w:val="left"/>
      <w:pPr>
        <w:ind w:left="6816" w:hanging="360"/>
      </w:pPr>
      <w:rPr>
        <w:rFonts w:ascii="Courier New" w:hAnsi="Courier New" w:cs="Courier New" w:hint="default"/>
      </w:rPr>
    </w:lvl>
    <w:lvl w:ilvl="8" w:tplc="080A0005" w:tentative="1">
      <w:start w:val="1"/>
      <w:numFmt w:val="bullet"/>
      <w:lvlText w:val=""/>
      <w:lvlJc w:val="left"/>
      <w:pPr>
        <w:ind w:left="7536" w:hanging="360"/>
      </w:pPr>
      <w:rPr>
        <w:rFonts w:ascii="Wingdings" w:hAnsi="Wingdings" w:hint="default"/>
      </w:rPr>
    </w:lvl>
  </w:abstractNum>
  <w:abstractNum w:abstractNumId="28" w15:restartNumberingAfterBreak="0">
    <w:nsid w:val="6036466E"/>
    <w:multiLevelType w:val="hybridMultilevel"/>
    <w:tmpl w:val="52D070C8"/>
    <w:lvl w:ilvl="0" w:tplc="4796DB6A">
      <w:start w:val="1"/>
      <w:numFmt w:val="bullet"/>
      <w:pStyle w:val="VIETAFLECHA"/>
      <w:lvlText w:val=""/>
      <w:lvlJc w:val="left"/>
      <w:pPr>
        <w:ind w:left="3621" w:hanging="360"/>
      </w:pPr>
      <w:rPr>
        <w:rFonts w:ascii="Wingdings" w:hAnsi="Wingdings" w:hint="default"/>
      </w:rPr>
    </w:lvl>
    <w:lvl w:ilvl="1" w:tplc="0C0A0003" w:tentative="1">
      <w:start w:val="1"/>
      <w:numFmt w:val="bullet"/>
      <w:lvlText w:val="o"/>
      <w:lvlJc w:val="left"/>
      <w:pPr>
        <w:ind w:left="4341" w:hanging="360"/>
      </w:pPr>
      <w:rPr>
        <w:rFonts w:ascii="Courier New" w:hAnsi="Courier New" w:cs="Courier New" w:hint="default"/>
      </w:rPr>
    </w:lvl>
    <w:lvl w:ilvl="2" w:tplc="0C0A0005" w:tentative="1">
      <w:start w:val="1"/>
      <w:numFmt w:val="bullet"/>
      <w:lvlText w:val=""/>
      <w:lvlJc w:val="left"/>
      <w:pPr>
        <w:ind w:left="5061" w:hanging="360"/>
      </w:pPr>
      <w:rPr>
        <w:rFonts w:ascii="Wingdings" w:hAnsi="Wingdings" w:hint="default"/>
      </w:rPr>
    </w:lvl>
    <w:lvl w:ilvl="3" w:tplc="0C0A0001" w:tentative="1">
      <w:start w:val="1"/>
      <w:numFmt w:val="bullet"/>
      <w:lvlText w:val=""/>
      <w:lvlJc w:val="left"/>
      <w:pPr>
        <w:ind w:left="5781" w:hanging="360"/>
      </w:pPr>
      <w:rPr>
        <w:rFonts w:ascii="Symbol" w:hAnsi="Symbol" w:hint="default"/>
      </w:rPr>
    </w:lvl>
    <w:lvl w:ilvl="4" w:tplc="0C0A0003" w:tentative="1">
      <w:start w:val="1"/>
      <w:numFmt w:val="bullet"/>
      <w:lvlText w:val="o"/>
      <w:lvlJc w:val="left"/>
      <w:pPr>
        <w:ind w:left="6501" w:hanging="360"/>
      </w:pPr>
      <w:rPr>
        <w:rFonts w:ascii="Courier New" w:hAnsi="Courier New" w:cs="Courier New" w:hint="default"/>
      </w:rPr>
    </w:lvl>
    <w:lvl w:ilvl="5" w:tplc="0C0A0005" w:tentative="1">
      <w:start w:val="1"/>
      <w:numFmt w:val="bullet"/>
      <w:lvlText w:val=""/>
      <w:lvlJc w:val="left"/>
      <w:pPr>
        <w:ind w:left="7221" w:hanging="360"/>
      </w:pPr>
      <w:rPr>
        <w:rFonts w:ascii="Wingdings" w:hAnsi="Wingdings" w:hint="default"/>
      </w:rPr>
    </w:lvl>
    <w:lvl w:ilvl="6" w:tplc="0C0A0001" w:tentative="1">
      <w:start w:val="1"/>
      <w:numFmt w:val="bullet"/>
      <w:lvlText w:val=""/>
      <w:lvlJc w:val="left"/>
      <w:pPr>
        <w:ind w:left="7941" w:hanging="360"/>
      </w:pPr>
      <w:rPr>
        <w:rFonts w:ascii="Symbol" w:hAnsi="Symbol" w:hint="default"/>
      </w:rPr>
    </w:lvl>
    <w:lvl w:ilvl="7" w:tplc="0C0A0003" w:tentative="1">
      <w:start w:val="1"/>
      <w:numFmt w:val="bullet"/>
      <w:lvlText w:val="o"/>
      <w:lvlJc w:val="left"/>
      <w:pPr>
        <w:ind w:left="8661" w:hanging="360"/>
      </w:pPr>
      <w:rPr>
        <w:rFonts w:ascii="Courier New" w:hAnsi="Courier New" w:cs="Courier New" w:hint="default"/>
      </w:rPr>
    </w:lvl>
    <w:lvl w:ilvl="8" w:tplc="0C0A0005" w:tentative="1">
      <w:start w:val="1"/>
      <w:numFmt w:val="bullet"/>
      <w:lvlText w:val=""/>
      <w:lvlJc w:val="left"/>
      <w:pPr>
        <w:ind w:left="9381" w:hanging="360"/>
      </w:pPr>
      <w:rPr>
        <w:rFonts w:ascii="Wingdings" w:hAnsi="Wingdings" w:hint="default"/>
      </w:rPr>
    </w:lvl>
  </w:abstractNum>
  <w:abstractNum w:abstractNumId="29" w15:restartNumberingAfterBreak="0">
    <w:nsid w:val="60E04CE2"/>
    <w:multiLevelType w:val="hybridMultilevel"/>
    <w:tmpl w:val="8F567154"/>
    <w:lvl w:ilvl="0" w:tplc="A7EC93FC">
      <w:start w:val="1"/>
      <w:numFmt w:val="bullet"/>
      <w:pStyle w:val="VIETACUADRO"/>
      <w:lvlText w:val=""/>
      <w:lvlJc w:val="left"/>
      <w:pPr>
        <w:ind w:left="1117" w:hanging="360"/>
      </w:pPr>
      <w:rPr>
        <w:rFonts w:ascii="Wingdings" w:hAnsi="Wingdings" w:hint="default"/>
      </w:rPr>
    </w:lvl>
    <w:lvl w:ilvl="1" w:tplc="0C0A0003" w:tentative="1">
      <w:start w:val="1"/>
      <w:numFmt w:val="bullet"/>
      <w:lvlText w:val="o"/>
      <w:lvlJc w:val="left"/>
      <w:pPr>
        <w:ind w:left="1837" w:hanging="360"/>
      </w:pPr>
      <w:rPr>
        <w:rFonts w:ascii="Courier New" w:hAnsi="Courier New" w:cs="Courier New" w:hint="default"/>
      </w:rPr>
    </w:lvl>
    <w:lvl w:ilvl="2" w:tplc="0C0A0005" w:tentative="1">
      <w:start w:val="1"/>
      <w:numFmt w:val="bullet"/>
      <w:lvlText w:val=""/>
      <w:lvlJc w:val="left"/>
      <w:pPr>
        <w:ind w:left="2557" w:hanging="360"/>
      </w:pPr>
      <w:rPr>
        <w:rFonts w:ascii="Wingdings" w:hAnsi="Wingdings" w:hint="default"/>
      </w:rPr>
    </w:lvl>
    <w:lvl w:ilvl="3" w:tplc="0C0A0001" w:tentative="1">
      <w:start w:val="1"/>
      <w:numFmt w:val="bullet"/>
      <w:lvlText w:val=""/>
      <w:lvlJc w:val="left"/>
      <w:pPr>
        <w:ind w:left="3277" w:hanging="360"/>
      </w:pPr>
      <w:rPr>
        <w:rFonts w:ascii="Symbol" w:hAnsi="Symbol" w:hint="default"/>
      </w:rPr>
    </w:lvl>
    <w:lvl w:ilvl="4" w:tplc="0C0A0003" w:tentative="1">
      <w:start w:val="1"/>
      <w:numFmt w:val="bullet"/>
      <w:lvlText w:val="o"/>
      <w:lvlJc w:val="left"/>
      <w:pPr>
        <w:ind w:left="3997" w:hanging="360"/>
      </w:pPr>
      <w:rPr>
        <w:rFonts w:ascii="Courier New" w:hAnsi="Courier New" w:cs="Courier New" w:hint="default"/>
      </w:rPr>
    </w:lvl>
    <w:lvl w:ilvl="5" w:tplc="0C0A0005" w:tentative="1">
      <w:start w:val="1"/>
      <w:numFmt w:val="bullet"/>
      <w:lvlText w:val=""/>
      <w:lvlJc w:val="left"/>
      <w:pPr>
        <w:ind w:left="4717" w:hanging="360"/>
      </w:pPr>
      <w:rPr>
        <w:rFonts w:ascii="Wingdings" w:hAnsi="Wingdings" w:hint="default"/>
      </w:rPr>
    </w:lvl>
    <w:lvl w:ilvl="6" w:tplc="0C0A0001" w:tentative="1">
      <w:start w:val="1"/>
      <w:numFmt w:val="bullet"/>
      <w:lvlText w:val=""/>
      <w:lvlJc w:val="left"/>
      <w:pPr>
        <w:ind w:left="5437" w:hanging="360"/>
      </w:pPr>
      <w:rPr>
        <w:rFonts w:ascii="Symbol" w:hAnsi="Symbol" w:hint="default"/>
      </w:rPr>
    </w:lvl>
    <w:lvl w:ilvl="7" w:tplc="0C0A0003" w:tentative="1">
      <w:start w:val="1"/>
      <w:numFmt w:val="bullet"/>
      <w:lvlText w:val="o"/>
      <w:lvlJc w:val="left"/>
      <w:pPr>
        <w:ind w:left="6157" w:hanging="360"/>
      </w:pPr>
      <w:rPr>
        <w:rFonts w:ascii="Courier New" w:hAnsi="Courier New" w:cs="Courier New" w:hint="default"/>
      </w:rPr>
    </w:lvl>
    <w:lvl w:ilvl="8" w:tplc="0C0A0005" w:tentative="1">
      <w:start w:val="1"/>
      <w:numFmt w:val="bullet"/>
      <w:lvlText w:val=""/>
      <w:lvlJc w:val="left"/>
      <w:pPr>
        <w:ind w:left="6877" w:hanging="360"/>
      </w:pPr>
      <w:rPr>
        <w:rFonts w:ascii="Wingdings" w:hAnsi="Wingdings" w:hint="default"/>
      </w:rPr>
    </w:lvl>
  </w:abstractNum>
  <w:abstractNum w:abstractNumId="30" w15:restartNumberingAfterBreak="0">
    <w:nsid w:val="624E16E9"/>
    <w:multiLevelType w:val="hybridMultilevel"/>
    <w:tmpl w:val="2AAC96D8"/>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64F83E58"/>
    <w:multiLevelType w:val="hybridMultilevel"/>
    <w:tmpl w:val="EED872A4"/>
    <w:lvl w:ilvl="0" w:tplc="080A0009">
      <w:start w:val="1"/>
      <w:numFmt w:val="bullet"/>
      <w:lvlText w:val=""/>
      <w:lvlJc w:val="left"/>
      <w:pPr>
        <w:ind w:left="1069" w:hanging="360"/>
      </w:pPr>
      <w:rPr>
        <w:rFonts w:ascii="Wingdings" w:hAnsi="Wingdings" w:hint="default"/>
      </w:rPr>
    </w:lvl>
    <w:lvl w:ilvl="1" w:tplc="080A0003" w:tentative="1">
      <w:start w:val="1"/>
      <w:numFmt w:val="bullet"/>
      <w:lvlText w:val="o"/>
      <w:lvlJc w:val="left"/>
      <w:pPr>
        <w:ind w:left="1789" w:hanging="360"/>
      </w:pPr>
      <w:rPr>
        <w:rFonts w:ascii="Courier New" w:hAnsi="Courier New" w:cs="Courier New" w:hint="default"/>
      </w:rPr>
    </w:lvl>
    <w:lvl w:ilvl="2" w:tplc="080A0005" w:tentative="1">
      <w:start w:val="1"/>
      <w:numFmt w:val="bullet"/>
      <w:lvlText w:val=""/>
      <w:lvlJc w:val="left"/>
      <w:pPr>
        <w:ind w:left="2509" w:hanging="360"/>
      </w:pPr>
      <w:rPr>
        <w:rFonts w:ascii="Wingdings" w:hAnsi="Wingdings" w:hint="default"/>
      </w:rPr>
    </w:lvl>
    <w:lvl w:ilvl="3" w:tplc="080A0001" w:tentative="1">
      <w:start w:val="1"/>
      <w:numFmt w:val="bullet"/>
      <w:lvlText w:val=""/>
      <w:lvlJc w:val="left"/>
      <w:pPr>
        <w:ind w:left="3229" w:hanging="360"/>
      </w:pPr>
      <w:rPr>
        <w:rFonts w:ascii="Symbol" w:hAnsi="Symbol" w:hint="default"/>
      </w:rPr>
    </w:lvl>
    <w:lvl w:ilvl="4" w:tplc="080A0003" w:tentative="1">
      <w:start w:val="1"/>
      <w:numFmt w:val="bullet"/>
      <w:lvlText w:val="o"/>
      <w:lvlJc w:val="left"/>
      <w:pPr>
        <w:ind w:left="3949" w:hanging="360"/>
      </w:pPr>
      <w:rPr>
        <w:rFonts w:ascii="Courier New" w:hAnsi="Courier New" w:cs="Courier New" w:hint="default"/>
      </w:rPr>
    </w:lvl>
    <w:lvl w:ilvl="5" w:tplc="080A0005" w:tentative="1">
      <w:start w:val="1"/>
      <w:numFmt w:val="bullet"/>
      <w:lvlText w:val=""/>
      <w:lvlJc w:val="left"/>
      <w:pPr>
        <w:ind w:left="4669" w:hanging="360"/>
      </w:pPr>
      <w:rPr>
        <w:rFonts w:ascii="Wingdings" w:hAnsi="Wingdings" w:hint="default"/>
      </w:rPr>
    </w:lvl>
    <w:lvl w:ilvl="6" w:tplc="080A0001" w:tentative="1">
      <w:start w:val="1"/>
      <w:numFmt w:val="bullet"/>
      <w:lvlText w:val=""/>
      <w:lvlJc w:val="left"/>
      <w:pPr>
        <w:ind w:left="5389" w:hanging="360"/>
      </w:pPr>
      <w:rPr>
        <w:rFonts w:ascii="Symbol" w:hAnsi="Symbol" w:hint="default"/>
      </w:rPr>
    </w:lvl>
    <w:lvl w:ilvl="7" w:tplc="080A0003" w:tentative="1">
      <w:start w:val="1"/>
      <w:numFmt w:val="bullet"/>
      <w:lvlText w:val="o"/>
      <w:lvlJc w:val="left"/>
      <w:pPr>
        <w:ind w:left="6109" w:hanging="360"/>
      </w:pPr>
      <w:rPr>
        <w:rFonts w:ascii="Courier New" w:hAnsi="Courier New" w:cs="Courier New" w:hint="default"/>
      </w:rPr>
    </w:lvl>
    <w:lvl w:ilvl="8" w:tplc="080A0005" w:tentative="1">
      <w:start w:val="1"/>
      <w:numFmt w:val="bullet"/>
      <w:lvlText w:val=""/>
      <w:lvlJc w:val="left"/>
      <w:pPr>
        <w:ind w:left="6829" w:hanging="360"/>
      </w:pPr>
      <w:rPr>
        <w:rFonts w:ascii="Wingdings" w:hAnsi="Wingdings" w:hint="default"/>
      </w:rPr>
    </w:lvl>
  </w:abstractNum>
  <w:abstractNum w:abstractNumId="32" w15:restartNumberingAfterBreak="0">
    <w:nsid w:val="65525910"/>
    <w:multiLevelType w:val="hybridMultilevel"/>
    <w:tmpl w:val="0C348FF0"/>
    <w:lvl w:ilvl="0" w:tplc="1590BA68">
      <w:start w:val="1"/>
      <w:numFmt w:val="upperRoman"/>
      <w:lvlText w:val="%1."/>
      <w:lvlJc w:val="right"/>
      <w:pPr>
        <w:ind w:left="1776" w:hanging="360"/>
      </w:pPr>
      <w:rPr>
        <w:rFonts w:hint="default"/>
      </w:rPr>
    </w:lvl>
    <w:lvl w:ilvl="1" w:tplc="080A0019" w:tentative="1">
      <w:start w:val="1"/>
      <w:numFmt w:val="lowerLetter"/>
      <w:lvlText w:val="%2."/>
      <w:lvlJc w:val="left"/>
      <w:pPr>
        <w:ind w:left="1443" w:hanging="360"/>
      </w:pPr>
    </w:lvl>
    <w:lvl w:ilvl="2" w:tplc="080A001B" w:tentative="1">
      <w:start w:val="1"/>
      <w:numFmt w:val="lowerRoman"/>
      <w:lvlText w:val="%3."/>
      <w:lvlJc w:val="right"/>
      <w:pPr>
        <w:ind w:left="2163" w:hanging="180"/>
      </w:pPr>
    </w:lvl>
    <w:lvl w:ilvl="3" w:tplc="080A000F" w:tentative="1">
      <w:start w:val="1"/>
      <w:numFmt w:val="decimal"/>
      <w:lvlText w:val="%4."/>
      <w:lvlJc w:val="left"/>
      <w:pPr>
        <w:ind w:left="2883" w:hanging="360"/>
      </w:pPr>
    </w:lvl>
    <w:lvl w:ilvl="4" w:tplc="080A0019" w:tentative="1">
      <w:start w:val="1"/>
      <w:numFmt w:val="lowerLetter"/>
      <w:lvlText w:val="%5."/>
      <w:lvlJc w:val="left"/>
      <w:pPr>
        <w:ind w:left="3603" w:hanging="360"/>
      </w:pPr>
    </w:lvl>
    <w:lvl w:ilvl="5" w:tplc="080A001B" w:tentative="1">
      <w:start w:val="1"/>
      <w:numFmt w:val="lowerRoman"/>
      <w:lvlText w:val="%6."/>
      <w:lvlJc w:val="right"/>
      <w:pPr>
        <w:ind w:left="4323" w:hanging="180"/>
      </w:pPr>
    </w:lvl>
    <w:lvl w:ilvl="6" w:tplc="080A000F" w:tentative="1">
      <w:start w:val="1"/>
      <w:numFmt w:val="decimal"/>
      <w:lvlText w:val="%7."/>
      <w:lvlJc w:val="left"/>
      <w:pPr>
        <w:ind w:left="5043" w:hanging="360"/>
      </w:pPr>
    </w:lvl>
    <w:lvl w:ilvl="7" w:tplc="080A0019" w:tentative="1">
      <w:start w:val="1"/>
      <w:numFmt w:val="lowerLetter"/>
      <w:lvlText w:val="%8."/>
      <w:lvlJc w:val="left"/>
      <w:pPr>
        <w:ind w:left="5763" w:hanging="360"/>
      </w:pPr>
    </w:lvl>
    <w:lvl w:ilvl="8" w:tplc="080A001B" w:tentative="1">
      <w:start w:val="1"/>
      <w:numFmt w:val="lowerRoman"/>
      <w:lvlText w:val="%9."/>
      <w:lvlJc w:val="right"/>
      <w:pPr>
        <w:ind w:left="6483" w:hanging="180"/>
      </w:pPr>
    </w:lvl>
  </w:abstractNum>
  <w:abstractNum w:abstractNumId="33" w15:restartNumberingAfterBreak="0">
    <w:nsid w:val="6A41013B"/>
    <w:multiLevelType w:val="hybridMultilevel"/>
    <w:tmpl w:val="4A98FF12"/>
    <w:lvl w:ilvl="0" w:tplc="080A0009">
      <w:start w:val="1"/>
      <w:numFmt w:val="bullet"/>
      <w:lvlText w:val=""/>
      <w:lvlJc w:val="left"/>
      <w:pPr>
        <w:ind w:left="786" w:hanging="360"/>
      </w:pPr>
      <w:rPr>
        <w:rFonts w:ascii="Wingdings" w:hAnsi="Wingdings"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34" w15:restartNumberingAfterBreak="0">
    <w:nsid w:val="6D773546"/>
    <w:multiLevelType w:val="multilevel"/>
    <w:tmpl w:val="DDC6AB52"/>
    <w:lvl w:ilvl="0">
      <w:start w:val="1"/>
      <w:numFmt w:val="decimal"/>
      <w:pStyle w:val="Ttulo1"/>
      <w:lvlText w:val="%1."/>
      <w:lvlJc w:val="left"/>
      <w:pPr>
        <w:ind w:left="360" w:hanging="360"/>
      </w:pPr>
    </w:lvl>
    <w:lvl w:ilvl="1">
      <w:start w:val="1"/>
      <w:numFmt w:val="decimal"/>
      <w:pStyle w:val="Ttulo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D774538"/>
    <w:multiLevelType w:val="hybridMultilevel"/>
    <w:tmpl w:val="C8169C76"/>
    <w:lvl w:ilvl="0" w:tplc="080A0001">
      <w:start w:val="1"/>
      <w:numFmt w:val="bullet"/>
      <w:lvlText w:val=""/>
      <w:lvlJc w:val="left"/>
      <w:pPr>
        <w:ind w:left="1776" w:hanging="360"/>
      </w:pPr>
      <w:rPr>
        <w:rFonts w:ascii="Symbol" w:hAnsi="Symbol" w:hint="default"/>
      </w:rPr>
    </w:lvl>
    <w:lvl w:ilvl="1" w:tplc="080A0003">
      <w:start w:val="1"/>
      <w:numFmt w:val="bullet"/>
      <w:lvlText w:val="o"/>
      <w:lvlJc w:val="left"/>
      <w:pPr>
        <w:ind w:left="2496" w:hanging="360"/>
      </w:pPr>
      <w:rPr>
        <w:rFonts w:ascii="Courier New" w:hAnsi="Courier New" w:cs="Courier New" w:hint="default"/>
      </w:rPr>
    </w:lvl>
    <w:lvl w:ilvl="2" w:tplc="080A0005" w:tentative="1">
      <w:start w:val="1"/>
      <w:numFmt w:val="bullet"/>
      <w:lvlText w:val=""/>
      <w:lvlJc w:val="left"/>
      <w:pPr>
        <w:ind w:left="3216" w:hanging="360"/>
      </w:pPr>
      <w:rPr>
        <w:rFonts w:ascii="Wingdings" w:hAnsi="Wingdings" w:hint="default"/>
      </w:rPr>
    </w:lvl>
    <w:lvl w:ilvl="3" w:tplc="080A0001" w:tentative="1">
      <w:start w:val="1"/>
      <w:numFmt w:val="bullet"/>
      <w:lvlText w:val=""/>
      <w:lvlJc w:val="left"/>
      <w:pPr>
        <w:ind w:left="3936" w:hanging="360"/>
      </w:pPr>
      <w:rPr>
        <w:rFonts w:ascii="Symbol" w:hAnsi="Symbol" w:hint="default"/>
      </w:rPr>
    </w:lvl>
    <w:lvl w:ilvl="4" w:tplc="080A0003" w:tentative="1">
      <w:start w:val="1"/>
      <w:numFmt w:val="bullet"/>
      <w:lvlText w:val="o"/>
      <w:lvlJc w:val="left"/>
      <w:pPr>
        <w:ind w:left="4656" w:hanging="360"/>
      </w:pPr>
      <w:rPr>
        <w:rFonts w:ascii="Courier New" w:hAnsi="Courier New" w:cs="Courier New" w:hint="default"/>
      </w:rPr>
    </w:lvl>
    <w:lvl w:ilvl="5" w:tplc="080A0005" w:tentative="1">
      <w:start w:val="1"/>
      <w:numFmt w:val="bullet"/>
      <w:lvlText w:val=""/>
      <w:lvlJc w:val="left"/>
      <w:pPr>
        <w:ind w:left="5376" w:hanging="360"/>
      </w:pPr>
      <w:rPr>
        <w:rFonts w:ascii="Wingdings" w:hAnsi="Wingdings" w:hint="default"/>
      </w:rPr>
    </w:lvl>
    <w:lvl w:ilvl="6" w:tplc="080A0001" w:tentative="1">
      <w:start w:val="1"/>
      <w:numFmt w:val="bullet"/>
      <w:lvlText w:val=""/>
      <w:lvlJc w:val="left"/>
      <w:pPr>
        <w:ind w:left="6096" w:hanging="360"/>
      </w:pPr>
      <w:rPr>
        <w:rFonts w:ascii="Symbol" w:hAnsi="Symbol" w:hint="default"/>
      </w:rPr>
    </w:lvl>
    <w:lvl w:ilvl="7" w:tplc="080A0003" w:tentative="1">
      <w:start w:val="1"/>
      <w:numFmt w:val="bullet"/>
      <w:lvlText w:val="o"/>
      <w:lvlJc w:val="left"/>
      <w:pPr>
        <w:ind w:left="6816" w:hanging="360"/>
      </w:pPr>
      <w:rPr>
        <w:rFonts w:ascii="Courier New" w:hAnsi="Courier New" w:cs="Courier New" w:hint="default"/>
      </w:rPr>
    </w:lvl>
    <w:lvl w:ilvl="8" w:tplc="080A0005" w:tentative="1">
      <w:start w:val="1"/>
      <w:numFmt w:val="bullet"/>
      <w:lvlText w:val=""/>
      <w:lvlJc w:val="left"/>
      <w:pPr>
        <w:ind w:left="7536" w:hanging="360"/>
      </w:pPr>
      <w:rPr>
        <w:rFonts w:ascii="Wingdings" w:hAnsi="Wingdings" w:hint="default"/>
      </w:rPr>
    </w:lvl>
  </w:abstractNum>
  <w:abstractNum w:abstractNumId="36" w15:restartNumberingAfterBreak="0">
    <w:nsid w:val="6FC94A61"/>
    <w:multiLevelType w:val="hybridMultilevel"/>
    <w:tmpl w:val="EB1E8386"/>
    <w:lvl w:ilvl="0" w:tplc="080A0005">
      <w:start w:val="1"/>
      <w:numFmt w:val="bullet"/>
      <w:lvlText w:val=""/>
      <w:lvlJc w:val="left"/>
      <w:pPr>
        <w:ind w:left="1429" w:hanging="360"/>
      </w:pPr>
      <w:rPr>
        <w:rFonts w:ascii="Wingdings" w:hAnsi="Wingdings"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37" w15:restartNumberingAfterBreak="0">
    <w:nsid w:val="729A42D5"/>
    <w:multiLevelType w:val="hybridMultilevel"/>
    <w:tmpl w:val="6422ECDE"/>
    <w:lvl w:ilvl="0" w:tplc="8C4E33AE">
      <w:start w:val="1"/>
      <w:numFmt w:val="bullet"/>
      <w:pStyle w:val="VIETABALA"/>
      <w:lvlText w:val=""/>
      <w:lvlJc w:val="left"/>
      <w:pPr>
        <w:ind w:left="1083" w:hanging="360"/>
      </w:pPr>
      <w:rPr>
        <w:rFonts w:ascii="Symbol" w:hAnsi="Symbol" w:hint="default"/>
      </w:rPr>
    </w:lvl>
    <w:lvl w:ilvl="1" w:tplc="080A0003" w:tentative="1">
      <w:start w:val="1"/>
      <w:numFmt w:val="bullet"/>
      <w:lvlText w:val="o"/>
      <w:lvlJc w:val="left"/>
      <w:pPr>
        <w:ind w:left="1803" w:hanging="360"/>
      </w:pPr>
      <w:rPr>
        <w:rFonts w:ascii="Courier New" w:hAnsi="Courier New" w:cs="Courier New" w:hint="default"/>
      </w:rPr>
    </w:lvl>
    <w:lvl w:ilvl="2" w:tplc="080A0005" w:tentative="1">
      <w:start w:val="1"/>
      <w:numFmt w:val="bullet"/>
      <w:lvlText w:val=""/>
      <w:lvlJc w:val="left"/>
      <w:pPr>
        <w:ind w:left="2523" w:hanging="360"/>
      </w:pPr>
      <w:rPr>
        <w:rFonts w:ascii="Wingdings" w:hAnsi="Wingdings" w:hint="default"/>
      </w:rPr>
    </w:lvl>
    <w:lvl w:ilvl="3" w:tplc="080A0001" w:tentative="1">
      <w:start w:val="1"/>
      <w:numFmt w:val="bullet"/>
      <w:lvlText w:val=""/>
      <w:lvlJc w:val="left"/>
      <w:pPr>
        <w:ind w:left="3243" w:hanging="360"/>
      </w:pPr>
      <w:rPr>
        <w:rFonts w:ascii="Symbol" w:hAnsi="Symbol" w:hint="default"/>
      </w:rPr>
    </w:lvl>
    <w:lvl w:ilvl="4" w:tplc="080A0003" w:tentative="1">
      <w:start w:val="1"/>
      <w:numFmt w:val="bullet"/>
      <w:lvlText w:val="o"/>
      <w:lvlJc w:val="left"/>
      <w:pPr>
        <w:ind w:left="3963" w:hanging="360"/>
      </w:pPr>
      <w:rPr>
        <w:rFonts w:ascii="Courier New" w:hAnsi="Courier New" w:cs="Courier New" w:hint="default"/>
      </w:rPr>
    </w:lvl>
    <w:lvl w:ilvl="5" w:tplc="080A0005" w:tentative="1">
      <w:start w:val="1"/>
      <w:numFmt w:val="bullet"/>
      <w:lvlText w:val=""/>
      <w:lvlJc w:val="left"/>
      <w:pPr>
        <w:ind w:left="4683" w:hanging="360"/>
      </w:pPr>
      <w:rPr>
        <w:rFonts w:ascii="Wingdings" w:hAnsi="Wingdings" w:hint="default"/>
      </w:rPr>
    </w:lvl>
    <w:lvl w:ilvl="6" w:tplc="080A0001" w:tentative="1">
      <w:start w:val="1"/>
      <w:numFmt w:val="bullet"/>
      <w:lvlText w:val=""/>
      <w:lvlJc w:val="left"/>
      <w:pPr>
        <w:ind w:left="5403" w:hanging="360"/>
      </w:pPr>
      <w:rPr>
        <w:rFonts w:ascii="Symbol" w:hAnsi="Symbol" w:hint="default"/>
      </w:rPr>
    </w:lvl>
    <w:lvl w:ilvl="7" w:tplc="080A0003" w:tentative="1">
      <w:start w:val="1"/>
      <w:numFmt w:val="bullet"/>
      <w:lvlText w:val="o"/>
      <w:lvlJc w:val="left"/>
      <w:pPr>
        <w:ind w:left="6123" w:hanging="360"/>
      </w:pPr>
      <w:rPr>
        <w:rFonts w:ascii="Courier New" w:hAnsi="Courier New" w:cs="Courier New" w:hint="default"/>
      </w:rPr>
    </w:lvl>
    <w:lvl w:ilvl="8" w:tplc="080A0005" w:tentative="1">
      <w:start w:val="1"/>
      <w:numFmt w:val="bullet"/>
      <w:lvlText w:val=""/>
      <w:lvlJc w:val="left"/>
      <w:pPr>
        <w:ind w:left="6843" w:hanging="360"/>
      </w:pPr>
      <w:rPr>
        <w:rFonts w:ascii="Wingdings" w:hAnsi="Wingdings" w:hint="default"/>
      </w:rPr>
    </w:lvl>
  </w:abstractNum>
  <w:num w:numId="1">
    <w:abstractNumId w:val="28"/>
  </w:num>
  <w:num w:numId="2">
    <w:abstractNumId w:val="20"/>
  </w:num>
  <w:num w:numId="3">
    <w:abstractNumId w:val="29"/>
  </w:num>
  <w:num w:numId="4">
    <w:abstractNumId w:val="34"/>
  </w:num>
  <w:num w:numId="5">
    <w:abstractNumId w:val="23"/>
  </w:num>
  <w:num w:numId="6">
    <w:abstractNumId w:val="37"/>
  </w:num>
  <w:num w:numId="7">
    <w:abstractNumId w:val="5"/>
  </w:num>
  <w:num w:numId="8">
    <w:abstractNumId w:val="2"/>
  </w:num>
  <w:num w:numId="9">
    <w:abstractNumId w:val="3"/>
  </w:num>
  <w:num w:numId="10">
    <w:abstractNumId w:val="13"/>
  </w:num>
  <w:num w:numId="11">
    <w:abstractNumId w:val="35"/>
  </w:num>
  <w:num w:numId="12">
    <w:abstractNumId w:val="18"/>
  </w:num>
  <w:num w:numId="13">
    <w:abstractNumId w:val="25"/>
  </w:num>
  <w:num w:numId="14">
    <w:abstractNumId w:val="33"/>
  </w:num>
  <w:num w:numId="15">
    <w:abstractNumId w:val="8"/>
  </w:num>
  <w:num w:numId="16">
    <w:abstractNumId w:val="21"/>
  </w:num>
  <w:num w:numId="17">
    <w:abstractNumId w:val="4"/>
  </w:num>
  <w:num w:numId="18">
    <w:abstractNumId w:val="17"/>
  </w:num>
  <w:num w:numId="19">
    <w:abstractNumId w:val="9"/>
  </w:num>
  <w:num w:numId="20">
    <w:abstractNumId w:val="28"/>
  </w:num>
  <w:num w:numId="21">
    <w:abstractNumId w:val="14"/>
  </w:num>
  <w:num w:numId="22">
    <w:abstractNumId w:val="10"/>
  </w:num>
  <w:num w:numId="23">
    <w:abstractNumId w:val="36"/>
  </w:num>
  <w:num w:numId="24">
    <w:abstractNumId w:val="26"/>
  </w:num>
  <w:num w:numId="25">
    <w:abstractNumId w:val="32"/>
  </w:num>
  <w:num w:numId="26">
    <w:abstractNumId w:val="11"/>
  </w:num>
  <w:num w:numId="27">
    <w:abstractNumId w:val="19"/>
  </w:num>
  <w:num w:numId="28">
    <w:abstractNumId w:val="31"/>
  </w:num>
  <w:num w:numId="29">
    <w:abstractNumId w:val="16"/>
  </w:num>
  <w:num w:numId="30">
    <w:abstractNumId w:val="22"/>
  </w:num>
  <w:num w:numId="31">
    <w:abstractNumId w:val="15"/>
  </w:num>
  <w:num w:numId="32">
    <w:abstractNumId w:val="7"/>
  </w:num>
  <w:num w:numId="33">
    <w:abstractNumId w:val="24"/>
  </w:num>
  <w:num w:numId="34">
    <w:abstractNumId w:val="28"/>
  </w:num>
  <w:num w:numId="35">
    <w:abstractNumId w:val="28"/>
  </w:num>
  <w:num w:numId="36">
    <w:abstractNumId w:val="28"/>
  </w:num>
  <w:num w:numId="37">
    <w:abstractNumId w:val="1"/>
  </w:num>
  <w:num w:numId="38">
    <w:abstractNumId w:val="30"/>
  </w:num>
  <w:num w:numId="39">
    <w:abstractNumId w:val="6"/>
  </w:num>
  <w:num w:numId="40">
    <w:abstractNumId w:val="0"/>
  </w:num>
  <w:num w:numId="41">
    <w:abstractNumId w:val="27"/>
  </w:num>
  <w:num w:numId="42">
    <w:abstractNumId w:val="1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1421" w:allStyles="1" w:customStyles="0" w:latentStyles="0" w:stylesInUse="0" w:headingStyles="1" w:numberingStyles="0" w:tableStyles="0" w:directFormattingOnRuns="0" w:directFormattingOnParagraphs="0" w:directFormattingOnNumbering="1" w:directFormattingOnTables="0" w:clearFormatting="1" w:top3HeadingStyles="0" w:visibleStyles="0" w:alternateStyleNames="0"/>
  <w:stylePaneSortMethod w:val="0004"/>
  <w:documentProtection w:edit="trackedChange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4E55"/>
    <w:rsid w:val="00000DA4"/>
    <w:rsid w:val="0000412E"/>
    <w:rsid w:val="0000566C"/>
    <w:rsid w:val="0000636D"/>
    <w:rsid w:val="00011EA5"/>
    <w:rsid w:val="00013F81"/>
    <w:rsid w:val="00013F87"/>
    <w:rsid w:val="00014B5D"/>
    <w:rsid w:val="00015492"/>
    <w:rsid w:val="00015B79"/>
    <w:rsid w:val="00015BA1"/>
    <w:rsid w:val="0002094D"/>
    <w:rsid w:val="000308CA"/>
    <w:rsid w:val="00030E9C"/>
    <w:rsid w:val="00031AC3"/>
    <w:rsid w:val="000321AA"/>
    <w:rsid w:val="00032259"/>
    <w:rsid w:val="00034F31"/>
    <w:rsid w:val="000360C8"/>
    <w:rsid w:val="00040485"/>
    <w:rsid w:val="00040BC0"/>
    <w:rsid w:val="000411EB"/>
    <w:rsid w:val="00042DAE"/>
    <w:rsid w:val="000430BF"/>
    <w:rsid w:val="000436D5"/>
    <w:rsid w:val="00046841"/>
    <w:rsid w:val="0005520A"/>
    <w:rsid w:val="00055C08"/>
    <w:rsid w:val="00063579"/>
    <w:rsid w:val="00063BCA"/>
    <w:rsid w:val="00070196"/>
    <w:rsid w:val="00071FC7"/>
    <w:rsid w:val="00072641"/>
    <w:rsid w:val="00073046"/>
    <w:rsid w:val="00074B57"/>
    <w:rsid w:val="000759AF"/>
    <w:rsid w:val="00075B48"/>
    <w:rsid w:val="00075DE7"/>
    <w:rsid w:val="00080BEB"/>
    <w:rsid w:val="00081BA5"/>
    <w:rsid w:val="00084E16"/>
    <w:rsid w:val="00087A9F"/>
    <w:rsid w:val="00093ABE"/>
    <w:rsid w:val="000A0BE0"/>
    <w:rsid w:val="000A1B05"/>
    <w:rsid w:val="000A2897"/>
    <w:rsid w:val="000A60DD"/>
    <w:rsid w:val="000A7D36"/>
    <w:rsid w:val="000A7F3A"/>
    <w:rsid w:val="000B79C3"/>
    <w:rsid w:val="000C006C"/>
    <w:rsid w:val="000C2876"/>
    <w:rsid w:val="000C2CE8"/>
    <w:rsid w:val="000C3487"/>
    <w:rsid w:val="000C4898"/>
    <w:rsid w:val="000E0409"/>
    <w:rsid w:val="000E07C8"/>
    <w:rsid w:val="000E29E2"/>
    <w:rsid w:val="000E397D"/>
    <w:rsid w:val="000E6361"/>
    <w:rsid w:val="000F0321"/>
    <w:rsid w:val="000F2164"/>
    <w:rsid w:val="000F30C7"/>
    <w:rsid w:val="000F5C68"/>
    <w:rsid w:val="000F726C"/>
    <w:rsid w:val="00102018"/>
    <w:rsid w:val="00102975"/>
    <w:rsid w:val="00104C9E"/>
    <w:rsid w:val="00104F5A"/>
    <w:rsid w:val="001121F1"/>
    <w:rsid w:val="00112A60"/>
    <w:rsid w:val="00123950"/>
    <w:rsid w:val="001269C7"/>
    <w:rsid w:val="00127072"/>
    <w:rsid w:val="00127334"/>
    <w:rsid w:val="001278FD"/>
    <w:rsid w:val="00131BE5"/>
    <w:rsid w:val="00134B19"/>
    <w:rsid w:val="00135026"/>
    <w:rsid w:val="0013519D"/>
    <w:rsid w:val="00135C64"/>
    <w:rsid w:val="001377A4"/>
    <w:rsid w:val="00137B77"/>
    <w:rsid w:val="00140DD8"/>
    <w:rsid w:val="00142D30"/>
    <w:rsid w:val="001456F2"/>
    <w:rsid w:val="00146918"/>
    <w:rsid w:val="001527E5"/>
    <w:rsid w:val="00153B7F"/>
    <w:rsid w:val="001578FB"/>
    <w:rsid w:val="001605D5"/>
    <w:rsid w:val="001622D5"/>
    <w:rsid w:val="00172E13"/>
    <w:rsid w:val="001735E7"/>
    <w:rsid w:val="001743A8"/>
    <w:rsid w:val="001745B5"/>
    <w:rsid w:val="001745ED"/>
    <w:rsid w:val="00174A96"/>
    <w:rsid w:val="00176A19"/>
    <w:rsid w:val="00180068"/>
    <w:rsid w:val="00180F7A"/>
    <w:rsid w:val="001859E0"/>
    <w:rsid w:val="00186399"/>
    <w:rsid w:val="00186984"/>
    <w:rsid w:val="00192102"/>
    <w:rsid w:val="00196194"/>
    <w:rsid w:val="001A60E1"/>
    <w:rsid w:val="001A6F92"/>
    <w:rsid w:val="001B39A5"/>
    <w:rsid w:val="001B3AD1"/>
    <w:rsid w:val="001B6970"/>
    <w:rsid w:val="001C197E"/>
    <w:rsid w:val="001C2BC1"/>
    <w:rsid w:val="001C5194"/>
    <w:rsid w:val="001C5FCD"/>
    <w:rsid w:val="001C7B52"/>
    <w:rsid w:val="001D15E0"/>
    <w:rsid w:val="001D37D8"/>
    <w:rsid w:val="001D5174"/>
    <w:rsid w:val="001D5B71"/>
    <w:rsid w:val="001D5F5E"/>
    <w:rsid w:val="001D6068"/>
    <w:rsid w:val="001E1A82"/>
    <w:rsid w:val="001F00ED"/>
    <w:rsid w:val="001F04C0"/>
    <w:rsid w:val="001F25A0"/>
    <w:rsid w:val="001F337A"/>
    <w:rsid w:val="001F35C7"/>
    <w:rsid w:val="001F39D2"/>
    <w:rsid w:val="001F44BC"/>
    <w:rsid w:val="001F4541"/>
    <w:rsid w:val="001F53E4"/>
    <w:rsid w:val="001F6942"/>
    <w:rsid w:val="001F7914"/>
    <w:rsid w:val="001F7965"/>
    <w:rsid w:val="00201830"/>
    <w:rsid w:val="00201FF3"/>
    <w:rsid w:val="002033E3"/>
    <w:rsid w:val="00203C9C"/>
    <w:rsid w:val="00204CF4"/>
    <w:rsid w:val="00205627"/>
    <w:rsid w:val="00210445"/>
    <w:rsid w:val="002162DC"/>
    <w:rsid w:val="00220C11"/>
    <w:rsid w:val="00223D7C"/>
    <w:rsid w:val="0023764E"/>
    <w:rsid w:val="002407CE"/>
    <w:rsid w:val="00243B68"/>
    <w:rsid w:val="00243E40"/>
    <w:rsid w:val="00246D9E"/>
    <w:rsid w:val="00251B39"/>
    <w:rsid w:val="00255081"/>
    <w:rsid w:val="002551A7"/>
    <w:rsid w:val="002559DA"/>
    <w:rsid w:val="00257219"/>
    <w:rsid w:val="0026037A"/>
    <w:rsid w:val="00262BE4"/>
    <w:rsid w:val="00263314"/>
    <w:rsid w:val="00263E34"/>
    <w:rsid w:val="0026536E"/>
    <w:rsid w:val="002702EC"/>
    <w:rsid w:val="0027055D"/>
    <w:rsid w:val="00271530"/>
    <w:rsid w:val="00275468"/>
    <w:rsid w:val="002765D6"/>
    <w:rsid w:val="00280F04"/>
    <w:rsid w:val="00284F89"/>
    <w:rsid w:val="00295407"/>
    <w:rsid w:val="00295657"/>
    <w:rsid w:val="002A2BCD"/>
    <w:rsid w:val="002A3279"/>
    <w:rsid w:val="002A37C0"/>
    <w:rsid w:val="002A37CF"/>
    <w:rsid w:val="002A6003"/>
    <w:rsid w:val="002B1E5B"/>
    <w:rsid w:val="002B2B9A"/>
    <w:rsid w:val="002B6916"/>
    <w:rsid w:val="002B6CC0"/>
    <w:rsid w:val="002C3281"/>
    <w:rsid w:val="002C78CF"/>
    <w:rsid w:val="002D375F"/>
    <w:rsid w:val="002D6F69"/>
    <w:rsid w:val="002D76CE"/>
    <w:rsid w:val="002E01A7"/>
    <w:rsid w:val="002E04B7"/>
    <w:rsid w:val="002E3903"/>
    <w:rsid w:val="002F03F0"/>
    <w:rsid w:val="002F1F07"/>
    <w:rsid w:val="002F3813"/>
    <w:rsid w:val="002F4AE7"/>
    <w:rsid w:val="002F4EE1"/>
    <w:rsid w:val="002F797B"/>
    <w:rsid w:val="00301FB1"/>
    <w:rsid w:val="00303FB6"/>
    <w:rsid w:val="003043A3"/>
    <w:rsid w:val="003140E1"/>
    <w:rsid w:val="0031475C"/>
    <w:rsid w:val="003156C2"/>
    <w:rsid w:val="00316552"/>
    <w:rsid w:val="00321B86"/>
    <w:rsid w:val="00321CA3"/>
    <w:rsid w:val="00323482"/>
    <w:rsid w:val="00323DA7"/>
    <w:rsid w:val="00324E97"/>
    <w:rsid w:val="00325664"/>
    <w:rsid w:val="003270CC"/>
    <w:rsid w:val="0033334F"/>
    <w:rsid w:val="003348BD"/>
    <w:rsid w:val="003354BA"/>
    <w:rsid w:val="00336AA3"/>
    <w:rsid w:val="003374B4"/>
    <w:rsid w:val="0034017B"/>
    <w:rsid w:val="00346E29"/>
    <w:rsid w:val="003504B8"/>
    <w:rsid w:val="003537D2"/>
    <w:rsid w:val="003545D5"/>
    <w:rsid w:val="00354816"/>
    <w:rsid w:val="003574ED"/>
    <w:rsid w:val="00357C25"/>
    <w:rsid w:val="003655A9"/>
    <w:rsid w:val="0037216F"/>
    <w:rsid w:val="003731E7"/>
    <w:rsid w:val="00373F9E"/>
    <w:rsid w:val="00377260"/>
    <w:rsid w:val="00393F62"/>
    <w:rsid w:val="00394863"/>
    <w:rsid w:val="003973AA"/>
    <w:rsid w:val="003A3DE2"/>
    <w:rsid w:val="003A4B14"/>
    <w:rsid w:val="003A549B"/>
    <w:rsid w:val="003B020D"/>
    <w:rsid w:val="003B0EEA"/>
    <w:rsid w:val="003B22E5"/>
    <w:rsid w:val="003B70F2"/>
    <w:rsid w:val="003C00CB"/>
    <w:rsid w:val="003C078A"/>
    <w:rsid w:val="003C20DA"/>
    <w:rsid w:val="003C2F57"/>
    <w:rsid w:val="003C54BF"/>
    <w:rsid w:val="003C6332"/>
    <w:rsid w:val="003C6AB1"/>
    <w:rsid w:val="003D58B5"/>
    <w:rsid w:val="003D5C75"/>
    <w:rsid w:val="003E0C1C"/>
    <w:rsid w:val="003E461D"/>
    <w:rsid w:val="003E766E"/>
    <w:rsid w:val="003E7751"/>
    <w:rsid w:val="003E77F5"/>
    <w:rsid w:val="003F2850"/>
    <w:rsid w:val="003F588C"/>
    <w:rsid w:val="003F70C7"/>
    <w:rsid w:val="00400ACD"/>
    <w:rsid w:val="00412B6E"/>
    <w:rsid w:val="00412BC9"/>
    <w:rsid w:val="00413D05"/>
    <w:rsid w:val="004154FC"/>
    <w:rsid w:val="00417746"/>
    <w:rsid w:val="004225BE"/>
    <w:rsid w:val="00423930"/>
    <w:rsid w:val="00426560"/>
    <w:rsid w:val="0043000F"/>
    <w:rsid w:val="00432C9A"/>
    <w:rsid w:val="00433A2C"/>
    <w:rsid w:val="004346C4"/>
    <w:rsid w:val="00434B83"/>
    <w:rsid w:val="004350A1"/>
    <w:rsid w:val="00436367"/>
    <w:rsid w:val="00437760"/>
    <w:rsid w:val="00437DCB"/>
    <w:rsid w:val="00440DDB"/>
    <w:rsid w:val="00441690"/>
    <w:rsid w:val="00444424"/>
    <w:rsid w:val="00446A73"/>
    <w:rsid w:val="00450725"/>
    <w:rsid w:val="004511C4"/>
    <w:rsid w:val="0045744C"/>
    <w:rsid w:val="00461893"/>
    <w:rsid w:val="004661FE"/>
    <w:rsid w:val="004667B8"/>
    <w:rsid w:val="0047424D"/>
    <w:rsid w:val="00476315"/>
    <w:rsid w:val="00476C78"/>
    <w:rsid w:val="0047740A"/>
    <w:rsid w:val="00477E89"/>
    <w:rsid w:val="00481DD3"/>
    <w:rsid w:val="00481F3F"/>
    <w:rsid w:val="004826AE"/>
    <w:rsid w:val="0048787F"/>
    <w:rsid w:val="004917A0"/>
    <w:rsid w:val="00491E32"/>
    <w:rsid w:val="0049249A"/>
    <w:rsid w:val="00495BFD"/>
    <w:rsid w:val="0049749F"/>
    <w:rsid w:val="004A0545"/>
    <w:rsid w:val="004A533B"/>
    <w:rsid w:val="004B170A"/>
    <w:rsid w:val="004B4093"/>
    <w:rsid w:val="004B5803"/>
    <w:rsid w:val="004B6378"/>
    <w:rsid w:val="004C17A4"/>
    <w:rsid w:val="004C2119"/>
    <w:rsid w:val="004C21A1"/>
    <w:rsid w:val="004C2323"/>
    <w:rsid w:val="004D50BC"/>
    <w:rsid w:val="004D7AE8"/>
    <w:rsid w:val="004E0D88"/>
    <w:rsid w:val="004E3DEC"/>
    <w:rsid w:val="004E4051"/>
    <w:rsid w:val="004E44CE"/>
    <w:rsid w:val="004E5899"/>
    <w:rsid w:val="004E59EE"/>
    <w:rsid w:val="004E5F4A"/>
    <w:rsid w:val="004E652D"/>
    <w:rsid w:val="004E663A"/>
    <w:rsid w:val="004F3BA2"/>
    <w:rsid w:val="004F4680"/>
    <w:rsid w:val="004F55E0"/>
    <w:rsid w:val="004F7BC1"/>
    <w:rsid w:val="005024A6"/>
    <w:rsid w:val="00503A5C"/>
    <w:rsid w:val="005045B7"/>
    <w:rsid w:val="005063D9"/>
    <w:rsid w:val="00511737"/>
    <w:rsid w:val="0051379E"/>
    <w:rsid w:val="0051517C"/>
    <w:rsid w:val="005162BD"/>
    <w:rsid w:val="0051709B"/>
    <w:rsid w:val="005210C6"/>
    <w:rsid w:val="0052326A"/>
    <w:rsid w:val="005248DD"/>
    <w:rsid w:val="0053051D"/>
    <w:rsid w:val="00534227"/>
    <w:rsid w:val="005365FD"/>
    <w:rsid w:val="0054354E"/>
    <w:rsid w:val="00545FF7"/>
    <w:rsid w:val="005507D5"/>
    <w:rsid w:val="00553C8B"/>
    <w:rsid w:val="00554E83"/>
    <w:rsid w:val="00556DB3"/>
    <w:rsid w:val="00566761"/>
    <w:rsid w:val="00567D59"/>
    <w:rsid w:val="005712F0"/>
    <w:rsid w:val="005724B1"/>
    <w:rsid w:val="005746EA"/>
    <w:rsid w:val="005772DE"/>
    <w:rsid w:val="005858DB"/>
    <w:rsid w:val="0059235A"/>
    <w:rsid w:val="00592634"/>
    <w:rsid w:val="00595FC2"/>
    <w:rsid w:val="00597129"/>
    <w:rsid w:val="005A00E5"/>
    <w:rsid w:val="005A0BAD"/>
    <w:rsid w:val="005A30B5"/>
    <w:rsid w:val="005A3AB7"/>
    <w:rsid w:val="005A5AC5"/>
    <w:rsid w:val="005B2E30"/>
    <w:rsid w:val="005B52DD"/>
    <w:rsid w:val="005B6274"/>
    <w:rsid w:val="005B79EE"/>
    <w:rsid w:val="005B7ABD"/>
    <w:rsid w:val="005C0AA1"/>
    <w:rsid w:val="005C1B28"/>
    <w:rsid w:val="005C224C"/>
    <w:rsid w:val="005C3538"/>
    <w:rsid w:val="005C4209"/>
    <w:rsid w:val="005D00DF"/>
    <w:rsid w:val="005D46E6"/>
    <w:rsid w:val="005D475D"/>
    <w:rsid w:val="005D5B2A"/>
    <w:rsid w:val="005E3C4A"/>
    <w:rsid w:val="005E508C"/>
    <w:rsid w:val="005E6812"/>
    <w:rsid w:val="005F097F"/>
    <w:rsid w:val="005F612C"/>
    <w:rsid w:val="00601B08"/>
    <w:rsid w:val="0060339B"/>
    <w:rsid w:val="0060492B"/>
    <w:rsid w:val="006104FF"/>
    <w:rsid w:val="00610ECB"/>
    <w:rsid w:val="00611783"/>
    <w:rsid w:val="0061765C"/>
    <w:rsid w:val="00617A75"/>
    <w:rsid w:val="00620CA1"/>
    <w:rsid w:val="006217E7"/>
    <w:rsid w:val="006272D7"/>
    <w:rsid w:val="0063158A"/>
    <w:rsid w:val="00631A66"/>
    <w:rsid w:val="00633F01"/>
    <w:rsid w:val="00634C0A"/>
    <w:rsid w:val="00636448"/>
    <w:rsid w:val="006370F0"/>
    <w:rsid w:val="00642744"/>
    <w:rsid w:val="006448DE"/>
    <w:rsid w:val="006459FD"/>
    <w:rsid w:val="00646D34"/>
    <w:rsid w:val="006479E8"/>
    <w:rsid w:val="0065225C"/>
    <w:rsid w:val="00654D98"/>
    <w:rsid w:val="00663521"/>
    <w:rsid w:val="00663FAD"/>
    <w:rsid w:val="006641F9"/>
    <w:rsid w:val="0066613B"/>
    <w:rsid w:val="00667DEF"/>
    <w:rsid w:val="0067060C"/>
    <w:rsid w:val="00671016"/>
    <w:rsid w:val="00671445"/>
    <w:rsid w:val="00674B56"/>
    <w:rsid w:val="0067511B"/>
    <w:rsid w:val="00677863"/>
    <w:rsid w:val="00680EA1"/>
    <w:rsid w:val="006815FE"/>
    <w:rsid w:val="006823BB"/>
    <w:rsid w:val="006851CC"/>
    <w:rsid w:val="00685332"/>
    <w:rsid w:val="00685EA6"/>
    <w:rsid w:val="00686800"/>
    <w:rsid w:val="00686E7A"/>
    <w:rsid w:val="006906FD"/>
    <w:rsid w:val="006937CA"/>
    <w:rsid w:val="006941C9"/>
    <w:rsid w:val="0069433F"/>
    <w:rsid w:val="006A21CD"/>
    <w:rsid w:val="006A4EB7"/>
    <w:rsid w:val="006B0FF4"/>
    <w:rsid w:val="006B2E42"/>
    <w:rsid w:val="006B4FE8"/>
    <w:rsid w:val="006C1E29"/>
    <w:rsid w:val="006C6CEC"/>
    <w:rsid w:val="006D0BB2"/>
    <w:rsid w:val="006D1082"/>
    <w:rsid w:val="006D243F"/>
    <w:rsid w:val="006D44C8"/>
    <w:rsid w:val="006D46CF"/>
    <w:rsid w:val="006D6DA7"/>
    <w:rsid w:val="006E101C"/>
    <w:rsid w:val="006E1043"/>
    <w:rsid w:val="006E27A7"/>
    <w:rsid w:val="006E647B"/>
    <w:rsid w:val="006E7FBA"/>
    <w:rsid w:val="006F0CC2"/>
    <w:rsid w:val="006F44B3"/>
    <w:rsid w:val="006F4AB1"/>
    <w:rsid w:val="006F5FF7"/>
    <w:rsid w:val="00701187"/>
    <w:rsid w:val="00704631"/>
    <w:rsid w:val="0070534A"/>
    <w:rsid w:val="0071159A"/>
    <w:rsid w:val="007117A5"/>
    <w:rsid w:val="00715C4A"/>
    <w:rsid w:val="007211AB"/>
    <w:rsid w:val="00724052"/>
    <w:rsid w:val="00725358"/>
    <w:rsid w:val="007257FE"/>
    <w:rsid w:val="007258CD"/>
    <w:rsid w:val="007259BA"/>
    <w:rsid w:val="007325C9"/>
    <w:rsid w:val="00733376"/>
    <w:rsid w:val="00735E33"/>
    <w:rsid w:val="00735F29"/>
    <w:rsid w:val="00740CE8"/>
    <w:rsid w:val="007414AB"/>
    <w:rsid w:val="007439A8"/>
    <w:rsid w:val="00744EE0"/>
    <w:rsid w:val="007460BE"/>
    <w:rsid w:val="00746DBC"/>
    <w:rsid w:val="007528CB"/>
    <w:rsid w:val="007546B7"/>
    <w:rsid w:val="00760530"/>
    <w:rsid w:val="007656F1"/>
    <w:rsid w:val="00771E13"/>
    <w:rsid w:val="00782833"/>
    <w:rsid w:val="0078405E"/>
    <w:rsid w:val="007843E5"/>
    <w:rsid w:val="007920FD"/>
    <w:rsid w:val="007924CF"/>
    <w:rsid w:val="0079343C"/>
    <w:rsid w:val="007939D8"/>
    <w:rsid w:val="00794FAE"/>
    <w:rsid w:val="007A09FC"/>
    <w:rsid w:val="007A30B7"/>
    <w:rsid w:val="007A7A46"/>
    <w:rsid w:val="007B3665"/>
    <w:rsid w:val="007B3F4A"/>
    <w:rsid w:val="007B718B"/>
    <w:rsid w:val="007B7F9A"/>
    <w:rsid w:val="007C39BA"/>
    <w:rsid w:val="007C7497"/>
    <w:rsid w:val="007C7EB9"/>
    <w:rsid w:val="007D0934"/>
    <w:rsid w:val="007D6DA7"/>
    <w:rsid w:val="007D7323"/>
    <w:rsid w:val="007D7D4A"/>
    <w:rsid w:val="007E24EB"/>
    <w:rsid w:val="007E26E9"/>
    <w:rsid w:val="007F0B8D"/>
    <w:rsid w:val="007F3F3B"/>
    <w:rsid w:val="007F6248"/>
    <w:rsid w:val="007F73F4"/>
    <w:rsid w:val="00803699"/>
    <w:rsid w:val="00803988"/>
    <w:rsid w:val="00804872"/>
    <w:rsid w:val="008067AA"/>
    <w:rsid w:val="00810842"/>
    <w:rsid w:val="00811A1B"/>
    <w:rsid w:val="0081331F"/>
    <w:rsid w:val="00814165"/>
    <w:rsid w:val="0081481F"/>
    <w:rsid w:val="00816E6A"/>
    <w:rsid w:val="00825CAF"/>
    <w:rsid w:val="0082611E"/>
    <w:rsid w:val="008261C0"/>
    <w:rsid w:val="00834F45"/>
    <w:rsid w:val="00836914"/>
    <w:rsid w:val="00837361"/>
    <w:rsid w:val="00850BB3"/>
    <w:rsid w:val="0086062D"/>
    <w:rsid w:val="008607B0"/>
    <w:rsid w:val="008651DA"/>
    <w:rsid w:val="00870B37"/>
    <w:rsid w:val="008741BF"/>
    <w:rsid w:val="00874282"/>
    <w:rsid w:val="00874551"/>
    <w:rsid w:val="00883DB1"/>
    <w:rsid w:val="00884522"/>
    <w:rsid w:val="00884C1B"/>
    <w:rsid w:val="00887D16"/>
    <w:rsid w:val="008A3DC0"/>
    <w:rsid w:val="008A4916"/>
    <w:rsid w:val="008A4FE2"/>
    <w:rsid w:val="008A551B"/>
    <w:rsid w:val="008A6457"/>
    <w:rsid w:val="008B4344"/>
    <w:rsid w:val="008B58F6"/>
    <w:rsid w:val="008B6EC9"/>
    <w:rsid w:val="008B733C"/>
    <w:rsid w:val="008C08E3"/>
    <w:rsid w:val="008C3C1D"/>
    <w:rsid w:val="008C5C0F"/>
    <w:rsid w:val="008D1006"/>
    <w:rsid w:val="008D6E2B"/>
    <w:rsid w:val="008E0E0E"/>
    <w:rsid w:val="008E2679"/>
    <w:rsid w:val="008E3E6E"/>
    <w:rsid w:val="008E750B"/>
    <w:rsid w:val="008F25A8"/>
    <w:rsid w:val="008F3CB6"/>
    <w:rsid w:val="008F61F3"/>
    <w:rsid w:val="008F73DE"/>
    <w:rsid w:val="00905B63"/>
    <w:rsid w:val="00905EBC"/>
    <w:rsid w:val="00906759"/>
    <w:rsid w:val="009133D7"/>
    <w:rsid w:val="00915E2D"/>
    <w:rsid w:val="009173AE"/>
    <w:rsid w:val="00920B67"/>
    <w:rsid w:val="00921686"/>
    <w:rsid w:val="00921CC4"/>
    <w:rsid w:val="009240B2"/>
    <w:rsid w:val="00925046"/>
    <w:rsid w:val="00925415"/>
    <w:rsid w:val="00932F70"/>
    <w:rsid w:val="009334CF"/>
    <w:rsid w:val="00934114"/>
    <w:rsid w:val="00936371"/>
    <w:rsid w:val="0094007B"/>
    <w:rsid w:val="009431DF"/>
    <w:rsid w:val="00945D6E"/>
    <w:rsid w:val="00947657"/>
    <w:rsid w:val="009525D3"/>
    <w:rsid w:val="009569CA"/>
    <w:rsid w:val="009617D1"/>
    <w:rsid w:val="009635EF"/>
    <w:rsid w:val="00971121"/>
    <w:rsid w:val="009721FB"/>
    <w:rsid w:val="00986E82"/>
    <w:rsid w:val="00992D4F"/>
    <w:rsid w:val="00996462"/>
    <w:rsid w:val="009969B2"/>
    <w:rsid w:val="00996D69"/>
    <w:rsid w:val="009978F7"/>
    <w:rsid w:val="009978FA"/>
    <w:rsid w:val="009A3B83"/>
    <w:rsid w:val="009A4446"/>
    <w:rsid w:val="009A6CAB"/>
    <w:rsid w:val="009A70DB"/>
    <w:rsid w:val="009B2BB8"/>
    <w:rsid w:val="009B2C23"/>
    <w:rsid w:val="009B3837"/>
    <w:rsid w:val="009B489C"/>
    <w:rsid w:val="009B6C6F"/>
    <w:rsid w:val="009B70B4"/>
    <w:rsid w:val="009C3C24"/>
    <w:rsid w:val="009C61CC"/>
    <w:rsid w:val="009C647C"/>
    <w:rsid w:val="009D0238"/>
    <w:rsid w:val="009D0746"/>
    <w:rsid w:val="009D2BD9"/>
    <w:rsid w:val="009D38DE"/>
    <w:rsid w:val="009D660C"/>
    <w:rsid w:val="009E4C75"/>
    <w:rsid w:val="009E7CC3"/>
    <w:rsid w:val="009F0CB8"/>
    <w:rsid w:val="009F12E5"/>
    <w:rsid w:val="009F1852"/>
    <w:rsid w:val="009F20D0"/>
    <w:rsid w:val="009F61CA"/>
    <w:rsid w:val="00A0170A"/>
    <w:rsid w:val="00A05FFF"/>
    <w:rsid w:val="00A07803"/>
    <w:rsid w:val="00A10A7B"/>
    <w:rsid w:val="00A12179"/>
    <w:rsid w:val="00A12FA0"/>
    <w:rsid w:val="00A14184"/>
    <w:rsid w:val="00A15839"/>
    <w:rsid w:val="00A15EEC"/>
    <w:rsid w:val="00A21113"/>
    <w:rsid w:val="00A22920"/>
    <w:rsid w:val="00A260B0"/>
    <w:rsid w:val="00A27D71"/>
    <w:rsid w:val="00A338FE"/>
    <w:rsid w:val="00A33B32"/>
    <w:rsid w:val="00A3585D"/>
    <w:rsid w:val="00A36D27"/>
    <w:rsid w:val="00A52F42"/>
    <w:rsid w:val="00A53CDB"/>
    <w:rsid w:val="00A56713"/>
    <w:rsid w:val="00A572FE"/>
    <w:rsid w:val="00A60829"/>
    <w:rsid w:val="00A61195"/>
    <w:rsid w:val="00A61670"/>
    <w:rsid w:val="00A62EAA"/>
    <w:rsid w:val="00A64A06"/>
    <w:rsid w:val="00A64F61"/>
    <w:rsid w:val="00A678D0"/>
    <w:rsid w:val="00A71F0F"/>
    <w:rsid w:val="00A729D8"/>
    <w:rsid w:val="00A72C80"/>
    <w:rsid w:val="00A7722E"/>
    <w:rsid w:val="00A81077"/>
    <w:rsid w:val="00A8290D"/>
    <w:rsid w:val="00A872D1"/>
    <w:rsid w:val="00A87E00"/>
    <w:rsid w:val="00A9302E"/>
    <w:rsid w:val="00A95D67"/>
    <w:rsid w:val="00A96974"/>
    <w:rsid w:val="00AA09AD"/>
    <w:rsid w:val="00AA1046"/>
    <w:rsid w:val="00AA761F"/>
    <w:rsid w:val="00AB0800"/>
    <w:rsid w:val="00AB1E92"/>
    <w:rsid w:val="00AB419C"/>
    <w:rsid w:val="00AB625D"/>
    <w:rsid w:val="00AC12DF"/>
    <w:rsid w:val="00AC2541"/>
    <w:rsid w:val="00AC445B"/>
    <w:rsid w:val="00AC4FFB"/>
    <w:rsid w:val="00AD10AF"/>
    <w:rsid w:val="00AD182A"/>
    <w:rsid w:val="00AD4885"/>
    <w:rsid w:val="00AD6D44"/>
    <w:rsid w:val="00AE1142"/>
    <w:rsid w:val="00AE3789"/>
    <w:rsid w:val="00AE526C"/>
    <w:rsid w:val="00AE6195"/>
    <w:rsid w:val="00AE631B"/>
    <w:rsid w:val="00AE6A13"/>
    <w:rsid w:val="00AE7A79"/>
    <w:rsid w:val="00AF19DA"/>
    <w:rsid w:val="00AF5A64"/>
    <w:rsid w:val="00AF70EA"/>
    <w:rsid w:val="00B01E1D"/>
    <w:rsid w:val="00B11B7A"/>
    <w:rsid w:val="00B13AED"/>
    <w:rsid w:val="00B1586A"/>
    <w:rsid w:val="00B15D40"/>
    <w:rsid w:val="00B22B52"/>
    <w:rsid w:val="00B247A2"/>
    <w:rsid w:val="00B27624"/>
    <w:rsid w:val="00B30C16"/>
    <w:rsid w:val="00B343FE"/>
    <w:rsid w:val="00B34F6C"/>
    <w:rsid w:val="00B37277"/>
    <w:rsid w:val="00B42B73"/>
    <w:rsid w:val="00B438C4"/>
    <w:rsid w:val="00B50E8F"/>
    <w:rsid w:val="00B51D1B"/>
    <w:rsid w:val="00B53993"/>
    <w:rsid w:val="00B549B6"/>
    <w:rsid w:val="00B71AF6"/>
    <w:rsid w:val="00B72C56"/>
    <w:rsid w:val="00B73CE9"/>
    <w:rsid w:val="00B751F9"/>
    <w:rsid w:val="00B77239"/>
    <w:rsid w:val="00B77373"/>
    <w:rsid w:val="00B8035B"/>
    <w:rsid w:val="00B8106E"/>
    <w:rsid w:val="00B8182B"/>
    <w:rsid w:val="00B832D2"/>
    <w:rsid w:val="00B83AE1"/>
    <w:rsid w:val="00B91081"/>
    <w:rsid w:val="00B9210C"/>
    <w:rsid w:val="00B97257"/>
    <w:rsid w:val="00BA11EF"/>
    <w:rsid w:val="00BA3294"/>
    <w:rsid w:val="00BA395E"/>
    <w:rsid w:val="00BA7D15"/>
    <w:rsid w:val="00BB16B8"/>
    <w:rsid w:val="00BB2431"/>
    <w:rsid w:val="00BB4E83"/>
    <w:rsid w:val="00BB50F7"/>
    <w:rsid w:val="00BC077B"/>
    <w:rsid w:val="00BC0F30"/>
    <w:rsid w:val="00BC3036"/>
    <w:rsid w:val="00BC3EE1"/>
    <w:rsid w:val="00BC44BF"/>
    <w:rsid w:val="00BC4C82"/>
    <w:rsid w:val="00BC4F01"/>
    <w:rsid w:val="00BC5535"/>
    <w:rsid w:val="00BC5671"/>
    <w:rsid w:val="00BC6283"/>
    <w:rsid w:val="00BC6509"/>
    <w:rsid w:val="00BC67A9"/>
    <w:rsid w:val="00BC6883"/>
    <w:rsid w:val="00BD0401"/>
    <w:rsid w:val="00BD6C18"/>
    <w:rsid w:val="00BE0E0B"/>
    <w:rsid w:val="00BE4FD8"/>
    <w:rsid w:val="00BE5DAC"/>
    <w:rsid w:val="00BF13EB"/>
    <w:rsid w:val="00BF15FC"/>
    <w:rsid w:val="00BF3140"/>
    <w:rsid w:val="00BF6E75"/>
    <w:rsid w:val="00C03C59"/>
    <w:rsid w:val="00C05301"/>
    <w:rsid w:val="00C066E3"/>
    <w:rsid w:val="00C078B6"/>
    <w:rsid w:val="00C17F65"/>
    <w:rsid w:val="00C21CF6"/>
    <w:rsid w:val="00C23F63"/>
    <w:rsid w:val="00C25640"/>
    <w:rsid w:val="00C258D3"/>
    <w:rsid w:val="00C36558"/>
    <w:rsid w:val="00C42756"/>
    <w:rsid w:val="00C4519E"/>
    <w:rsid w:val="00C5200E"/>
    <w:rsid w:val="00C55164"/>
    <w:rsid w:val="00C60401"/>
    <w:rsid w:val="00C63CD1"/>
    <w:rsid w:val="00C6554A"/>
    <w:rsid w:val="00C70D31"/>
    <w:rsid w:val="00C7101E"/>
    <w:rsid w:val="00C7469E"/>
    <w:rsid w:val="00C75284"/>
    <w:rsid w:val="00C7671E"/>
    <w:rsid w:val="00C844EE"/>
    <w:rsid w:val="00C84E55"/>
    <w:rsid w:val="00C861A4"/>
    <w:rsid w:val="00C86735"/>
    <w:rsid w:val="00C86C98"/>
    <w:rsid w:val="00C8753F"/>
    <w:rsid w:val="00C92C3C"/>
    <w:rsid w:val="00C93279"/>
    <w:rsid w:val="00CA0202"/>
    <w:rsid w:val="00CA15CB"/>
    <w:rsid w:val="00CA3560"/>
    <w:rsid w:val="00CA3625"/>
    <w:rsid w:val="00CA43C3"/>
    <w:rsid w:val="00CB0034"/>
    <w:rsid w:val="00CB0E2E"/>
    <w:rsid w:val="00CB202B"/>
    <w:rsid w:val="00CB77D1"/>
    <w:rsid w:val="00CC041F"/>
    <w:rsid w:val="00CC05E7"/>
    <w:rsid w:val="00CC16E2"/>
    <w:rsid w:val="00CC40D5"/>
    <w:rsid w:val="00CC4264"/>
    <w:rsid w:val="00CC7AE6"/>
    <w:rsid w:val="00CD24CE"/>
    <w:rsid w:val="00CD349B"/>
    <w:rsid w:val="00CD5740"/>
    <w:rsid w:val="00CD6767"/>
    <w:rsid w:val="00CD710D"/>
    <w:rsid w:val="00CE1357"/>
    <w:rsid w:val="00CE17FE"/>
    <w:rsid w:val="00CE3487"/>
    <w:rsid w:val="00CE614B"/>
    <w:rsid w:val="00CE7C4E"/>
    <w:rsid w:val="00CF14D4"/>
    <w:rsid w:val="00CF7A3A"/>
    <w:rsid w:val="00D0127A"/>
    <w:rsid w:val="00D0136A"/>
    <w:rsid w:val="00D04687"/>
    <w:rsid w:val="00D048AC"/>
    <w:rsid w:val="00D05B3B"/>
    <w:rsid w:val="00D06797"/>
    <w:rsid w:val="00D10E6A"/>
    <w:rsid w:val="00D14CF2"/>
    <w:rsid w:val="00D16173"/>
    <w:rsid w:val="00D16572"/>
    <w:rsid w:val="00D16CD3"/>
    <w:rsid w:val="00D17520"/>
    <w:rsid w:val="00D179A3"/>
    <w:rsid w:val="00D216BF"/>
    <w:rsid w:val="00D24800"/>
    <w:rsid w:val="00D27309"/>
    <w:rsid w:val="00D30333"/>
    <w:rsid w:val="00D344BA"/>
    <w:rsid w:val="00D411B6"/>
    <w:rsid w:val="00D5562E"/>
    <w:rsid w:val="00D56DC9"/>
    <w:rsid w:val="00D61035"/>
    <w:rsid w:val="00D6124B"/>
    <w:rsid w:val="00D65541"/>
    <w:rsid w:val="00D81C7E"/>
    <w:rsid w:val="00D839CF"/>
    <w:rsid w:val="00D8401E"/>
    <w:rsid w:val="00D859B2"/>
    <w:rsid w:val="00D85C7C"/>
    <w:rsid w:val="00D871EE"/>
    <w:rsid w:val="00DA0214"/>
    <w:rsid w:val="00DA037B"/>
    <w:rsid w:val="00DA3EC3"/>
    <w:rsid w:val="00DB52EE"/>
    <w:rsid w:val="00DB742E"/>
    <w:rsid w:val="00DC211A"/>
    <w:rsid w:val="00DC473B"/>
    <w:rsid w:val="00DC5DBB"/>
    <w:rsid w:val="00DC6F2D"/>
    <w:rsid w:val="00DD0D81"/>
    <w:rsid w:val="00DD1231"/>
    <w:rsid w:val="00DD22F3"/>
    <w:rsid w:val="00DD5812"/>
    <w:rsid w:val="00DF0B4F"/>
    <w:rsid w:val="00DF3304"/>
    <w:rsid w:val="00DF3BA6"/>
    <w:rsid w:val="00DF46A6"/>
    <w:rsid w:val="00DF4FF6"/>
    <w:rsid w:val="00E0234E"/>
    <w:rsid w:val="00E07BE8"/>
    <w:rsid w:val="00E10629"/>
    <w:rsid w:val="00E10F5B"/>
    <w:rsid w:val="00E13674"/>
    <w:rsid w:val="00E139E7"/>
    <w:rsid w:val="00E1491C"/>
    <w:rsid w:val="00E15D36"/>
    <w:rsid w:val="00E20300"/>
    <w:rsid w:val="00E2077D"/>
    <w:rsid w:val="00E313DA"/>
    <w:rsid w:val="00E322E6"/>
    <w:rsid w:val="00E35C52"/>
    <w:rsid w:val="00E361E7"/>
    <w:rsid w:val="00E364D1"/>
    <w:rsid w:val="00E50821"/>
    <w:rsid w:val="00E5221C"/>
    <w:rsid w:val="00E52592"/>
    <w:rsid w:val="00E52AC4"/>
    <w:rsid w:val="00E5371E"/>
    <w:rsid w:val="00E61240"/>
    <w:rsid w:val="00E6129F"/>
    <w:rsid w:val="00E65771"/>
    <w:rsid w:val="00E71D46"/>
    <w:rsid w:val="00E74C5A"/>
    <w:rsid w:val="00E76AF3"/>
    <w:rsid w:val="00E775AB"/>
    <w:rsid w:val="00E77903"/>
    <w:rsid w:val="00E81BAB"/>
    <w:rsid w:val="00E83EC1"/>
    <w:rsid w:val="00E92088"/>
    <w:rsid w:val="00E93D03"/>
    <w:rsid w:val="00E96AB2"/>
    <w:rsid w:val="00EA16A0"/>
    <w:rsid w:val="00EA5831"/>
    <w:rsid w:val="00EA7995"/>
    <w:rsid w:val="00EB353C"/>
    <w:rsid w:val="00EB3FC5"/>
    <w:rsid w:val="00EB6674"/>
    <w:rsid w:val="00EB6E70"/>
    <w:rsid w:val="00EC025A"/>
    <w:rsid w:val="00EC21A1"/>
    <w:rsid w:val="00EC2223"/>
    <w:rsid w:val="00EC31CB"/>
    <w:rsid w:val="00EC6078"/>
    <w:rsid w:val="00EC6979"/>
    <w:rsid w:val="00EC7937"/>
    <w:rsid w:val="00ED0581"/>
    <w:rsid w:val="00ED06F7"/>
    <w:rsid w:val="00ED6A5A"/>
    <w:rsid w:val="00EE1A04"/>
    <w:rsid w:val="00EE22E6"/>
    <w:rsid w:val="00EE40B7"/>
    <w:rsid w:val="00EE4874"/>
    <w:rsid w:val="00EE5081"/>
    <w:rsid w:val="00EE5C5B"/>
    <w:rsid w:val="00EF0912"/>
    <w:rsid w:val="00EF641C"/>
    <w:rsid w:val="00F01A61"/>
    <w:rsid w:val="00F01F38"/>
    <w:rsid w:val="00F067C3"/>
    <w:rsid w:val="00F1379E"/>
    <w:rsid w:val="00F174D8"/>
    <w:rsid w:val="00F22FC5"/>
    <w:rsid w:val="00F23704"/>
    <w:rsid w:val="00F30620"/>
    <w:rsid w:val="00F31319"/>
    <w:rsid w:val="00F34D8C"/>
    <w:rsid w:val="00F3654D"/>
    <w:rsid w:val="00F36D96"/>
    <w:rsid w:val="00F37348"/>
    <w:rsid w:val="00F405D2"/>
    <w:rsid w:val="00F429E3"/>
    <w:rsid w:val="00F438DE"/>
    <w:rsid w:val="00F44BEB"/>
    <w:rsid w:val="00F44CA0"/>
    <w:rsid w:val="00F44F8D"/>
    <w:rsid w:val="00F468B1"/>
    <w:rsid w:val="00F47AB8"/>
    <w:rsid w:val="00F522AD"/>
    <w:rsid w:val="00F53F33"/>
    <w:rsid w:val="00F576E1"/>
    <w:rsid w:val="00F61032"/>
    <w:rsid w:val="00F61314"/>
    <w:rsid w:val="00F62A94"/>
    <w:rsid w:val="00F62C5A"/>
    <w:rsid w:val="00F675E0"/>
    <w:rsid w:val="00F72908"/>
    <w:rsid w:val="00F80441"/>
    <w:rsid w:val="00F8187F"/>
    <w:rsid w:val="00F8423B"/>
    <w:rsid w:val="00F86845"/>
    <w:rsid w:val="00F86C1F"/>
    <w:rsid w:val="00F86F92"/>
    <w:rsid w:val="00F90D6D"/>
    <w:rsid w:val="00F9214E"/>
    <w:rsid w:val="00F922C7"/>
    <w:rsid w:val="00F93D0E"/>
    <w:rsid w:val="00F9412E"/>
    <w:rsid w:val="00F95760"/>
    <w:rsid w:val="00FA0795"/>
    <w:rsid w:val="00FA678E"/>
    <w:rsid w:val="00FB3416"/>
    <w:rsid w:val="00FB71EB"/>
    <w:rsid w:val="00FC00FD"/>
    <w:rsid w:val="00FC03CE"/>
    <w:rsid w:val="00FC200E"/>
    <w:rsid w:val="00FC2554"/>
    <w:rsid w:val="00FC29E7"/>
    <w:rsid w:val="00FC39E1"/>
    <w:rsid w:val="00FC3A0A"/>
    <w:rsid w:val="00FD1425"/>
    <w:rsid w:val="00FD184A"/>
    <w:rsid w:val="00FD2B38"/>
    <w:rsid w:val="00FD6524"/>
    <w:rsid w:val="00FD6BCB"/>
    <w:rsid w:val="00FD78D8"/>
    <w:rsid w:val="00FE27B4"/>
    <w:rsid w:val="00FE6A54"/>
    <w:rsid w:val="00FF31B0"/>
    <w:rsid w:val="00FF458F"/>
    <w:rsid w:val="00FF4A3C"/>
    <w:rsid w:val="00FF4F1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89C766"/>
  <w15:chartTrackingRefBased/>
  <w15:docId w15:val="{45139E4C-9A2B-4F47-9EF0-C3241DCEF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7C4E"/>
    <w:pPr>
      <w:spacing w:after="160" w:line="259" w:lineRule="auto"/>
    </w:pPr>
    <w:rPr>
      <w:sz w:val="22"/>
      <w:szCs w:val="22"/>
      <w:lang w:val="es-ES" w:eastAsia="en-US"/>
    </w:rPr>
  </w:style>
  <w:style w:type="paragraph" w:styleId="Ttulo1">
    <w:name w:val="heading 1"/>
    <w:basedOn w:val="Normal"/>
    <w:next w:val="Normal"/>
    <w:link w:val="Ttulo1Car"/>
    <w:qFormat/>
    <w:rsid w:val="00B01E1D"/>
    <w:pPr>
      <w:keepNext/>
      <w:keepLines/>
      <w:numPr>
        <w:numId w:val="4"/>
      </w:numPr>
      <w:spacing w:before="480" w:after="240" w:line="240" w:lineRule="auto"/>
      <w:ind w:left="357" w:hanging="357"/>
      <w:outlineLvl w:val="0"/>
    </w:pPr>
    <w:rPr>
      <w:rFonts w:ascii="Soberana Sans Light" w:eastAsia="Times New Roman" w:hAnsi="Soberana Sans Light"/>
      <w:b/>
      <w:sz w:val="18"/>
      <w:szCs w:val="18"/>
      <w:lang w:val="es-MX"/>
    </w:rPr>
  </w:style>
  <w:style w:type="paragraph" w:styleId="Ttulo2">
    <w:name w:val="heading 2"/>
    <w:basedOn w:val="Normal"/>
    <w:next w:val="Normal"/>
    <w:link w:val="Ttulo2Car"/>
    <w:unhideWhenUsed/>
    <w:qFormat/>
    <w:rsid w:val="00B01E1D"/>
    <w:pPr>
      <w:keepNext/>
      <w:keepLines/>
      <w:numPr>
        <w:ilvl w:val="1"/>
        <w:numId w:val="4"/>
      </w:numPr>
      <w:tabs>
        <w:tab w:val="left" w:pos="426"/>
      </w:tabs>
      <w:spacing w:before="240" w:after="120" w:line="250" w:lineRule="exact"/>
      <w:ind w:left="425" w:hanging="431"/>
      <w:jc w:val="both"/>
      <w:outlineLvl w:val="1"/>
    </w:pPr>
    <w:rPr>
      <w:rFonts w:ascii="Soberana Sans Light" w:eastAsia="Times New Roman" w:hAnsi="Soberana Sans Light"/>
      <w:b/>
      <w:sz w:val="18"/>
      <w:szCs w:val="18"/>
      <w:lang w:val="es-MX"/>
    </w:rPr>
  </w:style>
  <w:style w:type="paragraph" w:styleId="Ttulo3">
    <w:name w:val="heading 3"/>
    <w:basedOn w:val="Normal"/>
    <w:next w:val="Normal"/>
    <w:link w:val="Ttulo3Car"/>
    <w:qFormat/>
    <w:rsid w:val="009C3C24"/>
    <w:pPr>
      <w:keepNext/>
      <w:spacing w:after="0" w:line="240" w:lineRule="auto"/>
      <w:outlineLvl w:val="2"/>
    </w:pPr>
    <w:rPr>
      <w:rFonts w:ascii="Arial" w:eastAsia="Times New Roman" w:hAnsi="Arial"/>
      <w:b/>
      <w:sz w:val="20"/>
      <w:szCs w:val="20"/>
      <w:lang w:eastAsia="es-ES"/>
    </w:rPr>
  </w:style>
  <w:style w:type="paragraph" w:styleId="Ttulo4">
    <w:name w:val="heading 4"/>
    <w:basedOn w:val="Normal"/>
    <w:next w:val="Normal"/>
    <w:link w:val="Ttulo4Car"/>
    <w:qFormat/>
    <w:rsid w:val="009C3C24"/>
    <w:pPr>
      <w:keepNext/>
      <w:pBdr>
        <w:top w:val="threeDEmboss" w:sz="18" w:space="1" w:color="auto"/>
      </w:pBdr>
      <w:spacing w:after="0" w:line="240" w:lineRule="auto"/>
      <w:jc w:val="center"/>
      <w:outlineLvl w:val="3"/>
    </w:pPr>
    <w:rPr>
      <w:rFonts w:ascii="Arial" w:eastAsia="Times New Roman" w:hAnsi="Arial"/>
      <w:b/>
      <w:sz w:val="20"/>
      <w:szCs w:val="20"/>
      <w:lang w:eastAsia="es-ES"/>
    </w:rPr>
  </w:style>
  <w:style w:type="paragraph" w:styleId="Ttulo5">
    <w:name w:val="heading 5"/>
    <w:basedOn w:val="Normal"/>
    <w:next w:val="Normal"/>
    <w:link w:val="Ttulo5Car"/>
    <w:qFormat/>
    <w:rsid w:val="009C3C24"/>
    <w:pPr>
      <w:keepNext/>
      <w:spacing w:after="240" w:line="240" w:lineRule="exact"/>
      <w:jc w:val="both"/>
      <w:outlineLvl w:val="4"/>
    </w:pPr>
    <w:rPr>
      <w:rFonts w:ascii="Courier" w:eastAsia="Times New Roman" w:hAnsi="Courier"/>
      <w:b/>
      <w:sz w:val="24"/>
      <w:szCs w:val="20"/>
      <w:lang w:eastAsia="es-ES"/>
    </w:rPr>
  </w:style>
  <w:style w:type="paragraph" w:styleId="Ttulo6">
    <w:name w:val="heading 6"/>
    <w:basedOn w:val="Normal"/>
    <w:next w:val="Normal"/>
    <w:link w:val="Ttulo6Car"/>
    <w:qFormat/>
    <w:rsid w:val="009C3C24"/>
    <w:pPr>
      <w:keepNext/>
      <w:spacing w:after="0" w:line="240" w:lineRule="auto"/>
      <w:jc w:val="both"/>
      <w:outlineLvl w:val="5"/>
    </w:pPr>
    <w:rPr>
      <w:rFonts w:ascii="Arial" w:eastAsia="Times New Roman" w:hAnsi="Arial"/>
      <w:b/>
      <w:sz w:val="20"/>
      <w:szCs w:val="20"/>
      <w:lang w:eastAsia="es-ES"/>
    </w:rPr>
  </w:style>
  <w:style w:type="paragraph" w:styleId="Ttulo7">
    <w:name w:val="heading 7"/>
    <w:basedOn w:val="Normal"/>
    <w:next w:val="Normal"/>
    <w:link w:val="Ttulo7Car"/>
    <w:qFormat/>
    <w:rsid w:val="009C3C24"/>
    <w:pPr>
      <w:keepNext/>
      <w:spacing w:after="0" w:line="240" w:lineRule="auto"/>
      <w:ind w:left="709"/>
      <w:jc w:val="both"/>
      <w:outlineLvl w:val="6"/>
    </w:pPr>
    <w:rPr>
      <w:rFonts w:ascii="Arial" w:eastAsia="Times New Roman" w:hAnsi="Arial"/>
      <w:b/>
      <w:sz w:val="20"/>
      <w:szCs w:val="20"/>
      <w:lang w:eastAsia="es-ES"/>
    </w:rPr>
  </w:style>
  <w:style w:type="paragraph" w:styleId="Ttulo8">
    <w:name w:val="heading 8"/>
    <w:basedOn w:val="Normal"/>
    <w:next w:val="Normal"/>
    <w:link w:val="Ttulo8Car"/>
    <w:qFormat/>
    <w:rsid w:val="009C3C24"/>
    <w:pPr>
      <w:keepNext/>
      <w:spacing w:after="0" w:line="240" w:lineRule="auto"/>
      <w:ind w:left="369"/>
      <w:jc w:val="both"/>
      <w:outlineLvl w:val="7"/>
    </w:pPr>
    <w:rPr>
      <w:rFonts w:ascii="Arial" w:eastAsia="Times New Roman" w:hAnsi="Arial"/>
      <w:b/>
      <w:sz w:val="20"/>
      <w:szCs w:val="20"/>
      <w:lang w:eastAsia="es-ES"/>
    </w:rPr>
  </w:style>
  <w:style w:type="paragraph" w:styleId="Ttulo9">
    <w:name w:val="heading 9"/>
    <w:basedOn w:val="Normal"/>
    <w:next w:val="Normal"/>
    <w:link w:val="Ttulo9Car"/>
    <w:qFormat/>
    <w:rsid w:val="009C3C24"/>
    <w:pPr>
      <w:keepNext/>
      <w:spacing w:after="0" w:line="240" w:lineRule="auto"/>
      <w:jc w:val="both"/>
      <w:outlineLvl w:val="8"/>
    </w:pPr>
    <w:rPr>
      <w:rFonts w:ascii="Arial" w:eastAsia="Times New Roman" w:hAnsi="Arial"/>
      <w:i/>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B01E1D"/>
    <w:rPr>
      <w:rFonts w:ascii="Soberana Sans Light" w:eastAsia="Times New Roman" w:hAnsi="Soberana Sans Light"/>
      <w:b/>
      <w:sz w:val="18"/>
      <w:szCs w:val="18"/>
      <w:lang w:eastAsia="en-US"/>
    </w:rPr>
  </w:style>
  <w:style w:type="character" w:customStyle="1" w:styleId="Ttulo2Car">
    <w:name w:val="Título 2 Car"/>
    <w:link w:val="Ttulo2"/>
    <w:rsid w:val="00B01E1D"/>
    <w:rPr>
      <w:rFonts w:ascii="Soberana Sans Light" w:eastAsia="Times New Roman" w:hAnsi="Soberana Sans Light"/>
      <w:b/>
      <w:sz w:val="18"/>
      <w:szCs w:val="18"/>
      <w:lang w:eastAsia="en-US"/>
    </w:rPr>
  </w:style>
  <w:style w:type="paragraph" w:styleId="Encabezado">
    <w:name w:val="header"/>
    <w:basedOn w:val="Normal"/>
    <w:link w:val="EncabezadoCar"/>
    <w:uiPriority w:val="99"/>
    <w:unhideWhenUsed/>
    <w:rsid w:val="00477E89"/>
    <w:pPr>
      <w:tabs>
        <w:tab w:val="center" w:pos="4419"/>
        <w:tab w:val="right" w:pos="8838"/>
      </w:tabs>
    </w:pPr>
    <w:rPr>
      <w:rFonts w:ascii="Montserrat Light" w:hAnsi="Montserrat Light"/>
      <w:smallCaps/>
      <w:sz w:val="32"/>
    </w:rPr>
  </w:style>
  <w:style w:type="character" w:customStyle="1" w:styleId="EncabezadoCar">
    <w:name w:val="Encabezado Car"/>
    <w:link w:val="Encabezado"/>
    <w:uiPriority w:val="99"/>
    <w:rsid w:val="00477E89"/>
    <w:rPr>
      <w:rFonts w:ascii="Montserrat Light" w:hAnsi="Montserrat Light"/>
      <w:smallCaps/>
      <w:sz w:val="32"/>
      <w:szCs w:val="22"/>
      <w:lang w:val="es-ES" w:eastAsia="en-US"/>
    </w:rPr>
  </w:style>
  <w:style w:type="paragraph" w:styleId="Textodeglobo">
    <w:name w:val="Balloon Text"/>
    <w:basedOn w:val="Normal"/>
    <w:link w:val="TextodegloboCar"/>
    <w:semiHidden/>
    <w:unhideWhenUsed/>
    <w:rsid w:val="00837361"/>
    <w:pPr>
      <w:spacing w:after="0" w:line="240" w:lineRule="auto"/>
    </w:pPr>
    <w:rPr>
      <w:rFonts w:ascii="Segoe UI" w:hAnsi="Segoe UI" w:cs="Segoe UI"/>
      <w:sz w:val="18"/>
      <w:szCs w:val="18"/>
    </w:rPr>
  </w:style>
  <w:style w:type="character" w:customStyle="1" w:styleId="TextodegloboCar">
    <w:name w:val="Texto de globo Car"/>
    <w:link w:val="Textodeglobo"/>
    <w:semiHidden/>
    <w:rsid w:val="00837361"/>
    <w:rPr>
      <w:rFonts w:ascii="Segoe UI" w:hAnsi="Segoe UI" w:cs="Segoe UI"/>
      <w:sz w:val="18"/>
      <w:szCs w:val="18"/>
      <w:lang w:eastAsia="en-US"/>
    </w:rPr>
  </w:style>
  <w:style w:type="paragraph" w:customStyle="1" w:styleId="TEXTONORMAL">
    <w:name w:val="TEXTO_NORMAL"/>
    <w:basedOn w:val="Normal"/>
    <w:qFormat/>
    <w:rsid w:val="0060492B"/>
    <w:pPr>
      <w:spacing w:after="120" w:line="250" w:lineRule="exact"/>
      <w:jc w:val="both"/>
    </w:pPr>
    <w:rPr>
      <w:rFonts w:ascii="Montserrat" w:hAnsi="Montserrat"/>
      <w:sz w:val="18"/>
      <w:szCs w:val="18"/>
    </w:rPr>
  </w:style>
  <w:style w:type="paragraph" w:customStyle="1" w:styleId="VIETAFLECHA">
    <w:name w:val="VIÑETA_FLECHA"/>
    <w:basedOn w:val="TEXTONORMAL"/>
    <w:next w:val="TEXTONORMAL"/>
    <w:qFormat/>
    <w:rsid w:val="003E766E"/>
    <w:pPr>
      <w:numPr>
        <w:numId w:val="1"/>
      </w:numPr>
    </w:pPr>
  </w:style>
  <w:style w:type="paragraph" w:customStyle="1" w:styleId="VIETAROMBO">
    <w:name w:val="VIÑETA_ROMBO"/>
    <w:basedOn w:val="VIETAFLECHA"/>
    <w:next w:val="TEXTONORMAL"/>
    <w:qFormat/>
    <w:rsid w:val="003E766E"/>
    <w:pPr>
      <w:numPr>
        <w:numId w:val="2"/>
      </w:numPr>
      <w:ind w:left="714" w:hanging="357"/>
    </w:pPr>
  </w:style>
  <w:style w:type="paragraph" w:customStyle="1" w:styleId="VIETACUADRO">
    <w:name w:val="VIÑETA_CUADRO"/>
    <w:basedOn w:val="VIETAROMBO"/>
    <w:next w:val="TEXTONORMAL"/>
    <w:qFormat/>
    <w:rsid w:val="00C60401"/>
    <w:pPr>
      <w:numPr>
        <w:numId w:val="3"/>
      </w:numPr>
      <w:ind w:left="1305" w:hanging="284"/>
    </w:pPr>
  </w:style>
  <w:style w:type="paragraph" w:customStyle="1" w:styleId="NOTAALPIE">
    <w:name w:val="NOTA_AL_PIE"/>
    <w:basedOn w:val="TEXTONORMAL"/>
    <w:next w:val="TEXTONORMAL"/>
    <w:qFormat/>
    <w:rsid w:val="002A6003"/>
    <w:pPr>
      <w:tabs>
        <w:tab w:val="left" w:pos="170"/>
      </w:tabs>
      <w:spacing w:line="240" w:lineRule="auto"/>
      <w:ind w:left="170" w:hanging="170"/>
    </w:pPr>
    <w:rPr>
      <w:sz w:val="16"/>
    </w:rPr>
  </w:style>
  <w:style w:type="paragraph" w:styleId="Textonotapie">
    <w:name w:val="footnote text"/>
    <w:basedOn w:val="Normal"/>
    <w:link w:val="TextonotapieCar"/>
    <w:semiHidden/>
    <w:unhideWhenUsed/>
    <w:rsid w:val="003C00CB"/>
    <w:rPr>
      <w:sz w:val="20"/>
      <w:szCs w:val="20"/>
    </w:rPr>
  </w:style>
  <w:style w:type="character" w:customStyle="1" w:styleId="TextonotapieCar">
    <w:name w:val="Texto nota pie Car"/>
    <w:link w:val="Textonotapie"/>
    <w:semiHidden/>
    <w:rsid w:val="003C00CB"/>
    <w:rPr>
      <w:lang w:eastAsia="en-US"/>
    </w:rPr>
  </w:style>
  <w:style w:type="character" w:styleId="Refdenotaalpie">
    <w:name w:val="footnote reference"/>
    <w:semiHidden/>
    <w:unhideWhenUsed/>
    <w:rsid w:val="003C00CB"/>
    <w:rPr>
      <w:vertAlign w:val="superscript"/>
    </w:rPr>
  </w:style>
  <w:style w:type="paragraph" w:styleId="Piedepgina">
    <w:name w:val="footer"/>
    <w:basedOn w:val="Normal"/>
    <w:link w:val="PiedepginaCar"/>
    <w:uiPriority w:val="99"/>
    <w:unhideWhenUsed/>
    <w:qFormat/>
    <w:rsid w:val="00477E89"/>
    <w:pPr>
      <w:tabs>
        <w:tab w:val="center" w:pos="4419"/>
        <w:tab w:val="right" w:pos="8838"/>
      </w:tabs>
    </w:pPr>
    <w:rPr>
      <w:rFonts w:ascii="Montserrat Light" w:hAnsi="Montserrat Light"/>
      <w:sz w:val="16"/>
    </w:rPr>
  </w:style>
  <w:style w:type="character" w:customStyle="1" w:styleId="PiedepginaCar">
    <w:name w:val="Pie de página Car"/>
    <w:link w:val="Piedepgina"/>
    <w:uiPriority w:val="99"/>
    <w:rsid w:val="00477E89"/>
    <w:rPr>
      <w:rFonts w:ascii="Montserrat Light" w:hAnsi="Montserrat Light"/>
      <w:sz w:val="16"/>
      <w:szCs w:val="22"/>
      <w:lang w:val="es-ES" w:eastAsia="en-US"/>
    </w:rPr>
  </w:style>
  <w:style w:type="table" w:styleId="Tablaconcuadrcula">
    <w:name w:val="Table Grid"/>
    <w:basedOn w:val="Tablanormal"/>
    <w:uiPriority w:val="39"/>
    <w:rsid w:val="00B01E1D"/>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ULOS">
    <w:name w:val="TITULOS"/>
    <w:basedOn w:val="Normal"/>
    <w:next w:val="TEXTONORMAL"/>
    <w:qFormat/>
    <w:rsid w:val="0060492B"/>
    <w:pPr>
      <w:spacing w:after="120" w:line="280" w:lineRule="exact"/>
      <w:jc w:val="center"/>
    </w:pPr>
    <w:rPr>
      <w:rFonts w:ascii="Montserrat SemiBold" w:hAnsi="Montserrat SemiBold"/>
      <w:caps/>
      <w:sz w:val="24"/>
      <w:szCs w:val="20"/>
      <w:lang w:val="es-MX"/>
    </w:rPr>
  </w:style>
  <w:style w:type="paragraph" w:customStyle="1" w:styleId="PIEPAGENTE">
    <w:name w:val="PIE_PAG_ENTE"/>
    <w:basedOn w:val="Encabezado"/>
    <w:qFormat/>
    <w:rsid w:val="003545D5"/>
    <w:pPr>
      <w:spacing w:after="0" w:line="240" w:lineRule="auto"/>
      <w:jc w:val="center"/>
    </w:pPr>
    <w:rPr>
      <w:sz w:val="18"/>
      <w:szCs w:val="16"/>
    </w:rPr>
  </w:style>
  <w:style w:type="paragraph" w:customStyle="1" w:styleId="SUBTITULO2">
    <w:name w:val="SUBTITULO_2"/>
    <w:basedOn w:val="Normal"/>
    <w:next w:val="TEXTONORMAL"/>
    <w:qFormat/>
    <w:rsid w:val="00C60401"/>
    <w:pPr>
      <w:spacing w:before="240" w:after="120" w:line="250" w:lineRule="exact"/>
    </w:pPr>
    <w:rPr>
      <w:rFonts w:ascii="Montserrat" w:hAnsi="Montserrat"/>
      <w:b/>
      <w:caps/>
      <w:szCs w:val="18"/>
      <w:lang w:val="es-MX"/>
    </w:rPr>
  </w:style>
  <w:style w:type="paragraph" w:customStyle="1" w:styleId="SUBTITULO1">
    <w:name w:val="SUBTITULO_1"/>
    <w:basedOn w:val="Normal"/>
    <w:next w:val="TEXTONORMAL"/>
    <w:qFormat/>
    <w:rsid w:val="00C60401"/>
    <w:pPr>
      <w:numPr>
        <w:numId w:val="5"/>
      </w:numPr>
      <w:spacing w:before="240" w:after="120" w:line="250" w:lineRule="exact"/>
      <w:ind w:left="357" w:hanging="357"/>
    </w:pPr>
    <w:rPr>
      <w:rFonts w:ascii="Montserrat" w:hAnsi="Montserrat"/>
      <w:b/>
      <w:caps/>
      <w:szCs w:val="18"/>
      <w:lang w:val="es-MX"/>
    </w:rPr>
  </w:style>
  <w:style w:type="paragraph" w:customStyle="1" w:styleId="VIETABALA">
    <w:name w:val="VIÑETA_BALA"/>
    <w:basedOn w:val="VIETAFLECHA"/>
    <w:next w:val="TEXTONORMAL"/>
    <w:qFormat/>
    <w:rsid w:val="002A6003"/>
    <w:pPr>
      <w:numPr>
        <w:numId w:val="6"/>
      </w:numPr>
      <w:ind w:left="998" w:hanging="284"/>
    </w:pPr>
    <w:rPr>
      <w:lang w:val="es-MX"/>
    </w:rPr>
  </w:style>
  <w:style w:type="character" w:customStyle="1" w:styleId="Ttulo3Car">
    <w:name w:val="Título 3 Car"/>
    <w:basedOn w:val="Fuentedeprrafopredeter"/>
    <w:link w:val="Ttulo3"/>
    <w:rsid w:val="009C3C24"/>
    <w:rPr>
      <w:rFonts w:ascii="Arial" w:eastAsia="Times New Roman" w:hAnsi="Arial"/>
      <w:b/>
      <w:lang w:val="es-ES" w:eastAsia="es-ES"/>
    </w:rPr>
  </w:style>
  <w:style w:type="character" w:customStyle="1" w:styleId="Ttulo4Car">
    <w:name w:val="Título 4 Car"/>
    <w:basedOn w:val="Fuentedeprrafopredeter"/>
    <w:link w:val="Ttulo4"/>
    <w:rsid w:val="009C3C24"/>
    <w:rPr>
      <w:rFonts w:ascii="Arial" w:eastAsia="Times New Roman" w:hAnsi="Arial"/>
      <w:b/>
      <w:lang w:val="es-ES" w:eastAsia="es-ES"/>
    </w:rPr>
  </w:style>
  <w:style w:type="character" w:customStyle="1" w:styleId="Ttulo5Car">
    <w:name w:val="Título 5 Car"/>
    <w:basedOn w:val="Fuentedeprrafopredeter"/>
    <w:link w:val="Ttulo5"/>
    <w:rsid w:val="009C3C24"/>
    <w:rPr>
      <w:rFonts w:ascii="Courier" w:eastAsia="Times New Roman" w:hAnsi="Courier"/>
      <w:b/>
      <w:sz w:val="24"/>
      <w:lang w:val="es-ES" w:eastAsia="es-ES"/>
    </w:rPr>
  </w:style>
  <w:style w:type="character" w:customStyle="1" w:styleId="Ttulo6Car">
    <w:name w:val="Título 6 Car"/>
    <w:basedOn w:val="Fuentedeprrafopredeter"/>
    <w:link w:val="Ttulo6"/>
    <w:rsid w:val="009C3C24"/>
    <w:rPr>
      <w:rFonts w:ascii="Arial" w:eastAsia="Times New Roman" w:hAnsi="Arial"/>
      <w:b/>
      <w:lang w:val="es-ES" w:eastAsia="es-ES"/>
    </w:rPr>
  </w:style>
  <w:style w:type="character" w:customStyle="1" w:styleId="Ttulo7Car">
    <w:name w:val="Título 7 Car"/>
    <w:basedOn w:val="Fuentedeprrafopredeter"/>
    <w:link w:val="Ttulo7"/>
    <w:rsid w:val="009C3C24"/>
    <w:rPr>
      <w:rFonts w:ascii="Arial" w:eastAsia="Times New Roman" w:hAnsi="Arial"/>
      <w:b/>
      <w:lang w:val="es-ES" w:eastAsia="es-ES"/>
    </w:rPr>
  </w:style>
  <w:style w:type="character" w:customStyle="1" w:styleId="Ttulo8Car">
    <w:name w:val="Título 8 Car"/>
    <w:basedOn w:val="Fuentedeprrafopredeter"/>
    <w:link w:val="Ttulo8"/>
    <w:rsid w:val="009C3C24"/>
    <w:rPr>
      <w:rFonts w:ascii="Arial" w:eastAsia="Times New Roman" w:hAnsi="Arial"/>
      <w:b/>
      <w:lang w:val="es-ES" w:eastAsia="es-ES"/>
    </w:rPr>
  </w:style>
  <w:style w:type="character" w:customStyle="1" w:styleId="Ttulo9Car">
    <w:name w:val="Título 9 Car"/>
    <w:basedOn w:val="Fuentedeprrafopredeter"/>
    <w:link w:val="Ttulo9"/>
    <w:rsid w:val="009C3C24"/>
    <w:rPr>
      <w:rFonts w:ascii="Arial" w:eastAsia="Times New Roman" w:hAnsi="Arial"/>
      <w:i/>
      <w:lang w:val="es-ES" w:eastAsia="es-ES"/>
    </w:rPr>
  </w:style>
  <w:style w:type="paragraph" w:customStyle="1" w:styleId="VIETAGUION">
    <w:name w:val="VIÑETA_GUION"/>
    <w:basedOn w:val="VIETAROMBO"/>
    <w:next w:val="TEXTONORMAL"/>
    <w:qFormat/>
    <w:rsid w:val="009C3C24"/>
    <w:pPr>
      <w:numPr>
        <w:numId w:val="0"/>
      </w:numPr>
      <w:ind w:left="720" w:hanging="360"/>
    </w:pPr>
    <w:rPr>
      <w:rFonts w:ascii="Soberana Sans Light" w:hAnsi="Soberana Sans Light"/>
    </w:rPr>
  </w:style>
  <w:style w:type="paragraph" w:customStyle="1" w:styleId="VIETACUADRO0">
    <w:name w:val="VIÑETA CUADRO"/>
    <w:basedOn w:val="VIETAROMBO"/>
    <w:next w:val="TEXTONORMAL"/>
    <w:qFormat/>
    <w:rsid w:val="009C3C24"/>
    <w:pPr>
      <w:numPr>
        <w:numId w:val="0"/>
      </w:numPr>
      <w:ind w:left="1117" w:hanging="360"/>
    </w:pPr>
    <w:rPr>
      <w:rFonts w:ascii="Soberana Sans Light" w:hAnsi="Soberana Sans Light"/>
    </w:rPr>
  </w:style>
  <w:style w:type="paragraph" w:customStyle="1" w:styleId="NOTAALPIE0">
    <w:name w:val="NOTA AL PIE"/>
    <w:basedOn w:val="TEXTONORMAL"/>
    <w:next w:val="TEXTONORMAL"/>
    <w:qFormat/>
    <w:rsid w:val="009C3C24"/>
    <w:pPr>
      <w:spacing w:line="240" w:lineRule="auto"/>
      <w:ind w:left="340" w:hanging="340"/>
    </w:pPr>
    <w:rPr>
      <w:rFonts w:ascii="Soberana Sans Light" w:hAnsi="Soberana Sans Light"/>
      <w:sz w:val="16"/>
    </w:rPr>
  </w:style>
  <w:style w:type="paragraph" w:customStyle="1" w:styleId="ENTEPUBLICO">
    <w:name w:val="ENTE_PUBLICO"/>
    <w:basedOn w:val="Normal"/>
    <w:next w:val="TEXTONORMAL"/>
    <w:qFormat/>
    <w:rsid w:val="009C3C24"/>
    <w:pPr>
      <w:spacing w:after="120" w:line="250" w:lineRule="exact"/>
      <w:jc w:val="center"/>
    </w:pPr>
    <w:rPr>
      <w:rFonts w:ascii="Soberana Sans Light" w:hAnsi="Soberana Sans Light"/>
      <w:b/>
      <w:sz w:val="20"/>
      <w:szCs w:val="20"/>
      <w:lang w:val="es-MX"/>
    </w:rPr>
  </w:style>
  <w:style w:type="paragraph" w:customStyle="1" w:styleId="TITULOREPORTE">
    <w:name w:val="TITULO_REPORTE"/>
    <w:basedOn w:val="Normal"/>
    <w:next w:val="TEXTONORMAL"/>
    <w:qFormat/>
    <w:rsid w:val="009C3C24"/>
    <w:pPr>
      <w:spacing w:after="120" w:line="250" w:lineRule="exact"/>
      <w:jc w:val="center"/>
    </w:pPr>
    <w:rPr>
      <w:rFonts w:ascii="Soberana Sans Light" w:hAnsi="Soberana Sans Light"/>
      <w:b/>
      <w:sz w:val="20"/>
      <w:szCs w:val="20"/>
      <w:lang w:val="es-MX"/>
    </w:rPr>
  </w:style>
  <w:style w:type="paragraph" w:customStyle="1" w:styleId="SUBTITULO">
    <w:name w:val="SUBTITULO"/>
    <w:basedOn w:val="TEXTONORMAL"/>
    <w:next w:val="TEXTONORMAL"/>
    <w:qFormat/>
    <w:rsid w:val="009C3C24"/>
    <w:pPr>
      <w:spacing w:before="240"/>
      <w:jc w:val="left"/>
    </w:pPr>
    <w:rPr>
      <w:rFonts w:ascii="Soberana Sans Light" w:hAnsi="Soberana Sans Light"/>
      <w:b/>
      <w:lang w:val="es-MX"/>
    </w:rPr>
  </w:style>
  <w:style w:type="paragraph" w:customStyle="1" w:styleId="Default">
    <w:name w:val="Default"/>
    <w:rsid w:val="009C3C24"/>
    <w:pPr>
      <w:widowControl w:val="0"/>
      <w:autoSpaceDE w:val="0"/>
      <w:autoSpaceDN w:val="0"/>
      <w:adjustRightInd w:val="0"/>
    </w:pPr>
    <w:rPr>
      <w:rFonts w:ascii="Arial,Bold" w:eastAsia="Times New Roman" w:hAnsi="Arial,Bold"/>
      <w:lang w:val="es-ES" w:eastAsia="es-ES"/>
    </w:rPr>
  </w:style>
  <w:style w:type="paragraph" w:styleId="Prrafodelista">
    <w:name w:val="List Paragraph"/>
    <w:basedOn w:val="Normal"/>
    <w:uiPriority w:val="34"/>
    <w:qFormat/>
    <w:rsid w:val="009C3C24"/>
    <w:pPr>
      <w:spacing w:after="0" w:line="240" w:lineRule="auto"/>
      <w:ind w:left="720"/>
      <w:contextualSpacing/>
    </w:pPr>
    <w:rPr>
      <w:rFonts w:ascii="Arial" w:eastAsia="Times New Roman" w:hAnsi="Arial"/>
      <w:sz w:val="20"/>
      <w:szCs w:val="20"/>
      <w:lang w:eastAsia="es-ES"/>
    </w:rPr>
  </w:style>
  <w:style w:type="character" w:styleId="Refdecomentario">
    <w:name w:val="annotation reference"/>
    <w:semiHidden/>
    <w:unhideWhenUsed/>
    <w:rsid w:val="009C3C24"/>
    <w:rPr>
      <w:sz w:val="16"/>
      <w:szCs w:val="16"/>
    </w:rPr>
  </w:style>
  <w:style w:type="paragraph" w:styleId="Textocomentario">
    <w:name w:val="annotation text"/>
    <w:basedOn w:val="Normal"/>
    <w:link w:val="TextocomentarioCar"/>
    <w:semiHidden/>
    <w:unhideWhenUsed/>
    <w:rsid w:val="009C3C24"/>
    <w:rPr>
      <w:sz w:val="20"/>
      <w:szCs w:val="20"/>
    </w:rPr>
  </w:style>
  <w:style w:type="character" w:customStyle="1" w:styleId="TextocomentarioCar">
    <w:name w:val="Texto comentario Car"/>
    <w:basedOn w:val="Fuentedeprrafopredeter"/>
    <w:link w:val="Textocomentario"/>
    <w:semiHidden/>
    <w:rsid w:val="009C3C24"/>
    <w:rPr>
      <w:lang w:val="es-ES" w:eastAsia="en-US"/>
    </w:rPr>
  </w:style>
  <w:style w:type="paragraph" w:styleId="Asuntodelcomentario">
    <w:name w:val="annotation subject"/>
    <w:basedOn w:val="Textocomentario"/>
    <w:next w:val="Textocomentario"/>
    <w:link w:val="AsuntodelcomentarioCar"/>
    <w:semiHidden/>
    <w:unhideWhenUsed/>
    <w:rsid w:val="009C3C24"/>
    <w:rPr>
      <w:b/>
      <w:bCs/>
    </w:rPr>
  </w:style>
  <w:style w:type="character" w:customStyle="1" w:styleId="AsuntodelcomentarioCar">
    <w:name w:val="Asunto del comentario Car"/>
    <w:basedOn w:val="TextocomentarioCar"/>
    <w:link w:val="Asuntodelcomentario"/>
    <w:semiHidden/>
    <w:rsid w:val="009C3C24"/>
    <w:rPr>
      <w:b/>
      <w:bCs/>
      <w:lang w:val="es-ES" w:eastAsia="en-US"/>
    </w:rPr>
  </w:style>
  <w:style w:type="paragraph" w:styleId="Revisin">
    <w:name w:val="Revision"/>
    <w:hidden/>
    <w:uiPriority w:val="99"/>
    <w:semiHidden/>
    <w:rsid w:val="009C3C24"/>
    <w:rPr>
      <w:sz w:val="22"/>
      <w:szCs w:val="22"/>
      <w:lang w:val="es-ES" w:eastAsia="en-US"/>
    </w:rPr>
  </w:style>
  <w:style w:type="table" w:customStyle="1" w:styleId="Estilo1">
    <w:name w:val="Estilo1"/>
    <w:basedOn w:val="Tablanormal"/>
    <w:uiPriority w:val="99"/>
    <w:rsid w:val="009C3C24"/>
    <w:pPr>
      <w:spacing w:line="240" w:lineRule="exact"/>
    </w:pPr>
    <w:rPr>
      <w:rFonts w:ascii="Soberana Sans Light" w:hAnsi="Soberana Sans Light"/>
      <w:sz w:val="16"/>
    </w:rPr>
    <w:tblPr>
      <w:jc w:val="center"/>
      <w:tblBorders>
        <w:top w:val="single" w:sz="4" w:space="0" w:color="BFBFBF"/>
        <w:left w:val="single" w:sz="4" w:space="0" w:color="BFBFBF"/>
        <w:bottom w:val="single" w:sz="4" w:space="0" w:color="BFBFBF"/>
        <w:right w:val="single" w:sz="4" w:space="0" w:color="BFBFBF"/>
        <w:insideH w:val="single" w:sz="8" w:space="0" w:color="BFBFBF"/>
        <w:insideV w:val="single" w:sz="8" w:space="0" w:color="BFBFBF"/>
      </w:tblBorders>
    </w:tblPr>
    <w:trPr>
      <w:jc w:val="center"/>
    </w:trPr>
    <w:tblStylePr w:type="firstRow">
      <w:pPr>
        <w:wordWrap/>
        <w:spacing w:beforeLines="0" w:before="0" w:beforeAutospacing="0" w:afterLines="0" w:after="0" w:afterAutospacing="0" w:line="240" w:lineRule="exact"/>
        <w:contextualSpacing w:val="0"/>
        <w:jc w:val="center"/>
      </w:pPr>
      <w:rPr>
        <w:rFonts w:ascii="Montserrat-Regular" w:hAnsi="Montserrat-Regular"/>
        <w:b/>
        <w:color w:val="FFFFFF"/>
        <w:position w:val="0"/>
        <w:sz w:val="16"/>
      </w:rPr>
      <w:tblPr/>
      <w:tcPr>
        <w:tcBorders>
          <w:insideH w:val="single" w:sz="8" w:space="0" w:color="FFFFFF"/>
          <w:insideV w:val="single" w:sz="8" w:space="0" w:color="FFFFFF"/>
        </w:tcBorders>
        <w:shd w:val="clear" w:color="auto" w:fill="00853F"/>
        <w:vAlign w:val="center"/>
      </w:tcPr>
    </w:tblStylePr>
    <w:tblStylePr w:type="lastCol">
      <w:pPr>
        <w:jc w:val="right"/>
      </w:pPr>
      <w:rPr>
        <w:rFonts w:ascii="Montserrat-Regular" w:hAnsi="Montserrat-Regular"/>
        <w:sz w:val="16"/>
      </w:rPr>
      <w:tblPr/>
      <w:tcPr>
        <w:vAlign w:val="bottom"/>
      </w:tcPr>
    </w:tblStylePr>
  </w:style>
  <w:style w:type="paragraph" w:customStyle="1" w:styleId="DescripcinTabla">
    <w:name w:val="Descripción Tabla"/>
    <w:basedOn w:val="Normal"/>
    <w:link w:val="DescripcinTablaCar"/>
    <w:autoRedefine/>
    <w:rsid w:val="009C3C24"/>
    <w:pPr>
      <w:spacing w:after="0" w:line="240" w:lineRule="exact"/>
    </w:pPr>
    <w:rPr>
      <w:rFonts w:ascii="Soberana Sans Light" w:hAnsi="Soberana Sans Light"/>
      <w:color w:val="000000"/>
      <w:sz w:val="16"/>
      <w:szCs w:val="15"/>
      <w:lang w:val="es-MX" w:eastAsia="es-MX"/>
    </w:rPr>
  </w:style>
  <w:style w:type="paragraph" w:customStyle="1" w:styleId="Sinespaciado1">
    <w:name w:val="Sin espaciado1"/>
    <w:uiPriority w:val="99"/>
    <w:rsid w:val="009C3C24"/>
    <w:rPr>
      <w:rFonts w:eastAsia="Times New Roman"/>
      <w:sz w:val="22"/>
      <w:szCs w:val="22"/>
      <w:lang w:val="es-ES" w:eastAsia="en-US"/>
    </w:rPr>
  </w:style>
  <w:style w:type="character" w:customStyle="1" w:styleId="DescripcinTablaCar">
    <w:name w:val="Descripción Tabla Car"/>
    <w:link w:val="DescripcinTabla"/>
    <w:rsid w:val="009C3C24"/>
    <w:rPr>
      <w:rFonts w:ascii="Soberana Sans Light" w:hAnsi="Soberana Sans Light"/>
      <w:color w:val="000000"/>
      <w:sz w:val="16"/>
      <w:szCs w:val="15"/>
    </w:rPr>
  </w:style>
  <w:style w:type="paragraph" w:customStyle="1" w:styleId="CarCar">
    <w:name w:val="Car Car"/>
    <w:basedOn w:val="Normal"/>
    <w:next w:val="Normal"/>
    <w:rsid w:val="009C3C24"/>
    <w:pPr>
      <w:widowControl w:val="0"/>
      <w:tabs>
        <w:tab w:val="num" w:pos="1440"/>
      </w:tabs>
      <w:adjustRightInd w:val="0"/>
      <w:spacing w:before="80" w:after="80" w:line="240" w:lineRule="auto"/>
      <w:jc w:val="both"/>
      <w:textAlignment w:val="baseline"/>
    </w:pPr>
    <w:rPr>
      <w:rFonts w:ascii="Arial" w:eastAsia="Times New Roman" w:hAnsi="Arial" w:cs="Arial"/>
      <w:sz w:val="28"/>
      <w:szCs w:val="28"/>
      <w:lang w:eastAsia="es-ES"/>
    </w:rPr>
  </w:style>
  <w:style w:type="character" w:styleId="Nmerodepgina">
    <w:name w:val="page number"/>
    <w:rsid w:val="009C3C24"/>
    <w:rPr>
      <w:rFonts w:ascii="Arial" w:hAnsi="Arial"/>
    </w:rPr>
  </w:style>
  <w:style w:type="paragraph" w:styleId="Puesto">
    <w:name w:val="Title"/>
    <w:basedOn w:val="Normal"/>
    <w:link w:val="PuestoCar1"/>
    <w:qFormat/>
    <w:rsid w:val="009C3C24"/>
    <w:pPr>
      <w:spacing w:after="0" w:line="240" w:lineRule="auto"/>
      <w:jc w:val="center"/>
    </w:pPr>
    <w:rPr>
      <w:rFonts w:ascii="Arial" w:eastAsia="Times New Roman" w:hAnsi="Arial"/>
      <w:b/>
      <w:sz w:val="20"/>
      <w:szCs w:val="20"/>
      <w:lang w:eastAsia="es-ES"/>
    </w:rPr>
  </w:style>
  <w:style w:type="character" w:customStyle="1" w:styleId="PuestoCar">
    <w:name w:val="Puesto Car"/>
    <w:basedOn w:val="Fuentedeprrafopredeter"/>
    <w:uiPriority w:val="10"/>
    <w:rsid w:val="009C3C24"/>
    <w:rPr>
      <w:rFonts w:asciiTheme="majorHAnsi" w:eastAsiaTheme="majorEastAsia" w:hAnsiTheme="majorHAnsi" w:cstheme="majorBidi"/>
      <w:spacing w:val="-10"/>
      <w:kern w:val="28"/>
      <w:sz w:val="56"/>
      <w:szCs w:val="56"/>
      <w:lang w:val="es-ES" w:eastAsia="en-US"/>
    </w:rPr>
  </w:style>
  <w:style w:type="character" w:customStyle="1" w:styleId="PuestoCar1">
    <w:name w:val="Puesto Car1"/>
    <w:link w:val="Puesto"/>
    <w:rsid w:val="009C3C24"/>
    <w:rPr>
      <w:rFonts w:ascii="Arial" w:eastAsia="Times New Roman" w:hAnsi="Arial"/>
      <w:b/>
      <w:lang w:val="es-ES" w:eastAsia="es-ES"/>
    </w:rPr>
  </w:style>
  <w:style w:type="paragraph" w:styleId="Subttulo">
    <w:name w:val="Subtitle"/>
    <w:basedOn w:val="Normal"/>
    <w:link w:val="SubttuloCar"/>
    <w:qFormat/>
    <w:rsid w:val="009C3C24"/>
    <w:pPr>
      <w:spacing w:after="0" w:line="240" w:lineRule="auto"/>
    </w:pPr>
    <w:rPr>
      <w:rFonts w:ascii="Arial" w:eastAsia="Times New Roman" w:hAnsi="Arial"/>
      <w:b/>
      <w:sz w:val="20"/>
      <w:szCs w:val="20"/>
      <w:lang w:eastAsia="es-ES"/>
    </w:rPr>
  </w:style>
  <w:style w:type="character" w:customStyle="1" w:styleId="SubttuloCar">
    <w:name w:val="Subtítulo Car"/>
    <w:basedOn w:val="Fuentedeprrafopredeter"/>
    <w:link w:val="Subttulo"/>
    <w:rsid w:val="009C3C24"/>
    <w:rPr>
      <w:rFonts w:ascii="Arial" w:eastAsia="Times New Roman" w:hAnsi="Arial"/>
      <w:b/>
      <w:lang w:val="es-ES" w:eastAsia="es-ES"/>
    </w:rPr>
  </w:style>
  <w:style w:type="paragraph" w:customStyle="1" w:styleId="Nmero">
    <w:name w:val="Número"/>
    <w:basedOn w:val="Normal"/>
    <w:rsid w:val="009C3C24"/>
    <w:pPr>
      <w:tabs>
        <w:tab w:val="left" w:pos="425"/>
      </w:tabs>
      <w:spacing w:after="0" w:line="240" w:lineRule="auto"/>
      <w:ind w:left="425" w:hanging="425"/>
      <w:jc w:val="both"/>
    </w:pPr>
    <w:rPr>
      <w:rFonts w:ascii="Arial" w:eastAsia="Times New Roman" w:hAnsi="Arial"/>
      <w:sz w:val="20"/>
      <w:szCs w:val="20"/>
      <w:lang w:eastAsia="es-ES"/>
    </w:rPr>
  </w:style>
  <w:style w:type="paragraph" w:customStyle="1" w:styleId="LneadelPiedePgina">
    <w:name w:val="Línea del Pie de Página"/>
    <w:basedOn w:val="Ttulo4"/>
    <w:rsid w:val="009C3C24"/>
  </w:style>
  <w:style w:type="paragraph" w:customStyle="1" w:styleId="LneadelEncabezado">
    <w:name w:val="Línea del Encabezado"/>
    <w:basedOn w:val="Normal"/>
    <w:rsid w:val="009C3C24"/>
    <w:pPr>
      <w:pBdr>
        <w:bottom w:val="threeDEngrave" w:sz="18" w:space="16" w:color="auto"/>
      </w:pBdr>
      <w:spacing w:after="0" w:line="240" w:lineRule="auto"/>
      <w:jc w:val="right"/>
    </w:pPr>
    <w:rPr>
      <w:rFonts w:ascii="Arial" w:eastAsia="Times New Roman" w:hAnsi="Arial"/>
      <w:b/>
      <w:sz w:val="20"/>
      <w:szCs w:val="20"/>
      <w:lang w:eastAsia="es-ES"/>
    </w:rPr>
  </w:style>
  <w:style w:type="paragraph" w:styleId="Textoindependiente">
    <w:name w:val="Body Text"/>
    <w:basedOn w:val="Normal"/>
    <w:link w:val="TextoindependienteCar"/>
    <w:rsid w:val="009C3C24"/>
    <w:pPr>
      <w:spacing w:after="240" w:line="240" w:lineRule="exact"/>
      <w:jc w:val="both"/>
    </w:pPr>
    <w:rPr>
      <w:rFonts w:ascii="Courier" w:eastAsia="Times New Roman" w:hAnsi="Courier"/>
      <w:sz w:val="24"/>
      <w:szCs w:val="20"/>
      <w:lang w:val="es-ES_tradnl" w:eastAsia="es-ES"/>
    </w:rPr>
  </w:style>
  <w:style w:type="character" w:customStyle="1" w:styleId="TextoindependienteCar">
    <w:name w:val="Texto independiente Car"/>
    <w:basedOn w:val="Fuentedeprrafopredeter"/>
    <w:link w:val="Textoindependiente"/>
    <w:rsid w:val="009C3C24"/>
    <w:rPr>
      <w:rFonts w:ascii="Courier" w:eastAsia="Times New Roman" w:hAnsi="Courier"/>
      <w:sz w:val="24"/>
      <w:lang w:val="es-ES_tradnl" w:eastAsia="es-ES"/>
    </w:rPr>
  </w:style>
  <w:style w:type="paragraph" w:customStyle="1" w:styleId="Bala">
    <w:name w:val="Bala"/>
    <w:basedOn w:val="Normal"/>
    <w:rsid w:val="009C3C24"/>
    <w:pPr>
      <w:numPr>
        <w:numId w:val="7"/>
      </w:numPr>
      <w:tabs>
        <w:tab w:val="clear" w:pos="397"/>
        <w:tab w:val="num" w:pos="794"/>
      </w:tabs>
      <w:spacing w:after="0" w:line="240" w:lineRule="auto"/>
      <w:ind w:left="794"/>
      <w:jc w:val="both"/>
    </w:pPr>
    <w:rPr>
      <w:rFonts w:ascii="Arial" w:eastAsia="Times New Roman" w:hAnsi="Arial"/>
      <w:sz w:val="20"/>
      <w:szCs w:val="20"/>
      <w:lang w:val="es-MX" w:eastAsia="es-ES"/>
    </w:rPr>
  </w:style>
  <w:style w:type="paragraph" w:styleId="Textoindependiente2">
    <w:name w:val="Body Text 2"/>
    <w:basedOn w:val="Normal"/>
    <w:link w:val="Textoindependiente2Car"/>
    <w:uiPriority w:val="99"/>
    <w:rsid w:val="009C3C24"/>
    <w:pPr>
      <w:spacing w:after="0" w:line="240" w:lineRule="auto"/>
      <w:jc w:val="both"/>
    </w:pPr>
    <w:rPr>
      <w:rFonts w:ascii="Arial" w:eastAsia="Times New Roman" w:hAnsi="Arial"/>
      <w:sz w:val="20"/>
      <w:szCs w:val="20"/>
      <w:lang w:eastAsia="es-ES"/>
    </w:rPr>
  </w:style>
  <w:style w:type="character" w:customStyle="1" w:styleId="Textoindependiente2Car">
    <w:name w:val="Texto independiente 2 Car"/>
    <w:basedOn w:val="Fuentedeprrafopredeter"/>
    <w:link w:val="Textoindependiente2"/>
    <w:uiPriority w:val="99"/>
    <w:rsid w:val="009C3C24"/>
    <w:rPr>
      <w:rFonts w:ascii="Arial" w:eastAsia="Times New Roman" w:hAnsi="Arial"/>
      <w:lang w:val="es-ES" w:eastAsia="es-ES"/>
    </w:rPr>
  </w:style>
  <w:style w:type="paragraph" w:customStyle="1" w:styleId="heading">
    <w:name w:val="heading"/>
    <w:aliases w:val="1"/>
    <w:basedOn w:val="Normal"/>
    <w:next w:val="Normal"/>
    <w:rsid w:val="009C3C24"/>
    <w:pPr>
      <w:keepNext/>
      <w:spacing w:after="0" w:line="240" w:lineRule="auto"/>
      <w:jc w:val="both"/>
    </w:pPr>
    <w:rPr>
      <w:rFonts w:ascii="Arial" w:eastAsia="Times New Roman" w:hAnsi="Arial"/>
      <w:b/>
      <w:sz w:val="20"/>
      <w:szCs w:val="20"/>
      <w:lang w:val="es-ES_tradnl" w:eastAsia="es-ES"/>
    </w:rPr>
  </w:style>
  <w:style w:type="paragraph" w:customStyle="1" w:styleId="Body">
    <w:name w:val="Body"/>
    <w:aliases w:val="Text"/>
    <w:basedOn w:val="Normal"/>
    <w:rsid w:val="009C3C24"/>
    <w:pPr>
      <w:spacing w:after="0" w:line="240" w:lineRule="auto"/>
      <w:jc w:val="both"/>
    </w:pPr>
    <w:rPr>
      <w:rFonts w:ascii="Arial" w:eastAsia="Times New Roman" w:hAnsi="Arial"/>
      <w:sz w:val="20"/>
      <w:szCs w:val="20"/>
      <w:lang w:val="es-ES_tradnl" w:eastAsia="es-ES"/>
    </w:rPr>
  </w:style>
  <w:style w:type="paragraph" w:customStyle="1" w:styleId="Body3">
    <w:name w:val="Body3"/>
    <w:aliases w:val="Text3,2"/>
    <w:basedOn w:val="Normal"/>
    <w:rsid w:val="009C3C24"/>
    <w:pPr>
      <w:tabs>
        <w:tab w:val="left" w:pos="397"/>
      </w:tabs>
      <w:spacing w:after="0" w:line="240" w:lineRule="auto"/>
      <w:ind w:left="227" w:hanging="227"/>
      <w:jc w:val="both"/>
    </w:pPr>
    <w:rPr>
      <w:rFonts w:ascii="Arial" w:eastAsia="Times New Roman" w:hAnsi="Arial"/>
      <w:sz w:val="20"/>
      <w:szCs w:val="20"/>
      <w:lang w:val="es-ES_tradnl" w:eastAsia="es-ES"/>
    </w:rPr>
  </w:style>
  <w:style w:type="paragraph" w:customStyle="1" w:styleId="Body2">
    <w:name w:val="Body2"/>
    <w:aliases w:val="Text2,Indent,21"/>
    <w:basedOn w:val="Normal"/>
    <w:rsid w:val="009C3C24"/>
    <w:pPr>
      <w:spacing w:after="0" w:line="240" w:lineRule="auto"/>
      <w:ind w:left="624" w:hanging="624"/>
      <w:jc w:val="both"/>
    </w:pPr>
    <w:rPr>
      <w:rFonts w:ascii="Arial" w:eastAsia="Times New Roman" w:hAnsi="Arial"/>
      <w:b/>
      <w:sz w:val="20"/>
      <w:szCs w:val="20"/>
      <w:lang w:val="es-ES_tradnl" w:eastAsia="es-ES"/>
    </w:rPr>
  </w:style>
  <w:style w:type="paragraph" w:customStyle="1" w:styleId="Body1">
    <w:name w:val="Body1"/>
    <w:aliases w:val="Text1,Indent1,3"/>
    <w:basedOn w:val="Normal"/>
    <w:rsid w:val="009C3C24"/>
    <w:pPr>
      <w:spacing w:after="0" w:line="240" w:lineRule="auto"/>
      <w:ind w:left="454" w:hanging="454"/>
      <w:jc w:val="both"/>
    </w:pPr>
    <w:rPr>
      <w:rFonts w:ascii="Arial" w:eastAsia="Times New Roman" w:hAnsi="Arial"/>
      <w:sz w:val="20"/>
      <w:szCs w:val="20"/>
      <w:lang w:val="es-ES_tradnl" w:eastAsia="es-ES"/>
    </w:rPr>
  </w:style>
  <w:style w:type="paragraph" w:customStyle="1" w:styleId="N1">
    <w:name w:val="N1"/>
    <w:basedOn w:val="Normal"/>
    <w:rsid w:val="009C3C24"/>
    <w:pPr>
      <w:keepNext/>
      <w:spacing w:before="240" w:after="120" w:line="240" w:lineRule="auto"/>
    </w:pPr>
    <w:rPr>
      <w:rFonts w:ascii="Arial" w:eastAsia="Times New Roman" w:hAnsi="Arial"/>
      <w:b/>
      <w:sz w:val="20"/>
      <w:szCs w:val="20"/>
      <w:lang w:val="es-MX" w:eastAsia="es-ES"/>
    </w:rPr>
  </w:style>
  <w:style w:type="paragraph" w:styleId="Sangra2detindependiente">
    <w:name w:val="Body Text Indent 2"/>
    <w:basedOn w:val="Normal"/>
    <w:link w:val="Sangra2detindependienteCar"/>
    <w:rsid w:val="009C3C24"/>
    <w:pPr>
      <w:spacing w:after="0" w:line="240" w:lineRule="auto"/>
      <w:ind w:firstLine="425"/>
      <w:jc w:val="both"/>
    </w:pPr>
    <w:rPr>
      <w:rFonts w:ascii="Arial" w:eastAsia="Times New Roman" w:hAnsi="Arial"/>
      <w:sz w:val="20"/>
      <w:szCs w:val="20"/>
      <w:lang w:eastAsia="es-ES"/>
    </w:rPr>
  </w:style>
  <w:style w:type="character" w:customStyle="1" w:styleId="Sangra2detindependienteCar">
    <w:name w:val="Sangría 2 de t. independiente Car"/>
    <w:basedOn w:val="Fuentedeprrafopredeter"/>
    <w:link w:val="Sangra2detindependiente"/>
    <w:rsid w:val="009C3C24"/>
    <w:rPr>
      <w:rFonts w:ascii="Arial" w:eastAsia="Times New Roman" w:hAnsi="Arial"/>
      <w:lang w:val="es-ES" w:eastAsia="es-ES"/>
    </w:rPr>
  </w:style>
  <w:style w:type="paragraph" w:styleId="Sangradetextonormal">
    <w:name w:val="Body Text Indent"/>
    <w:basedOn w:val="Normal"/>
    <w:link w:val="SangradetextonormalCar"/>
    <w:rsid w:val="009C3C24"/>
    <w:pPr>
      <w:spacing w:after="0" w:line="240" w:lineRule="auto"/>
      <w:ind w:left="709"/>
      <w:jc w:val="both"/>
    </w:pPr>
    <w:rPr>
      <w:rFonts w:ascii="Arial" w:eastAsia="Times New Roman" w:hAnsi="Arial"/>
      <w:sz w:val="20"/>
      <w:szCs w:val="20"/>
      <w:lang w:eastAsia="es-ES"/>
    </w:rPr>
  </w:style>
  <w:style w:type="character" w:customStyle="1" w:styleId="SangradetextonormalCar">
    <w:name w:val="Sangría de texto normal Car"/>
    <w:basedOn w:val="Fuentedeprrafopredeter"/>
    <w:link w:val="Sangradetextonormal"/>
    <w:rsid w:val="009C3C24"/>
    <w:rPr>
      <w:rFonts w:ascii="Arial" w:eastAsia="Times New Roman" w:hAnsi="Arial"/>
      <w:lang w:val="es-ES" w:eastAsia="es-ES"/>
    </w:rPr>
  </w:style>
  <w:style w:type="paragraph" w:styleId="Sangra3detindependiente">
    <w:name w:val="Body Text Indent 3"/>
    <w:basedOn w:val="Normal"/>
    <w:link w:val="Sangra3detindependienteCar"/>
    <w:rsid w:val="009C3C24"/>
    <w:pPr>
      <w:spacing w:after="0" w:line="240" w:lineRule="auto"/>
      <w:ind w:left="369"/>
      <w:jc w:val="both"/>
    </w:pPr>
    <w:rPr>
      <w:rFonts w:ascii="Arial" w:eastAsia="Times New Roman" w:hAnsi="Arial"/>
      <w:sz w:val="20"/>
      <w:szCs w:val="20"/>
      <w:lang w:eastAsia="es-ES"/>
    </w:rPr>
  </w:style>
  <w:style w:type="character" w:customStyle="1" w:styleId="Sangra3detindependienteCar">
    <w:name w:val="Sangría 3 de t. independiente Car"/>
    <w:basedOn w:val="Fuentedeprrafopredeter"/>
    <w:link w:val="Sangra3detindependiente"/>
    <w:rsid w:val="009C3C24"/>
    <w:rPr>
      <w:rFonts w:ascii="Arial" w:eastAsia="Times New Roman" w:hAnsi="Arial"/>
      <w:lang w:val="es-ES" w:eastAsia="es-ES"/>
    </w:rPr>
  </w:style>
  <w:style w:type="paragraph" w:customStyle="1" w:styleId="xl15">
    <w:name w:val="xl15"/>
    <w:basedOn w:val="Normal"/>
    <w:rsid w:val="009C3C24"/>
    <w:pPr>
      <w:spacing w:before="100" w:beforeAutospacing="1" w:after="100" w:afterAutospacing="1" w:line="240" w:lineRule="auto"/>
      <w:textAlignment w:val="bottom"/>
    </w:pPr>
    <w:rPr>
      <w:rFonts w:ascii="Arial" w:eastAsia="Times New Roman" w:hAnsi="Arial" w:cs="Arial"/>
      <w:sz w:val="20"/>
      <w:szCs w:val="20"/>
      <w:lang w:eastAsia="es-ES"/>
    </w:rPr>
  </w:style>
  <w:style w:type="paragraph" w:customStyle="1" w:styleId="xl64">
    <w:name w:val="xl64"/>
    <w:basedOn w:val="Normal"/>
    <w:rsid w:val="009C3C24"/>
    <w:pPr>
      <w:pBdr>
        <w:left w:val="single"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es-ES"/>
    </w:rPr>
  </w:style>
  <w:style w:type="paragraph" w:styleId="Textoindependiente3">
    <w:name w:val="Body Text 3"/>
    <w:basedOn w:val="Normal"/>
    <w:link w:val="Textoindependiente3Car"/>
    <w:rsid w:val="009C3C24"/>
    <w:pPr>
      <w:spacing w:before="40" w:after="0" w:line="240" w:lineRule="auto"/>
      <w:jc w:val="center"/>
    </w:pPr>
    <w:rPr>
      <w:rFonts w:ascii="Arial" w:eastAsia="Times New Roman" w:hAnsi="Arial"/>
      <w:b/>
      <w:sz w:val="20"/>
      <w:szCs w:val="20"/>
      <w:lang w:eastAsia="es-ES"/>
    </w:rPr>
  </w:style>
  <w:style w:type="character" w:customStyle="1" w:styleId="Textoindependiente3Car">
    <w:name w:val="Texto independiente 3 Car"/>
    <w:basedOn w:val="Fuentedeprrafopredeter"/>
    <w:link w:val="Textoindependiente3"/>
    <w:rsid w:val="009C3C24"/>
    <w:rPr>
      <w:rFonts w:ascii="Arial" w:eastAsia="Times New Roman" w:hAnsi="Arial"/>
      <w:b/>
      <w:lang w:val="es-ES" w:eastAsia="es-ES"/>
    </w:rPr>
  </w:style>
  <w:style w:type="paragraph" w:customStyle="1" w:styleId="BULET">
    <w:name w:val="BULET"/>
    <w:basedOn w:val="Normal"/>
    <w:rsid w:val="009C3C24"/>
    <w:pPr>
      <w:numPr>
        <w:numId w:val="8"/>
      </w:numPr>
      <w:spacing w:after="0" w:line="240" w:lineRule="auto"/>
    </w:pPr>
    <w:rPr>
      <w:rFonts w:ascii="Times New Roman" w:eastAsia="Times New Roman" w:hAnsi="Times New Roman"/>
      <w:sz w:val="24"/>
      <w:szCs w:val="24"/>
      <w:lang w:eastAsia="es-ES"/>
    </w:rPr>
  </w:style>
  <w:style w:type="paragraph" w:customStyle="1" w:styleId="Textoindependiente21">
    <w:name w:val="Texto independiente 21"/>
    <w:basedOn w:val="Normal"/>
    <w:rsid w:val="009C3C24"/>
    <w:pPr>
      <w:widowControl w:val="0"/>
      <w:spacing w:after="360" w:line="360" w:lineRule="auto"/>
      <w:jc w:val="both"/>
    </w:pPr>
    <w:rPr>
      <w:rFonts w:ascii="Arial" w:eastAsia="Times New Roman" w:hAnsi="Arial"/>
      <w:sz w:val="24"/>
      <w:szCs w:val="20"/>
      <w:lang w:eastAsia="es-ES"/>
    </w:rPr>
  </w:style>
  <w:style w:type="paragraph" w:customStyle="1" w:styleId="E01-IIIIII">
    <w:name w:val="E01 - I  II  III"/>
    <w:rsid w:val="009C3C24"/>
    <w:pPr>
      <w:keepLines/>
      <w:widowControl w:val="0"/>
      <w:tabs>
        <w:tab w:val="left" w:pos="454"/>
      </w:tabs>
      <w:ind w:left="454" w:hanging="454"/>
      <w:outlineLvl w:val="0"/>
    </w:pPr>
    <w:rPr>
      <w:rFonts w:ascii="Arial" w:eastAsia="Times New Roman" w:hAnsi="Arial"/>
      <w:b/>
      <w:color w:val="000000"/>
      <w:bdr w:val="single" w:sz="4" w:space="0" w:color="auto"/>
      <w:shd w:val="pct25" w:color="auto" w:fill="auto"/>
      <w:lang w:val="es-ES" w:eastAsia="es-ES"/>
    </w:rPr>
  </w:style>
  <w:style w:type="paragraph" w:customStyle="1" w:styleId="CabezaIndice">
    <w:name w:val="CabezaIndice"/>
    <w:rsid w:val="009C3C24"/>
    <w:pPr>
      <w:spacing w:before="120" w:after="120" w:line="200" w:lineRule="exact"/>
      <w:jc w:val="center"/>
    </w:pPr>
    <w:rPr>
      <w:rFonts w:ascii="Arial" w:eastAsia="Times New Roman" w:hAnsi="Arial" w:cs="Arial"/>
      <w:b/>
      <w:bCs/>
      <w:sz w:val="16"/>
      <w:lang w:eastAsia="es-ES"/>
    </w:rPr>
  </w:style>
  <w:style w:type="paragraph" w:customStyle="1" w:styleId="xl25">
    <w:name w:val="xl25"/>
    <w:basedOn w:val="Normal"/>
    <w:rsid w:val="009C3C24"/>
    <w:pPr>
      <w:pBdr>
        <w:right w:val="single" w:sz="4" w:space="0" w:color="auto"/>
      </w:pBdr>
      <w:spacing w:before="100" w:beforeAutospacing="1" w:after="100" w:afterAutospacing="1" w:line="240" w:lineRule="auto"/>
      <w:jc w:val="right"/>
      <w:textAlignment w:val="center"/>
    </w:pPr>
    <w:rPr>
      <w:rFonts w:ascii="Arial" w:eastAsia="Arial Unicode MS" w:hAnsi="Arial" w:cs="Arial"/>
      <w:b/>
      <w:bCs/>
      <w:sz w:val="13"/>
      <w:szCs w:val="13"/>
      <w:lang w:eastAsia="es-ES"/>
    </w:rPr>
  </w:style>
  <w:style w:type="paragraph" w:customStyle="1" w:styleId="Vieta1">
    <w:name w:val="Viñeta 1"/>
    <w:link w:val="Vieta1Car"/>
    <w:rsid w:val="009C3C24"/>
    <w:pPr>
      <w:numPr>
        <w:numId w:val="9"/>
      </w:numPr>
      <w:tabs>
        <w:tab w:val="left" w:pos="284"/>
      </w:tabs>
      <w:spacing w:before="60" w:after="60" w:line="240" w:lineRule="exact"/>
      <w:jc w:val="both"/>
    </w:pPr>
    <w:rPr>
      <w:rFonts w:ascii="EurekaSans-Light" w:eastAsia="Times New Roman" w:hAnsi="EurekaSans-Light"/>
      <w:sz w:val="24"/>
      <w:szCs w:val="24"/>
      <w:lang w:val="en-US" w:eastAsia="es-ES_tradnl"/>
    </w:rPr>
  </w:style>
  <w:style w:type="character" w:customStyle="1" w:styleId="Vieta1Car">
    <w:name w:val="Viñeta 1 Car"/>
    <w:link w:val="Vieta1"/>
    <w:rsid w:val="009C3C24"/>
    <w:rPr>
      <w:rFonts w:ascii="EurekaSans-Light" w:eastAsia="Times New Roman" w:hAnsi="EurekaSans-Light"/>
      <w:sz w:val="24"/>
      <w:szCs w:val="24"/>
      <w:lang w:val="en-US" w:eastAsia="es-ES_tradnl"/>
    </w:rPr>
  </w:style>
  <w:style w:type="paragraph" w:customStyle="1" w:styleId="bala11pts">
    <w:name w:val="bala/11 pts"/>
    <w:basedOn w:val="Normal"/>
    <w:rsid w:val="009C3C24"/>
    <w:pPr>
      <w:tabs>
        <w:tab w:val="num" w:pos="397"/>
      </w:tabs>
      <w:spacing w:after="100" w:line="280" w:lineRule="exact"/>
      <w:ind w:left="397" w:hanging="397"/>
      <w:jc w:val="both"/>
    </w:pPr>
    <w:rPr>
      <w:rFonts w:ascii="PalmSprings" w:eastAsia="Times New Roman" w:hAnsi="PalmSprings"/>
      <w:szCs w:val="20"/>
      <w:lang w:val="es-ES_tradnl" w:eastAsia="es-ES"/>
    </w:rPr>
  </w:style>
  <w:style w:type="paragraph" w:customStyle="1" w:styleId="PARRAFO-SIN">
    <w:name w:val="PARRAFO-SIN"/>
    <w:basedOn w:val="Normal"/>
    <w:rsid w:val="009C3C24"/>
    <w:pPr>
      <w:spacing w:before="60" w:after="0" w:line="300" w:lineRule="exact"/>
      <w:jc w:val="both"/>
    </w:pPr>
    <w:rPr>
      <w:rFonts w:ascii="Times New Roman" w:eastAsia="Times New Roman" w:hAnsi="Times New Roman"/>
      <w:szCs w:val="20"/>
      <w:lang w:val="es-MX" w:eastAsia="es-ES"/>
    </w:rPr>
  </w:style>
  <w:style w:type="paragraph" w:customStyle="1" w:styleId="Texto">
    <w:name w:val="Texto"/>
    <w:link w:val="TextoCar"/>
    <w:qFormat/>
    <w:rsid w:val="009C3C24"/>
    <w:pPr>
      <w:spacing w:after="360" w:line="360" w:lineRule="auto"/>
      <w:ind w:left="144" w:right="144"/>
      <w:jc w:val="both"/>
    </w:pPr>
    <w:rPr>
      <w:rFonts w:ascii="Helvetica" w:eastAsia="Times New Roman" w:hAnsi="Helvetica"/>
      <w:sz w:val="22"/>
      <w:lang w:val="es-ES_tradnl" w:eastAsia="es-ES"/>
    </w:rPr>
  </w:style>
  <w:style w:type="paragraph" w:customStyle="1" w:styleId="Textoindependiente31">
    <w:name w:val="Texto independiente 31"/>
    <w:basedOn w:val="Normal"/>
    <w:rsid w:val="009C3C24"/>
    <w:pPr>
      <w:widowControl w:val="0"/>
      <w:spacing w:after="0" w:line="240" w:lineRule="auto"/>
      <w:jc w:val="both"/>
    </w:pPr>
    <w:rPr>
      <w:rFonts w:ascii="CG Times" w:eastAsia="Times New Roman" w:hAnsi="CG Times"/>
      <w:sz w:val="24"/>
      <w:szCs w:val="20"/>
      <w:lang w:val="es-MX" w:eastAsia="es-ES"/>
    </w:rPr>
  </w:style>
  <w:style w:type="paragraph" w:customStyle="1" w:styleId="VIETABLANCA">
    <w:name w:val="_VIÑETA BLANCA"/>
    <w:basedOn w:val="Normal"/>
    <w:rsid w:val="009C3C24"/>
    <w:pPr>
      <w:tabs>
        <w:tab w:val="num" w:pos="420"/>
      </w:tabs>
      <w:spacing w:before="120" w:after="120" w:line="240" w:lineRule="exact"/>
      <w:ind w:left="420" w:hanging="360"/>
      <w:jc w:val="both"/>
    </w:pPr>
    <w:rPr>
      <w:rFonts w:ascii="Times New Roman" w:eastAsia="Times New Roman" w:hAnsi="Times New Roman"/>
      <w:szCs w:val="24"/>
      <w:lang w:eastAsia="es-ES"/>
    </w:rPr>
  </w:style>
  <w:style w:type="character" w:customStyle="1" w:styleId="SIGLAS">
    <w:name w:val="_SIGLAS"/>
    <w:rsid w:val="009C3C24"/>
    <w:rPr>
      <w:caps/>
      <w:sz w:val="20"/>
    </w:rPr>
  </w:style>
  <w:style w:type="paragraph" w:styleId="Textodebloque">
    <w:name w:val="Block Text"/>
    <w:basedOn w:val="Normal"/>
    <w:rsid w:val="009C3C24"/>
    <w:pPr>
      <w:spacing w:after="0" w:line="240" w:lineRule="auto"/>
      <w:ind w:left="85" w:right="85"/>
      <w:jc w:val="both"/>
    </w:pPr>
    <w:rPr>
      <w:rFonts w:ascii="Arial" w:eastAsia="Times New Roman" w:hAnsi="Arial" w:cs="Arial"/>
      <w:bCs/>
      <w:sz w:val="20"/>
      <w:szCs w:val="24"/>
      <w:lang w:eastAsia="es-ES"/>
    </w:rPr>
  </w:style>
  <w:style w:type="paragraph" w:customStyle="1" w:styleId="xl31">
    <w:name w:val="xl31"/>
    <w:basedOn w:val="Normal"/>
    <w:rsid w:val="009C3C24"/>
    <w:pPr>
      <w:pBdr>
        <w:bottom w:val="single" w:sz="4" w:space="0" w:color="auto"/>
        <w:right w:val="single" w:sz="4" w:space="0" w:color="auto"/>
      </w:pBdr>
      <w:spacing w:before="100" w:beforeAutospacing="1" w:after="100" w:afterAutospacing="1" w:line="240" w:lineRule="auto"/>
      <w:jc w:val="center"/>
      <w:textAlignment w:val="center"/>
    </w:pPr>
    <w:rPr>
      <w:rFonts w:ascii="Arial" w:eastAsia="Arial Unicode MS" w:hAnsi="Arial" w:cs="Arial"/>
      <w:sz w:val="10"/>
      <w:szCs w:val="10"/>
      <w:lang w:eastAsia="es-ES"/>
    </w:rPr>
  </w:style>
  <w:style w:type="paragraph" w:customStyle="1" w:styleId="xl24">
    <w:name w:val="xl24"/>
    <w:basedOn w:val="Normal"/>
    <w:rsid w:val="009C3C24"/>
    <w:pPr>
      <w:pBdr>
        <w:left w:val="single" w:sz="4" w:space="0" w:color="auto"/>
        <w:right w:val="single" w:sz="4" w:space="0" w:color="auto"/>
      </w:pBdr>
      <w:spacing w:before="100" w:beforeAutospacing="1" w:after="100" w:afterAutospacing="1" w:line="240" w:lineRule="auto"/>
      <w:jc w:val="center"/>
      <w:textAlignment w:val="center"/>
    </w:pPr>
    <w:rPr>
      <w:rFonts w:ascii="Arial" w:eastAsia="Arial Unicode MS" w:hAnsi="Arial" w:cs="Arial"/>
      <w:sz w:val="12"/>
      <w:szCs w:val="12"/>
      <w:lang w:eastAsia="es-ES"/>
    </w:rPr>
  </w:style>
  <w:style w:type="paragraph" w:customStyle="1" w:styleId="xl39">
    <w:name w:val="xl39"/>
    <w:basedOn w:val="Normal"/>
    <w:rsid w:val="009C3C24"/>
    <w:pPr>
      <w:spacing w:before="100" w:beforeAutospacing="1" w:after="100" w:afterAutospacing="1" w:line="240" w:lineRule="auto"/>
    </w:pPr>
    <w:rPr>
      <w:rFonts w:ascii="Arial" w:eastAsia="Arial Unicode MS" w:hAnsi="Arial" w:cs="Arial"/>
      <w:b/>
      <w:bCs/>
      <w:sz w:val="12"/>
      <w:szCs w:val="12"/>
      <w:lang w:eastAsia="es-ES"/>
    </w:rPr>
  </w:style>
  <w:style w:type="paragraph" w:customStyle="1" w:styleId="Body2Text222">
    <w:name w:val="Body2.Text2.22"/>
    <w:basedOn w:val="Normal"/>
    <w:rsid w:val="009C3C24"/>
    <w:pPr>
      <w:spacing w:after="0" w:line="240" w:lineRule="auto"/>
      <w:jc w:val="both"/>
    </w:pPr>
    <w:rPr>
      <w:rFonts w:ascii="Arial" w:eastAsia="Times New Roman" w:hAnsi="Arial"/>
      <w:sz w:val="20"/>
      <w:szCs w:val="20"/>
      <w:lang w:val="es-ES_tradnl" w:eastAsia="es-ES"/>
    </w:rPr>
  </w:style>
  <w:style w:type="paragraph" w:customStyle="1" w:styleId="Encabezado4">
    <w:name w:val="Encabezado4"/>
    <w:basedOn w:val="Normal"/>
    <w:rsid w:val="009C3C24"/>
    <w:pPr>
      <w:spacing w:after="240" w:line="240" w:lineRule="auto"/>
    </w:pPr>
    <w:rPr>
      <w:rFonts w:ascii="Arial Narrow" w:eastAsia="Times New Roman" w:hAnsi="Arial Narrow"/>
      <w:caps/>
      <w:sz w:val="20"/>
      <w:szCs w:val="20"/>
      <w:lang w:val="es-ES_tradnl" w:eastAsia="es-ES"/>
    </w:rPr>
  </w:style>
  <w:style w:type="paragraph" w:styleId="Continuarlista">
    <w:name w:val="List Continue"/>
    <w:basedOn w:val="Normal"/>
    <w:rsid w:val="009C3C24"/>
    <w:pPr>
      <w:spacing w:after="120" w:line="240" w:lineRule="auto"/>
      <w:ind w:left="283"/>
    </w:pPr>
    <w:rPr>
      <w:rFonts w:ascii="Arial" w:eastAsia="Times New Roman" w:hAnsi="Arial"/>
      <w:sz w:val="24"/>
      <w:szCs w:val="20"/>
      <w:lang w:val="es-ES_tradnl" w:eastAsia="es-ES"/>
    </w:rPr>
  </w:style>
  <w:style w:type="paragraph" w:customStyle="1" w:styleId="E02-TemasIyII">
    <w:name w:val="E02 - Temas  I  y  II"/>
    <w:rsid w:val="009C3C24"/>
    <w:pPr>
      <w:jc w:val="both"/>
      <w:outlineLvl w:val="1"/>
    </w:pPr>
    <w:rPr>
      <w:rFonts w:ascii="Arial" w:eastAsia="Times New Roman" w:hAnsi="Arial"/>
      <w:b/>
      <w:color w:val="000000"/>
      <w:lang w:val="es-ES" w:eastAsia="es-ES"/>
    </w:rPr>
  </w:style>
  <w:style w:type="paragraph" w:customStyle="1" w:styleId="E03-III1III2">
    <w:name w:val="E03 - III.1   III.2"/>
    <w:rsid w:val="009C3C24"/>
    <w:pPr>
      <w:tabs>
        <w:tab w:val="left" w:pos="539"/>
      </w:tabs>
      <w:ind w:left="539" w:hanging="539"/>
      <w:outlineLvl w:val="0"/>
    </w:pPr>
    <w:rPr>
      <w:rFonts w:ascii="Arial" w:eastAsia="Times New Roman" w:hAnsi="Arial"/>
      <w:b/>
      <w:caps/>
      <w:color w:val="000000"/>
      <w:lang w:val="es-ES" w:eastAsia="es-ES"/>
    </w:rPr>
  </w:style>
  <w:style w:type="paragraph" w:customStyle="1" w:styleId="E04-TemasIII1">
    <w:name w:val="E04 - Temas  III.1"/>
    <w:rsid w:val="009C3C24"/>
    <w:pPr>
      <w:outlineLvl w:val="1"/>
    </w:pPr>
    <w:rPr>
      <w:rFonts w:ascii="Arial" w:eastAsia="Times New Roman" w:hAnsi="Arial"/>
      <w:b/>
      <w:caps/>
      <w:color w:val="000000"/>
      <w:lang w:val="es-ES" w:eastAsia="es-ES"/>
    </w:rPr>
  </w:style>
  <w:style w:type="paragraph" w:customStyle="1" w:styleId="E05-Funcin">
    <w:name w:val="E05 - Función"/>
    <w:rsid w:val="009C3C24"/>
    <w:pPr>
      <w:tabs>
        <w:tab w:val="left" w:pos="1162"/>
      </w:tabs>
      <w:ind w:left="1162" w:hanging="1162"/>
      <w:outlineLvl w:val="2"/>
    </w:pPr>
    <w:rPr>
      <w:rFonts w:ascii="Arial" w:eastAsia="Times New Roman" w:hAnsi="Arial"/>
      <w:b/>
      <w:color w:val="000000"/>
      <w:lang w:val="es-ES" w:eastAsia="es-ES"/>
    </w:rPr>
  </w:style>
  <w:style w:type="paragraph" w:customStyle="1" w:styleId="E06-Subfuncin">
    <w:name w:val="E06 - Subfunción"/>
    <w:rsid w:val="009C3C24"/>
    <w:pPr>
      <w:tabs>
        <w:tab w:val="left" w:pos="1559"/>
      </w:tabs>
      <w:ind w:left="1559" w:hanging="1559"/>
      <w:jc w:val="both"/>
      <w:outlineLvl w:val="3"/>
    </w:pPr>
    <w:rPr>
      <w:rFonts w:ascii="Arial" w:eastAsia="Times New Roman" w:hAnsi="Arial"/>
      <w:color w:val="000000"/>
      <w:lang w:val="es-ES" w:eastAsia="es-ES"/>
    </w:rPr>
  </w:style>
  <w:style w:type="paragraph" w:customStyle="1" w:styleId="E07-ProgramaEspecial">
    <w:name w:val="E07 - Programa Especial"/>
    <w:rsid w:val="009C3C24"/>
    <w:pPr>
      <w:tabs>
        <w:tab w:val="left" w:pos="2410"/>
      </w:tabs>
      <w:ind w:left="2410" w:hanging="2410"/>
      <w:jc w:val="both"/>
      <w:outlineLvl w:val="4"/>
    </w:pPr>
    <w:rPr>
      <w:rFonts w:ascii="Arial" w:eastAsia="Times New Roman" w:hAnsi="Arial"/>
      <w:color w:val="000000"/>
      <w:lang w:val="es-ES" w:eastAsia="es-ES"/>
    </w:rPr>
  </w:style>
  <w:style w:type="paragraph" w:customStyle="1" w:styleId="E08-ActividadInstitucional">
    <w:name w:val="E08 - Actividad Institucional"/>
    <w:rsid w:val="009C3C24"/>
    <w:pPr>
      <w:tabs>
        <w:tab w:val="left" w:pos="2835"/>
      </w:tabs>
      <w:ind w:left="2835" w:hanging="2835"/>
      <w:jc w:val="both"/>
      <w:outlineLvl w:val="5"/>
    </w:pPr>
    <w:rPr>
      <w:rFonts w:ascii="Arial" w:eastAsia="Times New Roman" w:hAnsi="Arial"/>
      <w:color w:val="000000"/>
      <w:lang w:val="es-ES" w:eastAsia="es-ES"/>
    </w:rPr>
  </w:style>
  <w:style w:type="paragraph" w:customStyle="1" w:styleId="E09-Proyecto">
    <w:name w:val="E09 - Proyecto"/>
    <w:rsid w:val="009C3C24"/>
    <w:pPr>
      <w:tabs>
        <w:tab w:val="left" w:pos="1361"/>
      </w:tabs>
      <w:ind w:left="1361" w:hanging="1361"/>
      <w:jc w:val="both"/>
      <w:outlineLvl w:val="6"/>
    </w:pPr>
    <w:rPr>
      <w:rFonts w:ascii="Arial" w:eastAsia="Times New Roman" w:hAnsi="Arial"/>
      <w:color w:val="000000"/>
      <w:lang w:eastAsia="es-ES"/>
    </w:rPr>
  </w:style>
  <w:style w:type="paragraph" w:customStyle="1" w:styleId="E10-Indicador">
    <w:name w:val="E10 - Indicador"/>
    <w:rsid w:val="009C3C24"/>
    <w:pPr>
      <w:tabs>
        <w:tab w:val="left" w:pos="1418"/>
      </w:tabs>
      <w:ind w:left="1418" w:hanging="1418"/>
      <w:jc w:val="both"/>
      <w:outlineLvl w:val="7"/>
    </w:pPr>
    <w:rPr>
      <w:rFonts w:ascii="Arial" w:eastAsia="Times New Roman" w:hAnsi="Arial"/>
      <w:i/>
      <w:color w:val="000000"/>
      <w:lang w:val="es-ES" w:eastAsia="es-ES"/>
    </w:rPr>
  </w:style>
  <w:style w:type="paragraph" w:customStyle="1" w:styleId="AnlisisdelEjercicio">
    <w:name w:val="Análisis del Ejercicio"/>
    <w:rsid w:val="009C3C24"/>
    <w:pPr>
      <w:tabs>
        <w:tab w:val="right" w:pos="5954"/>
      </w:tabs>
      <w:ind w:left="57"/>
    </w:pPr>
    <w:rPr>
      <w:rFonts w:ascii="Arial" w:eastAsia="Times New Roman" w:hAnsi="Arial"/>
      <w:caps/>
      <w:sz w:val="16"/>
      <w:lang w:val="es-ES" w:eastAsia="es-ES"/>
    </w:rPr>
  </w:style>
  <w:style w:type="paragraph" w:customStyle="1" w:styleId="Formatos">
    <w:name w:val="Formatos"/>
    <w:rsid w:val="009C3C24"/>
    <w:pPr>
      <w:tabs>
        <w:tab w:val="right" w:pos="5954"/>
      </w:tabs>
      <w:ind w:left="284"/>
      <w:jc w:val="both"/>
    </w:pPr>
    <w:rPr>
      <w:rFonts w:ascii="Arial" w:eastAsia="Times New Roman" w:hAnsi="Arial"/>
      <w:sz w:val="16"/>
      <w:lang w:val="es-ES" w:eastAsia="es-ES"/>
    </w:rPr>
  </w:style>
  <w:style w:type="paragraph" w:customStyle="1" w:styleId="Tipodeinformacin">
    <w:name w:val="Tipo de información"/>
    <w:rsid w:val="009C3C24"/>
    <w:pPr>
      <w:tabs>
        <w:tab w:val="right" w:pos="5954"/>
      </w:tabs>
      <w:ind w:left="57"/>
      <w:jc w:val="both"/>
    </w:pPr>
    <w:rPr>
      <w:rFonts w:ascii="Arial" w:eastAsia="Times New Roman" w:hAnsi="Arial"/>
      <w:b/>
      <w:caps/>
      <w:sz w:val="16"/>
      <w:lang w:val="es-ES" w:eastAsia="es-ES"/>
    </w:rPr>
  </w:style>
  <w:style w:type="paragraph" w:customStyle="1" w:styleId="Cabeza">
    <w:name w:val="Cabeza"/>
    <w:rsid w:val="009C3C24"/>
    <w:rPr>
      <w:rFonts w:ascii="Arial" w:eastAsia="Times New Roman" w:hAnsi="Arial"/>
      <w:color w:val="000000"/>
      <w:lang w:eastAsia="es-ES"/>
    </w:rPr>
  </w:style>
  <w:style w:type="paragraph" w:customStyle="1" w:styleId="Clave">
    <w:name w:val="Clave"/>
    <w:rsid w:val="009C3C24"/>
    <w:pPr>
      <w:spacing w:before="40"/>
      <w:jc w:val="right"/>
    </w:pPr>
    <w:rPr>
      <w:rFonts w:ascii="Arial" w:eastAsia="Times New Roman" w:hAnsi="Arial" w:cs="Arial"/>
      <w:b/>
      <w:sz w:val="22"/>
      <w:lang w:val="es-ES" w:eastAsia="es-ES"/>
    </w:rPr>
  </w:style>
  <w:style w:type="paragraph" w:customStyle="1" w:styleId="InterlineadoCerrado">
    <w:name w:val="InterlineadoCerrado"/>
    <w:rsid w:val="009C3C24"/>
    <w:pPr>
      <w:spacing w:line="200" w:lineRule="exact"/>
    </w:pPr>
    <w:rPr>
      <w:rFonts w:ascii="Arial" w:eastAsia="Times New Roman" w:hAnsi="Arial"/>
      <w:noProof/>
      <w:lang w:val="es-ES" w:eastAsia="es-ES"/>
    </w:rPr>
  </w:style>
  <w:style w:type="paragraph" w:customStyle="1" w:styleId="Nombre">
    <w:name w:val="Nombre"/>
    <w:rsid w:val="009C3C24"/>
    <w:pPr>
      <w:jc w:val="center"/>
    </w:pPr>
    <w:rPr>
      <w:rFonts w:ascii="Arial" w:eastAsia="Times New Roman" w:hAnsi="Arial" w:cs="Arial"/>
      <w:b/>
      <w:bCs/>
      <w:sz w:val="24"/>
      <w:lang w:val="es-ES" w:eastAsia="es-ES"/>
    </w:rPr>
  </w:style>
  <w:style w:type="paragraph" w:customStyle="1" w:styleId="InterlineadoCerrado4">
    <w:name w:val="InterlineadoCerrado(4)"/>
    <w:basedOn w:val="InterlineadoCerrado"/>
    <w:rsid w:val="009C3C24"/>
    <w:pPr>
      <w:spacing w:line="60" w:lineRule="exact"/>
    </w:pPr>
  </w:style>
  <w:style w:type="character" w:styleId="Hipervnculo">
    <w:name w:val="Hyperlink"/>
    <w:uiPriority w:val="99"/>
    <w:rsid w:val="009C3C24"/>
    <w:rPr>
      <w:color w:val="0000FF"/>
      <w:u w:val="single"/>
    </w:rPr>
  </w:style>
  <w:style w:type="character" w:styleId="Hipervnculovisitado">
    <w:name w:val="FollowedHyperlink"/>
    <w:uiPriority w:val="99"/>
    <w:rsid w:val="009C3C24"/>
    <w:rPr>
      <w:color w:val="800080"/>
      <w:u w:val="single"/>
    </w:rPr>
  </w:style>
  <w:style w:type="paragraph" w:customStyle="1" w:styleId="BALA0">
    <w:name w:val="BALA"/>
    <w:basedOn w:val="Normal"/>
    <w:rsid w:val="009C3C24"/>
    <w:pPr>
      <w:tabs>
        <w:tab w:val="num" w:pos="454"/>
      </w:tabs>
      <w:spacing w:before="120" w:after="120" w:line="240" w:lineRule="exact"/>
      <w:ind w:left="426" w:hanging="369"/>
      <w:jc w:val="both"/>
    </w:pPr>
    <w:rPr>
      <w:rFonts w:ascii="Times New Roman" w:eastAsia="Times New Roman" w:hAnsi="Times New Roman"/>
      <w:szCs w:val="24"/>
      <w:lang w:eastAsia="es-ES"/>
    </w:rPr>
  </w:style>
  <w:style w:type="paragraph" w:customStyle="1" w:styleId="VIETANEGRA">
    <w:name w:val="_VIÑETA NEGRA"/>
    <w:basedOn w:val="Normal"/>
    <w:rsid w:val="009C3C24"/>
    <w:pPr>
      <w:tabs>
        <w:tab w:val="num" w:pos="360"/>
      </w:tabs>
      <w:spacing w:before="50" w:after="50" w:line="260" w:lineRule="exact"/>
      <w:ind w:left="360" w:hanging="360"/>
      <w:jc w:val="both"/>
    </w:pPr>
    <w:rPr>
      <w:rFonts w:ascii="Times New Roman" w:eastAsia="Times New Roman" w:hAnsi="Times New Roman"/>
      <w:szCs w:val="24"/>
      <w:lang w:eastAsia="es-ES"/>
    </w:rPr>
  </w:style>
  <w:style w:type="paragraph" w:styleId="Textonotaalfinal">
    <w:name w:val="endnote text"/>
    <w:basedOn w:val="Normal"/>
    <w:link w:val="TextonotaalfinalCar"/>
    <w:semiHidden/>
    <w:rsid w:val="009C3C24"/>
    <w:pPr>
      <w:spacing w:after="0" w:line="240" w:lineRule="auto"/>
    </w:pPr>
    <w:rPr>
      <w:rFonts w:ascii="Times New Roman" w:eastAsia="Times New Roman" w:hAnsi="Times New Roman"/>
      <w:sz w:val="20"/>
      <w:szCs w:val="20"/>
      <w:lang w:val="es-MX" w:eastAsia="es-MX"/>
    </w:rPr>
  </w:style>
  <w:style w:type="character" w:customStyle="1" w:styleId="TextonotaalfinalCar">
    <w:name w:val="Texto nota al final Car"/>
    <w:basedOn w:val="Fuentedeprrafopredeter"/>
    <w:link w:val="Textonotaalfinal"/>
    <w:semiHidden/>
    <w:rsid w:val="009C3C24"/>
    <w:rPr>
      <w:rFonts w:ascii="Times New Roman" w:eastAsia="Times New Roman" w:hAnsi="Times New Roman"/>
    </w:rPr>
  </w:style>
  <w:style w:type="character" w:styleId="Refdenotaalfinal">
    <w:name w:val="endnote reference"/>
    <w:semiHidden/>
    <w:rsid w:val="009C3C24"/>
    <w:rPr>
      <w:vertAlign w:val="superscript"/>
    </w:rPr>
  </w:style>
  <w:style w:type="paragraph" w:styleId="Sinespaciado">
    <w:name w:val="No Spacing"/>
    <w:link w:val="SinespaciadoCar"/>
    <w:uiPriority w:val="1"/>
    <w:qFormat/>
    <w:rsid w:val="009C3C24"/>
    <w:rPr>
      <w:rFonts w:eastAsia="Times New Roman"/>
      <w:sz w:val="22"/>
      <w:szCs w:val="22"/>
    </w:rPr>
  </w:style>
  <w:style w:type="character" w:customStyle="1" w:styleId="SinespaciadoCar">
    <w:name w:val="Sin espaciado Car"/>
    <w:link w:val="Sinespaciado"/>
    <w:uiPriority w:val="1"/>
    <w:rsid w:val="009C3C24"/>
    <w:rPr>
      <w:rFonts w:eastAsia="Times New Roman"/>
      <w:sz w:val="22"/>
      <w:szCs w:val="22"/>
    </w:rPr>
  </w:style>
  <w:style w:type="paragraph" w:customStyle="1" w:styleId="Style1">
    <w:name w:val="Style 1"/>
    <w:basedOn w:val="Normal"/>
    <w:uiPriority w:val="99"/>
    <w:rsid w:val="009C3C24"/>
    <w:pPr>
      <w:widowControl w:val="0"/>
      <w:autoSpaceDE w:val="0"/>
      <w:autoSpaceDN w:val="0"/>
      <w:adjustRightInd w:val="0"/>
      <w:spacing w:after="0" w:line="240" w:lineRule="auto"/>
    </w:pPr>
    <w:rPr>
      <w:rFonts w:ascii="Times New Roman" w:eastAsia="Times New Roman" w:hAnsi="Times New Roman"/>
      <w:sz w:val="20"/>
      <w:szCs w:val="20"/>
      <w:lang w:val="en-US" w:eastAsia="es-MX"/>
    </w:rPr>
  </w:style>
  <w:style w:type="character" w:customStyle="1" w:styleId="CharacterStyle22">
    <w:name w:val="Character Style 22"/>
    <w:uiPriority w:val="99"/>
    <w:rsid w:val="009C3C24"/>
    <w:rPr>
      <w:sz w:val="20"/>
      <w:szCs w:val="20"/>
    </w:rPr>
  </w:style>
  <w:style w:type="character" w:customStyle="1" w:styleId="TextoCar">
    <w:name w:val="Texto Car"/>
    <w:link w:val="Texto"/>
    <w:locked/>
    <w:rsid w:val="009C3C24"/>
    <w:rPr>
      <w:rFonts w:ascii="Helvetica" w:eastAsia="Times New Roman" w:hAnsi="Helvetica"/>
      <w:sz w:val="22"/>
      <w:lang w:val="es-ES_tradnl" w:eastAsia="es-ES"/>
    </w:rPr>
  </w:style>
  <w:style w:type="paragraph" w:styleId="Lista2">
    <w:name w:val="List 2"/>
    <w:basedOn w:val="Normal"/>
    <w:rsid w:val="009C3C24"/>
    <w:pPr>
      <w:spacing w:after="0" w:line="240" w:lineRule="auto"/>
      <w:ind w:left="566" w:hanging="283"/>
      <w:contextualSpacing/>
    </w:pPr>
    <w:rPr>
      <w:rFonts w:ascii="Times New Roman" w:eastAsia="Times New Roman" w:hAnsi="Times New Roman"/>
      <w:sz w:val="24"/>
      <w:szCs w:val="24"/>
      <w:lang w:val="es-MX" w:eastAsia="es-MX"/>
    </w:rPr>
  </w:style>
  <w:style w:type="paragraph" w:styleId="Saludo">
    <w:name w:val="Salutation"/>
    <w:basedOn w:val="Normal"/>
    <w:next w:val="Normal"/>
    <w:link w:val="SaludoCar"/>
    <w:rsid w:val="009C3C24"/>
    <w:pPr>
      <w:spacing w:after="0" w:line="240" w:lineRule="auto"/>
    </w:pPr>
    <w:rPr>
      <w:rFonts w:ascii="Times New Roman" w:eastAsia="Times New Roman" w:hAnsi="Times New Roman"/>
      <w:sz w:val="24"/>
      <w:szCs w:val="24"/>
      <w:lang w:val="es-MX" w:eastAsia="es-MX"/>
    </w:rPr>
  </w:style>
  <w:style w:type="character" w:customStyle="1" w:styleId="SaludoCar">
    <w:name w:val="Saludo Car"/>
    <w:basedOn w:val="Fuentedeprrafopredeter"/>
    <w:link w:val="Saludo"/>
    <w:rsid w:val="009C3C24"/>
    <w:rPr>
      <w:rFonts w:ascii="Times New Roman" w:eastAsia="Times New Roman" w:hAnsi="Times New Roman"/>
      <w:sz w:val="24"/>
      <w:szCs w:val="24"/>
    </w:rPr>
  </w:style>
  <w:style w:type="paragraph" w:styleId="Continuarlista2">
    <w:name w:val="List Continue 2"/>
    <w:basedOn w:val="Normal"/>
    <w:rsid w:val="009C3C24"/>
    <w:pPr>
      <w:spacing w:after="120" w:line="240" w:lineRule="auto"/>
      <w:ind w:left="566"/>
      <w:contextualSpacing/>
    </w:pPr>
    <w:rPr>
      <w:rFonts w:ascii="Times New Roman" w:eastAsia="Times New Roman" w:hAnsi="Times New Roman"/>
      <w:sz w:val="24"/>
      <w:szCs w:val="24"/>
      <w:lang w:val="es-MX" w:eastAsia="es-MX"/>
    </w:rPr>
  </w:style>
  <w:style w:type="paragraph" w:styleId="Textoindependienteprimerasangra2">
    <w:name w:val="Body Text First Indent 2"/>
    <w:basedOn w:val="Sangradetextonormal"/>
    <w:link w:val="Textoindependienteprimerasangra2Car"/>
    <w:rsid w:val="009C3C24"/>
    <w:pPr>
      <w:spacing w:after="120"/>
      <w:ind w:left="283" w:firstLine="210"/>
      <w:jc w:val="left"/>
    </w:pPr>
    <w:rPr>
      <w:rFonts w:ascii="Times New Roman" w:hAnsi="Times New Roman"/>
      <w:sz w:val="24"/>
      <w:szCs w:val="24"/>
      <w:lang w:val="es-MX" w:eastAsia="es-MX"/>
    </w:rPr>
  </w:style>
  <w:style w:type="character" w:customStyle="1" w:styleId="Textoindependienteprimerasangra2Car">
    <w:name w:val="Texto independiente primera sangría 2 Car"/>
    <w:basedOn w:val="SangradetextonormalCar"/>
    <w:link w:val="Textoindependienteprimerasangra2"/>
    <w:rsid w:val="009C3C24"/>
    <w:rPr>
      <w:rFonts w:ascii="Times New Roman" w:eastAsia="Times New Roman" w:hAnsi="Times New Roman"/>
      <w:sz w:val="24"/>
      <w:szCs w:val="24"/>
      <w:lang w:val="es-ES" w:eastAsia="es-ES"/>
    </w:rPr>
  </w:style>
  <w:style w:type="numbering" w:customStyle="1" w:styleId="Sinlista1">
    <w:name w:val="Sin lista1"/>
    <w:next w:val="Sinlista"/>
    <w:uiPriority w:val="99"/>
    <w:semiHidden/>
    <w:unhideWhenUsed/>
    <w:rsid w:val="009C3C24"/>
  </w:style>
  <w:style w:type="paragraph" w:customStyle="1" w:styleId="Frotiregular">
    <w:name w:val="Frotiregular"/>
    <w:basedOn w:val="Encabezado"/>
    <w:rsid w:val="009C3C24"/>
    <w:pPr>
      <w:tabs>
        <w:tab w:val="clear" w:pos="4419"/>
        <w:tab w:val="clear" w:pos="8838"/>
      </w:tabs>
      <w:spacing w:after="0" w:line="240" w:lineRule="auto"/>
    </w:pPr>
    <w:rPr>
      <w:rFonts w:ascii="R Frutiger Roman" w:eastAsia="Times New Roman" w:hAnsi="R Frutiger Roman"/>
      <w:smallCaps w:val="0"/>
      <w:sz w:val="24"/>
      <w:szCs w:val="20"/>
      <w:lang w:eastAsia="es-ES"/>
    </w:rPr>
  </w:style>
  <w:style w:type="paragraph" w:styleId="Textosinformato">
    <w:name w:val="Plain Text"/>
    <w:basedOn w:val="Normal"/>
    <w:link w:val="TextosinformatoCar"/>
    <w:rsid w:val="009C3C24"/>
    <w:pPr>
      <w:spacing w:after="0" w:line="240" w:lineRule="auto"/>
    </w:pPr>
    <w:rPr>
      <w:rFonts w:ascii="Courier New" w:eastAsia="Times New Roman" w:hAnsi="Courier New" w:cs="Courier New"/>
      <w:sz w:val="20"/>
      <w:szCs w:val="20"/>
      <w:lang w:eastAsia="es-ES"/>
    </w:rPr>
  </w:style>
  <w:style w:type="character" w:customStyle="1" w:styleId="TextosinformatoCar">
    <w:name w:val="Texto sin formato Car"/>
    <w:basedOn w:val="Fuentedeprrafopredeter"/>
    <w:link w:val="Textosinformato"/>
    <w:rsid w:val="009C3C24"/>
    <w:rPr>
      <w:rFonts w:ascii="Courier New" w:eastAsia="Times New Roman" w:hAnsi="Courier New" w:cs="Courier New"/>
      <w:lang w:val="es-ES" w:eastAsia="es-ES"/>
    </w:rPr>
  </w:style>
  <w:style w:type="table" w:customStyle="1" w:styleId="Tablaconcuadrcula1">
    <w:name w:val="Tabla con cuadrícula1"/>
    <w:basedOn w:val="Tablanormal"/>
    <w:next w:val="Tablaconcuadrcula"/>
    <w:uiPriority w:val="59"/>
    <w:rsid w:val="009C3C2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A6"/>
    <w:rsid w:val="009C3C24"/>
    <w:rPr>
      <w:rFonts w:cs="Century"/>
      <w:color w:val="000000"/>
      <w:sz w:val="14"/>
      <w:szCs w:val="14"/>
    </w:rPr>
  </w:style>
  <w:style w:type="numbering" w:customStyle="1" w:styleId="Sinlista11">
    <w:name w:val="Sin lista11"/>
    <w:next w:val="Sinlista"/>
    <w:uiPriority w:val="99"/>
    <w:semiHidden/>
    <w:unhideWhenUsed/>
    <w:rsid w:val="009C3C24"/>
  </w:style>
  <w:style w:type="paragraph" w:customStyle="1" w:styleId="xl66">
    <w:name w:val="xl66"/>
    <w:basedOn w:val="Normal"/>
    <w:rsid w:val="009C3C24"/>
    <w:pPr>
      <w:spacing w:before="100" w:beforeAutospacing="1" w:after="100" w:afterAutospacing="1" w:line="240" w:lineRule="auto"/>
    </w:pPr>
    <w:rPr>
      <w:rFonts w:eastAsia="Times New Roman"/>
      <w:color w:val="000000"/>
      <w:sz w:val="24"/>
      <w:szCs w:val="24"/>
      <w:lang w:val="es-MX" w:eastAsia="es-MX"/>
    </w:rPr>
  </w:style>
  <w:style w:type="paragraph" w:customStyle="1" w:styleId="xl67">
    <w:name w:val="xl67"/>
    <w:basedOn w:val="Normal"/>
    <w:rsid w:val="009C3C24"/>
    <w:pPr>
      <w:spacing w:before="100" w:beforeAutospacing="1" w:after="100" w:afterAutospacing="1" w:line="240" w:lineRule="auto"/>
    </w:pPr>
    <w:rPr>
      <w:rFonts w:eastAsia="Times New Roman"/>
      <w:color w:val="000000"/>
      <w:sz w:val="24"/>
      <w:szCs w:val="24"/>
      <w:lang w:val="es-MX" w:eastAsia="es-MX"/>
    </w:rPr>
  </w:style>
  <w:style w:type="paragraph" w:customStyle="1" w:styleId="xl68">
    <w:name w:val="xl68"/>
    <w:basedOn w:val="Normal"/>
    <w:rsid w:val="009C3C24"/>
    <w:pPr>
      <w:spacing w:before="100" w:beforeAutospacing="1" w:after="100" w:afterAutospacing="1" w:line="240" w:lineRule="auto"/>
      <w:textAlignment w:val="top"/>
    </w:pPr>
    <w:rPr>
      <w:rFonts w:eastAsia="Times New Roman"/>
      <w:color w:val="000000"/>
      <w:sz w:val="24"/>
      <w:szCs w:val="24"/>
      <w:lang w:val="es-MX" w:eastAsia="es-MX"/>
    </w:rPr>
  </w:style>
  <w:style w:type="paragraph" w:customStyle="1" w:styleId="xl69">
    <w:name w:val="xl69"/>
    <w:basedOn w:val="Normal"/>
    <w:rsid w:val="009C3C24"/>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line="240" w:lineRule="auto"/>
      <w:jc w:val="center"/>
      <w:textAlignment w:val="center"/>
    </w:pPr>
    <w:rPr>
      <w:rFonts w:ascii="Soberana Sans" w:eastAsia="Times New Roman" w:hAnsi="Soberana Sans"/>
      <w:b/>
      <w:bCs/>
      <w:color w:val="FFFFFF"/>
      <w:sz w:val="15"/>
      <w:szCs w:val="15"/>
      <w:lang w:val="es-MX" w:eastAsia="es-MX"/>
    </w:rPr>
  </w:style>
  <w:style w:type="paragraph" w:customStyle="1" w:styleId="xl70">
    <w:name w:val="xl70"/>
    <w:basedOn w:val="Normal"/>
    <w:rsid w:val="009C3C24"/>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line="240" w:lineRule="auto"/>
      <w:jc w:val="center"/>
      <w:textAlignment w:val="center"/>
    </w:pPr>
    <w:rPr>
      <w:rFonts w:ascii="Soberana Sans" w:eastAsia="Times New Roman" w:hAnsi="Soberana Sans"/>
      <w:b/>
      <w:bCs/>
      <w:color w:val="FFFFFF"/>
      <w:sz w:val="15"/>
      <w:szCs w:val="15"/>
      <w:lang w:val="es-MX" w:eastAsia="es-MX"/>
    </w:rPr>
  </w:style>
  <w:style w:type="paragraph" w:customStyle="1" w:styleId="xl71">
    <w:name w:val="xl71"/>
    <w:basedOn w:val="Normal"/>
    <w:rsid w:val="009C3C24"/>
    <w:pPr>
      <w:spacing w:before="100" w:beforeAutospacing="1" w:after="100" w:afterAutospacing="1" w:line="240" w:lineRule="auto"/>
      <w:jc w:val="right"/>
      <w:textAlignment w:val="top"/>
    </w:pPr>
    <w:rPr>
      <w:rFonts w:ascii="Soberana Sans" w:eastAsia="Times New Roman" w:hAnsi="Soberana Sans"/>
      <w:color w:val="000000"/>
      <w:sz w:val="15"/>
      <w:szCs w:val="15"/>
      <w:lang w:val="es-MX" w:eastAsia="es-MX"/>
    </w:rPr>
  </w:style>
  <w:style w:type="paragraph" w:customStyle="1" w:styleId="xl72">
    <w:name w:val="xl72"/>
    <w:basedOn w:val="Normal"/>
    <w:rsid w:val="009C3C24"/>
    <w:pPr>
      <w:pBdr>
        <w:top w:val="single" w:sz="4" w:space="0" w:color="auto"/>
        <w:left w:val="single" w:sz="4" w:space="0" w:color="auto"/>
        <w:right w:val="single" w:sz="4" w:space="0" w:color="auto"/>
      </w:pBdr>
      <w:spacing w:before="100" w:beforeAutospacing="1" w:after="100" w:afterAutospacing="1" w:line="240" w:lineRule="auto"/>
      <w:jc w:val="right"/>
      <w:textAlignment w:val="top"/>
    </w:pPr>
    <w:rPr>
      <w:rFonts w:ascii="Soberana Sans" w:eastAsia="Times New Roman" w:hAnsi="Soberana Sans"/>
      <w:color w:val="000000"/>
      <w:sz w:val="15"/>
      <w:szCs w:val="15"/>
      <w:lang w:val="es-MX" w:eastAsia="es-MX"/>
    </w:rPr>
  </w:style>
  <w:style w:type="paragraph" w:customStyle="1" w:styleId="xl73">
    <w:name w:val="xl73"/>
    <w:basedOn w:val="Normal"/>
    <w:rsid w:val="009C3C24"/>
    <w:pPr>
      <w:pBdr>
        <w:left w:val="single" w:sz="4" w:space="0" w:color="auto"/>
        <w:right w:val="single" w:sz="4" w:space="0" w:color="auto"/>
      </w:pBdr>
      <w:spacing w:before="100" w:beforeAutospacing="1" w:after="100" w:afterAutospacing="1" w:line="240" w:lineRule="auto"/>
      <w:jc w:val="right"/>
      <w:textAlignment w:val="top"/>
    </w:pPr>
    <w:rPr>
      <w:rFonts w:ascii="Soberana Sans" w:eastAsia="Times New Roman" w:hAnsi="Soberana Sans"/>
      <w:color w:val="000000"/>
      <w:sz w:val="15"/>
      <w:szCs w:val="15"/>
      <w:lang w:val="es-MX" w:eastAsia="es-MX"/>
    </w:rPr>
  </w:style>
  <w:style w:type="paragraph" w:customStyle="1" w:styleId="xl74">
    <w:name w:val="xl74"/>
    <w:basedOn w:val="Normal"/>
    <w:rsid w:val="009C3C24"/>
    <w:pPr>
      <w:pBdr>
        <w:left w:val="single" w:sz="4" w:space="0" w:color="auto"/>
        <w:right w:val="single" w:sz="4" w:space="0" w:color="auto"/>
      </w:pBdr>
      <w:spacing w:before="100" w:beforeAutospacing="1" w:after="100" w:afterAutospacing="1" w:line="240" w:lineRule="auto"/>
      <w:textAlignment w:val="top"/>
    </w:pPr>
    <w:rPr>
      <w:rFonts w:ascii="Soberana Sans" w:eastAsia="Times New Roman" w:hAnsi="Soberana Sans"/>
      <w:color w:val="000000"/>
      <w:sz w:val="15"/>
      <w:szCs w:val="15"/>
      <w:lang w:val="es-MX" w:eastAsia="es-MX"/>
    </w:rPr>
  </w:style>
  <w:style w:type="paragraph" w:customStyle="1" w:styleId="xl75">
    <w:name w:val="xl75"/>
    <w:basedOn w:val="Normal"/>
    <w:rsid w:val="009C3C24"/>
    <w:pPr>
      <w:pBdr>
        <w:left w:val="single" w:sz="4" w:space="0" w:color="auto"/>
        <w:right w:val="single" w:sz="4" w:space="0" w:color="auto"/>
      </w:pBdr>
      <w:spacing w:before="100" w:beforeAutospacing="1" w:after="100" w:afterAutospacing="1" w:line="240" w:lineRule="auto"/>
      <w:jc w:val="right"/>
      <w:textAlignment w:val="top"/>
    </w:pPr>
    <w:rPr>
      <w:rFonts w:ascii="Soberana Sans" w:eastAsia="Times New Roman" w:hAnsi="Soberana Sans"/>
      <w:color w:val="000000"/>
      <w:sz w:val="15"/>
      <w:szCs w:val="15"/>
      <w:lang w:val="es-MX" w:eastAsia="es-MX"/>
    </w:rPr>
  </w:style>
  <w:style w:type="paragraph" w:customStyle="1" w:styleId="xl76">
    <w:name w:val="xl76"/>
    <w:basedOn w:val="Normal"/>
    <w:rsid w:val="009C3C24"/>
    <w:pPr>
      <w:pBdr>
        <w:left w:val="single" w:sz="4" w:space="0" w:color="auto"/>
        <w:right w:val="single" w:sz="4" w:space="0" w:color="auto"/>
      </w:pBdr>
      <w:spacing w:before="100" w:beforeAutospacing="1" w:after="100" w:afterAutospacing="1" w:line="240" w:lineRule="auto"/>
      <w:jc w:val="right"/>
      <w:textAlignment w:val="top"/>
    </w:pPr>
    <w:rPr>
      <w:rFonts w:ascii="Soberana Sans" w:eastAsia="Times New Roman" w:hAnsi="Soberana Sans"/>
      <w:color w:val="000000"/>
      <w:sz w:val="15"/>
      <w:szCs w:val="15"/>
      <w:lang w:val="es-MX" w:eastAsia="es-MX"/>
    </w:rPr>
  </w:style>
  <w:style w:type="paragraph" w:customStyle="1" w:styleId="xl77">
    <w:name w:val="xl77"/>
    <w:basedOn w:val="Normal"/>
    <w:rsid w:val="009C3C24"/>
    <w:pPr>
      <w:pBdr>
        <w:left w:val="single" w:sz="4" w:space="0" w:color="auto"/>
        <w:right w:val="single" w:sz="4" w:space="0" w:color="auto"/>
      </w:pBdr>
      <w:spacing w:before="100" w:beforeAutospacing="1" w:after="100" w:afterAutospacing="1" w:line="240" w:lineRule="auto"/>
      <w:jc w:val="right"/>
      <w:textAlignment w:val="top"/>
    </w:pPr>
    <w:rPr>
      <w:rFonts w:ascii="Soberana Sans" w:eastAsia="Times New Roman" w:hAnsi="Soberana Sans"/>
      <w:color w:val="000000"/>
      <w:sz w:val="15"/>
      <w:szCs w:val="15"/>
      <w:lang w:val="es-MX" w:eastAsia="es-MX"/>
    </w:rPr>
  </w:style>
  <w:style w:type="paragraph" w:customStyle="1" w:styleId="xl78">
    <w:name w:val="xl78"/>
    <w:basedOn w:val="Normal"/>
    <w:rsid w:val="009C3C24"/>
    <w:pPr>
      <w:pBdr>
        <w:left w:val="single" w:sz="4" w:space="0" w:color="auto"/>
        <w:right w:val="single" w:sz="4" w:space="0" w:color="auto"/>
      </w:pBdr>
      <w:spacing w:before="100" w:beforeAutospacing="1" w:after="100" w:afterAutospacing="1" w:line="240" w:lineRule="auto"/>
      <w:jc w:val="right"/>
      <w:textAlignment w:val="top"/>
    </w:pPr>
    <w:rPr>
      <w:rFonts w:ascii="Soberana Sans" w:eastAsia="Times New Roman" w:hAnsi="Soberana Sans"/>
      <w:color w:val="000000"/>
      <w:sz w:val="15"/>
      <w:szCs w:val="15"/>
      <w:lang w:val="es-MX" w:eastAsia="es-MX"/>
    </w:rPr>
  </w:style>
  <w:style w:type="paragraph" w:customStyle="1" w:styleId="xl79">
    <w:name w:val="xl79"/>
    <w:basedOn w:val="Normal"/>
    <w:rsid w:val="009C3C24"/>
    <w:pPr>
      <w:pBdr>
        <w:left w:val="single" w:sz="4" w:space="0" w:color="auto"/>
        <w:right w:val="single" w:sz="4" w:space="0" w:color="auto"/>
      </w:pBdr>
      <w:spacing w:before="100" w:beforeAutospacing="1" w:after="100" w:afterAutospacing="1" w:line="240" w:lineRule="auto"/>
      <w:jc w:val="right"/>
      <w:textAlignment w:val="top"/>
    </w:pPr>
    <w:rPr>
      <w:rFonts w:ascii="Soberana Sans" w:eastAsia="Times New Roman" w:hAnsi="Soberana Sans"/>
      <w:color w:val="000000"/>
      <w:sz w:val="15"/>
      <w:szCs w:val="15"/>
      <w:lang w:val="es-MX" w:eastAsia="es-MX"/>
    </w:rPr>
  </w:style>
  <w:style w:type="paragraph" w:customStyle="1" w:styleId="xl80">
    <w:name w:val="xl80"/>
    <w:basedOn w:val="Normal"/>
    <w:rsid w:val="009C3C24"/>
    <w:pPr>
      <w:pBdr>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Soberana Sans" w:eastAsia="Times New Roman" w:hAnsi="Soberana Sans"/>
      <w:color w:val="000000"/>
      <w:sz w:val="15"/>
      <w:szCs w:val="15"/>
      <w:lang w:val="es-MX" w:eastAsia="es-MX"/>
    </w:rPr>
  </w:style>
  <w:style w:type="paragraph" w:customStyle="1" w:styleId="xl81">
    <w:name w:val="xl81"/>
    <w:basedOn w:val="Normal"/>
    <w:rsid w:val="009C3C24"/>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Soberana Sans" w:eastAsia="Times New Roman" w:hAnsi="Soberana Sans"/>
      <w:color w:val="000000"/>
      <w:sz w:val="15"/>
      <w:szCs w:val="15"/>
      <w:lang w:val="es-MX" w:eastAsia="es-MX"/>
    </w:rPr>
  </w:style>
  <w:style w:type="paragraph" w:customStyle="1" w:styleId="xl82">
    <w:name w:val="xl82"/>
    <w:basedOn w:val="Normal"/>
    <w:rsid w:val="009C3C24"/>
    <w:pPr>
      <w:pBdr>
        <w:top w:val="single" w:sz="4" w:space="0" w:color="auto"/>
        <w:left w:val="single" w:sz="4" w:space="0" w:color="auto"/>
        <w:right w:val="single" w:sz="4" w:space="0" w:color="auto"/>
      </w:pBdr>
      <w:spacing w:before="100" w:beforeAutospacing="1" w:after="100" w:afterAutospacing="1" w:line="240" w:lineRule="auto"/>
      <w:jc w:val="right"/>
      <w:textAlignment w:val="top"/>
    </w:pPr>
    <w:rPr>
      <w:rFonts w:ascii="Soberana Sans" w:eastAsia="Times New Roman" w:hAnsi="Soberana Sans"/>
      <w:color w:val="000000"/>
      <w:sz w:val="15"/>
      <w:szCs w:val="15"/>
      <w:lang w:val="es-MX" w:eastAsia="es-MX"/>
    </w:rPr>
  </w:style>
  <w:style w:type="paragraph" w:customStyle="1" w:styleId="xl83">
    <w:name w:val="xl83"/>
    <w:basedOn w:val="Normal"/>
    <w:rsid w:val="009C3C24"/>
    <w:pPr>
      <w:pBdr>
        <w:top w:val="single" w:sz="4" w:space="0" w:color="auto"/>
        <w:left w:val="single" w:sz="4" w:space="0" w:color="auto"/>
        <w:right w:val="single" w:sz="4" w:space="0" w:color="auto"/>
      </w:pBdr>
      <w:spacing w:before="100" w:beforeAutospacing="1" w:after="100" w:afterAutospacing="1" w:line="240" w:lineRule="auto"/>
      <w:jc w:val="right"/>
      <w:textAlignment w:val="top"/>
    </w:pPr>
    <w:rPr>
      <w:rFonts w:ascii="Soberana Sans" w:eastAsia="Times New Roman" w:hAnsi="Soberana Sans"/>
      <w:color w:val="000000"/>
      <w:sz w:val="15"/>
      <w:szCs w:val="15"/>
      <w:lang w:val="es-MX" w:eastAsia="es-MX"/>
    </w:rPr>
  </w:style>
  <w:style w:type="paragraph" w:customStyle="1" w:styleId="xl84">
    <w:name w:val="xl84"/>
    <w:basedOn w:val="Normal"/>
    <w:rsid w:val="009C3C24"/>
    <w:pPr>
      <w:pBdr>
        <w:left w:val="single" w:sz="4" w:space="0" w:color="auto"/>
        <w:right w:val="single" w:sz="4" w:space="0" w:color="auto"/>
      </w:pBdr>
      <w:spacing w:before="100" w:beforeAutospacing="1" w:after="100" w:afterAutospacing="1" w:line="240" w:lineRule="auto"/>
      <w:jc w:val="right"/>
      <w:textAlignment w:val="top"/>
    </w:pPr>
    <w:rPr>
      <w:rFonts w:ascii="Soberana Sans" w:eastAsia="Times New Roman" w:hAnsi="Soberana Sans"/>
      <w:color w:val="000000"/>
      <w:sz w:val="15"/>
      <w:szCs w:val="15"/>
      <w:lang w:val="es-MX" w:eastAsia="es-MX"/>
    </w:rPr>
  </w:style>
  <w:style w:type="paragraph" w:customStyle="1" w:styleId="xl85">
    <w:name w:val="xl85"/>
    <w:basedOn w:val="Normal"/>
    <w:rsid w:val="009C3C24"/>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Soberana Sans" w:eastAsia="Times New Roman" w:hAnsi="Soberana Sans"/>
      <w:color w:val="000000"/>
      <w:sz w:val="15"/>
      <w:szCs w:val="15"/>
      <w:lang w:val="es-MX" w:eastAsia="es-MX"/>
    </w:rPr>
  </w:style>
  <w:style w:type="paragraph" w:customStyle="1" w:styleId="xl86">
    <w:name w:val="xl86"/>
    <w:basedOn w:val="Normal"/>
    <w:rsid w:val="009C3C24"/>
    <w:pPr>
      <w:pBdr>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Soberana Sans" w:eastAsia="Times New Roman" w:hAnsi="Soberana Sans"/>
      <w:color w:val="000000"/>
      <w:sz w:val="15"/>
      <w:szCs w:val="15"/>
      <w:lang w:val="es-MX" w:eastAsia="es-MX"/>
    </w:rPr>
  </w:style>
  <w:style w:type="paragraph" w:customStyle="1" w:styleId="xl87">
    <w:name w:val="xl87"/>
    <w:basedOn w:val="Normal"/>
    <w:rsid w:val="009C3C24"/>
    <w:pPr>
      <w:pBdr>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Soberana Sans" w:eastAsia="Times New Roman" w:hAnsi="Soberana Sans"/>
      <w:color w:val="000000"/>
      <w:sz w:val="15"/>
      <w:szCs w:val="15"/>
      <w:lang w:val="es-MX" w:eastAsia="es-MX"/>
    </w:rPr>
  </w:style>
  <w:style w:type="paragraph" w:customStyle="1" w:styleId="xl88">
    <w:name w:val="xl88"/>
    <w:basedOn w:val="Normal"/>
    <w:rsid w:val="009C3C24"/>
    <w:pPr>
      <w:pBdr>
        <w:top w:val="single" w:sz="4" w:space="0" w:color="auto"/>
      </w:pBdr>
      <w:spacing w:before="100" w:beforeAutospacing="1" w:after="100" w:afterAutospacing="1" w:line="240" w:lineRule="auto"/>
      <w:jc w:val="right"/>
      <w:textAlignment w:val="top"/>
    </w:pPr>
    <w:rPr>
      <w:rFonts w:ascii="Soberana Sans" w:eastAsia="Times New Roman" w:hAnsi="Soberana Sans"/>
      <w:b/>
      <w:bCs/>
      <w:color w:val="000000"/>
      <w:sz w:val="15"/>
      <w:szCs w:val="15"/>
      <w:lang w:val="es-MX" w:eastAsia="es-MX"/>
    </w:rPr>
  </w:style>
  <w:style w:type="paragraph" w:customStyle="1" w:styleId="xl89">
    <w:name w:val="xl89"/>
    <w:basedOn w:val="Normal"/>
    <w:rsid w:val="009C3C24"/>
    <w:pPr>
      <w:spacing w:before="100" w:beforeAutospacing="1" w:after="100" w:afterAutospacing="1" w:line="240" w:lineRule="auto"/>
      <w:jc w:val="right"/>
      <w:textAlignment w:val="top"/>
    </w:pPr>
    <w:rPr>
      <w:rFonts w:ascii="Soberana Sans" w:eastAsia="Times New Roman" w:hAnsi="Soberana Sans"/>
      <w:color w:val="000000"/>
      <w:sz w:val="15"/>
      <w:szCs w:val="15"/>
      <w:lang w:val="es-MX" w:eastAsia="es-MX"/>
    </w:rPr>
  </w:style>
  <w:style w:type="paragraph" w:customStyle="1" w:styleId="xl90">
    <w:name w:val="xl90"/>
    <w:basedOn w:val="Normal"/>
    <w:rsid w:val="009C3C24"/>
    <w:pPr>
      <w:spacing w:before="100" w:beforeAutospacing="1" w:after="100" w:afterAutospacing="1" w:line="240" w:lineRule="auto"/>
      <w:jc w:val="right"/>
      <w:textAlignment w:val="top"/>
    </w:pPr>
    <w:rPr>
      <w:rFonts w:ascii="Soberana Sans" w:eastAsia="Times New Roman" w:hAnsi="Soberana Sans"/>
      <w:b/>
      <w:bCs/>
      <w:color w:val="000000"/>
      <w:sz w:val="15"/>
      <w:szCs w:val="15"/>
      <w:lang w:val="es-MX" w:eastAsia="es-MX"/>
    </w:rPr>
  </w:style>
  <w:style w:type="paragraph" w:customStyle="1" w:styleId="xl91">
    <w:name w:val="xl91"/>
    <w:basedOn w:val="Normal"/>
    <w:rsid w:val="009C3C24"/>
    <w:pPr>
      <w:spacing w:before="100" w:beforeAutospacing="1" w:after="100" w:afterAutospacing="1" w:line="240" w:lineRule="auto"/>
      <w:textAlignment w:val="top"/>
    </w:pPr>
    <w:rPr>
      <w:rFonts w:ascii="Soberana Sans" w:eastAsia="Times New Roman" w:hAnsi="Soberana Sans"/>
      <w:color w:val="000000"/>
      <w:sz w:val="15"/>
      <w:szCs w:val="15"/>
      <w:lang w:val="es-MX" w:eastAsia="es-MX"/>
    </w:rPr>
  </w:style>
  <w:style w:type="paragraph" w:customStyle="1" w:styleId="xl65">
    <w:name w:val="xl65"/>
    <w:basedOn w:val="Normal"/>
    <w:rsid w:val="009C3C24"/>
    <w:pPr>
      <w:pBdr>
        <w:top w:val="single" w:sz="4" w:space="0" w:color="auto"/>
        <w:left w:val="single" w:sz="4" w:space="0" w:color="auto"/>
        <w:bottom w:val="single" w:sz="4" w:space="0" w:color="auto"/>
        <w:right w:val="single" w:sz="4" w:space="0" w:color="auto"/>
      </w:pBdr>
      <w:shd w:val="clear" w:color="000000" w:fill="00853F"/>
      <w:spacing w:before="100" w:beforeAutospacing="1" w:after="100" w:afterAutospacing="1" w:line="240" w:lineRule="auto"/>
      <w:jc w:val="center"/>
      <w:textAlignment w:val="center"/>
    </w:pPr>
    <w:rPr>
      <w:rFonts w:ascii="Soberana Sans" w:eastAsia="Times New Roman" w:hAnsi="Soberana Sans"/>
      <w:b/>
      <w:bCs/>
      <w:color w:val="FFFFFF"/>
      <w:sz w:val="15"/>
      <w:szCs w:val="15"/>
      <w:lang w:val="es-MX" w:eastAsia="es-MX"/>
    </w:rPr>
  </w:style>
  <w:style w:type="paragraph" w:customStyle="1" w:styleId="PRIMERNIVELBULLET">
    <w:name w:val="PRIMER NIVEL  BULLET"/>
    <w:basedOn w:val="Normal"/>
    <w:qFormat/>
    <w:rsid w:val="007D6DA7"/>
    <w:pPr>
      <w:numPr>
        <w:numId w:val="19"/>
      </w:numPr>
      <w:tabs>
        <w:tab w:val="left" w:pos="181"/>
      </w:tabs>
      <w:autoSpaceDE w:val="0"/>
      <w:autoSpaceDN w:val="0"/>
      <w:adjustRightInd w:val="0"/>
      <w:spacing w:before="120" w:after="120" w:line="220" w:lineRule="exact"/>
      <w:ind w:left="181" w:hanging="181"/>
      <w:jc w:val="both"/>
    </w:pPr>
    <w:rPr>
      <w:rFonts w:ascii="Soberana Sans Light" w:eastAsia="SymbolMT" w:hAnsi="Soberana Sans Light" w:cs="ACaslonPro-Regular"/>
      <w:color w:val="303030"/>
      <w:sz w:val="17"/>
      <w:szCs w:val="18"/>
      <w:lang w:val="es-MX"/>
    </w:rPr>
  </w:style>
  <w:style w:type="paragraph" w:styleId="NormalWeb">
    <w:name w:val="Normal (Web)"/>
    <w:basedOn w:val="Normal"/>
    <w:uiPriority w:val="99"/>
    <w:semiHidden/>
    <w:unhideWhenUsed/>
    <w:rsid w:val="00BC5535"/>
    <w:pPr>
      <w:spacing w:before="100" w:beforeAutospacing="1" w:after="100" w:afterAutospacing="1" w:line="240" w:lineRule="auto"/>
    </w:pPr>
    <w:rPr>
      <w:rFonts w:ascii="Times New Roman" w:eastAsiaTheme="minorHAnsi" w:hAnsi="Times New Roman"/>
      <w:sz w:val="24"/>
      <w:szCs w:val="24"/>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76495">
      <w:bodyDiv w:val="1"/>
      <w:marLeft w:val="0"/>
      <w:marRight w:val="0"/>
      <w:marTop w:val="0"/>
      <w:marBottom w:val="0"/>
      <w:divBdr>
        <w:top w:val="none" w:sz="0" w:space="0" w:color="auto"/>
        <w:left w:val="none" w:sz="0" w:space="0" w:color="auto"/>
        <w:bottom w:val="none" w:sz="0" w:space="0" w:color="auto"/>
        <w:right w:val="none" w:sz="0" w:space="0" w:color="auto"/>
      </w:divBdr>
    </w:div>
    <w:div w:id="7877356">
      <w:bodyDiv w:val="1"/>
      <w:marLeft w:val="0"/>
      <w:marRight w:val="0"/>
      <w:marTop w:val="0"/>
      <w:marBottom w:val="0"/>
      <w:divBdr>
        <w:top w:val="none" w:sz="0" w:space="0" w:color="auto"/>
        <w:left w:val="none" w:sz="0" w:space="0" w:color="auto"/>
        <w:bottom w:val="none" w:sz="0" w:space="0" w:color="auto"/>
        <w:right w:val="none" w:sz="0" w:space="0" w:color="auto"/>
      </w:divBdr>
    </w:div>
    <w:div w:id="50155554">
      <w:bodyDiv w:val="1"/>
      <w:marLeft w:val="0"/>
      <w:marRight w:val="0"/>
      <w:marTop w:val="0"/>
      <w:marBottom w:val="0"/>
      <w:divBdr>
        <w:top w:val="none" w:sz="0" w:space="0" w:color="auto"/>
        <w:left w:val="none" w:sz="0" w:space="0" w:color="auto"/>
        <w:bottom w:val="none" w:sz="0" w:space="0" w:color="auto"/>
        <w:right w:val="none" w:sz="0" w:space="0" w:color="auto"/>
      </w:divBdr>
    </w:div>
    <w:div w:id="90320198">
      <w:bodyDiv w:val="1"/>
      <w:marLeft w:val="0"/>
      <w:marRight w:val="0"/>
      <w:marTop w:val="0"/>
      <w:marBottom w:val="0"/>
      <w:divBdr>
        <w:top w:val="none" w:sz="0" w:space="0" w:color="auto"/>
        <w:left w:val="none" w:sz="0" w:space="0" w:color="auto"/>
        <w:bottom w:val="none" w:sz="0" w:space="0" w:color="auto"/>
        <w:right w:val="none" w:sz="0" w:space="0" w:color="auto"/>
      </w:divBdr>
    </w:div>
    <w:div w:id="104546251">
      <w:bodyDiv w:val="1"/>
      <w:marLeft w:val="0"/>
      <w:marRight w:val="0"/>
      <w:marTop w:val="0"/>
      <w:marBottom w:val="0"/>
      <w:divBdr>
        <w:top w:val="none" w:sz="0" w:space="0" w:color="auto"/>
        <w:left w:val="none" w:sz="0" w:space="0" w:color="auto"/>
        <w:bottom w:val="none" w:sz="0" w:space="0" w:color="auto"/>
        <w:right w:val="none" w:sz="0" w:space="0" w:color="auto"/>
      </w:divBdr>
    </w:div>
    <w:div w:id="158230864">
      <w:bodyDiv w:val="1"/>
      <w:marLeft w:val="0"/>
      <w:marRight w:val="0"/>
      <w:marTop w:val="0"/>
      <w:marBottom w:val="0"/>
      <w:divBdr>
        <w:top w:val="none" w:sz="0" w:space="0" w:color="auto"/>
        <w:left w:val="none" w:sz="0" w:space="0" w:color="auto"/>
        <w:bottom w:val="none" w:sz="0" w:space="0" w:color="auto"/>
        <w:right w:val="none" w:sz="0" w:space="0" w:color="auto"/>
      </w:divBdr>
    </w:div>
    <w:div w:id="196892576">
      <w:bodyDiv w:val="1"/>
      <w:marLeft w:val="0"/>
      <w:marRight w:val="0"/>
      <w:marTop w:val="0"/>
      <w:marBottom w:val="0"/>
      <w:divBdr>
        <w:top w:val="none" w:sz="0" w:space="0" w:color="auto"/>
        <w:left w:val="none" w:sz="0" w:space="0" w:color="auto"/>
        <w:bottom w:val="none" w:sz="0" w:space="0" w:color="auto"/>
        <w:right w:val="none" w:sz="0" w:space="0" w:color="auto"/>
      </w:divBdr>
    </w:div>
    <w:div w:id="201986108">
      <w:bodyDiv w:val="1"/>
      <w:marLeft w:val="0"/>
      <w:marRight w:val="0"/>
      <w:marTop w:val="0"/>
      <w:marBottom w:val="0"/>
      <w:divBdr>
        <w:top w:val="none" w:sz="0" w:space="0" w:color="auto"/>
        <w:left w:val="none" w:sz="0" w:space="0" w:color="auto"/>
        <w:bottom w:val="none" w:sz="0" w:space="0" w:color="auto"/>
        <w:right w:val="none" w:sz="0" w:space="0" w:color="auto"/>
      </w:divBdr>
    </w:div>
    <w:div w:id="206184587">
      <w:bodyDiv w:val="1"/>
      <w:marLeft w:val="0"/>
      <w:marRight w:val="0"/>
      <w:marTop w:val="0"/>
      <w:marBottom w:val="0"/>
      <w:divBdr>
        <w:top w:val="none" w:sz="0" w:space="0" w:color="auto"/>
        <w:left w:val="none" w:sz="0" w:space="0" w:color="auto"/>
        <w:bottom w:val="none" w:sz="0" w:space="0" w:color="auto"/>
        <w:right w:val="none" w:sz="0" w:space="0" w:color="auto"/>
      </w:divBdr>
    </w:div>
    <w:div w:id="213975453">
      <w:bodyDiv w:val="1"/>
      <w:marLeft w:val="0"/>
      <w:marRight w:val="0"/>
      <w:marTop w:val="0"/>
      <w:marBottom w:val="0"/>
      <w:divBdr>
        <w:top w:val="none" w:sz="0" w:space="0" w:color="auto"/>
        <w:left w:val="none" w:sz="0" w:space="0" w:color="auto"/>
        <w:bottom w:val="none" w:sz="0" w:space="0" w:color="auto"/>
        <w:right w:val="none" w:sz="0" w:space="0" w:color="auto"/>
      </w:divBdr>
    </w:div>
    <w:div w:id="267471571">
      <w:bodyDiv w:val="1"/>
      <w:marLeft w:val="0"/>
      <w:marRight w:val="0"/>
      <w:marTop w:val="0"/>
      <w:marBottom w:val="0"/>
      <w:divBdr>
        <w:top w:val="none" w:sz="0" w:space="0" w:color="auto"/>
        <w:left w:val="none" w:sz="0" w:space="0" w:color="auto"/>
        <w:bottom w:val="none" w:sz="0" w:space="0" w:color="auto"/>
        <w:right w:val="none" w:sz="0" w:space="0" w:color="auto"/>
      </w:divBdr>
    </w:div>
    <w:div w:id="274989188">
      <w:bodyDiv w:val="1"/>
      <w:marLeft w:val="0"/>
      <w:marRight w:val="0"/>
      <w:marTop w:val="0"/>
      <w:marBottom w:val="0"/>
      <w:divBdr>
        <w:top w:val="none" w:sz="0" w:space="0" w:color="auto"/>
        <w:left w:val="none" w:sz="0" w:space="0" w:color="auto"/>
        <w:bottom w:val="none" w:sz="0" w:space="0" w:color="auto"/>
        <w:right w:val="none" w:sz="0" w:space="0" w:color="auto"/>
      </w:divBdr>
    </w:div>
    <w:div w:id="282077981">
      <w:bodyDiv w:val="1"/>
      <w:marLeft w:val="0"/>
      <w:marRight w:val="0"/>
      <w:marTop w:val="0"/>
      <w:marBottom w:val="0"/>
      <w:divBdr>
        <w:top w:val="none" w:sz="0" w:space="0" w:color="auto"/>
        <w:left w:val="none" w:sz="0" w:space="0" w:color="auto"/>
        <w:bottom w:val="none" w:sz="0" w:space="0" w:color="auto"/>
        <w:right w:val="none" w:sz="0" w:space="0" w:color="auto"/>
      </w:divBdr>
    </w:div>
    <w:div w:id="287901896">
      <w:bodyDiv w:val="1"/>
      <w:marLeft w:val="0"/>
      <w:marRight w:val="0"/>
      <w:marTop w:val="0"/>
      <w:marBottom w:val="0"/>
      <w:divBdr>
        <w:top w:val="none" w:sz="0" w:space="0" w:color="auto"/>
        <w:left w:val="none" w:sz="0" w:space="0" w:color="auto"/>
        <w:bottom w:val="none" w:sz="0" w:space="0" w:color="auto"/>
        <w:right w:val="none" w:sz="0" w:space="0" w:color="auto"/>
      </w:divBdr>
    </w:div>
    <w:div w:id="343702205">
      <w:bodyDiv w:val="1"/>
      <w:marLeft w:val="0"/>
      <w:marRight w:val="0"/>
      <w:marTop w:val="0"/>
      <w:marBottom w:val="0"/>
      <w:divBdr>
        <w:top w:val="none" w:sz="0" w:space="0" w:color="auto"/>
        <w:left w:val="none" w:sz="0" w:space="0" w:color="auto"/>
        <w:bottom w:val="none" w:sz="0" w:space="0" w:color="auto"/>
        <w:right w:val="none" w:sz="0" w:space="0" w:color="auto"/>
      </w:divBdr>
    </w:div>
    <w:div w:id="346952340">
      <w:bodyDiv w:val="1"/>
      <w:marLeft w:val="0"/>
      <w:marRight w:val="0"/>
      <w:marTop w:val="0"/>
      <w:marBottom w:val="0"/>
      <w:divBdr>
        <w:top w:val="none" w:sz="0" w:space="0" w:color="auto"/>
        <w:left w:val="none" w:sz="0" w:space="0" w:color="auto"/>
        <w:bottom w:val="none" w:sz="0" w:space="0" w:color="auto"/>
        <w:right w:val="none" w:sz="0" w:space="0" w:color="auto"/>
      </w:divBdr>
    </w:div>
    <w:div w:id="371149613">
      <w:bodyDiv w:val="1"/>
      <w:marLeft w:val="0"/>
      <w:marRight w:val="0"/>
      <w:marTop w:val="0"/>
      <w:marBottom w:val="0"/>
      <w:divBdr>
        <w:top w:val="none" w:sz="0" w:space="0" w:color="auto"/>
        <w:left w:val="none" w:sz="0" w:space="0" w:color="auto"/>
        <w:bottom w:val="none" w:sz="0" w:space="0" w:color="auto"/>
        <w:right w:val="none" w:sz="0" w:space="0" w:color="auto"/>
      </w:divBdr>
    </w:div>
    <w:div w:id="396586959">
      <w:bodyDiv w:val="1"/>
      <w:marLeft w:val="0"/>
      <w:marRight w:val="0"/>
      <w:marTop w:val="0"/>
      <w:marBottom w:val="0"/>
      <w:divBdr>
        <w:top w:val="none" w:sz="0" w:space="0" w:color="auto"/>
        <w:left w:val="none" w:sz="0" w:space="0" w:color="auto"/>
        <w:bottom w:val="none" w:sz="0" w:space="0" w:color="auto"/>
        <w:right w:val="none" w:sz="0" w:space="0" w:color="auto"/>
      </w:divBdr>
    </w:div>
    <w:div w:id="456262388">
      <w:bodyDiv w:val="1"/>
      <w:marLeft w:val="0"/>
      <w:marRight w:val="0"/>
      <w:marTop w:val="0"/>
      <w:marBottom w:val="0"/>
      <w:divBdr>
        <w:top w:val="none" w:sz="0" w:space="0" w:color="auto"/>
        <w:left w:val="none" w:sz="0" w:space="0" w:color="auto"/>
        <w:bottom w:val="none" w:sz="0" w:space="0" w:color="auto"/>
        <w:right w:val="none" w:sz="0" w:space="0" w:color="auto"/>
      </w:divBdr>
    </w:div>
    <w:div w:id="506138871">
      <w:bodyDiv w:val="1"/>
      <w:marLeft w:val="0"/>
      <w:marRight w:val="0"/>
      <w:marTop w:val="0"/>
      <w:marBottom w:val="0"/>
      <w:divBdr>
        <w:top w:val="none" w:sz="0" w:space="0" w:color="auto"/>
        <w:left w:val="none" w:sz="0" w:space="0" w:color="auto"/>
        <w:bottom w:val="none" w:sz="0" w:space="0" w:color="auto"/>
        <w:right w:val="none" w:sz="0" w:space="0" w:color="auto"/>
      </w:divBdr>
    </w:div>
    <w:div w:id="516427906">
      <w:bodyDiv w:val="1"/>
      <w:marLeft w:val="0"/>
      <w:marRight w:val="0"/>
      <w:marTop w:val="0"/>
      <w:marBottom w:val="0"/>
      <w:divBdr>
        <w:top w:val="none" w:sz="0" w:space="0" w:color="auto"/>
        <w:left w:val="none" w:sz="0" w:space="0" w:color="auto"/>
        <w:bottom w:val="none" w:sz="0" w:space="0" w:color="auto"/>
        <w:right w:val="none" w:sz="0" w:space="0" w:color="auto"/>
      </w:divBdr>
    </w:div>
    <w:div w:id="528569738">
      <w:bodyDiv w:val="1"/>
      <w:marLeft w:val="0"/>
      <w:marRight w:val="0"/>
      <w:marTop w:val="0"/>
      <w:marBottom w:val="0"/>
      <w:divBdr>
        <w:top w:val="none" w:sz="0" w:space="0" w:color="auto"/>
        <w:left w:val="none" w:sz="0" w:space="0" w:color="auto"/>
        <w:bottom w:val="none" w:sz="0" w:space="0" w:color="auto"/>
        <w:right w:val="none" w:sz="0" w:space="0" w:color="auto"/>
      </w:divBdr>
    </w:div>
    <w:div w:id="533228701">
      <w:bodyDiv w:val="1"/>
      <w:marLeft w:val="0"/>
      <w:marRight w:val="0"/>
      <w:marTop w:val="0"/>
      <w:marBottom w:val="0"/>
      <w:divBdr>
        <w:top w:val="none" w:sz="0" w:space="0" w:color="auto"/>
        <w:left w:val="none" w:sz="0" w:space="0" w:color="auto"/>
        <w:bottom w:val="none" w:sz="0" w:space="0" w:color="auto"/>
        <w:right w:val="none" w:sz="0" w:space="0" w:color="auto"/>
      </w:divBdr>
    </w:div>
    <w:div w:id="555354332">
      <w:bodyDiv w:val="1"/>
      <w:marLeft w:val="0"/>
      <w:marRight w:val="0"/>
      <w:marTop w:val="0"/>
      <w:marBottom w:val="0"/>
      <w:divBdr>
        <w:top w:val="none" w:sz="0" w:space="0" w:color="auto"/>
        <w:left w:val="none" w:sz="0" w:space="0" w:color="auto"/>
        <w:bottom w:val="none" w:sz="0" w:space="0" w:color="auto"/>
        <w:right w:val="none" w:sz="0" w:space="0" w:color="auto"/>
      </w:divBdr>
    </w:div>
    <w:div w:id="573047201">
      <w:bodyDiv w:val="1"/>
      <w:marLeft w:val="0"/>
      <w:marRight w:val="0"/>
      <w:marTop w:val="0"/>
      <w:marBottom w:val="0"/>
      <w:divBdr>
        <w:top w:val="none" w:sz="0" w:space="0" w:color="auto"/>
        <w:left w:val="none" w:sz="0" w:space="0" w:color="auto"/>
        <w:bottom w:val="none" w:sz="0" w:space="0" w:color="auto"/>
        <w:right w:val="none" w:sz="0" w:space="0" w:color="auto"/>
      </w:divBdr>
    </w:div>
    <w:div w:id="586958936">
      <w:bodyDiv w:val="1"/>
      <w:marLeft w:val="0"/>
      <w:marRight w:val="0"/>
      <w:marTop w:val="0"/>
      <w:marBottom w:val="0"/>
      <w:divBdr>
        <w:top w:val="none" w:sz="0" w:space="0" w:color="auto"/>
        <w:left w:val="none" w:sz="0" w:space="0" w:color="auto"/>
        <w:bottom w:val="none" w:sz="0" w:space="0" w:color="auto"/>
        <w:right w:val="none" w:sz="0" w:space="0" w:color="auto"/>
      </w:divBdr>
    </w:div>
    <w:div w:id="609359209">
      <w:bodyDiv w:val="1"/>
      <w:marLeft w:val="0"/>
      <w:marRight w:val="0"/>
      <w:marTop w:val="0"/>
      <w:marBottom w:val="0"/>
      <w:divBdr>
        <w:top w:val="none" w:sz="0" w:space="0" w:color="auto"/>
        <w:left w:val="none" w:sz="0" w:space="0" w:color="auto"/>
        <w:bottom w:val="none" w:sz="0" w:space="0" w:color="auto"/>
        <w:right w:val="none" w:sz="0" w:space="0" w:color="auto"/>
      </w:divBdr>
    </w:div>
    <w:div w:id="624625736">
      <w:bodyDiv w:val="1"/>
      <w:marLeft w:val="0"/>
      <w:marRight w:val="0"/>
      <w:marTop w:val="0"/>
      <w:marBottom w:val="0"/>
      <w:divBdr>
        <w:top w:val="none" w:sz="0" w:space="0" w:color="auto"/>
        <w:left w:val="none" w:sz="0" w:space="0" w:color="auto"/>
        <w:bottom w:val="none" w:sz="0" w:space="0" w:color="auto"/>
        <w:right w:val="none" w:sz="0" w:space="0" w:color="auto"/>
      </w:divBdr>
    </w:div>
    <w:div w:id="625618516">
      <w:bodyDiv w:val="1"/>
      <w:marLeft w:val="0"/>
      <w:marRight w:val="0"/>
      <w:marTop w:val="0"/>
      <w:marBottom w:val="0"/>
      <w:divBdr>
        <w:top w:val="none" w:sz="0" w:space="0" w:color="auto"/>
        <w:left w:val="none" w:sz="0" w:space="0" w:color="auto"/>
        <w:bottom w:val="none" w:sz="0" w:space="0" w:color="auto"/>
        <w:right w:val="none" w:sz="0" w:space="0" w:color="auto"/>
      </w:divBdr>
    </w:div>
    <w:div w:id="639262901">
      <w:bodyDiv w:val="1"/>
      <w:marLeft w:val="0"/>
      <w:marRight w:val="0"/>
      <w:marTop w:val="0"/>
      <w:marBottom w:val="0"/>
      <w:divBdr>
        <w:top w:val="none" w:sz="0" w:space="0" w:color="auto"/>
        <w:left w:val="none" w:sz="0" w:space="0" w:color="auto"/>
        <w:bottom w:val="none" w:sz="0" w:space="0" w:color="auto"/>
        <w:right w:val="none" w:sz="0" w:space="0" w:color="auto"/>
      </w:divBdr>
    </w:div>
    <w:div w:id="649209066">
      <w:bodyDiv w:val="1"/>
      <w:marLeft w:val="0"/>
      <w:marRight w:val="0"/>
      <w:marTop w:val="0"/>
      <w:marBottom w:val="0"/>
      <w:divBdr>
        <w:top w:val="none" w:sz="0" w:space="0" w:color="auto"/>
        <w:left w:val="none" w:sz="0" w:space="0" w:color="auto"/>
        <w:bottom w:val="none" w:sz="0" w:space="0" w:color="auto"/>
        <w:right w:val="none" w:sz="0" w:space="0" w:color="auto"/>
      </w:divBdr>
    </w:div>
    <w:div w:id="659650770">
      <w:bodyDiv w:val="1"/>
      <w:marLeft w:val="0"/>
      <w:marRight w:val="0"/>
      <w:marTop w:val="0"/>
      <w:marBottom w:val="0"/>
      <w:divBdr>
        <w:top w:val="none" w:sz="0" w:space="0" w:color="auto"/>
        <w:left w:val="none" w:sz="0" w:space="0" w:color="auto"/>
        <w:bottom w:val="none" w:sz="0" w:space="0" w:color="auto"/>
        <w:right w:val="none" w:sz="0" w:space="0" w:color="auto"/>
      </w:divBdr>
    </w:div>
    <w:div w:id="661201992">
      <w:bodyDiv w:val="1"/>
      <w:marLeft w:val="0"/>
      <w:marRight w:val="0"/>
      <w:marTop w:val="0"/>
      <w:marBottom w:val="0"/>
      <w:divBdr>
        <w:top w:val="none" w:sz="0" w:space="0" w:color="auto"/>
        <w:left w:val="none" w:sz="0" w:space="0" w:color="auto"/>
        <w:bottom w:val="none" w:sz="0" w:space="0" w:color="auto"/>
        <w:right w:val="none" w:sz="0" w:space="0" w:color="auto"/>
      </w:divBdr>
    </w:div>
    <w:div w:id="686104412">
      <w:bodyDiv w:val="1"/>
      <w:marLeft w:val="0"/>
      <w:marRight w:val="0"/>
      <w:marTop w:val="0"/>
      <w:marBottom w:val="0"/>
      <w:divBdr>
        <w:top w:val="none" w:sz="0" w:space="0" w:color="auto"/>
        <w:left w:val="none" w:sz="0" w:space="0" w:color="auto"/>
        <w:bottom w:val="none" w:sz="0" w:space="0" w:color="auto"/>
        <w:right w:val="none" w:sz="0" w:space="0" w:color="auto"/>
      </w:divBdr>
    </w:div>
    <w:div w:id="716049966">
      <w:bodyDiv w:val="1"/>
      <w:marLeft w:val="0"/>
      <w:marRight w:val="0"/>
      <w:marTop w:val="0"/>
      <w:marBottom w:val="0"/>
      <w:divBdr>
        <w:top w:val="none" w:sz="0" w:space="0" w:color="auto"/>
        <w:left w:val="none" w:sz="0" w:space="0" w:color="auto"/>
        <w:bottom w:val="none" w:sz="0" w:space="0" w:color="auto"/>
        <w:right w:val="none" w:sz="0" w:space="0" w:color="auto"/>
      </w:divBdr>
    </w:div>
    <w:div w:id="720709643">
      <w:bodyDiv w:val="1"/>
      <w:marLeft w:val="0"/>
      <w:marRight w:val="0"/>
      <w:marTop w:val="0"/>
      <w:marBottom w:val="0"/>
      <w:divBdr>
        <w:top w:val="none" w:sz="0" w:space="0" w:color="auto"/>
        <w:left w:val="none" w:sz="0" w:space="0" w:color="auto"/>
        <w:bottom w:val="none" w:sz="0" w:space="0" w:color="auto"/>
        <w:right w:val="none" w:sz="0" w:space="0" w:color="auto"/>
      </w:divBdr>
    </w:div>
    <w:div w:id="721369590">
      <w:bodyDiv w:val="1"/>
      <w:marLeft w:val="0"/>
      <w:marRight w:val="0"/>
      <w:marTop w:val="0"/>
      <w:marBottom w:val="0"/>
      <w:divBdr>
        <w:top w:val="none" w:sz="0" w:space="0" w:color="auto"/>
        <w:left w:val="none" w:sz="0" w:space="0" w:color="auto"/>
        <w:bottom w:val="none" w:sz="0" w:space="0" w:color="auto"/>
        <w:right w:val="none" w:sz="0" w:space="0" w:color="auto"/>
      </w:divBdr>
    </w:div>
    <w:div w:id="732583863">
      <w:bodyDiv w:val="1"/>
      <w:marLeft w:val="0"/>
      <w:marRight w:val="0"/>
      <w:marTop w:val="0"/>
      <w:marBottom w:val="0"/>
      <w:divBdr>
        <w:top w:val="none" w:sz="0" w:space="0" w:color="auto"/>
        <w:left w:val="none" w:sz="0" w:space="0" w:color="auto"/>
        <w:bottom w:val="none" w:sz="0" w:space="0" w:color="auto"/>
        <w:right w:val="none" w:sz="0" w:space="0" w:color="auto"/>
      </w:divBdr>
    </w:div>
    <w:div w:id="732626991">
      <w:bodyDiv w:val="1"/>
      <w:marLeft w:val="0"/>
      <w:marRight w:val="0"/>
      <w:marTop w:val="0"/>
      <w:marBottom w:val="0"/>
      <w:divBdr>
        <w:top w:val="none" w:sz="0" w:space="0" w:color="auto"/>
        <w:left w:val="none" w:sz="0" w:space="0" w:color="auto"/>
        <w:bottom w:val="none" w:sz="0" w:space="0" w:color="auto"/>
        <w:right w:val="none" w:sz="0" w:space="0" w:color="auto"/>
      </w:divBdr>
    </w:div>
    <w:div w:id="732774754">
      <w:bodyDiv w:val="1"/>
      <w:marLeft w:val="0"/>
      <w:marRight w:val="0"/>
      <w:marTop w:val="0"/>
      <w:marBottom w:val="0"/>
      <w:divBdr>
        <w:top w:val="none" w:sz="0" w:space="0" w:color="auto"/>
        <w:left w:val="none" w:sz="0" w:space="0" w:color="auto"/>
        <w:bottom w:val="none" w:sz="0" w:space="0" w:color="auto"/>
        <w:right w:val="none" w:sz="0" w:space="0" w:color="auto"/>
      </w:divBdr>
    </w:div>
    <w:div w:id="740905418">
      <w:bodyDiv w:val="1"/>
      <w:marLeft w:val="0"/>
      <w:marRight w:val="0"/>
      <w:marTop w:val="0"/>
      <w:marBottom w:val="0"/>
      <w:divBdr>
        <w:top w:val="none" w:sz="0" w:space="0" w:color="auto"/>
        <w:left w:val="none" w:sz="0" w:space="0" w:color="auto"/>
        <w:bottom w:val="none" w:sz="0" w:space="0" w:color="auto"/>
        <w:right w:val="none" w:sz="0" w:space="0" w:color="auto"/>
      </w:divBdr>
    </w:div>
    <w:div w:id="757942146">
      <w:bodyDiv w:val="1"/>
      <w:marLeft w:val="0"/>
      <w:marRight w:val="0"/>
      <w:marTop w:val="0"/>
      <w:marBottom w:val="0"/>
      <w:divBdr>
        <w:top w:val="none" w:sz="0" w:space="0" w:color="auto"/>
        <w:left w:val="none" w:sz="0" w:space="0" w:color="auto"/>
        <w:bottom w:val="none" w:sz="0" w:space="0" w:color="auto"/>
        <w:right w:val="none" w:sz="0" w:space="0" w:color="auto"/>
      </w:divBdr>
    </w:div>
    <w:div w:id="764034811">
      <w:bodyDiv w:val="1"/>
      <w:marLeft w:val="0"/>
      <w:marRight w:val="0"/>
      <w:marTop w:val="0"/>
      <w:marBottom w:val="0"/>
      <w:divBdr>
        <w:top w:val="none" w:sz="0" w:space="0" w:color="auto"/>
        <w:left w:val="none" w:sz="0" w:space="0" w:color="auto"/>
        <w:bottom w:val="none" w:sz="0" w:space="0" w:color="auto"/>
        <w:right w:val="none" w:sz="0" w:space="0" w:color="auto"/>
      </w:divBdr>
    </w:div>
    <w:div w:id="765805441">
      <w:bodyDiv w:val="1"/>
      <w:marLeft w:val="0"/>
      <w:marRight w:val="0"/>
      <w:marTop w:val="0"/>
      <w:marBottom w:val="0"/>
      <w:divBdr>
        <w:top w:val="none" w:sz="0" w:space="0" w:color="auto"/>
        <w:left w:val="none" w:sz="0" w:space="0" w:color="auto"/>
        <w:bottom w:val="none" w:sz="0" w:space="0" w:color="auto"/>
        <w:right w:val="none" w:sz="0" w:space="0" w:color="auto"/>
      </w:divBdr>
    </w:div>
    <w:div w:id="822477277">
      <w:bodyDiv w:val="1"/>
      <w:marLeft w:val="0"/>
      <w:marRight w:val="0"/>
      <w:marTop w:val="0"/>
      <w:marBottom w:val="0"/>
      <w:divBdr>
        <w:top w:val="none" w:sz="0" w:space="0" w:color="auto"/>
        <w:left w:val="none" w:sz="0" w:space="0" w:color="auto"/>
        <w:bottom w:val="none" w:sz="0" w:space="0" w:color="auto"/>
        <w:right w:val="none" w:sz="0" w:space="0" w:color="auto"/>
      </w:divBdr>
    </w:div>
    <w:div w:id="830293665">
      <w:bodyDiv w:val="1"/>
      <w:marLeft w:val="0"/>
      <w:marRight w:val="0"/>
      <w:marTop w:val="0"/>
      <w:marBottom w:val="0"/>
      <w:divBdr>
        <w:top w:val="none" w:sz="0" w:space="0" w:color="auto"/>
        <w:left w:val="none" w:sz="0" w:space="0" w:color="auto"/>
        <w:bottom w:val="none" w:sz="0" w:space="0" w:color="auto"/>
        <w:right w:val="none" w:sz="0" w:space="0" w:color="auto"/>
      </w:divBdr>
    </w:div>
    <w:div w:id="908536570">
      <w:bodyDiv w:val="1"/>
      <w:marLeft w:val="0"/>
      <w:marRight w:val="0"/>
      <w:marTop w:val="0"/>
      <w:marBottom w:val="0"/>
      <w:divBdr>
        <w:top w:val="none" w:sz="0" w:space="0" w:color="auto"/>
        <w:left w:val="none" w:sz="0" w:space="0" w:color="auto"/>
        <w:bottom w:val="none" w:sz="0" w:space="0" w:color="auto"/>
        <w:right w:val="none" w:sz="0" w:space="0" w:color="auto"/>
      </w:divBdr>
    </w:div>
    <w:div w:id="911157172">
      <w:bodyDiv w:val="1"/>
      <w:marLeft w:val="0"/>
      <w:marRight w:val="0"/>
      <w:marTop w:val="0"/>
      <w:marBottom w:val="0"/>
      <w:divBdr>
        <w:top w:val="none" w:sz="0" w:space="0" w:color="auto"/>
        <w:left w:val="none" w:sz="0" w:space="0" w:color="auto"/>
        <w:bottom w:val="none" w:sz="0" w:space="0" w:color="auto"/>
        <w:right w:val="none" w:sz="0" w:space="0" w:color="auto"/>
      </w:divBdr>
    </w:div>
    <w:div w:id="919798909">
      <w:bodyDiv w:val="1"/>
      <w:marLeft w:val="0"/>
      <w:marRight w:val="0"/>
      <w:marTop w:val="0"/>
      <w:marBottom w:val="0"/>
      <w:divBdr>
        <w:top w:val="none" w:sz="0" w:space="0" w:color="auto"/>
        <w:left w:val="none" w:sz="0" w:space="0" w:color="auto"/>
        <w:bottom w:val="none" w:sz="0" w:space="0" w:color="auto"/>
        <w:right w:val="none" w:sz="0" w:space="0" w:color="auto"/>
      </w:divBdr>
    </w:div>
    <w:div w:id="935671944">
      <w:bodyDiv w:val="1"/>
      <w:marLeft w:val="0"/>
      <w:marRight w:val="0"/>
      <w:marTop w:val="0"/>
      <w:marBottom w:val="0"/>
      <w:divBdr>
        <w:top w:val="none" w:sz="0" w:space="0" w:color="auto"/>
        <w:left w:val="none" w:sz="0" w:space="0" w:color="auto"/>
        <w:bottom w:val="none" w:sz="0" w:space="0" w:color="auto"/>
        <w:right w:val="none" w:sz="0" w:space="0" w:color="auto"/>
      </w:divBdr>
    </w:div>
    <w:div w:id="957830374">
      <w:bodyDiv w:val="1"/>
      <w:marLeft w:val="0"/>
      <w:marRight w:val="0"/>
      <w:marTop w:val="0"/>
      <w:marBottom w:val="0"/>
      <w:divBdr>
        <w:top w:val="none" w:sz="0" w:space="0" w:color="auto"/>
        <w:left w:val="none" w:sz="0" w:space="0" w:color="auto"/>
        <w:bottom w:val="none" w:sz="0" w:space="0" w:color="auto"/>
        <w:right w:val="none" w:sz="0" w:space="0" w:color="auto"/>
      </w:divBdr>
    </w:div>
    <w:div w:id="993490736">
      <w:bodyDiv w:val="1"/>
      <w:marLeft w:val="0"/>
      <w:marRight w:val="0"/>
      <w:marTop w:val="0"/>
      <w:marBottom w:val="0"/>
      <w:divBdr>
        <w:top w:val="none" w:sz="0" w:space="0" w:color="auto"/>
        <w:left w:val="none" w:sz="0" w:space="0" w:color="auto"/>
        <w:bottom w:val="none" w:sz="0" w:space="0" w:color="auto"/>
        <w:right w:val="none" w:sz="0" w:space="0" w:color="auto"/>
      </w:divBdr>
    </w:div>
    <w:div w:id="1009213266">
      <w:bodyDiv w:val="1"/>
      <w:marLeft w:val="0"/>
      <w:marRight w:val="0"/>
      <w:marTop w:val="0"/>
      <w:marBottom w:val="0"/>
      <w:divBdr>
        <w:top w:val="none" w:sz="0" w:space="0" w:color="auto"/>
        <w:left w:val="none" w:sz="0" w:space="0" w:color="auto"/>
        <w:bottom w:val="none" w:sz="0" w:space="0" w:color="auto"/>
        <w:right w:val="none" w:sz="0" w:space="0" w:color="auto"/>
      </w:divBdr>
    </w:div>
    <w:div w:id="1106462700">
      <w:bodyDiv w:val="1"/>
      <w:marLeft w:val="0"/>
      <w:marRight w:val="0"/>
      <w:marTop w:val="0"/>
      <w:marBottom w:val="0"/>
      <w:divBdr>
        <w:top w:val="none" w:sz="0" w:space="0" w:color="auto"/>
        <w:left w:val="none" w:sz="0" w:space="0" w:color="auto"/>
        <w:bottom w:val="none" w:sz="0" w:space="0" w:color="auto"/>
        <w:right w:val="none" w:sz="0" w:space="0" w:color="auto"/>
      </w:divBdr>
    </w:div>
    <w:div w:id="1110246241">
      <w:bodyDiv w:val="1"/>
      <w:marLeft w:val="0"/>
      <w:marRight w:val="0"/>
      <w:marTop w:val="0"/>
      <w:marBottom w:val="0"/>
      <w:divBdr>
        <w:top w:val="none" w:sz="0" w:space="0" w:color="auto"/>
        <w:left w:val="none" w:sz="0" w:space="0" w:color="auto"/>
        <w:bottom w:val="none" w:sz="0" w:space="0" w:color="auto"/>
        <w:right w:val="none" w:sz="0" w:space="0" w:color="auto"/>
      </w:divBdr>
    </w:div>
    <w:div w:id="1196114692">
      <w:bodyDiv w:val="1"/>
      <w:marLeft w:val="0"/>
      <w:marRight w:val="0"/>
      <w:marTop w:val="0"/>
      <w:marBottom w:val="0"/>
      <w:divBdr>
        <w:top w:val="none" w:sz="0" w:space="0" w:color="auto"/>
        <w:left w:val="none" w:sz="0" w:space="0" w:color="auto"/>
        <w:bottom w:val="none" w:sz="0" w:space="0" w:color="auto"/>
        <w:right w:val="none" w:sz="0" w:space="0" w:color="auto"/>
      </w:divBdr>
    </w:div>
    <w:div w:id="1227498403">
      <w:bodyDiv w:val="1"/>
      <w:marLeft w:val="0"/>
      <w:marRight w:val="0"/>
      <w:marTop w:val="0"/>
      <w:marBottom w:val="0"/>
      <w:divBdr>
        <w:top w:val="none" w:sz="0" w:space="0" w:color="auto"/>
        <w:left w:val="none" w:sz="0" w:space="0" w:color="auto"/>
        <w:bottom w:val="none" w:sz="0" w:space="0" w:color="auto"/>
        <w:right w:val="none" w:sz="0" w:space="0" w:color="auto"/>
      </w:divBdr>
    </w:div>
    <w:div w:id="1234049808">
      <w:bodyDiv w:val="1"/>
      <w:marLeft w:val="0"/>
      <w:marRight w:val="0"/>
      <w:marTop w:val="0"/>
      <w:marBottom w:val="0"/>
      <w:divBdr>
        <w:top w:val="none" w:sz="0" w:space="0" w:color="auto"/>
        <w:left w:val="none" w:sz="0" w:space="0" w:color="auto"/>
        <w:bottom w:val="none" w:sz="0" w:space="0" w:color="auto"/>
        <w:right w:val="none" w:sz="0" w:space="0" w:color="auto"/>
      </w:divBdr>
    </w:div>
    <w:div w:id="1290085652">
      <w:bodyDiv w:val="1"/>
      <w:marLeft w:val="0"/>
      <w:marRight w:val="0"/>
      <w:marTop w:val="0"/>
      <w:marBottom w:val="0"/>
      <w:divBdr>
        <w:top w:val="none" w:sz="0" w:space="0" w:color="auto"/>
        <w:left w:val="none" w:sz="0" w:space="0" w:color="auto"/>
        <w:bottom w:val="none" w:sz="0" w:space="0" w:color="auto"/>
        <w:right w:val="none" w:sz="0" w:space="0" w:color="auto"/>
      </w:divBdr>
    </w:div>
    <w:div w:id="1425999473">
      <w:bodyDiv w:val="1"/>
      <w:marLeft w:val="0"/>
      <w:marRight w:val="0"/>
      <w:marTop w:val="0"/>
      <w:marBottom w:val="0"/>
      <w:divBdr>
        <w:top w:val="none" w:sz="0" w:space="0" w:color="auto"/>
        <w:left w:val="none" w:sz="0" w:space="0" w:color="auto"/>
        <w:bottom w:val="none" w:sz="0" w:space="0" w:color="auto"/>
        <w:right w:val="none" w:sz="0" w:space="0" w:color="auto"/>
      </w:divBdr>
    </w:div>
    <w:div w:id="1447386697">
      <w:bodyDiv w:val="1"/>
      <w:marLeft w:val="0"/>
      <w:marRight w:val="0"/>
      <w:marTop w:val="0"/>
      <w:marBottom w:val="0"/>
      <w:divBdr>
        <w:top w:val="none" w:sz="0" w:space="0" w:color="auto"/>
        <w:left w:val="none" w:sz="0" w:space="0" w:color="auto"/>
        <w:bottom w:val="none" w:sz="0" w:space="0" w:color="auto"/>
        <w:right w:val="none" w:sz="0" w:space="0" w:color="auto"/>
      </w:divBdr>
    </w:div>
    <w:div w:id="1468007317">
      <w:bodyDiv w:val="1"/>
      <w:marLeft w:val="0"/>
      <w:marRight w:val="0"/>
      <w:marTop w:val="0"/>
      <w:marBottom w:val="0"/>
      <w:divBdr>
        <w:top w:val="none" w:sz="0" w:space="0" w:color="auto"/>
        <w:left w:val="none" w:sz="0" w:space="0" w:color="auto"/>
        <w:bottom w:val="none" w:sz="0" w:space="0" w:color="auto"/>
        <w:right w:val="none" w:sz="0" w:space="0" w:color="auto"/>
      </w:divBdr>
    </w:div>
    <w:div w:id="1508056716">
      <w:bodyDiv w:val="1"/>
      <w:marLeft w:val="0"/>
      <w:marRight w:val="0"/>
      <w:marTop w:val="0"/>
      <w:marBottom w:val="0"/>
      <w:divBdr>
        <w:top w:val="none" w:sz="0" w:space="0" w:color="auto"/>
        <w:left w:val="none" w:sz="0" w:space="0" w:color="auto"/>
        <w:bottom w:val="none" w:sz="0" w:space="0" w:color="auto"/>
        <w:right w:val="none" w:sz="0" w:space="0" w:color="auto"/>
      </w:divBdr>
    </w:div>
    <w:div w:id="1520461180">
      <w:bodyDiv w:val="1"/>
      <w:marLeft w:val="0"/>
      <w:marRight w:val="0"/>
      <w:marTop w:val="0"/>
      <w:marBottom w:val="0"/>
      <w:divBdr>
        <w:top w:val="none" w:sz="0" w:space="0" w:color="auto"/>
        <w:left w:val="none" w:sz="0" w:space="0" w:color="auto"/>
        <w:bottom w:val="none" w:sz="0" w:space="0" w:color="auto"/>
        <w:right w:val="none" w:sz="0" w:space="0" w:color="auto"/>
      </w:divBdr>
    </w:div>
    <w:div w:id="1530139605">
      <w:bodyDiv w:val="1"/>
      <w:marLeft w:val="0"/>
      <w:marRight w:val="0"/>
      <w:marTop w:val="0"/>
      <w:marBottom w:val="0"/>
      <w:divBdr>
        <w:top w:val="none" w:sz="0" w:space="0" w:color="auto"/>
        <w:left w:val="none" w:sz="0" w:space="0" w:color="auto"/>
        <w:bottom w:val="none" w:sz="0" w:space="0" w:color="auto"/>
        <w:right w:val="none" w:sz="0" w:space="0" w:color="auto"/>
      </w:divBdr>
    </w:div>
    <w:div w:id="1606838980">
      <w:bodyDiv w:val="1"/>
      <w:marLeft w:val="0"/>
      <w:marRight w:val="0"/>
      <w:marTop w:val="0"/>
      <w:marBottom w:val="0"/>
      <w:divBdr>
        <w:top w:val="none" w:sz="0" w:space="0" w:color="auto"/>
        <w:left w:val="none" w:sz="0" w:space="0" w:color="auto"/>
        <w:bottom w:val="none" w:sz="0" w:space="0" w:color="auto"/>
        <w:right w:val="none" w:sz="0" w:space="0" w:color="auto"/>
      </w:divBdr>
    </w:div>
    <w:div w:id="1612282182">
      <w:bodyDiv w:val="1"/>
      <w:marLeft w:val="0"/>
      <w:marRight w:val="0"/>
      <w:marTop w:val="0"/>
      <w:marBottom w:val="0"/>
      <w:divBdr>
        <w:top w:val="none" w:sz="0" w:space="0" w:color="auto"/>
        <w:left w:val="none" w:sz="0" w:space="0" w:color="auto"/>
        <w:bottom w:val="none" w:sz="0" w:space="0" w:color="auto"/>
        <w:right w:val="none" w:sz="0" w:space="0" w:color="auto"/>
      </w:divBdr>
    </w:div>
    <w:div w:id="1670333445">
      <w:bodyDiv w:val="1"/>
      <w:marLeft w:val="0"/>
      <w:marRight w:val="0"/>
      <w:marTop w:val="0"/>
      <w:marBottom w:val="0"/>
      <w:divBdr>
        <w:top w:val="none" w:sz="0" w:space="0" w:color="auto"/>
        <w:left w:val="none" w:sz="0" w:space="0" w:color="auto"/>
        <w:bottom w:val="none" w:sz="0" w:space="0" w:color="auto"/>
        <w:right w:val="none" w:sz="0" w:space="0" w:color="auto"/>
      </w:divBdr>
    </w:div>
    <w:div w:id="1683580939">
      <w:bodyDiv w:val="1"/>
      <w:marLeft w:val="0"/>
      <w:marRight w:val="0"/>
      <w:marTop w:val="0"/>
      <w:marBottom w:val="0"/>
      <w:divBdr>
        <w:top w:val="none" w:sz="0" w:space="0" w:color="auto"/>
        <w:left w:val="none" w:sz="0" w:space="0" w:color="auto"/>
        <w:bottom w:val="none" w:sz="0" w:space="0" w:color="auto"/>
        <w:right w:val="none" w:sz="0" w:space="0" w:color="auto"/>
      </w:divBdr>
    </w:div>
    <w:div w:id="1694721313">
      <w:bodyDiv w:val="1"/>
      <w:marLeft w:val="0"/>
      <w:marRight w:val="0"/>
      <w:marTop w:val="0"/>
      <w:marBottom w:val="0"/>
      <w:divBdr>
        <w:top w:val="none" w:sz="0" w:space="0" w:color="auto"/>
        <w:left w:val="none" w:sz="0" w:space="0" w:color="auto"/>
        <w:bottom w:val="none" w:sz="0" w:space="0" w:color="auto"/>
        <w:right w:val="none" w:sz="0" w:space="0" w:color="auto"/>
      </w:divBdr>
    </w:div>
    <w:div w:id="1711565091">
      <w:bodyDiv w:val="1"/>
      <w:marLeft w:val="0"/>
      <w:marRight w:val="0"/>
      <w:marTop w:val="0"/>
      <w:marBottom w:val="0"/>
      <w:divBdr>
        <w:top w:val="none" w:sz="0" w:space="0" w:color="auto"/>
        <w:left w:val="none" w:sz="0" w:space="0" w:color="auto"/>
        <w:bottom w:val="none" w:sz="0" w:space="0" w:color="auto"/>
        <w:right w:val="none" w:sz="0" w:space="0" w:color="auto"/>
      </w:divBdr>
    </w:div>
    <w:div w:id="1712681267">
      <w:bodyDiv w:val="1"/>
      <w:marLeft w:val="0"/>
      <w:marRight w:val="0"/>
      <w:marTop w:val="0"/>
      <w:marBottom w:val="0"/>
      <w:divBdr>
        <w:top w:val="none" w:sz="0" w:space="0" w:color="auto"/>
        <w:left w:val="none" w:sz="0" w:space="0" w:color="auto"/>
        <w:bottom w:val="none" w:sz="0" w:space="0" w:color="auto"/>
        <w:right w:val="none" w:sz="0" w:space="0" w:color="auto"/>
      </w:divBdr>
    </w:div>
    <w:div w:id="1793859899">
      <w:bodyDiv w:val="1"/>
      <w:marLeft w:val="0"/>
      <w:marRight w:val="0"/>
      <w:marTop w:val="0"/>
      <w:marBottom w:val="0"/>
      <w:divBdr>
        <w:top w:val="none" w:sz="0" w:space="0" w:color="auto"/>
        <w:left w:val="none" w:sz="0" w:space="0" w:color="auto"/>
        <w:bottom w:val="none" w:sz="0" w:space="0" w:color="auto"/>
        <w:right w:val="none" w:sz="0" w:space="0" w:color="auto"/>
      </w:divBdr>
    </w:div>
    <w:div w:id="1842548157">
      <w:bodyDiv w:val="1"/>
      <w:marLeft w:val="0"/>
      <w:marRight w:val="0"/>
      <w:marTop w:val="0"/>
      <w:marBottom w:val="0"/>
      <w:divBdr>
        <w:top w:val="none" w:sz="0" w:space="0" w:color="auto"/>
        <w:left w:val="none" w:sz="0" w:space="0" w:color="auto"/>
        <w:bottom w:val="none" w:sz="0" w:space="0" w:color="auto"/>
        <w:right w:val="none" w:sz="0" w:space="0" w:color="auto"/>
      </w:divBdr>
    </w:div>
    <w:div w:id="1846480270">
      <w:bodyDiv w:val="1"/>
      <w:marLeft w:val="0"/>
      <w:marRight w:val="0"/>
      <w:marTop w:val="0"/>
      <w:marBottom w:val="0"/>
      <w:divBdr>
        <w:top w:val="none" w:sz="0" w:space="0" w:color="auto"/>
        <w:left w:val="none" w:sz="0" w:space="0" w:color="auto"/>
        <w:bottom w:val="none" w:sz="0" w:space="0" w:color="auto"/>
        <w:right w:val="none" w:sz="0" w:space="0" w:color="auto"/>
      </w:divBdr>
    </w:div>
    <w:div w:id="1908682444">
      <w:bodyDiv w:val="1"/>
      <w:marLeft w:val="0"/>
      <w:marRight w:val="0"/>
      <w:marTop w:val="0"/>
      <w:marBottom w:val="0"/>
      <w:divBdr>
        <w:top w:val="none" w:sz="0" w:space="0" w:color="auto"/>
        <w:left w:val="none" w:sz="0" w:space="0" w:color="auto"/>
        <w:bottom w:val="none" w:sz="0" w:space="0" w:color="auto"/>
        <w:right w:val="none" w:sz="0" w:space="0" w:color="auto"/>
      </w:divBdr>
    </w:div>
    <w:div w:id="1915360351">
      <w:bodyDiv w:val="1"/>
      <w:marLeft w:val="0"/>
      <w:marRight w:val="0"/>
      <w:marTop w:val="0"/>
      <w:marBottom w:val="0"/>
      <w:divBdr>
        <w:top w:val="none" w:sz="0" w:space="0" w:color="auto"/>
        <w:left w:val="none" w:sz="0" w:space="0" w:color="auto"/>
        <w:bottom w:val="none" w:sz="0" w:space="0" w:color="auto"/>
        <w:right w:val="none" w:sz="0" w:space="0" w:color="auto"/>
      </w:divBdr>
    </w:div>
    <w:div w:id="1923681763">
      <w:bodyDiv w:val="1"/>
      <w:marLeft w:val="0"/>
      <w:marRight w:val="0"/>
      <w:marTop w:val="0"/>
      <w:marBottom w:val="0"/>
      <w:divBdr>
        <w:top w:val="none" w:sz="0" w:space="0" w:color="auto"/>
        <w:left w:val="none" w:sz="0" w:space="0" w:color="auto"/>
        <w:bottom w:val="none" w:sz="0" w:space="0" w:color="auto"/>
        <w:right w:val="none" w:sz="0" w:space="0" w:color="auto"/>
      </w:divBdr>
    </w:div>
    <w:div w:id="1980652189">
      <w:bodyDiv w:val="1"/>
      <w:marLeft w:val="0"/>
      <w:marRight w:val="0"/>
      <w:marTop w:val="0"/>
      <w:marBottom w:val="0"/>
      <w:divBdr>
        <w:top w:val="none" w:sz="0" w:space="0" w:color="auto"/>
        <w:left w:val="none" w:sz="0" w:space="0" w:color="auto"/>
        <w:bottom w:val="none" w:sz="0" w:space="0" w:color="auto"/>
        <w:right w:val="none" w:sz="0" w:space="0" w:color="auto"/>
      </w:divBdr>
    </w:div>
    <w:div w:id="1989939962">
      <w:bodyDiv w:val="1"/>
      <w:marLeft w:val="0"/>
      <w:marRight w:val="0"/>
      <w:marTop w:val="0"/>
      <w:marBottom w:val="0"/>
      <w:divBdr>
        <w:top w:val="none" w:sz="0" w:space="0" w:color="auto"/>
        <w:left w:val="none" w:sz="0" w:space="0" w:color="auto"/>
        <w:bottom w:val="none" w:sz="0" w:space="0" w:color="auto"/>
        <w:right w:val="none" w:sz="0" w:space="0" w:color="auto"/>
      </w:divBdr>
    </w:div>
    <w:div w:id="1997109563">
      <w:bodyDiv w:val="1"/>
      <w:marLeft w:val="0"/>
      <w:marRight w:val="0"/>
      <w:marTop w:val="0"/>
      <w:marBottom w:val="0"/>
      <w:divBdr>
        <w:top w:val="none" w:sz="0" w:space="0" w:color="auto"/>
        <w:left w:val="none" w:sz="0" w:space="0" w:color="auto"/>
        <w:bottom w:val="none" w:sz="0" w:space="0" w:color="auto"/>
        <w:right w:val="none" w:sz="0" w:space="0" w:color="auto"/>
      </w:divBdr>
    </w:div>
    <w:div w:id="2001231903">
      <w:bodyDiv w:val="1"/>
      <w:marLeft w:val="0"/>
      <w:marRight w:val="0"/>
      <w:marTop w:val="0"/>
      <w:marBottom w:val="0"/>
      <w:divBdr>
        <w:top w:val="none" w:sz="0" w:space="0" w:color="auto"/>
        <w:left w:val="none" w:sz="0" w:space="0" w:color="auto"/>
        <w:bottom w:val="none" w:sz="0" w:space="0" w:color="auto"/>
        <w:right w:val="none" w:sz="0" w:space="0" w:color="auto"/>
      </w:divBdr>
    </w:div>
    <w:div w:id="2021545775">
      <w:bodyDiv w:val="1"/>
      <w:marLeft w:val="0"/>
      <w:marRight w:val="0"/>
      <w:marTop w:val="0"/>
      <w:marBottom w:val="0"/>
      <w:divBdr>
        <w:top w:val="none" w:sz="0" w:space="0" w:color="auto"/>
        <w:left w:val="none" w:sz="0" w:space="0" w:color="auto"/>
        <w:bottom w:val="none" w:sz="0" w:space="0" w:color="auto"/>
        <w:right w:val="none" w:sz="0" w:space="0" w:color="auto"/>
      </w:divBdr>
    </w:div>
    <w:div w:id="2058160603">
      <w:bodyDiv w:val="1"/>
      <w:marLeft w:val="0"/>
      <w:marRight w:val="0"/>
      <w:marTop w:val="0"/>
      <w:marBottom w:val="0"/>
      <w:divBdr>
        <w:top w:val="none" w:sz="0" w:space="0" w:color="auto"/>
        <w:left w:val="none" w:sz="0" w:space="0" w:color="auto"/>
        <w:bottom w:val="none" w:sz="0" w:space="0" w:color="auto"/>
        <w:right w:val="none" w:sz="0" w:space="0" w:color="auto"/>
      </w:divBdr>
    </w:div>
    <w:div w:id="2090152330">
      <w:bodyDiv w:val="1"/>
      <w:marLeft w:val="0"/>
      <w:marRight w:val="0"/>
      <w:marTop w:val="0"/>
      <w:marBottom w:val="0"/>
      <w:divBdr>
        <w:top w:val="none" w:sz="0" w:space="0" w:color="auto"/>
        <w:left w:val="none" w:sz="0" w:space="0" w:color="auto"/>
        <w:bottom w:val="none" w:sz="0" w:space="0" w:color="auto"/>
        <w:right w:val="none" w:sz="0" w:space="0" w:color="auto"/>
      </w:divBdr>
    </w:div>
    <w:div w:id="2141797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URA_~1\AppData\Local\Temp\Rar$DIa0.522\Plantilla_Estilos_Tipograficos.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C4621B-EF94-4D3F-83D9-DF433CF098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Plantilla_Estilos_Tipograficos.dot</Template>
  <TotalTime>640</TotalTime>
  <Pages>64</Pages>
  <Words>20837</Words>
  <Characters>114605</Characters>
  <Application>Microsoft Office Word</Application>
  <DocSecurity>0</DocSecurity>
  <Lines>955</Lines>
  <Paragraphs>270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135172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Leticia Caballero Bravo</cp:lastModifiedBy>
  <cp:revision>48</cp:revision>
  <cp:lastPrinted>2020-04-25T01:11:00Z</cp:lastPrinted>
  <dcterms:created xsi:type="dcterms:W3CDTF">2020-04-23T00:11:00Z</dcterms:created>
  <dcterms:modified xsi:type="dcterms:W3CDTF">2020-04-25T01:12:00Z</dcterms:modified>
</cp:coreProperties>
</file>