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D2F" w:rsidRDefault="00C62D2F" w:rsidP="00AD5ACF">
      <w:pPr>
        <w:pStyle w:val="TITULOS"/>
      </w:pPr>
    </w:p>
    <w:p w:rsidR="004E0D88" w:rsidRPr="00730623" w:rsidRDefault="00815F35" w:rsidP="00AD5ACF">
      <w:pPr>
        <w:pStyle w:val="TITULOS"/>
        <w:rPr>
          <w:b/>
        </w:rPr>
      </w:pPr>
      <w:r w:rsidRPr="00730623">
        <w:rPr>
          <w:b/>
        </w:rPr>
        <w:t>PODER LEGISLATIVO</w:t>
      </w:r>
    </w:p>
    <w:p w:rsidR="00AA3BF8" w:rsidRPr="00730623" w:rsidRDefault="00297378" w:rsidP="00AA3BF8">
      <w:pPr>
        <w:pStyle w:val="TITULOS"/>
        <w:rPr>
          <w:b/>
        </w:rPr>
      </w:pPr>
      <w:r w:rsidRPr="00730623">
        <w:rPr>
          <w:b/>
        </w:rPr>
        <w:t>NOTAS A LOS ESTADOS FINANCIEROS</w:t>
      </w:r>
    </w:p>
    <w:p w:rsidR="00AD5ACF" w:rsidRDefault="00AD5ACF" w:rsidP="00BF4C86">
      <w:pPr>
        <w:pStyle w:val="TITULOS"/>
        <w:jc w:val="both"/>
        <w:rPr>
          <w:rFonts w:ascii="Montserrat" w:hAnsi="Montserrat"/>
          <w:caps w:val="0"/>
          <w:sz w:val="18"/>
          <w:szCs w:val="18"/>
          <w:lang w:val="es-ES"/>
        </w:rPr>
      </w:pPr>
    </w:p>
    <w:p w:rsidR="00297378" w:rsidRPr="00297378" w:rsidRDefault="00297378" w:rsidP="00297378">
      <w:pPr>
        <w:pStyle w:val="TEXTONORMAL"/>
        <w:rPr>
          <w:b/>
          <w:caps/>
          <w:sz w:val="22"/>
          <w:lang w:val="es-MX"/>
        </w:rPr>
      </w:pPr>
      <w:r w:rsidRPr="00297378">
        <w:rPr>
          <w:b/>
          <w:caps/>
          <w:sz w:val="22"/>
          <w:lang w:val="es-MX"/>
        </w:rPr>
        <w:t>Introducción</w:t>
      </w:r>
    </w:p>
    <w:p w:rsidR="00297378" w:rsidRPr="00144201" w:rsidRDefault="00297378" w:rsidP="00297378">
      <w:pPr>
        <w:pStyle w:val="TEXTONORMAL"/>
      </w:pPr>
      <w:r>
        <w:t xml:space="preserve">Atendiendo a lo establecido por el artículo 17 de la Ley General de Contabilidad Gubernamental, cada ente público es responsable de su contabilidad, de la operación del sistema y en consecuencia de la información que proporciona </w:t>
      </w:r>
      <w:r w:rsidR="002C6D54">
        <w:t xml:space="preserve">el Poder Legislativo </w:t>
      </w:r>
      <w:r>
        <w:t xml:space="preserve">para la integración de la Cuenta Pública. De conformidad con lo señalado en el artículo 53 de la Ley General de Contabilidad Gubernamental, en el Acuerdo por el que se armoniza la estructura de las cuentas públicas y la Norma en materia de consolidación de Estados Financieros y demás información contable, a la </w:t>
      </w:r>
      <w:r w:rsidRPr="00144201">
        <w:t>Secretaría de Hacienda y Crédito Público le corresponde formular e integrar la información consolidada del Poder Legislativo.</w:t>
      </w:r>
    </w:p>
    <w:p w:rsidR="00297378" w:rsidRPr="00144201" w:rsidRDefault="00297378" w:rsidP="00297378">
      <w:pPr>
        <w:pStyle w:val="TEXTONORMAL"/>
      </w:pPr>
    </w:p>
    <w:p w:rsidR="00297378" w:rsidRDefault="00297378" w:rsidP="00297378">
      <w:pPr>
        <w:pStyle w:val="TEXTONORMAL"/>
      </w:pPr>
      <w:r w:rsidRPr="00144201">
        <w:t>Para dar cumplimiento a lo dispuesto en el Acuerdo por el que se armoniza la estructura de las cuentas públicas, la información financiera del Poder Legislativo está integrada por la información de la Cámara de Diputados (CDI), la Cámara de Senadores (CSE) y la Auditoría Superior de la Federación (ASF).</w:t>
      </w:r>
    </w:p>
    <w:p w:rsidR="00297378" w:rsidRDefault="00297378" w:rsidP="00297378">
      <w:pPr>
        <w:pStyle w:val="TEXTONORMAL"/>
      </w:pPr>
    </w:p>
    <w:p w:rsidR="00297378" w:rsidRDefault="00297378" w:rsidP="00297378">
      <w:pPr>
        <w:pStyle w:val="TEXTONORMAL"/>
      </w:pPr>
      <w:r>
        <w:t>Las notas a los estados financieros del Poder Legislativo son resultado de las notas de cada ente público que lo conforma, mismas que pueden ser consultadas en sus respectivos apartados.</w:t>
      </w:r>
    </w:p>
    <w:p w:rsidR="00297378" w:rsidRDefault="00297378" w:rsidP="00297378">
      <w:pPr>
        <w:pStyle w:val="TEXTONORMAL"/>
      </w:pPr>
    </w:p>
    <w:p w:rsidR="00297378" w:rsidRDefault="00297378" w:rsidP="00297378">
      <w:pPr>
        <w:pStyle w:val="TEXTONORMAL"/>
      </w:pPr>
      <w:r>
        <w:t>Para la integración de la información correspo</w:t>
      </w:r>
      <w:r w:rsidR="00DC1F31">
        <w:t>ndiente al ejercicio fiscal 2018</w:t>
      </w:r>
      <w:r>
        <w:t>, y de conformidad con lo dispuesto por los artículos 46, fracción I, inciso g) y 49 de la Ley General de Contabilidad Gubernamental, así como a la normatividad emitida por el Consejo Nacional de Armonización Contable, a continuación se presentan las notas a los estados financieros consolidados del Poder Legislativo, con los siguientes apartados:</w:t>
      </w:r>
    </w:p>
    <w:p w:rsidR="00297378" w:rsidRPr="00C95125" w:rsidRDefault="00297378" w:rsidP="00C95125">
      <w:pPr>
        <w:pStyle w:val="TEXTONORMAL"/>
      </w:pPr>
    </w:p>
    <w:p w:rsidR="00297378" w:rsidRDefault="00297378" w:rsidP="00C50E99">
      <w:pPr>
        <w:pStyle w:val="VIETAFLECHA"/>
      </w:pPr>
      <w:r>
        <w:t>Notas de Desglose,</w:t>
      </w:r>
    </w:p>
    <w:p w:rsidR="00297378" w:rsidRDefault="00297378" w:rsidP="00297378">
      <w:pPr>
        <w:pStyle w:val="VIETAFLECHA"/>
      </w:pPr>
      <w:r>
        <w:t>Notas de Memoria (cuentas de orden), y</w:t>
      </w:r>
    </w:p>
    <w:p w:rsidR="00297378" w:rsidRDefault="00297378" w:rsidP="00297378">
      <w:pPr>
        <w:pStyle w:val="VIETAFLECHA"/>
      </w:pPr>
      <w:r>
        <w:t>Notas de Gestión Administrativa.</w:t>
      </w:r>
    </w:p>
    <w:p w:rsidR="00297378" w:rsidRPr="00297378" w:rsidRDefault="00297378" w:rsidP="00297378">
      <w:pPr>
        <w:pStyle w:val="TEXTONORMAL"/>
      </w:pPr>
    </w:p>
    <w:p w:rsidR="00297378" w:rsidRPr="00297378" w:rsidRDefault="00297378" w:rsidP="00297378">
      <w:pPr>
        <w:pStyle w:val="TEXTONORMAL"/>
      </w:pPr>
    </w:p>
    <w:p w:rsidR="00297378" w:rsidRDefault="00297378" w:rsidP="00297378">
      <w:pPr>
        <w:pStyle w:val="TEXTONORMAL"/>
      </w:pPr>
    </w:p>
    <w:p w:rsidR="00297378" w:rsidRDefault="00297378" w:rsidP="00297378">
      <w:pPr>
        <w:pStyle w:val="TEXTONORMAL"/>
      </w:pPr>
    </w:p>
    <w:p w:rsidR="00297378" w:rsidRPr="00A12E78" w:rsidRDefault="00297378" w:rsidP="00297378">
      <w:pPr>
        <w:pStyle w:val="TEXTONORMAL"/>
        <w:rPr>
          <w:b/>
          <w:caps/>
          <w:sz w:val="22"/>
          <w:lang w:val="es-MX"/>
        </w:rPr>
      </w:pPr>
      <w:r w:rsidRPr="00A12E78">
        <w:rPr>
          <w:b/>
          <w:caps/>
          <w:sz w:val="22"/>
          <w:lang w:val="es-MX"/>
        </w:rPr>
        <w:lastRenderedPageBreak/>
        <w:t>Notas de Desglose:</w:t>
      </w:r>
    </w:p>
    <w:p w:rsidR="00297378" w:rsidRPr="00A12E78" w:rsidRDefault="002C6D54" w:rsidP="00297378">
      <w:pPr>
        <w:pStyle w:val="TEXTONORMAL"/>
        <w:rPr>
          <w:b/>
        </w:rPr>
      </w:pPr>
      <w:r w:rsidRPr="00A12E78">
        <w:rPr>
          <w:b/>
        </w:rPr>
        <w:t>NOTAS AL ESTADO DE SITUACIÓN FINANCIERA</w:t>
      </w:r>
    </w:p>
    <w:p w:rsidR="00297378" w:rsidRDefault="00297378" w:rsidP="00297378">
      <w:pPr>
        <w:pStyle w:val="TEXTONORMAL"/>
        <w:rPr>
          <w:b/>
        </w:rPr>
      </w:pPr>
      <w:r w:rsidRPr="00A12E78">
        <w:rPr>
          <w:b/>
        </w:rPr>
        <w:t>Activo</w:t>
      </w:r>
    </w:p>
    <w:p w:rsidR="00A80DC6" w:rsidRDefault="00A80DC6" w:rsidP="00297378">
      <w:pPr>
        <w:pStyle w:val="TEXTONORMAL"/>
        <w:rPr>
          <w:b/>
        </w:rPr>
      </w:pPr>
    </w:p>
    <w:p w:rsidR="00297378" w:rsidRPr="002C6D54" w:rsidRDefault="00297378" w:rsidP="00297378">
      <w:pPr>
        <w:pStyle w:val="VIETAFLECHA"/>
      </w:pPr>
      <w:r w:rsidRPr="002C6D54">
        <w:t>Efectivo y Equivalentes</w:t>
      </w:r>
    </w:p>
    <w:p w:rsidR="00297378" w:rsidRDefault="00297378" w:rsidP="002C6D54">
      <w:pPr>
        <w:pStyle w:val="TEXTONORMAL"/>
      </w:pPr>
      <w:r>
        <w:t>Se presenta la información consolidada de los entes públicos del Poder Legislativo que integra el rubro de Efectivo y Equivalentes:</w:t>
      </w:r>
    </w:p>
    <w:tbl>
      <w:tblPr>
        <w:tblW w:w="7616" w:type="dxa"/>
        <w:jc w:val="center"/>
        <w:tblCellMar>
          <w:left w:w="70" w:type="dxa"/>
          <w:right w:w="70" w:type="dxa"/>
        </w:tblCellMar>
        <w:tblLook w:val="04A0" w:firstRow="1" w:lastRow="0" w:firstColumn="1" w:lastColumn="0" w:noHBand="0" w:noVBand="1"/>
      </w:tblPr>
      <w:tblGrid>
        <w:gridCol w:w="3690"/>
        <w:gridCol w:w="1963"/>
        <w:gridCol w:w="1963"/>
      </w:tblGrid>
      <w:tr w:rsidR="00DC1F31" w:rsidRPr="00DC1F31" w:rsidTr="00337B1D">
        <w:trPr>
          <w:trHeight w:val="285"/>
          <w:jc w:val="center"/>
        </w:trPr>
        <w:tc>
          <w:tcPr>
            <w:tcW w:w="7616" w:type="dxa"/>
            <w:gridSpan w:val="3"/>
            <w:tcBorders>
              <w:top w:val="nil"/>
              <w:left w:val="nil"/>
              <w:bottom w:val="single" w:sz="12" w:space="0" w:color="808080"/>
              <w:right w:val="nil"/>
            </w:tcBorders>
            <w:shd w:val="clear" w:color="auto" w:fill="auto"/>
            <w:noWrap/>
            <w:vAlign w:val="center"/>
            <w:hideMark/>
          </w:tcPr>
          <w:p w:rsidR="00DC1F31" w:rsidRPr="00DC1F31" w:rsidRDefault="00DC1F31" w:rsidP="00DC1F31">
            <w:pPr>
              <w:spacing w:after="0" w:line="240" w:lineRule="auto"/>
              <w:jc w:val="center"/>
              <w:rPr>
                <w:rFonts w:ascii="Montserrat" w:eastAsia="Times New Roman" w:hAnsi="Montserrat" w:cs="Arial"/>
                <w:sz w:val="16"/>
                <w:szCs w:val="16"/>
                <w:lang w:val="es-MX" w:eastAsia="es-MX"/>
              </w:rPr>
            </w:pPr>
            <w:r w:rsidRPr="00DC1F31">
              <w:rPr>
                <w:rFonts w:ascii="Montserrat" w:eastAsia="Times New Roman" w:hAnsi="Montserrat" w:cs="Arial"/>
                <w:sz w:val="16"/>
                <w:szCs w:val="16"/>
                <w:lang w:val="es-MX" w:eastAsia="es-MX"/>
              </w:rPr>
              <w:t>(Pesos)</w:t>
            </w:r>
          </w:p>
        </w:tc>
      </w:tr>
      <w:tr w:rsidR="00DC1F31" w:rsidRPr="00DC1F31" w:rsidTr="00337B1D">
        <w:trPr>
          <w:trHeight w:val="15"/>
          <w:jc w:val="center"/>
        </w:trPr>
        <w:tc>
          <w:tcPr>
            <w:tcW w:w="7616" w:type="dxa"/>
            <w:gridSpan w:val="3"/>
            <w:tcBorders>
              <w:top w:val="single" w:sz="12" w:space="0" w:color="808080"/>
              <w:left w:val="nil"/>
              <w:bottom w:val="nil"/>
              <w:right w:val="nil"/>
            </w:tcBorders>
            <w:shd w:val="clear" w:color="auto" w:fill="auto"/>
            <w:vAlign w:val="center"/>
            <w:hideMark/>
          </w:tcPr>
          <w:p w:rsidR="00DC1F31" w:rsidRPr="00DC1F31" w:rsidRDefault="00DC1F31" w:rsidP="00D36914">
            <w:pPr>
              <w:spacing w:after="0" w:line="240" w:lineRule="auto"/>
              <w:rPr>
                <w:rFonts w:ascii="Montserrat" w:eastAsia="Times New Roman" w:hAnsi="Montserrat" w:cs="Arial"/>
                <w:b/>
                <w:bCs/>
                <w:color w:val="000000"/>
                <w:sz w:val="10"/>
                <w:szCs w:val="10"/>
                <w:lang w:val="es-MX" w:eastAsia="es-MX"/>
              </w:rPr>
            </w:pPr>
          </w:p>
        </w:tc>
      </w:tr>
      <w:tr w:rsidR="00DC1F31" w:rsidRPr="00DC1F31" w:rsidTr="00337B1D">
        <w:trPr>
          <w:trHeight w:val="255"/>
          <w:jc w:val="center"/>
        </w:trPr>
        <w:tc>
          <w:tcPr>
            <w:tcW w:w="3690" w:type="dxa"/>
            <w:tcBorders>
              <w:top w:val="nil"/>
              <w:left w:val="nil"/>
              <w:bottom w:val="nil"/>
              <w:right w:val="single" w:sz="8" w:space="0" w:color="FFFFFF"/>
            </w:tcBorders>
            <w:shd w:val="clear" w:color="000000" w:fill="D4C19C"/>
            <w:vAlign w:val="center"/>
            <w:hideMark/>
          </w:tcPr>
          <w:p w:rsidR="00DC1F31" w:rsidRPr="00DC1F31" w:rsidRDefault="00DC1F31" w:rsidP="00DC1F31">
            <w:pPr>
              <w:spacing w:after="0" w:line="240" w:lineRule="auto"/>
              <w:jc w:val="center"/>
              <w:rPr>
                <w:rFonts w:ascii="Montserrat" w:eastAsia="Times New Roman" w:hAnsi="Montserrat" w:cs="Arial"/>
                <w:b/>
                <w:bCs/>
                <w:color w:val="FFFFFF"/>
                <w:sz w:val="16"/>
                <w:szCs w:val="16"/>
                <w:lang w:val="es-MX" w:eastAsia="es-MX"/>
              </w:rPr>
            </w:pPr>
            <w:r w:rsidRPr="00DC1F31">
              <w:rPr>
                <w:rFonts w:ascii="Montserrat" w:eastAsia="Times New Roman" w:hAnsi="Montserrat" w:cs="Arial"/>
                <w:b/>
                <w:bCs/>
                <w:color w:val="FFFFFF"/>
                <w:sz w:val="16"/>
                <w:szCs w:val="16"/>
                <w:lang w:val="es-MX" w:eastAsia="es-MX"/>
              </w:rPr>
              <w:t>Concepto</w:t>
            </w:r>
          </w:p>
        </w:tc>
        <w:tc>
          <w:tcPr>
            <w:tcW w:w="1963" w:type="dxa"/>
            <w:tcBorders>
              <w:top w:val="nil"/>
              <w:left w:val="nil"/>
              <w:bottom w:val="nil"/>
              <w:right w:val="single" w:sz="8" w:space="0" w:color="FFFFFF"/>
            </w:tcBorders>
            <w:shd w:val="clear" w:color="000000" w:fill="D4C19C"/>
            <w:vAlign w:val="center"/>
            <w:hideMark/>
          </w:tcPr>
          <w:p w:rsidR="00DC1F31" w:rsidRPr="00DC1F31" w:rsidRDefault="00DC1F31" w:rsidP="00DC1F31">
            <w:pPr>
              <w:spacing w:after="0" w:line="240" w:lineRule="auto"/>
              <w:jc w:val="center"/>
              <w:rPr>
                <w:rFonts w:ascii="Montserrat" w:eastAsia="Times New Roman" w:hAnsi="Montserrat" w:cs="Arial"/>
                <w:b/>
                <w:bCs/>
                <w:color w:val="FFFFFF"/>
                <w:sz w:val="16"/>
                <w:szCs w:val="16"/>
                <w:lang w:val="es-MX" w:eastAsia="es-MX"/>
              </w:rPr>
            </w:pPr>
            <w:r w:rsidRPr="00DC1F31">
              <w:rPr>
                <w:rFonts w:ascii="Montserrat" w:eastAsia="Times New Roman" w:hAnsi="Montserrat" w:cs="Arial"/>
                <w:b/>
                <w:bCs/>
                <w:color w:val="FFFFFF"/>
                <w:sz w:val="16"/>
                <w:szCs w:val="16"/>
                <w:lang w:val="es-MX" w:eastAsia="es-MX"/>
              </w:rPr>
              <w:t>2018</w:t>
            </w:r>
          </w:p>
        </w:tc>
        <w:tc>
          <w:tcPr>
            <w:tcW w:w="1963" w:type="dxa"/>
            <w:tcBorders>
              <w:top w:val="nil"/>
              <w:left w:val="nil"/>
              <w:bottom w:val="nil"/>
              <w:right w:val="single" w:sz="8" w:space="0" w:color="FFFFFF"/>
            </w:tcBorders>
            <w:shd w:val="clear" w:color="000000" w:fill="D4C19C"/>
            <w:vAlign w:val="center"/>
            <w:hideMark/>
          </w:tcPr>
          <w:p w:rsidR="00DC1F31" w:rsidRPr="00DC1F31" w:rsidRDefault="00DC1F31" w:rsidP="00DC1F31">
            <w:pPr>
              <w:spacing w:after="0" w:line="240" w:lineRule="auto"/>
              <w:jc w:val="center"/>
              <w:rPr>
                <w:rFonts w:ascii="Montserrat" w:eastAsia="Times New Roman" w:hAnsi="Montserrat" w:cs="Arial"/>
                <w:b/>
                <w:bCs/>
                <w:color w:val="FFFFFF"/>
                <w:sz w:val="16"/>
                <w:szCs w:val="16"/>
                <w:lang w:val="es-MX" w:eastAsia="es-MX"/>
              </w:rPr>
            </w:pPr>
            <w:r w:rsidRPr="00DC1F31">
              <w:rPr>
                <w:rFonts w:ascii="Montserrat" w:eastAsia="Times New Roman" w:hAnsi="Montserrat" w:cs="Arial"/>
                <w:b/>
                <w:bCs/>
                <w:color w:val="FFFFFF"/>
                <w:sz w:val="16"/>
                <w:szCs w:val="16"/>
                <w:lang w:val="es-MX" w:eastAsia="es-MX"/>
              </w:rPr>
              <w:t>2017</w:t>
            </w:r>
          </w:p>
        </w:tc>
      </w:tr>
      <w:tr w:rsidR="00DC1F31" w:rsidRPr="00DC1F31" w:rsidTr="00D36914">
        <w:trPr>
          <w:trHeight w:val="43"/>
          <w:jc w:val="center"/>
        </w:trPr>
        <w:tc>
          <w:tcPr>
            <w:tcW w:w="7616" w:type="dxa"/>
            <w:gridSpan w:val="3"/>
            <w:tcBorders>
              <w:top w:val="nil"/>
              <w:left w:val="nil"/>
              <w:bottom w:val="double" w:sz="6" w:space="0" w:color="808080"/>
              <w:right w:val="nil"/>
            </w:tcBorders>
            <w:shd w:val="clear" w:color="auto" w:fill="auto"/>
            <w:vAlign w:val="center"/>
            <w:hideMark/>
          </w:tcPr>
          <w:p w:rsidR="00DC1F31" w:rsidRPr="00DC1F31" w:rsidRDefault="00DC1F31" w:rsidP="00D36914">
            <w:pPr>
              <w:spacing w:after="0" w:line="240" w:lineRule="auto"/>
              <w:rPr>
                <w:rFonts w:ascii="Montserrat" w:eastAsia="Times New Roman" w:hAnsi="Montserrat" w:cs="Arial"/>
                <w:b/>
                <w:bCs/>
                <w:color w:val="000000"/>
                <w:sz w:val="4"/>
                <w:szCs w:val="4"/>
                <w:lang w:val="es-MX" w:eastAsia="es-MX"/>
              </w:rPr>
            </w:pPr>
          </w:p>
        </w:tc>
      </w:tr>
      <w:tr w:rsidR="00DC1F31" w:rsidRPr="00DC1F31" w:rsidTr="00337B1D">
        <w:trPr>
          <w:trHeight w:val="270"/>
          <w:jc w:val="center"/>
        </w:trPr>
        <w:tc>
          <w:tcPr>
            <w:tcW w:w="3690" w:type="dxa"/>
            <w:tcBorders>
              <w:top w:val="nil"/>
              <w:left w:val="nil"/>
              <w:bottom w:val="nil"/>
              <w:right w:val="nil"/>
            </w:tcBorders>
            <w:shd w:val="clear" w:color="000000" w:fill="F2F2F2"/>
            <w:noWrap/>
            <w:vAlign w:val="center"/>
            <w:hideMark/>
          </w:tcPr>
          <w:p w:rsidR="00DC1F31" w:rsidRPr="00DC1F31" w:rsidRDefault="00DC1F31" w:rsidP="00DC1F31">
            <w:pPr>
              <w:spacing w:after="0" w:line="240" w:lineRule="auto"/>
              <w:rPr>
                <w:rFonts w:ascii="Montserrat" w:eastAsia="Times New Roman" w:hAnsi="Montserrat" w:cs="Arial"/>
                <w:color w:val="000000"/>
                <w:sz w:val="15"/>
                <w:szCs w:val="15"/>
                <w:lang w:val="es-MX" w:eastAsia="es-MX"/>
              </w:rPr>
            </w:pPr>
            <w:r w:rsidRPr="00DC1F31">
              <w:rPr>
                <w:rFonts w:ascii="Montserrat" w:eastAsia="Times New Roman" w:hAnsi="Montserrat" w:cs="Arial"/>
                <w:color w:val="000000"/>
                <w:sz w:val="15"/>
                <w:szCs w:val="15"/>
                <w:lang w:val="es-MX" w:eastAsia="es-MX"/>
              </w:rPr>
              <w:t>Cámara de Diputados</w:t>
            </w:r>
          </w:p>
        </w:tc>
        <w:tc>
          <w:tcPr>
            <w:tcW w:w="1963" w:type="dxa"/>
            <w:tcBorders>
              <w:top w:val="nil"/>
              <w:left w:val="nil"/>
              <w:bottom w:val="nil"/>
              <w:right w:val="nil"/>
            </w:tcBorders>
            <w:shd w:val="clear" w:color="000000" w:fill="F2F2F2"/>
            <w:vAlign w:val="center"/>
            <w:hideMark/>
          </w:tcPr>
          <w:p w:rsidR="00DC1F31" w:rsidRPr="00DC1F31" w:rsidRDefault="00DC1F31" w:rsidP="00DC1F31">
            <w:pPr>
              <w:spacing w:after="0" w:line="240" w:lineRule="auto"/>
              <w:jc w:val="right"/>
              <w:rPr>
                <w:rFonts w:ascii="Montserrat" w:eastAsia="Times New Roman" w:hAnsi="Montserrat" w:cs="Arial"/>
                <w:color w:val="000000"/>
                <w:sz w:val="15"/>
                <w:szCs w:val="15"/>
                <w:lang w:val="es-MX" w:eastAsia="es-MX"/>
              </w:rPr>
            </w:pPr>
            <w:r w:rsidRPr="00DC1F31">
              <w:rPr>
                <w:rFonts w:ascii="Montserrat" w:eastAsia="Times New Roman" w:hAnsi="Montserrat" w:cs="Arial"/>
                <w:color w:val="000000"/>
                <w:sz w:val="15"/>
                <w:szCs w:val="15"/>
                <w:lang w:val="es-MX" w:eastAsia="es-MX"/>
              </w:rPr>
              <w:t>1,237,721,500</w:t>
            </w:r>
          </w:p>
        </w:tc>
        <w:tc>
          <w:tcPr>
            <w:tcW w:w="1963" w:type="dxa"/>
            <w:tcBorders>
              <w:top w:val="nil"/>
              <w:left w:val="nil"/>
              <w:bottom w:val="nil"/>
              <w:right w:val="nil"/>
            </w:tcBorders>
            <w:shd w:val="clear" w:color="000000" w:fill="F2F2F2"/>
            <w:vAlign w:val="center"/>
            <w:hideMark/>
          </w:tcPr>
          <w:p w:rsidR="00DC1F31" w:rsidRPr="00DC1F31" w:rsidRDefault="00DC1F31" w:rsidP="00DC1F31">
            <w:pPr>
              <w:spacing w:after="0" w:line="240" w:lineRule="auto"/>
              <w:jc w:val="right"/>
              <w:rPr>
                <w:rFonts w:ascii="Montserrat" w:eastAsia="Times New Roman" w:hAnsi="Montserrat" w:cs="Arial"/>
                <w:color w:val="000000"/>
                <w:sz w:val="15"/>
                <w:szCs w:val="15"/>
                <w:lang w:val="es-MX" w:eastAsia="es-MX"/>
              </w:rPr>
            </w:pPr>
            <w:r w:rsidRPr="00DC1F31">
              <w:rPr>
                <w:rFonts w:ascii="Montserrat" w:eastAsia="Times New Roman" w:hAnsi="Montserrat" w:cs="Arial"/>
                <w:color w:val="000000"/>
                <w:sz w:val="15"/>
                <w:szCs w:val="15"/>
                <w:lang w:val="es-MX" w:eastAsia="es-MX"/>
              </w:rPr>
              <w:t>450,721,407</w:t>
            </w:r>
          </w:p>
        </w:tc>
      </w:tr>
      <w:tr w:rsidR="00DC1F31" w:rsidRPr="00DC1F31" w:rsidTr="00337B1D">
        <w:trPr>
          <w:trHeight w:val="255"/>
          <w:jc w:val="center"/>
        </w:trPr>
        <w:tc>
          <w:tcPr>
            <w:tcW w:w="3690" w:type="dxa"/>
            <w:tcBorders>
              <w:top w:val="nil"/>
              <w:left w:val="nil"/>
              <w:bottom w:val="nil"/>
              <w:right w:val="nil"/>
            </w:tcBorders>
            <w:shd w:val="clear" w:color="000000" w:fill="F2F2F2"/>
            <w:noWrap/>
            <w:vAlign w:val="center"/>
            <w:hideMark/>
          </w:tcPr>
          <w:p w:rsidR="00DC1F31" w:rsidRPr="00DC1F31" w:rsidRDefault="00DC1F31" w:rsidP="00DC1F31">
            <w:pPr>
              <w:spacing w:after="0" w:line="240" w:lineRule="auto"/>
              <w:rPr>
                <w:rFonts w:ascii="Montserrat" w:eastAsia="Times New Roman" w:hAnsi="Montserrat" w:cs="Arial"/>
                <w:color w:val="000000"/>
                <w:sz w:val="15"/>
                <w:szCs w:val="15"/>
                <w:lang w:val="es-MX" w:eastAsia="es-MX"/>
              </w:rPr>
            </w:pPr>
            <w:r w:rsidRPr="00DC1F31">
              <w:rPr>
                <w:rFonts w:ascii="Montserrat" w:eastAsia="Times New Roman" w:hAnsi="Montserrat" w:cs="Arial"/>
                <w:color w:val="000000"/>
                <w:sz w:val="15"/>
                <w:szCs w:val="15"/>
                <w:lang w:val="es-MX" w:eastAsia="es-MX"/>
              </w:rPr>
              <w:t>Cámara de Senadores</w:t>
            </w:r>
          </w:p>
        </w:tc>
        <w:tc>
          <w:tcPr>
            <w:tcW w:w="1963" w:type="dxa"/>
            <w:tcBorders>
              <w:top w:val="nil"/>
              <w:left w:val="nil"/>
              <w:bottom w:val="nil"/>
              <w:right w:val="nil"/>
            </w:tcBorders>
            <w:shd w:val="clear" w:color="000000" w:fill="F2F2F2"/>
            <w:vAlign w:val="center"/>
            <w:hideMark/>
          </w:tcPr>
          <w:p w:rsidR="00DC1F31" w:rsidRPr="00DC1F31" w:rsidRDefault="00DC1F31" w:rsidP="00DC1F31">
            <w:pPr>
              <w:spacing w:after="0" w:line="240" w:lineRule="auto"/>
              <w:jc w:val="right"/>
              <w:rPr>
                <w:rFonts w:ascii="Montserrat" w:eastAsia="Times New Roman" w:hAnsi="Montserrat" w:cs="Arial"/>
                <w:color w:val="000000"/>
                <w:sz w:val="15"/>
                <w:szCs w:val="15"/>
                <w:lang w:val="es-MX" w:eastAsia="es-MX"/>
              </w:rPr>
            </w:pPr>
            <w:r w:rsidRPr="00DC1F31">
              <w:rPr>
                <w:rFonts w:ascii="Montserrat" w:eastAsia="Times New Roman" w:hAnsi="Montserrat" w:cs="Arial"/>
                <w:color w:val="000000"/>
                <w:sz w:val="15"/>
                <w:szCs w:val="15"/>
                <w:lang w:val="es-MX" w:eastAsia="es-MX"/>
              </w:rPr>
              <w:t>578,013,638</w:t>
            </w:r>
          </w:p>
        </w:tc>
        <w:tc>
          <w:tcPr>
            <w:tcW w:w="1963" w:type="dxa"/>
            <w:tcBorders>
              <w:top w:val="nil"/>
              <w:left w:val="nil"/>
              <w:bottom w:val="nil"/>
              <w:right w:val="nil"/>
            </w:tcBorders>
            <w:shd w:val="clear" w:color="000000" w:fill="F2F2F2"/>
            <w:vAlign w:val="center"/>
            <w:hideMark/>
          </w:tcPr>
          <w:p w:rsidR="00DC1F31" w:rsidRPr="00DC1F31" w:rsidRDefault="00DC1F31" w:rsidP="00DC1F31">
            <w:pPr>
              <w:spacing w:after="0" w:line="240" w:lineRule="auto"/>
              <w:jc w:val="right"/>
              <w:rPr>
                <w:rFonts w:ascii="Montserrat" w:eastAsia="Times New Roman" w:hAnsi="Montserrat" w:cs="Arial"/>
                <w:color w:val="000000"/>
                <w:sz w:val="15"/>
                <w:szCs w:val="15"/>
                <w:lang w:val="es-MX" w:eastAsia="es-MX"/>
              </w:rPr>
            </w:pPr>
            <w:r w:rsidRPr="00DC1F31">
              <w:rPr>
                <w:rFonts w:ascii="Montserrat" w:eastAsia="Times New Roman" w:hAnsi="Montserrat" w:cs="Arial"/>
                <w:color w:val="000000"/>
                <w:sz w:val="15"/>
                <w:szCs w:val="15"/>
                <w:lang w:val="es-MX" w:eastAsia="es-MX"/>
              </w:rPr>
              <w:t>346,951,845</w:t>
            </w:r>
          </w:p>
        </w:tc>
      </w:tr>
      <w:tr w:rsidR="00DC1F31" w:rsidRPr="00DC1F31" w:rsidTr="00337B1D">
        <w:trPr>
          <w:trHeight w:val="255"/>
          <w:jc w:val="center"/>
        </w:trPr>
        <w:tc>
          <w:tcPr>
            <w:tcW w:w="3690" w:type="dxa"/>
            <w:tcBorders>
              <w:top w:val="nil"/>
              <w:left w:val="nil"/>
              <w:bottom w:val="nil"/>
              <w:right w:val="nil"/>
            </w:tcBorders>
            <w:shd w:val="clear" w:color="000000" w:fill="F2F2F2"/>
            <w:noWrap/>
            <w:vAlign w:val="center"/>
            <w:hideMark/>
          </w:tcPr>
          <w:p w:rsidR="00DC1F31" w:rsidRPr="00DC1F31" w:rsidRDefault="00DC1F31" w:rsidP="00DC1F31">
            <w:pPr>
              <w:spacing w:after="0" w:line="240" w:lineRule="auto"/>
              <w:rPr>
                <w:rFonts w:ascii="Montserrat" w:eastAsia="Times New Roman" w:hAnsi="Montserrat" w:cs="Arial"/>
                <w:color w:val="000000"/>
                <w:sz w:val="15"/>
                <w:szCs w:val="15"/>
                <w:lang w:val="es-MX" w:eastAsia="es-MX"/>
              </w:rPr>
            </w:pPr>
            <w:r w:rsidRPr="00DC1F31">
              <w:rPr>
                <w:rFonts w:ascii="Montserrat" w:eastAsia="Times New Roman" w:hAnsi="Montserrat" w:cs="Arial"/>
                <w:color w:val="000000"/>
                <w:sz w:val="15"/>
                <w:szCs w:val="15"/>
                <w:lang w:val="es-MX" w:eastAsia="es-MX"/>
              </w:rPr>
              <w:t>Auditoría Superior de la Federación</w:t>
            </w:r>
          </w:p>
        </w:tc>
        <w:tc>
          <w:tcPr>
            <w:tcW w:w="1963" w:type="dxa"/>
            <w:tcBorders>
              <w:top w:val="nil"/>
              <w:left w:val="nil"/>
              <w:bottom w:val="nil"/>
              <w:right w:val="nil"/>
            </w:tcBorders>
            <w:shd w:val="clear" w:color="000000" w:fill="F2F2F2"/>
            <w:vAlign w:val="center"/>
            <w:hideMark/>
          </w:tcPr>
          <w:p w:rsidR="00DC1F31" w:rsidRPr="00DC1F31" w:rsidRDefault="00DC1F31" w:rsidP="00DC1F31">
            <w:pPr>
              <w:spacing w:after="0" w:line="240" w:lineRule="auto"/>
              <w:jc w:val="right"/>
              <w:rPr>
                <w:rFonts w:ascii="Montserrat" w:eastAsia="Times New Roman" w:hAnsi="Montserrat" w:cs="Arial"/>
                <w:color w:val="000000"/>
                <w:sz w:val="15"/>
                <w:szCs w:val="15"/>
                <w:lang w:val="es-MX" w:eastAsia="es-MX"/>
              </w:rPr>
            </w:pPr>
            <w:r w:rsidRPr="00DC1F31">
              <w:rPr>
                <w:rFonts w:ascii="Montserrat" w:eastAsia="Times New Roman" w:hAnsi="Montserrat" w:cs="Arial"/>
                <w:color w:val="000000"/>
                <w:sz w:val="15"/>
                <w:szCs w:val="15"/>
                <w:lang w:val="es-MX" w:eastAsia="es-MX"/>
              </w:rPr>
              <w:t>514,812,654</w:t>
            </w:r>
          </w:p>
        </w:tc>
        <w:tc>
          <w:tcPr>
            <w:tcW w:w="1963" w:type="dxa"/>
            <w:tcBorders>
              <w:top w:val="nil"/>
              <w:left w:val="nil"/>
              <w:bottom w:val="nil"/>
              <w:right w:val="nil"/>
            </w:tcBorders>
            <w:shd w:val="clear" w:color="000000" w:fill="F2F2F2"/>
            <w:vAlign w:val="center"/>
            <w:hideMark/>
          </w:tcPr>
          <w:p w:rsidR="00DC1F31" w:rsidRPr="00DC1F31" w:rsidRDefault="00DC1F31" w:rsidP="00DC1F31">
            <w:pPr>
              <w:spacing w:after="0" w:line="240" w:lineRule="auto"/>
              <w:jc w:val="right"/>
              <w:rPr>
                <w:rFonts w:ascii="Montserrat" w:eastAsia="Times New Roman" w:hAnsi="Montserrat" w:cs="Arial"/>
                <w:color w:val="000000"/>
                <w:sz w:val="15"/>
                <w:szCs w:val="15"/>
                <w:lang w:val="es-MX" w:eastAsia="es-MX"/>
              </w:rPr>
            </w:pPr>
            <w:r w:rsidRPr="00DC1F31">
              <w:rPr>
                <w:rFonts w:ascii="Montserrat" w:eastAsia="Times New Roman" w:hAnsi="Montserrat" w:cs="Arial"/>
                <w:color w:val="000000"/>
                <w:sz w:val="15"/>
                <w:szCs w:val="15"/>
                <w:lang w:val="es-MX" w:eastAsia="es-MX"/>
              </w:rPr>
              <w:t>504,579,307</w:t>
            </w:r>
          </w:p>
        </w:tc>
      </w:tr>
      <w:tr w:rsidR="00DC1F31" w:rsidRPr="00DC1F31" w:rsidTr="00337B1D">
        <w:trPr>
          <w:trHeight w:val="270"/>
          <w:jc w:val="center"/>
        </w:trPr>
        <w:tc>
          <w:tcPr>
            <w:tcW w:w="3690" w:type="dxa"/>
            <w:tcBorders>
              <w:top w:val="nil"/>
              <w:left w:val="nil"/>
              <w:bottom w:val="nil"/>
              <w:right w:val="nil"/>
            </w:tcBorders>
            <w:shd w:val="clear" w:color="000000" w:fill="F2F2F2"/>
            <w:noWrap/>
            <w:vAlign w:val="center"/>
            <w:hideMark/>
          </w:tcPr>
          <w:p w:rsidR="00DC1F31" w:rsidRPr="00DC1F31" w:rsidRDefault="00DC1F31" w:rsidP="00DC1F31">
            <w:pPr>
              <w:spacing w:after="0" w:line="240" w:lineRule="auto"/>
              <w:jc w:val="right"/>
              <w:rPr>
                <w:rFonts w:ascii="Montserrat" w:eastAsia="Times New Roman" w:hAnsi="Montserrat" w:cs="Arial"/>
                <w:b/>
                <w:bCs/>
                <w:color w:val="000000"/>
                <w:sz w:val="15"/>
                <w:szCs w:val="15"/>
                <w:lang w:val="es-MX" w:eastAsia="es-MX"/>
              </w:rPr>
            </w:pPr>
            <w:r w:rsidRPr="00DC1F31">
              <w:rPr>
                <w:rFonts w:ascii="Montserrat" w:eastAsia="Times New Roman" w:hAnsi="Montserrat" w:cs="Arial"/>
                <w:b/>
                <w:bCs/>
                <w:color w:val="000000"/>
                <w:sz w:val="15"/>
                <w:szCs w:val="15"/>
                <w:lang w:val="es-MX" w:eastAsia="es-MX"/>
              </w:rPr>
              <w:t>Suma de Efectivo y Equivalentes</w:t>
            </w:r>
          </w:p>
        </w:tc>
        <w:tc>
          <w:tcPr>
            <w:tcW w:w="1963" w:type="dxa"/>
            <w:tcBorders>
              <w:top w:val="nil"/>
              <w:left w:val="nil"/>
              <w:bottom w:val="nil"/>
              <w:right w:val="nil"/>
            </w:tcBorders>
            <w:shd w:val="clear" w:color="000000" w:fill="F2F2F2"/>
            <w:vAlign w:val="center"/>
            <w:hideMark/>
          </w:tcPr>
          <w:p w:rsidR="00DC1F31" w:rsidRPr="000B1893" w:rsidRDefault="00DC1F31" w:rsidP="00DC1F31">
            <w:pPr>
              <w:spacing w:after="0" w:line="240" w:lineRule="auto"/>
              <w:jc w:val="right"/>
              <w:rPr>
                <w:rFonts w:ascii="Montserrat" w:eastAsia="Times New Roman" w:hAnsi="Montserrat" w:cs="Arial"/>
                <w:b/>
                <w:color w:val="000000"/>
                <w:sz w:val="15"/>
                <w:szCs w:val="15"/>
                <w:lang w:val="es-MX" w:eastAsia="es-MX"/>
              </w:rPr>
            </w:pPr>
            <w:r w:rsidRPr="000B1893">
              <w:rPr>
                <w:rFonts w:ascii="Montserrat" w:eastAsia="Times New Roman" w:hAnsi="Montserrat" w:cs="Arial"/>
                <w:b/>
                <w:color w:val="000000"/>
                <w:sz w:val="15"/>
                <w:szCs w:val="15"/>
                <w:lang w:val="es-MX" w:eastAsia="es-MX"/>
              </w:rPr>
              <w:t>2,330,547,792</w:t>
            </w:r>
          </w:p>
        </w:tc>
        <w:tc>
          <w:tcPr>
            <w:tcW w:w="1963" w:type="dxa"/>
            <w:tcBorders>
              <w:top w:val="nil"/>
              <w:left w:val="nil"/>
              <w:bottom w:val="nil"/>
              <w:right w:val="nil"/>
            </w:tcBorders>
            <w:shd w:val="clear" w:color="000000" w:fill="F2F2F2"/>
            <w:vAlign w:val="center"/>
            <w:hideMark/>
          </w:tcPr>
          <w:p w:rsidR="00DC1F31" w:rsidRPr="000B1893" w:rsidRDefault="00DC1F31" w:rsidP="00DC1F31">
            <w:pPr>
              <w:spacing w:after="0" w:line="240" w:lineRule="auto"/>
              <w:jc w:val="right"/>
              <w:rPr>
                <w:rFonts w:ascii="Montserrat" w:eastAsia="Times New Roman" w:hAnsi="Montserrat" w:cs="Arial"/>
                <w:b/>
                <w:color w:val="000000"/>
                <w:sz w:val="15"/>
                <w:szCs w:val="15"/>
                <w:lang w:val="es-MX" w:eastAsia="es-MX"/>
              </w:rPr>
            </w:pPr>
            <w:r w:rsidRPr="000B1893">
              <w:rPr>
                <w:rFonts w:ascii="Montserrat" w:eastAsia="Times New Roman" w:hAnsi="Montserrat" w:cs="Arial"/>
                <w:b/>
                <w:color w:val="000000"/>
                <w:sz w:val="15"/>
                <w:szCs w:val="15"/>
                <w:lang w:val="es-MX" w:eastAsia="es-MX"/>
              </w:rPr>
              <w:t>1,302,252,559</w:t>
            </w:r>
          </w:p>
        </w:tc>
      </w:tr>
      <w:tr w:rsidR="00DC1F31" w:rsidRPr="00DC1F31" w:rsidTr="00337B1D">
        <w:trPr>
          <w:trHeight w:val="270"/>
          <w:jc w:val="center"/>
        </w:trPr>
        <w:tc>
          <w:tcPr>
            <w:tcW w:w="3690" w:type="dxa"/>
            <w:tcBorders>
              <w:top w:val="single" w:sz="12" w:space="0" w:color="808080"/>
              <w:left w:val="nil"/>
              <w:bottom w:val="nil"/>
              <w:right w:val="nil"/>
            </w:tcBorders>
            <w:shd w:val="clear" w:color="auto" w:fill="auto"/>
            <w:noWrap/>
            <w:vAlign w:val="center"/>
          </w:tcPr>
          <w:p w:rsidR="00DC1F31" w:rsidRPr="00DC1F31" w:rsidRDefault="00DC1F31" w:rsidP="00DC1F31">
            <w:pPr>
              <w:spacing w:after="0" w:line="240" w:lineRule="auto"/>
              <w:jc w:val="right"/>
              <w:rPr>
                <w:rFonts w:ascii="Soberana Sans Light" w:eastAsia="Times New Roman" w:hAnsi="Soberana Sans Light" w:cs="Arial"/>
                <w:b/>
                <w:bCs/>
                <w:color w:val="E26B0A"/>
                <w:sz w:val="16"/>
                <w:szCs w:val="16"/>
                <w:lang w:val="es-MX" w:eastAsia="es-MX"/>
              </w:rPr>
            </w:pPr>
          </w:p>
        </w:tc>
        <w:tc>
          <w:tcPr>
            <w:tcW w:w="1963" w:type="dxa"/>
            <w:tcBorders>
              <w:top w:val="single" w:sz="12" w:space="0" w:color="808080"/>
              <w:left w:val="nil"/>
              <w:bottom w:val="nil"/>
              <w:right w:val="nil"/>
            </w:tcBorders>
            <w:shd w:val="clear" w:color="auto" w:fill="auto"/>
            <w:noWrap/>
            <w:vAlign w:val="center"/>
          </w:tcPr>
          <w:p w:rsidR="00DC1F31" w:rsidRPr="00DC1F31" w:rsidRDefault="00DC1F31" w:rsidP="00DC1F31">
            <w:pPr>
              <w:spacing w:after="0" w:line="240" w:lineRule="auto"/>
              <w:jc w:val="right"/>
              <w:rPr>
                <w:rFonts w:ascii="Soberana Sans Light" w:eastAsia="Times New Roman" w:hAnsi="Soberana Sans Light" w:cs="Arial"/>
                <w:b/>
                <w:bCs/>
                <w:color w:val="E26B0A"/>
                <w:sz w:val="16"/>
                <w:szCs w:val="16"/>
                <w:lang w:val="es-MX" w:eastAsia="es-MX"/>
              </w:rPr>
            </w:pPr>
          </w:p>
        </w:tc>
        <w:tc>
          <w:tcPr>
            <w:tcW w:w="1963" w:type="dxa"/>
            <w:tcBorders>
              <w:top w:val="single" w:sz="12" w:space="0" w:color="808080"/>
              <w:left w:val="nil"/>
              <w:bottom w:val="nil"/>
              <w:right w:val="nil"/>
            </w:tcBorders>
            <w:shd w:val="clear" w:color="auto" w:fill="auto"/>
            <w:noWrap/>
            <w:vAlign w:val="center"/>
          </w:tcPr>
          <w:p w:rsidR="00DC1F31" w:rsidRPr="00DC1F31" w:rsidRDefault="00DC1F31" w:rsidP="00DC1F31">
            <w:pPr>
              <w:spacing w:after="0" w:line="240" w:lineRule="auto"/>
              <w:jc w:val="right"/>
              <w:rPr>
                <w:rFonts w:ascii="Soberana Sans Light" w:eastAsia="Times New Roman" w:hAnsi="Soberana Sans Light" w:cs="Arial"/>
                <w:b/>
                <w:bCs/>
                <w:color w:val="E26B0A"/>
                <w:sz w:val="16"/>
                <w:szCs w:val="16"/>
                <w:lang w:val="es-MX" w:eastAsia="es-MX"/>
              </w:rPr>
            </w:pPr>
          </w:p>
        </w:tc>
      </w:tr>
    </w:tbl>
    <w:p w:rsidR="00297378" w:rsidRPr="002C6D54" w:rsidRDefault="00297378" w:rsidP="00297378">
      <w:pPr>
        <w:pStyle w:val="VIETAFLECHA"/>
      </w:pPr>
      <w:r w:rsidRPr="002C6D54">
        <w:t>Derechos a recibir Efectivo y Equivalentes y Bienes o Servicios a Recibir</w:t>
      </w:r>
    </w:p>
    <w:p w:rsidR="002C6D54" w:rsidRDefault="00297378" w:rsidP="002C6D54">
      <w:pPr>
        <w:pStyle w:val="TEXTONORMAL"/>
      </w:pPr>
      <w:r>
        <w:t xml:space="preserve">Se presenta la información consolidada de los entes públicos del Poder Legislativo que integra el rubro de Derechos a Recibir Efectivo o Equivalentes: </w:t>
      </w:r>
    </w:p>
    <w:tbl>
      <w:tblPr>
        <w:tblW w:w="7616" w:type="dxa"/>
        <w:jc w:val="center"/>
        <w:tblCellMar>
          <w:left w:w="70" w:type="dxa"/>
          <w:right w:w="70" w:type="dxa"/>
        </w:tblCellMar>
        <w:tblLook w:val="04A0" w:firstRow="1" w:lastRow="0" w:firstColumn="1" w:lastColumn="0" w:noHBand="0" w:noVBand="1"/>
      </w:tblPr>
      <w:tblGrid>
        <w:gridCol w:w="4278"/>
        <w:gridCol w:w="1701"/>
        <w:gridCol w:w="1637"/>
      </w:tblGrid>
      <w:tr w:rsidR="00DC1F31" w:rsidRPr="00DC1F31" w:rsidTr="00337B1D">
        <w:trPr>
          <w:trHeight w:val="270"/>
          <w:jc w:val="center"/>
        </w:trPr>
        <w:tc>
          <w:tcPr>
            <w:tcW w:w="7616" w:type="dxa"/>
            <w:gridSpan w:val="3"/>
            <w:tcBorders>
              <w:top w:val="nil"/>
              <w:left w:val="nil"/>
              <w:bottom w:val="single" w:sz="12" w:space="0" w:color="808080"/>
              <w:right w:val="nil"/>
            </w:tcBorders>
            <w:shd w:val="clear" w:color="auto" w:fill="auto"/>
            <w:noWrap/>
            <w:vAlign w:val="center"/>
            <w:hideMark/>
          </w:tcPr>
          <w:p w:rsidR="00DC1F31" w:rsidRPr="00DC1F31" w:rsidRDefault="00DC1F31" w:rsidP="00DC1F31">
            <w:pPr>
              <w:spacing w:after="0" w:line="240" w:lineRule="auto"/>
              <w:jc w:val="center"/>
              <w:rPr>
                <w:rFonts w:ascii="Montserrat" w:eastAsia="Times New Roman" w:hAnsi="Montserrat" w:cs="Arial"/>
                <w:sz w:val="16"/>
                <w:szCs w:val="16"/>
                <w:lang w:val="es-MX" w:eastAsia="es-MX"/>
              </w:rPr>
            </w:pPr>
            <w:r w:rsidRPr="00DC1F31">
              <w:rPr>
                <w:rFonts w:ascii="Montserrat" w:eastAsia="Times New Roman" w:hAnsi="Montserrat" w:cs="Arial"/>
                <w:sz w:val="16"/>
                <w:szCs w:val="16"/>
                <w:lang w:val="es-MX" w:eastAsia="es-MX"/>
              </w:rPr>
              <w:t>(Pesos)</w:t>
            </w:r>
          </w:p>
        </w:tc>
      </w:tr>
      <w:tr w:rsidR="00DC1F31" w:rsidRPr="00DC1F31" w:rsidTr="00337B1D">
        <w:trPr>
          <w:trHeight w:val="15"/>
          <w:jc w:val="center"/>
        </w:trPr>
        <w:tc>
          <w:tcPr>
            <w:tcW w:w="7616" w:type="dxa"/>
            <w:gridSpan w:val="3"/>
            <w:tcBorders>
              <w:top w:val="single" w:sz="12" w:space="0" w:color="808080"/>
              <w:left w:val="nil"/>
              <w:bottom w:val="nil"/>
              <w:right w:val="nil"/>
            </w:tcBorders>
            <w:shd w:val="clear" w:color="auto" w:fill="auto"/>
            <w:vAlign w:val="center"/>
            <w:hideMark/>
          </w:tcPr>
          <w:p w:rsidR="00DC1F31" w:rsidRPr="00DC1F31" w:rsidRDefault="00DC1F31" w:rsidP="00D36914">
            <w:pPr>
              <w:spacing w:after="0" w:line="240" w:lineRule="auto"/>
              <w:rPr>
                <w:rFonts w:ascii="Montserrat" w:eastAsia="Times New Roman" w:hAnsi="Montserrat" w:cs="Arial"/>
                <w:b/>
                <w:bCs/>
                <w:color w:val="000000"/>
                <w:sz w:val="10"/>
                <w:szCs w:val="10"/>
                <w:lang w:val="es-MX" w:eastAsia="es-MX"/>
              </w:rPr>
            </w:pPr>
          </w:p>
        </w:tc>
      </w:tr>
      <w:tr w:rsidR="00DC1F31" w:rsidRPr="00DC1F31" w:rsidTr="00337B1D">
        <w:trPr>
          <w:trHeight w:val="255"/>
          <w:jc w:val="center"/>
        </w:trPr>
        <w:tc>
          <w:tcPr>
            <w:tcW w:w="4278" w:type="dxa"/>
            <w:tcBorders>
              <w:top w:val="nil"/>
              <w:left w:val="nil"/>
              <w:bottom w:val="nil"/>
              <w:right w:val="single" w:sz="8" w:space="0" w:color="FFFFFF"/>
            </w:tcBorders>
            <w:shd w:val="clear" w:color="000000" w:fill="D4C19C"/>
            <w:vAlign w:val="center"/>
            <w:hideMark/>
          </w:tcPr>
          <w:p w:rsidR="00DC1F31" w:rsidRPr="00DC1F31" w:rsidRDefault="00DC1F31" w:rsidP="00DC1F31">
            <w:pPr>
              <w:spacing w:after="0" w:line="240" w:lineRule="auto"/>
              <w:jc w:val="center"/>
              <w:rPr>
                <w:rFonts w:ascii="Montserrat" w:eastAsia="Times New Roman" w:hAnsi="Montserrat" w:cs="Arial"/>
                <w:b/>
                <w:bCs/>
                <w:color w:val="FFFFFF"/>
                <w:sz w:val="16"/>
                <w:szCs w:val="16"/>
                <w:lang w:val="es-MX" w:eastAsia="es-MX"/>
              </w:rPr>
            </w:pPr>
            <w:r w:rsidRPr="00DC1F31">
              <w:rPr>
                <w:rFonts w:ascii="Montserrat" w:eastAsia="Times New Roman" w:hAnsi="Montserrat" w:cs="Arial"/>
                <w:b/>
                <w:bCs/>
                <w:color w:val="FFFFFF"/>
                <w:sz w:val="16"/>
                <w:szCs w:val="16"/>
                <w:lang w:val="es-MX" w:eastAsia="es-MX"/>
              </w:rPr>
              <w:t>Concepto</w:t>
            </w:r>
          </w:p>
        </w:tc>
        <w:tc>
          <w:tcPr>
            <w:tcW w:w="1701" w:type="dxa"/>
            <w:tcBorders>
              <w:top w:val="nil"/>
              <w:left w:val="nil"/>
              <w:bottom w:val="nil"/>
              <w:right w:val="single" w:sz="8" w:space="0" w:color="FFFFFF"/>
            </w:tcBorders>
            <w:shd w:val="clear" w:color="000000" w:fill="D4C19C"/>
            <w:vAlign w:val="center"/>
            <w:hideMark/>
          </w:tcPr>
          <w:p w:rsidR="00DC1F31" w:rsidRPr="00DC1F31" w:rsidRDefault="00DC1F31" w:rsidP="00DC1F31">
            <w:pPr>
              <w:spacing w:after="0" w:line="240" w:lineRule="auto"/>
              <w:jc w:val="center"/>
              <w:rPr>
                <w:rFonts w:ascii="Montserrat" w:eastAsia="Times New Roman" w:hAnsi="Montserrat" w:cs="Arial"/>
                <w:b/>
                <w:bCs/>
                <w:color w:val="FFFFFF"/>
                <w:sz w:val="16"/>
                <w:szCs w:val="16"/>
                <w:lang w:val="es-MX" w:eastAsia="es-MX"/>
              </w:rPr>
            </w:pPr>
            <w:r w:rsidRPr="00DC1F31">
              <w:rPr>
                <w:rFonts w:ascii="Montserrat" w:eastAsia="Times New Roman" w:hAnsi="Montserrat" w:cs="Arial"/>
                <w:b/>
                <w:bCs/>
                <w:color w:val="FFFFFF"/>
                <w:sz w:val="16"/>
                <w:szCs w:val="16"/>
                <w:lang w:val="es-MX" w:eastAsia="es-MX"/>
              </w:rPr>
              <w:t>2018</w:t>
            </w:r>
          </w:p>
        </w:tc>
        <w:tc>
          <w:tcPr>
            <w:tcW w:w="1637" w:type="dxa"/>
            <w:tcBorders>
              <w:top w:val="nil"/>
              <w:left w:val="nil"/>
              <w:bottom w:val="nil"/>
              <w:right w:val="single" w:sz="8" w:space="0" w:color="FFFFFF"/>
            </w:tcBorders>
            <w:shd w:val="clear" w:color="000000" w:fill="D4C19C"/>
            <w:vAlign w:val="center"/>
            <w:hideMark/>
          </w:tcPr>
          <w:p w:rsidR="00DC1F31" w:rsidRPr="00DC1F31" w:rsidRDefault="00DC1F31" w:rsidP="00DC1F31">
            <w:pPr>
              <w:spacing w:after="0" w:line="240" w:lineRule="auto"/>
              <w:jc w:val="center"/>
              <w:rPr>
                <w:rFonts w:ascii="Montserrat" w:eastAsia="Times New Roman" w:hAnsi="Montserrat" w:cs="Arial"/>
                <w:b/>
                <w:bCs/>
                <w:color w:val="FFFFFF"/>
                <w:sz w:val="16"/>
                <w:szCs w:val="16"/>
                <w:lang w:val="es-MX" w:eastAsia="es-MX"/>
              </w:rPr>
            </w:pPr>
            <w:r w:rsidRPr="00DC1F31">
              <w:rPr>
                <w:rFonts w:ascii="Montserrat" w:eastAsia="Times New Roman" w:hAnsi="Montserrat" w:cs="Arial"/>
                <w:b/>
                <w:bCs/>
                <w:color w:val="FFFFFF"/>
                <w:sz w:val="16"/>
                <w:szCs w:val="16"/>
                <w:lang w:val="es-MX" w:eastAsia="es-MX"/>
              </w:rPr>
              <w:t>2017</w:t>
            </w:r>
          </w:p>
        </w:tc>
      </w:tr>
      <w:tr w:rsidR="00DC1F31" w:rsidRPr="00DC1F31" w:rsidTr="00D36914">
        <w:trPr>
          <w:trHeight w:val="53"/>
          <w:jc w:val="center"/>
        </w:trPr>
        <w:tc>
          <w:tcPr>
            <w:tcW w:w="7616" w:type="dxa"/>
            <w:gridSpan w:val="3"/>
            <w:tcBorders>
              <w:top w:val="nil"/>
              <w:left w:val="nil"/>
              <w:bottom w:val="double" w:sz="6" w:space="0" w:color="808080"/>
              <w:right w:val="nil"/>
            </w:tcBorders>
            <w:shd w:val="clear" w:color="auto" w:fill="auto"/>
            <w:vAlign w:val="center"/>
            <w:hideMark/>
          </w:tcPr>
          <w:p w:rsidR="00DC1F31" w:rsidRPr="00DC1F31" w:rsidRDefault="00DC1F31" w:rsidP="00DC1F31">
            <w:pPr>
              <w:spacing w:after="0" w:line="240" w:lineRule="auto"/>
              <w:jc w:val="center"/>
              <w:rPr>
                <w:rFonts w:ascii="Montserrat" w:eastAsia="Times New Roman" w:hAnsi="Montserrat" w:cs="Arial"/>
                <w:b/>
                <w:bCs/>
                <w:color w:val="000000"/>
                <w:sz w:val="4"/>
                <w:szCs w:val="4"/>
                <w:lang w:val="es-MX" w:eastAsia="es-MX"/>
              </w:rPr>
            </w:pPr>
            <w:r w:rsidRPr="00DC1F31">
              <w:rPr>
                <w:rFonts w:ascii="Montserrat" w:eastAsia="Times New Roman" w:hAnsi="Montserrat" w:cs="Arial"/>
                <w:b/>
                <w:bCs/>
                <w:color w:val="000000"/>
                <w:sz w:val="4"/>
                <w:szCs w:val="4"/>
                <w:lang w:val="es-MX" w:eastAsia="es-MX"/>
              </w:rPr>
              <w:t> </w:t>
            </w:r>
          </w:p>
        </w:tc>
      </w:tr>
      <w:tr w:rsidR="00DC1F31" w:rsidRPr="00DC1F31" w:rsidTr="00337B1D">
        <w:trPr>
          <w:trHeight w:val="270"/>
          <w:jc w:val="center"/>
        </w:trPr>
        <w:tc>
          <w:tcPr>
            <w:tcW w:w="4278" w:type="dxa"/>
            <w:tcBorders>
              <w:top w:val="nil"/>
              <w:left w:val="nil"/>
              <w:bottom w:val="nil"/>
              <w:right w:val="nil"/>
            </w:tcBorders>
            <w:shd w:val="clear" w:color="000000" w:fill="F2F2F2"/>
            <w:noWrap/>
            <w:vAlign w:val="center"/>
            <w:hideMark/>
          </w:tcPr>
          <w:p w:rsidR="00DC1F31" w:rsidRPr="00DC1F31" w:rsidRDefault="00DC1F31" w:rsidP="00DC1F31">
            <w:pPr>
              <w:spacing w:after="0" w:line="240" w:lineRule="auto"/>
              <w:rPr>
                <w:rFonts w:ascii="Montserrat" w:eastAsia="Times New Roman" w:hAnsi="Montserrat" w:cs="Arial"/>
                <w:color w:val="000000"/>
                <w:sz w:val="15"/>
                <w:szCs w:val="15"/>
                <w:lang w:val="es-MX" w:eastAsia="es-MX"/>
              </w:rPr>
            </w:pPr>
            <w:r w:rsidRPr="00DC1F31">
              <w:rPr>
                <w:rFonts w:ascii="Montserrat" w:eastAsia="Times New Roman" w:hAnsi="Montserrat" w:cs="Arial"/>
                <w:color w:val="000000"/>
                <w:sz w:val="15"/>
                <w:szCs w:val="15"/>
                <w:lang w:val="es-MX" w:eastAsia="es-MX"/>
              </w:rPr>
              <w:t>Cámara de Diputados</w:t>
            </w:r>
          </w:p>
        </w:tc>
        <w:tc>
          <w:tcPr>
            <w:tcW w:w="1701" w:type="dxa"/>
            <w:tcBorders>
              <w:top w:val="nil"/>
              <w:left w:val="nil"/>
              <w:bottom w:val="nil"/>
              <w:right w:val="nil"/>
            </w:tcBorders>
            <w:shd w:val="clear" w:color="000000" w:fill="F2F2F2"/>
            <w:vAlign w:val="center"/>
            <w:hideMark/>
          </w:tcPr>
          <w:p w:rsidR="00DC1F31" w:rsidRPr="00DC1F31" w:rsidRDefault="00DC1F31" w:rsidP="00DC1F31">
            <w:pPr>
              <w:spacing w:after="0" w:line="240" w:lineRule="auto"/>
              <w:jc w:val="right"/>
              <w:rPr>
                <w:rFonts w:ascii="Montserrat" w:eastAsia="Times New Roman" w:hAnsi="Montserrat" w:cs="Arial"/>
                <w:color w:val="000000"/>
                <w:sz w:val="15"/>
                <w:szCs w:val="15"/>
                <w:lang w:val="es-MX" w:eastAsia="es-MX"/>
              </w:rPr>
            </w:pPr>
            <w:r w:rsidRPr="00DC1F31">
              <w:rPr>
                <w:rFonts w:ascii="Montserrat" w:eastAsia="Times New Roman" w:hAnsi="Montserrat" w:cs="Arial"/>
                <w:color w:val="000000"/>
                <w:sz w:val="15"/>
                <w:szCs w:val="15"/>
                <w:lang w:val="es-MX" w:eastAsia="es-MX"/>
              </w:rPr>
              <w:t>2,432,894</w:t>
            </w:r>
          </w:p>
        </w:tc>
        <w:tc>
          <w:tcPr>
            <w:tcW w:w="1637" w:type="dxa"/>
            <w:tcBorders>
              <w:top w:val="nil"/>
              <w:left w:val="nil"/>
              <w:bottom w:val="nil"/>
              <w:right w:val="nil"/>
            </w:tcBorders>
            <w:shd w:val="clear" w:color="000000" w:fill="F2F2F2"/>
            <w:vAlign w:val="center"/>
            <w:hideMark/>
          </w:tcPr>
          <w:p w:rsidR="00DC1F31" w:rsidRPr="00DC1F31" w:rsidRDefault="00DC1F31" w:rsidP="00DC1F31">
            <w:pPr>
              <w:spacing w:after="0" w:line="240" w:lineRule="auto"/>
              <w:jc w:val="right"/>
              <w:rPr>
                <w:rFonts w:ascii="Montserrat" w:eastAsia="Times New Roman" w:hAnsi="Montserrat" w:cs="Arial"/>
                <w:color w:val="000000"/>
                <w:sz w:val="15"/>
                <w:szCs w:val="15"/>
                <w:lang w:val="es-MX" w:eastAsia="es-MX"/>
              </w:rPr>
            </w:pPr>
            <w:r w:rsidRPr="00DC1F31">
              <w:rPr>
                <w:rFonts w:ascii="Montserrat" w:eastAsia="Times New Roman" w:hAnsi="Montserrat" w:cs="Arial"/>
                <w:color w:val="000000"/>
                <w:sz w:val="15"/>
                <w:szCs w:val="15"/>
                <w:lang w:val="es-MX" w:eastAsia="es-MX"/>
              </w:rPr>
              <w:t>3,000,707</w:t>
            </w:r>
          </w:p>
        </w:tc>
      </w:tr>
      <w:tr w:rsidR="00DC1F31" w:rsidRPr="00DC1F31" w:rsidTr="00337B1D">
        <w:trPr>
          <w:trHeight w:val="255"/>
          <w:jc w:val="center"/>
        </w:trPr>
        <w:tc>
          <w:tcPr>
            <w:tcW w:w="4278" w:type="dxa"/>
            <w:tcBorders>
              <w:top w:val="nil"/>
              <w:left w:val="nil"/>
              <w:bottom w:val="nil"/>
              <w:right w:val="nil"/>
            </w:tcBorders>
            <w:shd w:val="clear" w:color="000000" w:fill="F2F2F2"/>
            <w:noWrap/>
            <w:vAlign w:val="center"/>
            <w:hideMark/>
          </w:tcPr>
          <w:p w:rsidR="00DC1F31" w:rsidRPr="00DC1F31" w:rsidRDefault="00DC1F31" w:rsidP="00DC1F31">
            <w:pPr>
              <w:spacing w:after="0" w:line="240" w:lineRule="auto"/>
              <w:rPr>
                <w:rFonts w:ascii="Montserrat" w:eastAsia="Times New Roman" w:hAnsi="Montserrat" w:cs="Arial"/>
                <w:color w:val="000000"/>
                <w:sz w:val="15"/>
                <w:szCs w:val="15"/>
                <w:lang w:val="es-MX" w:eastAsia="es-MX"/>
              </w:rPr>
            </w:pPr>
            <w:r w:rsidRPr="00DC1F31">
              <w:rPr>
                <w:rFonts w:ascii="Montserrat" w:eastAsia="Times New Roman" w:hAnsi="Montserrat" w:cs="Arial"/>
                <w:color w:val="000000"/>
                <w:sz w:val="15"/>
                <w:szCs w:val="15"/>
                <w:lang w:val="es-MX" w:eastAsia="es-MX"/>
              </w:rPr>
              <w:t>Cámara de Senadores</w:t>
            </w:r>
          </w:p>
        </w:tc>
        <w:tc>
          <w:tcPr>
            <w:tcW w:w="1701" w:type="dxa"/>
            <w:tcBorders>
              <w:top w:val="nil"/>
              <w:left w:val="nil"/>
              <w:bottom w:val="nil"/>
              <w:right w:val="nil"/>
            </w:tcBorders>
            <w:shd w:val="clear" w:color="000000" w:fill="F2F2F2"/>
            <w:vAlign w:val="center"/>
            <w:hideMark/>
          </w:tcPr>
          <w:p w:rsidR="00DC1F31" w:rsidRPr="00DC1F31" w:rsidRDefault="00DC1F31" w:rsidP="00DC1F31">
            <w:pPr>
              <w:spacing w:after="0" w:line="240" w:lineRule="auto"/>
              <w:jc w:val="right"/>
              <w:rPr>
                <w:rFonts w:ascii="Montserrat" w:eastAsia="Times New Roman" w:hAnsi="Montserrat" w:cs="Arial"/>
                <w:color w:val="000000"/>
                <w:sz w:val="15"/>
                <w:szCs w:val="15"/>
                <w:lang w:val="es-MX" w:eastAsia="es-MX"/>
              </w:rPr>
            </w:pPr>
            <w:r w:rsidRPr="00DC1F31">
              <w:rPr>
                <w:rFonts w:ascii="Montserrat" w:eastAsia="Times New Roman" w:hAnsi="Montserrat" w:cs="Arial"/>
                <w:color w:val="000000"/>
                <w:sz w:val="15"/>
                <w:szCs w:val="15"/>
                <w:lang w:val="es-MX" w:eastAsia="es-MX"/>
              </w:rPr>
              <w:t>7,274,732</w:t>
            </w:r>
          </w:p>
        </w:tc>
        <w:tc>
          <w:tcPr>
            <w:tcW w:w="1637" w:type="dxa"/>
            <w:tcBorders>
              <w:top w:val="nil"/>
              <w:left w:val="nil"/>
              <w:bottom w:val="nil"/>
              <w:right w:val="nil"/>
            </w:tcBorders>
            <w:shd w:val="clear" w:color="000000" w:fill="F2F2F2"/>
            <w:vAlign w:val="center"/>
            <w:hideMark/>
          </w:tcPr>
          <w:p w:rsidR="00DC1F31" w:rsidRPr="00DC1F31" w:rsidRDefault="00DC1F31" w:rsidP="00DC1F31">
            <w:pPr>
              <w:spacing w:after="0" w:line="240" w:lineRule="auto"/>
              <w:jc w:val="right"/>
              <w:rPr>
                <w:rFonts w:ascii="Montserrat" w:eastAsia="Times New Roman" w:hAnsi="Montserrat" w:cs="Arial"/>
                <w:color w:val="000000"/>
                <w:sz w:val="15"/>
                <w:szCs w:val="15"/>
                <w:lang w:val="es-MX" w:eastAsia="es-MX"/>
              </w:rPr>
            </w:pPr>
            <w:r w:rsidRPr="00DC1F31">
              <w:rPr>
                <w:rFonts w:ascii="Montserrat" w:eastAsia="Times New Roman" w:hAnsi="Montserrat" w:cs="Arial"/>
                <w:color w:val="000000"/>
                <w:sz w:val="15"/>
                <w:szCs w:val="15"/>
                <w:lang w:val="es-MX" w:eastAsia="es-MX"/>
              </w:rPr>
              <w:t>1,382,234</w:t>
            </w:r>
          </w:p>
        </w:tc>
      </w:tr>
      <w:tr w:rsidR="00DC1F31" w:rsidRPr="00DC1F31" w:rsidTr="00337B1D">
        <w:trPr>
          <w:trHeight w:val="255"/>
          <w:jc w:val="center"/>
        </w:trPr>
        <w:tc>
          <w:tcPr>
            <w:tcW w:w="4278" w:type="dxa"/>
            <w:tcBorders>
              <w:top w:val="nil"/>
              <w:left w:val="nil"/>
              <w:bottom w:val="nil"/>
              <w:right w:val="nil"/>
            </w:tcBorders>
            <w:shd w:val="clear" w:color="000000" w:fill="F2F2F2"/>
            <w:noWrap/>
            <w:vAlign w:val="center"/>
            <w:hideMark/>
          </w:tcPr>
          <w:p w:rsidR="00DC1F31" w:rsidRPr="00DC1F31" w:rsidRDefault="00DC1F31" w:rsidP="00DC1F31">
            <w:pPr>
              <w:spacing w:after="0" w:line="240" w:lineRule="auto"/>
              <w:rPr>
                <w:rFonts w:ascii="Montserrat" w:eastAsia="Times New Roman" w:hAnsi="Montserrat" w:cs="Arial"/>
                <w:color w:val="000000"/>
                <w:sz w:val="15"/>
                <w:szCs w:val="15"/>
                <w:lang w:val="es-MX" w:eastAsia="es-MX"/>
              </w:rPr>
            </w:pPr>
            <w:r w:rsidRPr="00DC1F31">
              <w:rPr>
                <w:rFonts w:ascii="Montserrat" w:eastAsia="Times New Roman" w:hAnsi="Montserrat" w:cs="Arial"/>
                <w:color w:val="000000"/>
                <w:sz w:val="15"/>
                <w:szCs w:val="15"/>
                <w:lang w:val="es-MX" w:eastAsia="es-MX"/>
              </w:rPr>
              <w:t>Auditoría Superior de la Federación</w:t>
            </w:r>
          </w:p>
        </w:tc>
        <w:tc>
          <w:tcPr>
            <w:tcW w:w="1701" w:type="dxa"/>
            <w:tcBorders>
              <w:top w:val="nil"/>
              <w:left w:val="nil"/>
              <w:bottom w:val="nil"/>
              <w:right w:val="nil"/>
            </w:tcBorders>
            <w:shd w:val="clear" w:color="000000" w:fill="F2F2F2"/>
            <w:vAlign w:val="center"/>
            <w:hideMark/>
          </w:tcPr>
          <w:p w:rsidR="00DC1F31" w:rsidRPr="00DC1F31" w:rsidRDefault="00DC1F31" w:rsidP="00DC1F31">
            <w:pPr>
              <w:spacing w:after="0" w:line="240" w:lineRule="auto"/>
              <w:jc w:val="right"/>
              <w:rPr>
                <w:rFonts w:ascii="Montserrat" w:eastAsia="Times New Roman" w:hAnsi="Montserrat" w:cs="Arial"/>
                <w:color w:val="000000"/>
                <w:sz w:val="15"/>
                <w:szCs w:val="15"/>
                <w:lang w:val="es-MX" w:eastAsia="es-MX"/>
              </w:rPr>
            </w:pPr>
            <w:r w:rsidRPr="00DC1F31">
              <w:rPr>
                <w:rFonts w:ascii="Montserrat" w:eastAsia="Times New Roman" w:hAnsi="Montserrat" w:cs="Arial"/>
                <w:color w:val="000000"/>
                <w:sz w:val="15"/>
                <w:szCs w:val="15"/>
                <w:lang w:val="es-MX" w:eastAsia="es-MX"/>
              </w:rPr>
              <w:t>511,475</w:t>
            </w:r>
          </w:p>
        </w:tc>
        <w:tc>
          <w:tcPr>
            <w:tcW w:w="1637" w:type="dxa"/>
            <w:tcBorders>
              <w:top w:val="nil"/>
              <w:left w:val="nil"/>
              <w:bottom w:val="nil"/>
              <w:right w:val="nil"/>
            </w:tcBorders>
            <w:shd w:val="clear" w:color="000000" w:fill="F2F2F2"/>
            <w:vAlign w:val="center"/>
            <w:hideMark/>
          </w:tcPr>
          <w:p w:rsidR="00DC1F31" w:rsidRPr="00DC1F31" w:rsidRDefault="00DC1F31" w:rsidP="00DC1F31">
            <w:pPr>
              <w:spacing w:after="0" w:line="240" w:lineRule="auto"/>
              <w:jc w:val="right"/>
              <w:rPr>
                <w:rFonts w:ascii="Montserrat" w:eastAsia="Times New Roman" w:hAnsi="Montserrat" w:cs="Arial"/>
                <w:color w:val="000000"/>
                <w:sz w:val="15"/>
                <w:szCs w:val="15"/>
                <w:lang w:val="es-MX" w:eastAsia="es-MX"/>
              </w:rPr>
            </w:pPr>
            <w:r w:rsidRPr="00DC1F31">
              <w:rPr>
                <w:rFonts w:ascii="Montserrat" w:eastAsia="Times New Roman" w:hAnsi="Montserrat" w:cs="Arial"/>
                <w:color w:val="000000"/>
                <w:sz w:val="15"/>
                <w:szCs w:val="15"/>
                <w:lang w:val="es-MX" w:eastAsia="es-MX"/>
              </w:rPr>
              <w:t>0</w:t>
            </w:r>
          </w:p>
        </w:tc>
      </w:tr>
      <w:tr w:rsidR="00DC1F31" w:rsidRPr="00DC1F31" w:rsidTr="00337B1D">
        <w:trPr>
          <w:trHeight w:val="270"/>
          <w:jc w:val="center"/>
        </w:trPr>
        <w:tc>
          <w:tcPr>
            <w:tcW w:w="4278" w:type="dxa"/>
            <w:tcBorders>
              <w:top w:val="nil"/>
              <w:left w:val="nil"/>
              <w:bottom w:val="nil"/>
              <w:right w:val="nil"/>
            </w:tcBorders>
            <w:shd w:val="clear" w:color="000000" w:fill="F2F2F2"/>
            <w:noWrap/>
            <w:vAlign w:val="center"/>
            <w:hideMark/>
          </w:tcPr>
          <w:p w:rsidR="00DC1F31" w:rsidRPr="00DC1F31" w:rsidRDefault="00DC1F31" w:rsidP="00DC1F31">
            <w:pPr>
              <w:spacing w:after="0" w:line="240" w:lineRule="auto"/>
              <w:jc w:val="right"/>
              <w:rPr>
                <w:rFonts w:ascii="Montserrat" w:eastAsia="Times New Roman" w:hAnsi="Montserrat" w:cs="Arial"/>
                <w:b/>
                <w:bCs/>
                <w:color w:val="000000"/>
                <w:sz w:val="15"/>
                <w:szCs w:val="15"/>
                <w:lang w:val="es-MX" w:eastAsia="es-MX"/>
              </w:rPr>
            </w:pPr>
            <w:r w:rsidRPr="00DC1F31">
              <w:rPr>
                <w:rFonts w:ascii="Montserrat" w:eastAsia="Times New Roman" w:hAnsi="Montserrat" w:cs="Arial"/>
                <w:b/>
                <w:bCs/>
                <w:color w:val="000000"/>
                <w:sz w:val="15"/>
                <w:szCs w:val="15"/>
                <w:lang w:val="es-MX" w:eastAsia="es-MX"/>
              </w:rPr>
              <w:t>Suma de Derechos a Recibir Efectivo o Equivalentes</w:t>
            </w:r>
          </w:p>
        </w:tc>
        <w:tc>
          <w:tcPr>
            <w:tcW w:w="1701" w:type="dxa"/>
            <w:tcBorders>
              <w:top w:val="nil"/>
              <w:left w:val="nil"/>
              <w:bottom w:val="nil"/>
              <w:right w:val="nil"/>
            </w:tcBorders>
            <w:shd w:val="clear" w:color="000000" w:fill="F2F2F2"/>
            <w:vAlign w:val="center"/>
            <w:hideMark/>
          </w:tcPr>
          <w:p w:rsidR="00DC1F31" w:rsidRPr="000B1893" w:rsidRDefault="00DC1F31" w:rsidP="00DC1F31">
            <w:pPr>
              <w:spacing w:after="0" w:line="240" w:lineRule="auto"/>
              <w:jc w:val="right"/>
              <w:rPr>
                <w:rFonts w:ascii="Montserrat" w:eastAsia="Times New Roman" w:hAnsi="Montserrat" w:cs="Arial"/>
                <w:b/>
                <w:color w:val="000000"/>
                <w:sz w:val="15"/>
                <w:szCs w:val="15"/>
                <w:lang w:val="es-MX" w:eastAsia="es-MX"/>
              </w:rPr>
            </w:pPr>
            <w:r w:rsidRPr="000B1893">
              <w:rPr>
                <w:rFonts w:ascii="Montserrat" w:eastAsia="Times New Roman" w:hAnsi="Montserrat" w:cs="Arial"/>
                <w:b/>
                <w:color w:val="000000"/>
                <w:sz w:val="15"/>
                <w:szCs w:val="15"/>
                <w:lang w:val="es-MX" w:eastAsia="es-MX"/>
              </w:rPr>
              <w:t>10,219,101</w:t>
            </w:r>
          </w:p>
        </w:tc>
        <w:tc>
          <w:tcPr>
            <w:tcW w:w="1637" w:type="dxa"/>
            <w:tcBorders>
              <w:top w:val="nil"/>
              <w:left w:val="nil"/>
              <w:bottom w:val="nil"/>
              <w:right w:val="nil"/>
            </w:tcBorders>
            <w:shd w:val="clear" w:color="000000" w:fill="F2F2F2"/>
            <w:vAlign w:val="center"/>
            <w:hideMark/>
          </w:tcPr>
          <w:p w:rsidR="00DC1F31" w:rsidRPr="000B1893" w:rsidRDefault="00DC1F31" w:rsidP="00DC1F31">
            <w:pPr>
              <w:spacing w:after="0" w:line="240" w:lineRule="auto"/>
              <w:jc w:val="right"/>
              <w:rPr>
                <w:rFonts w:ascii="Montserrat" w:eastAsia="Times New Roman" w:hAnsi="Montserrat" w:cs="Arial"/>
                <w:b/>
                <w:color w:val="000000"/>
                <w:sz w:val="15"/>
                <w:szCs w:val="15"/>
                <w:lang w:val="es-MX" w:eastAsia="es-MX"/>
              </w:rPr>
            </w:pPr>
            <w:r w:rsidRPr="000B1893">
              <w:rPr>
                <w:rFonts w:ascii="Montserrat" w:eastAsia="Times New Roman" w:hAnsi="Montserrat" w:cs="Arial"/>
                <w:b/>
                <w:color w:val="000000"/>
                <w:sz w:val="15"/>
                <w:szCs w:val="15"/>
                <w:lang w:val="es-MX" w:eastAsia="es-MX"/>
              </w:rPr>
              <w:t>4,382,941</w:t>
            </w:r>
          </w:p>
        </w:tc>
      </w:tr>
      <w:tr w:rsidR="00DC1F31" w:rsidRPr="00DC1F31" w:rsidTr="00337B1D">
        <w:trPr>
          <w:trHeight w:val="270"/>
          <w:jc w:val="center"/>
        </w:trPr>
        <w:tc>
          <w:tcPr>
            <w:tcW w:w="4278" w:type="dxa"/>
            <w:tcBorders>
              <w:top w:val="single" w:sz="12" w:space="0" w:color="808080"/>
              <w:left w:val="nil"/>
              <w:bottom w:val="nil"/>
              <w:right w:val="nil"/>
            </w:tcBorders>
            <w:shd w:val="clear" w:color="auto" w:fill="auto"/>
            <w:noWrap/>
            <w:vAlign w:val="center"/>
          </w:tcPr>
          <w:p w:rsidR="00DC1F31" w:rsidRPr="00DC1F31" w:rsidRDefault="00DC1F31" w:rsidP="00DC1F31">
            <w:pPr>
              <w:spacing w:after="0" w:line="240" w:lineRule="auto"/>
              <w:jc w:val="right"/>
              <w:rPr>
                <w:rFonts w:ascii="Soberana Sans Light" w:eastAsia="Times New Roman" w:hAnsi="Soberana Sans Light" w:cs="Arial"/>
                <w:b/>
                <w:bCs/>
                <w:color w:val="E26B0A"/>
                <w:sz w:val="16"/>
                <w:szCs w:val="16"/>
                <w:lang w:val="es-MX" w:eastAsia="es-MX"/>
              </w:rPr>
            </w:pPr>
          </w:p>
        </w:tc>
        <w:tc>
          <w:tcPr>
            <w:tcW w:w="1701" w:type="dxa"/>
            <w:tcBorders>
              <w:top w:val="single" w:sz="12" w:space="0" w:color="808080"/>
              <w:left w:val="nil"/>
              <w:bottom w:val="nil"/>
              <w:right w:val="nil"/>
            </w:tcBorders>
            <w:shd w:val="clear" w:color="auto" w:fill="auto"/>
            <w:noWrap/>
            <w:vAlign w:val="center"/>
          </w:tcPr>
          <w:p w:rsidR="00DC1F31" w:rsidRPr="00DC1F31" w:rsidRDefault="00DC1F31" w:rsidP="00DC1F31">
            <w:pPr>
              <w:spacing w:after="0" w:line="240" w:lineRule="auto"/>
              <w:jc w:val="right"/>
              <w:rPr>
                <w:rFonts w:ascii="Soberana Sans Light" w:eastAsia="Times New Roman" w:hAnsi="Soberana Sans Light" w:cs="Arial"/>
                <w:b/>
                <w:bCs/>
                <w:color w:val="E26B0A"/>
                <w:sz w:val="16"/>
                <w:szCs w:val="16"/>
                <w:lang w:val="es-MX" w:eastAsia="es-MX"/>
              </w:rPr>
            </w:pPr>
          </w:p>
        </w:tc>
        <w:tc>
          <w:tcPr>
            <w:tcW w:w="1637" w:type="dxa"/>
            <w:tcBorders>
              <w:top w:val="single" w:sz="12" w:space="0" w:color="808080"/>
              <w:left w:val="nil"/>
              <w:bottom w:val="nil"/>
              <w:right w:val="nil"/>
            </w:tcBorders>
            <w:shd w:val="clear" w:color="auto" w:fill="auto"/>
            <w:noWrap/>
            <w:vAlign w:val="center"/>
          </w:tcPr>
          <w:p w:rsidR="00DC1F31" w:rsidRPr="00DC1F31" w:rsidRDefault="00DC1F31" w:rsidP="00DC1F31">
            <w:pPr>
              <w:spacing w:after="0" w:line="240" w:lineRule="auto"/>
              <w:jc w:val="right"/>
              <w:rPr>
                <w:rFonts w:ascii="Soberana Sans Light" w:eastAsia="Times New Roman" w:hAnsi="Soberana Sans Light" w:cs="Arial"/>
                <w:b/>
                <w:bCs/>
                <w:color w:val="E26B0A"/>
                <w:sz w:val="16"/>
                <w:szCs w:val="16"/>
                <w:lang w:val="es-MX" w:eastAsia="es-MX"/>
              </w:rPr>
            </w:pPr>
          </w:p>
        </w:tc>
      </w:tr>
    </w:tbl>
    <w:p w:rsidR="00297378" w:rsidRDefault="00297378" w:rsidP="002C6D54">
      <w:pPr>
        <w:pStyle w:val="TEXTONORMAL"/>
      </w:pPr>
      <w:r>
        <w:t>Se presenta la información consolidada de los entes públicos del Poder Legislativo que integra el rubro de Derechos a Recibir Bienes o Servicios:</w:t>
      </w:r>
    </w:p>
    <w:tbl>
      <w:tblPr>
        <w:tblW w:w="7617" w:type="dxa"/>
        <w:jc w:val="center"/>
        <w:tblCellMar>
          <w:left w:w="70" w:type="dxa"/>
          <w:right w:w="70" w:type="dxa"/>
        </w:tblCellMar>
        <w:tblLook w:val="04A0" w:firstRow="1" w:lastRow="0" w:firstColumn="1" w:lastColumn="0" w:noHBand="0" w:noVBand="1"/>
      </w:tblPr>
      <w:tblGrid>
        <w:gridCol w:w="4141"/>
        <w:gridCol w:w="1738"/>
        <w:gridCol w:w="1738"/>
      </w:tblGrid>
      <w:tr w:rsidR="00DC1F31" w:rsidRPr="00DC1F31" w:rsidTr="00337B1D">
        <w:trPr>
          <w:trHeight w:val="270"/>
          <w:jc w:val="center"/>
        </w:trPr>
        <w:tc>
          <w:tcPr>
            <w:tcW w:w="7617" w:type="dxa"/>
            <w:gridSpan w:val="3"/>
            <w:tcBorders>
              <w:top w:val="nil"/>
              <w:left w:val="nil"/>
              <w:bottom w:val="single" w:sz="12" w:space="0" w:color="808080"/>
              <w:right w:val="nil"/>
            </w:tcBorders>
            <w:shd w:val="clear" w:color="auto" w:fill="auto"/>
            <w:noWrap/>
            <w:vAlign w:val="center"/>
            <w:hideMark/>
          </w:tcPr>
          <w:p w:rsidR="00DC1F31" w:rsidRPr="00DC1F31" w:rsidRDefault="00DC1F31" w:rsidP="00DC1F31">
            <w:pPr>
              <w:spacing w:after="0" w:line="240" w:lineRule="auto"/>
              <w:jc w:val="center"/>
              <w:rPr>
                <w:rFonts w:ascii="Montserrat" w:eastAsia="Times New Roman" w:hAnsi="Montserrat" w:cs="Arial"/>
                <w:sz w:val="16"/>
                <w:szCs w:val="16"/>
                <w:lang w:val="es-MX" w:eastAsia="es-MX"/>
              </w:rPr>
            </w:pPr>
            <w:r w:rsidRPr="00DC1F31">
              <w:rPr>
                <w:rFonts w:ascii="Montserrat" w:eastAsia="Times New Roman" w:hAnsi="Montserrat" w:cs="Arial"/>
                <w:sz w:val="16"/>
                <w:szCs w:val="16"/>
                <w:lang w:val="es-MX" w:eastAsia="es-MX"/>
              </w:rPr>
              <w:t>(Pesos)</w:t>
            </w:r>
          </w:p>
        </w:tc>
      </w:tr>
      <w:tr w:rsidR="00DC1F31" w:rsidRPr="00DC1F31" w:rsidTr="00337B1D">
        <w:trPr>
          <w:trHeight w:val="15"/>
          <w:jc w:val="center"/>
        </w:trPr>
        <w:tc>
          <w:tcPr>
            <w:tcW w:w="7617" w:type="dxa"/>
            <w:gridSpan w:val="3"/>
            <w:tcBorders>
              <w:top w:val="single" w:sz="12" w:space="0" w:color="808080"/>
              <w:left w:val="nil"/>
              <w:bottom w:val="nil"/>
              <w:right w:val="nil"/>
            </w:tcBorders>
            <w:shd w:val="clear" w:color="auto" w:fill="auto"/>
            <w:vAlign w:val="center"/>
            <w:hideMark/>
          </w:tcPr>
          <w:p w:rsidR="00DC1F31" w:rsidRPr="00DC1F31" w:rsidRDefault="00DC1F31" w:rsidP="00DC1F31">
            <w:pPr>
              <w:spacing w:after="0" w:line="240" w:lineRule="auto"/>
              <w:jc w:val="center"/>
              <w:rPr>
                <w:rFonts w:ascii="Montserrat" w:eastAsia="Times New Roman" w:hAnsi="Montserrat" w:cs="Arial"/>
                <w:b/>
                <w:bCs/>
                <w:color w:val="000000"/>
                <w:sz w:val="10"/>
                <w:szCs w:val="10"/>
                <w:lang w:val="es-MX" w:eastAsia="es-MX"/>
              </w:rPr>
            </w:pPr>
          </w:p>
        </w:tc>
      </w:tr>
      <w:tr w:rsidR="00DC1F31" w:rsidRPr="00DC1F31" w:rsidTr="00337B1D">
        <w:trPr>
          <w:trHeight w:val="255"/>
          <w:jc w:val="center"/>
        </w:trPr>
        <w:tc>
          <w:tcPr>
            <w:tcW w:w="4141" w:type="dxa"/>
            <w:tcBorders>
              <w:top w:val="nil"/>
              <w:left w:val="nil"/>
              <w:bottom w:val="nil"/>
              <w:right w:val="single" w:sz="8" w:space="0" w:color="FFFFFF"/>
            </w:tcBorders>
            <w:shd w:val="clear" w:color="000000" w:fill="D4C19C"/>
            <w:vAlign w:val="center"/>
            <w:hideMark/>
          </w:tcPr>
          <w:p w:rsidR="00DC1F31" w:rsidRPr="00DC1F31" w:rsidRDefault="00DC1F31" w:rsidP="00DC1F31">
            <w:pPr>
              <w:spacing w:after="0" w:line="240" w:lineRule="auto"/>
              <w:jc w:val="center"/>
              <w:rPr>
                <w:rFonts w:ascii="Montserrat" w:eastAsia="Times New Roman" w:hAnsi="Montserrat" w:cs="Arial"/>
                <w:b/>
                <w:bCs/>
                <w:color w:val="FFFFFF"/>
                <w:sz w:val="16"/>
                <w:szCs w:val="16"/>
                <w:lang w:val="es-MX" w:eastAsia="es-MX"/>
              </w:rPr>
            </w:pPr>
            <w:r w:rsidRPr="00DC1F31">
              <w:rPr>
                <w:rFonts w:ascii="Montserrat" w:eastAsia="Times New Roman" w:hAnsi="Montserrat" w:cs="Arial"/>
                <w:b/>
                <w:bCs/>
                <w:color w:val="FFFFFF"/>
                <w:sz w:val="16"/>
                <w:szCs w:val="16"/>
                <w:lang w:val="es-MX" w:eastAsia="es-MX"/>
              </w:rPr>
              <w:t>Concepto</w:t>
            </w:r>
          </w:p>
        </w:tc>
        <w:tc>
          <w:tcPr>
            <w:tcW w:w="1738" w:type="dxa"/>
            <w:tcBorders>
              <w:top w:val="nil"/>
              <w:left w:val="nil"/>
              <w:bottom w:val="nil"/>
              <w:right w:val="single" w:sz="8" w:space="0" w:color="FFFFFF"/>
            </w:tcBorders>
            <w:shd w:val="clear" w:color="000000" w:fill="D4C19C"/>
            <w:vAlign w:val="center"/>
            <w:hideMark/>
          </w:tcPr>
          <w:p w:rsidR="00DC1F31" w:rsidRPr="00DC1F31" w:rsidRDefault="00DC1F31" w:rsidP="00DC1F31">
            <w:pPr>
              <w:spacing w:after="0" w:line="240" w:lineRule="auto"/>
              <w:jc w:val="center"/>
              <w:rPr>
                <w:rFonts w:ascii="Montserrat" w:eastAsia="Times New Roman" w:hAnsi="Montserrat" w:cs="Arial"/>
                <w:b/>
                <w:bCs/>
                <w:color w:val="FFFFFF"/>
                <w:sz w:val="16"/>
                <w:szCs w:val="16"/>
                <w:lang w:val="es-MX" w:eastAsia="es-MX"/>
              </w:rPr>
            </w:pPr>
            <w:r w:rsidRPr="00DC1F31">
              <w:rPr>
                <w:rFonts w:ascii="Montserrat" w:eastAsia="Times New Roman" w:hAnsi="Montserrat" w:cs="Arial"/>
                <w:b/>
                <w:bCs/>
                <w:color w:val="FFFFFF"/>
                <w:sz w:val="16"/>
                <w:szCs w:val="16"/>
                <w:lang w:val="es-MX" w:eastAsia="es-MX"/>
              </w:rPr>
              <w:t>2018</w:t>
            </w:r>
          </w:p>
        </w:tc>
        <w:tc>
          <w:tcPr>
            <w:tcW w:w="1738" w:type="dxa"/>
            <w:tcBorders>
              <w:top w:val="nil"/>
              <w:left w:val="nil"/>
              <w:bottom w:val="nil"/>
              <w:right w:val="single" w:sz="8" w:space="0" w:color="FFFFFF"/>
            </w:tcBorders>
            <w:shd w:val="clear" w:color="000000" w:fill="D4C19C"/>
            <w:vAlign w:val="center"/>
            <w:hideMark/>
          </w:tcPr>
          <w:p w:rsidR="00DC1F31" w:rsidRPr="00DC1F31" w:rsidRDefault="00DC1F31" w:rsidP="00DC1F31">
            <w:pPr>
              <w:spacing w:after="0" w:line="240" w:lineRule="auto"/>
              <w:jc w:val="center"/>
              <w:rPr>
                <w:rFonts w:ascii="Montserrat" w:eastAsia="Times New Roman" w:hAnsi="Montserrat" w:cs="Arial"/>
                <w:b/>
                <w:bCs/>
                <w:color w:val="FFFFFF"/>
                <w:sz w:val="16"/>
                <w:szCs w:val="16"/>
                <w:lang w:val="es-MX" w:eastAsia="es-MX"/>
              </w:rPr>
            </w:pPr>
            <w:r w:rsidRPr="00DC1F31">
              <w:rPr>
                <w:rFonts w:ascii="Montserrat" w:eastAsia="Times New Roman" w:hAnsi="Montserrat" w:cs="Arial"/>
                <w:b/>
                <w:bCs/>
                <w:color w:val="FFFFFF"/>
                <w:sz w:val="16"/>
                <w:szCs w:val="16"/>
                <w:lang w:val="es-MX" w:eastAsia="es-MX"/>
              </w:rPr>
              <w:t>2017</w:t>
            </w:r>
          </w:p>
        </w:tc>
      </w:tr>
      <w:tr w:rsidR="00DC1F31" w:rsidRPr="00DC1F31" w:rsidTr="00D36914">
        <w:trPr>
          <w:trHeight w:val="53"/>
          <w:jc w:val="center"/>
        </w:trPr>
        <w:tc>
          <w:tcPr>
            <w:tcW w:w="7617" w:type="dxa"/>
            <w:gridSpan w:val="3"/>
            <w:tcBorders>
              <w:top w:val="nil"/>
              <w:left w:val="nil"/>
              <w:bottom w:val="double" w:sz="6" w:space="0" w:color="808080"/>
              <w:right w:val="nil"/>
            </w:tcBorders>
            <w:shd w:val="clear" w:color="auto" w:fill="auto"/>
            <w:vAlign w:val="center"/>
            <w:hideMark/>
          </w:tcPr>
          <w:p w:rsidR="00DC1F31" w:rsidRPr="00DC1F31" w:rsidRDefault="00DC1F31" w:rsidP="00DC1F31">
            <w:pPr>
              <w:spacing w:after="0" w:line="240" w:lineRule="auto"/>
              <w:jc w:val="center"/>
              <w:rPr>
                <w:rFonts w:ascii="Montserrat" w:eastAsia="Times New Roman" w:hAnsi="Montserrat" w:cs="Arial"/>
                <w:b/>
                <w:bCs/>
                <w:color w:val="000000"/>
                <w:sz w:val="4"/>
                <w:szCs w:val="4"/>
                <w:lang w:val="es-MX" w:eastAsia="es-MX"/>
              </w:rPr>
            </w:pPr>
            <w:r w:rsidRPr="00DC1F31">
              <w:rPr>
                <w:rFonts w:ascii="Montserrat" w:eastAsia="Times New Roman" w:hAnsi="Montserrat" w:cs="Arial"/>
                <w:b/>
                <w:bCs/>
                <w:color w:val="000000"/>
                <w:sz w:val="4"/>
                <w:szCs w:val="4"/>
                <w:lang w:val="es-MX" w:eastAsia="es-MX"/>
              </w:rPr>
              <w:t> </w:t>
            </w:r>
          </w:p>
        </w:tc>
      </w:tr>
      <w:tr w:rsidR="00DC1F31" w:rsidRPr="00DC1F31" w:rsidTr="00337B1D">
        <w:trPr>
          <w:trHeight w:val="270"/>
          <w:jc w:val="center"/>
        </w:trPr>
        <w:tc>
          <w:tcPr>
            <w:tcW w:w="4141" w:type="dxa"/>
            <w:tcBorders>
              <w:top w:val="nil"/>
              <w:left w:val="nil"/>
              <w:bottom w:val="nil"/>
              <w:right w:val="nil"/>
            </w:tcBorders>
            <w:shd w:val="clear" w:color="000000" w:fill="F2F2F2"/>
            <w:noWrap/>
            <w:vAlign w:val="center"/>
            <w:hideMark/>
          </w:tcPr>
          <w:p w:rsidR="00DC1F31" w:rsidRPr="00DC1F31" w:rsidRDefault="00DC1F31" w:rsidP="00DC1F31">
            <w:pPr>
              <w:spacing w:after="0" w:line="240" w:lineRule="auto"/>
              <w:rPr>
                <w:rFonts w:ascii="Montserrat" w:eastAsia="Times New Roman" w:hAnsi="Montserrat" w:cs="Arial"/>
                <w:color w:val="000000"/>
                <w:sz w:val="15"/>
                <w:szCs w:val="15"/>
                <w:lang w:val="es-MX" w:eastAsia="es-MX"/>
              </w:rPr>
            </w:pPr>
            <w:r w:rsidRPr="00DC1F31">
              <w:rPr>
                <w:rFonts w:ascii="Montserrat" w:eastAsia="Times New Roman" w:hAnsi="Montserrat" w:cs="Arial"/>
                <w:color w:val="000000"/>
                <w:sz w:val="15"/>
                <w:szCs w:val="15"/>
                <w:lang w:val="es-MX" w:eastAsia="es-MX"/>
              </w:rPr>
              <w:t>Cámara de Diputados</w:t>
            </w:r>
          </w:p>
        </w:tc>
        <w:tc>
          <w:tcPr>
            <w:tcW w:w="1738" w:type="dxa"/>
            <w:tcBorders>
              <w:top w:val="nil"/>
              <w:left w:val="nil"/>
              <w:bottom w:val="nil"/>
              <w:right w:val="nil"/>
            </w:tcBorders>
            <w:shd w:val="clear" w:color="000000" w:fill="F2F2F2"/>
            <w:vAlign w:val="center"/>
            <w:hideMark/>
          </w:tcPr>
          <w:p w:rsidR="00DC1F31" w:rsidRPr="00DC1F31" w:rsidRDefault="00DC1F31" w:rsidP="00DC1F31">
            <w:pPr>
              <w:spacing w:after="0" w:line="240" w:lineRule="auto"/>
              <w:jc w:val="right"/>
              <w:rPr>
                <w:rFonts w:ascii="Montserrat" w:eastAsia="Times New Roman" w:hAnsi="Montserrat" w:cs="Arial"/>
                <w:color w:val="000000"/>
                <w:sz w:val="15"/>
                <w:szCs w:val="15"/>
                <w:lang w:val="es-MX" w:eastAsia="es-MX"/>
              </w:rPr>
            </w:pPr>
            <w:r w:rsidRPr="00DC1F31">
              <w:rPr>
                <w:rFonts w:ascii="Montserrat" w:eastAsia="Times New Roman" w:hAnsi="Montserrat" w:cs="Arial"/>
                <w:color w:val="000000"/>
                <w:sz w:val="15"/>
                <w:szCs w:val="15"/>
                <w:lang w:val="es-MX" w:eastAsia="es-MX"/>
              </w:rPr>
              <w:t>42,310,971</w:t>
            </w:r>
          </w:p>
        </w:tc>
        <w:tc>
          <w:tcPr>
            <w:tcW w:w="1738" w:type="dxa"/>
            <w:tcBorders>
              <w:top w:val="nil"/>
              <w:left w:val="nil"/>
              <w:bottom w:val="nil"/>
              <w:right w:val="nil"/>
            </w:tcBorders>
            <w:shd w:val="clear" w:color="000000" w:fill="F2F2F2"/>
            <w:vAlign w:val="center"/>
            <w:hideMark/>
          </w:tcPr>
          <w:p w:rsidR="00DC1F31" w:rsidRPr="00DC1F31" w:rsidRDefault="00DC1F31" w:rsidP="00DC1F31">
            <w:pPr>
              <w:spacing w:after="0" w:line="240" w:lineRule="auto"/>
              <w:jc w:val="right"/>
              <w:rPr>
                <w:rFonts w:ascii="Montserrat" w:eastAsia="Times New Roman" w:hAnsi="Montserrat" w:cs="Arial"/>
                <w:color w:val="000000"/>
                <w:sz w:val="15"/>
                <w:szCs w:val="15"/>
                <w:lang w:val="es-MX" w:eastAsia="es-MX"/>
              </w:rPr>
            </w:pPr>
            <w:r w:rsidRPr="00DC1F31">
              <w:rPr>
                <w:rFonts w:ascii="Montserrat" w:eastAsia="Times New Roman" w:hAnsi="Montserrat" w:cs="Arial"/>
                <w:color w:val="000000"/>
                <w:sz w:val="15"/>
                <w:szCs w:val="15"/>
                <w:lang w:val="es-MX" w:eastAsia="es-MX"/>
              </w:rPr>
              <w:t>14,128,394</w:t>
            </w:r>
          </w:p>
        </w:tc>
      </w:tr>
      <w:tr w:rsidR="00DC1F31" w:rsidRPr="00DC1F31" w:rsidTr="00337B1D">
        <w:trPr>
          <w:trHeight w:val="255"/>
          <w:jc w:val="center"/>
        </w:trPr>
        <w:tc>
          <w:tcPr>
            <w:tcW w:w="4141" w:type="dxa"/>
            <w:tcBorders>
              <w:top w:val="nil"/>
              <w:left w:val="nil"/>
              <w:bottom w:val="nil"/>
              <w:right w:val="nil"/>
            </w:tcBorders>
            <w:shd w:val="clear" w:color="000000" w:fill="F2F2F2"/>
            <w:noWrap/>
            <w:vAlign w:val="center"/>
            <w:hideMark/>
          </w:tcPr>
          <w:p w:rsidR="00DC1F31" w:rsidRPr="00DC1F31" w:rsidRDefault="00DC1F31" w:rsidP="00DC1F31">
            <w:pPr>
              <w:spacing w:after="0" w:line="240" w:lineRule="auto"/>
              <w:rPr>
                <w:rFonts w:ascii="Montserrat" w:eastAsia="Times New Roman" w:hAnsi="Montserrat" w:cs="Arial"/>
                <w:color w:val="000000"/>
                <w:sz w:val="15"/>
                <w:szCs w:val="15"/>
                <w:lang w:val="es-MX" w:eastAsia="es-MX"/>
              </w:rPr>
            </w:pPr>
            <w:r w:rsidRPr="00DC1F31">
              <w:rPr>
                <w:rFonts w:ascii="Montserrat" w:eastAsia="Times New Roman" w:hAnsi="Montserrat" w:cs="Arial"/>
                <w:color w:val="000000"/>
                <w:sz w:val="15"/>
                <w:szCs w:val="15"/>
                <w:lang w:val="es-MX" w:eastAsia="es-MX"/>
              </w:rPr>
              <w:t>Cámara de Senadores</w:t>
            </w:r>
          </w:p>
        </w:tc>
        <w:tc>
          <w:tcPr>
            <w:tcW w:w="1738" w:type="dxa"/>
            <w:tcBorders>
              <w:top w:val="nil"/>
              <w:left w:val="nil"/>
              <w:bottom w:val="nil"/>
              <w:right w:val="nil"/>
            </w:tcBorders>
            <w:shd w:val="clear" w:color="000000" w:fill="F2F2F2"/>
            <w:vAlign w:val="center"/>
            <w:hideMark/>
          </w:tcPr>
          <w:p w:rsidR="00DC1F31" w:rsidRPr="00DC1F31" w:rsidRDefault="00DC1F31" w:rsidP="00DC1F31">
            <w:pPr>
              <w:spacing w:after="0" w:line="240" w:lineRule="auto"/>
              <w:jc w:val="right"/>
              <w:rPr>
                <w:rFonts w:ascii="Montserrat" w:eastAsia="Times New Roman" w:hAnsi="Montserrat" w:cs="Arial"/>
                <w:color w:val="000000"/>
                <w:sz w:val="15"/>
                <w:szCs w:val="15"/>
                <w:lang w:val="es-MX" w:eastAsia="es-MX"/>
              </w:rPr>
            </w:pPr>
            <w:r w:rsidRPr="00DC1F31">
              <w:rPr>
                <w:rFonts w:ascii="Montserrat" w:eastAsia="Times New Roman" w:hAnsi="Montserrat" w:cs="Arial"/>
                <w:color w:val="000000"/>
                <w:sz w:val="15"/>
                <w:szCs w:val="15"/>
                <w:lang w:val="es-MX" w:eastAsia="es-MX"/>
              </w:rPr>
              <w:t>0</w:t>
            </w:r>
          </w:p>
        </w:tc>
        <w:tc>
          <w:tcPr>
            <w:tcW w:w="1738" w:type="dxa"/>
            <w:tcBorders>
              <w:top w:val="nil"/>
              <w:left w:val="nil"/>
              <w:bottom w:val="nil"/>
              <w:right w:val="nil"/>
            </w:tcBorders>
            <w:shd w:val="clear" w:color="000000" w:fill="F2F2F2"/>
            <w:vAlign w:val="center"/>
            <w:hideMark/>
          </w:tcPr>
          <w:p w:rsidR="00DC1F31" w:rsidRPr="00DC1F31" w:rsidRDefault="00DC1F31" w:rsidP="00DC1F31">
            <w:pPr>
              <w:spacing w:after="0" w:line="240" w:lineRule="auto"/>
              <w:jc w:val="right"/>
              <w:rPr>
                <w:rFonts w:ascii="Montserrat" w:eastAsia="Times New Roman" w:hAnsi="Montserrat" w:cs="Arial"/>
                <w:color w:val="000000"/>
                <w:sz w:val="15"/>
                <w:szCs w:val="15"/>
                <w:lang w:val="es-MX" w:eastAsia="es-MX"/>
              </w:rPr>
            </w:pPr>
            <w:r w:rsidRPr="00DC1F31">
              <w:rPr>
                <w:rFonts w:ascii="Montserrat" w:eastAsia="Times New Roman" w:hAnsi="Montserrat" w:cs="Arial"/>
                <w:color w:val="000000"/>
                <w:sz w:val="15"/>
                <w:szCs w:val="15"/>
                <w:lang w:val="es-MX" w:eastAsia="es-MX"/>
              </w:rPr>
              <w:t>0</w:t>
            </w:r>
          </w:p>
        </w:tc>
      </w:tr>
      <w:tr w:rsidR="00DC1F31" w:rsidRPr="00DC1F31" w:rsidTr="00337B1D">
        <w:trPr>
          <w:trHeight w:val="255"/>
          <w:jc w:val="center"/>
        </w:trPr>
        <w:tc>
          <w:tcPr>
            <w:tcW w:w="4141" w:type="dxa"/>
            <w:tcBorders>
              <w:top w:val="nil"/>
              <w:left w:val="nil"/>
              <w:bottom w:val="nil"/>
              <w:right w:val="nil"/>
            </w:tcBorders>
            <w:shd w:val="clear" w:color="000000" w:fill="F2F2F2"/>
            <w:noWrap/>
            <w:vAlign w:val="center"/>
            <w:hideMark/>
          </w:tcPr>
          <w:p w:rsidR="00DC1F31" w:rsidRPr="00DC1F31" w:rsidRDefault="00DC1F31" w:rsidP="00DC1F31">
            <w:pPr>
              <w:spacing w:after="0" w:line="240" w:lineRule="auto"/>
              <w:rPr>
                <w:rFonts w:ascii="Montserrat" w:eastAsia="Times New Roman" w:hAnsi="Montserrat" w:cs="Arial"/>
                <w:color w:val="000000"/>
                <w:sz w:val="15"/>
                <w:szCs w:val="15"/>
                <w:lang w:val="es-MX" w:eastAsia="es-MX"/>
              </w:rPr>
            </w:pPr>
            <w:r w:rsidRPr="00DC1F31">
              <w:rPr>
                <w:rFonts w:ascii="Montserrat" w:eastAsia="Times New Roman" w:hAnsi="Montserrat" w:cs="Arial"/>
                <w:color w:val="000000"/>
                <w:sz w:val="15"/>
                <w:szCs w:val="15"/>
                <w:lang w:val="es-MX" w:eastAsia="es-MX"/>
              </w:rPr>
              <w:t>Auditoría Superior de la Federación</w:t>
            </w:r>
          </w:p>
        </w:tc>
        <w:tc>
          <w:tcPr>
            <w:tcW w:w="1738" w:type="dxa"/>
            <w:tcBorders>
              <w:top w:val="nil"/>
              <w:left w:val="nil"/>
              <w:bottom w:val="nil"/>
              <w:right w:val="nil"/>
            </w:tcBorders>
            <w:shd w:val="clear" w:color="000000" w:fill="F2F2F2"/>
            <w:vAlign w:val="center"/>
            <w:hideMark/>
          </w:tcPr>
          <w:p w:rsidR="00DC1F31" w:rsidRPr="00DC1F31" w:rsidRDefault="00DC1F31" w:rsidP="00DC1F31">
            <w:pPr>
              <w:spacing w:after="0" w:line="240" w:lineRule="auto"/>
              <w:jc w:val="right"/>
              <w:rPr>
                <w:rFonts w:ascii="Montserrat" w:eastAsia="Times New Roman" w:hAnsi="Montserrat" w:cs="Arial"/>
                <w:color w:val="000000"/>
                <w:sz w:val="15"/>
                <w:szCs w:val="15"/>
                <w:lang w:val="es-MX" w:eastAsia="es-MX"/>
              </w:rPr>
            </w:pPr>
            <w:r w:rsidRPr="00DC1F31">
              <w:rPr>
                <w:rFonts w:ascii="Montserrat" w:eastAsia="Times New Roman" w:hAnsi="Montserrat" w:cs="Arial"/>
                <w:color w:val="000000"/>
                <w:sz w:val="15"/>
                <w:szCs w:val="15"/>
                <w:lang w:val="es-MX" w:eastAsia="es-MX"/>
              </w:rPr>
              <w:t>0</w:t>
            </w:r>
          </w:p>
        </w:tc>
        <w:tc>
          <w:tcPr>
            <w:tcW w:w="1738" w:type="dxa"/>
            <w:tcBorders>
              <w:top w:val="nil"/>
              <w:left w:val="nil"/>
              <w:bottom w:val="nil"/>
              <w:right w:val="nil"/>
            </w:tcBorders>
            <w:shd w:val="clear" w:color="000000" w:fill="F2F2F2"/>
            <w:vAlign w:val="center"/>
            <w:hideMark/>
          </w:tcPr>
          <w:p w:rsidR="00DC1F31" w:rsidRPr="00DC1F31" w:rsidRDefault="00DC1F31" w:rsidP="00DC1F31">
            <w:pPr>
              <w:spacing w:after="0" w:line="240" w:lineRule="auto"/>
              <w:jc w:val="right"/>
              <w:rPr>
                <w:rFonts w:ascii="Montserrat" w:eastAsia="Times New Roman" w:hAnsi="Montserrat" w:cs="Arial"/>
                <w:color w:val="000000"/>
                <w:sz w:val="15"/>
                <w:szCs w:val="15"/>
                <w:lang w:val="es-MX" w:eastAsia="es-MX"/>
              </w:rPr>
            </w:pPr>
            <w:r w:rsidRPr="00DC1F31">
              <w:rPr>
                <w:rFonts w:ascii="Montserrat" w:eastAsia="Times New Roman" w:hAnsi="Montserrat" w:cs="Arial"/>
                <w:color w:val="000000"/>
                <w:sz w:val="15"/>
                <w:szCs w:val="15"/>
                <w:lang w:val="es-MX" w:eastAsia="es-MX"/>
              </w:rPr>
              <w:t>29,586,993</w:t>
            </w:r>
          </w:p>
        </w:tc>
      </w:tr>
      <w:tr w:rsidR="00DC1F31" w:rsidRPr="00DC1F31" w:rsidTr="00337B1D">
        <w:trPr>
          <w:trHeight w:val="270"/>
          <w:jc w:val="center"/>
        </w:trPr>
        <w:tc>
          <w:tcPr>
            <w:tcW w:w="4141" w:type="dxa"/>
            <w:tcBorders>
              <w:top w:val="nil"/>
              <w:left w:val="nil"/>
              <w:bottom w:val="nil"/>
              <w:right w:val="nil"/>
            </w:tcBorders>
            <w:shd w:val="clear" w:color="000000" w:fill="F2F2F2"/>
            <w:noWrap/>
            <w:vAlign w:val="center"/>
            <w:hideMark/>
          </w:tcPr>
          <w:p w:rsidR="00DC1F31" w:rsidRPr="00DC1F31" w:rsidRDefault="00DC1F31" w:rsidP="00DC1F31">
            <w:pPr>
              <w:spacing w:after="0" w:line="240" w:lineRule="auto"/>
              <w:jc w:val="right"/>
              <w:rPr>
                <w:rFonts w:ascii="Montserrat" w:eastAsia="Times New Roman" w:hAnsi="Montserrat" w:cs="Arial"/>
                <w:b/>
                <w:bCs/>
                <w:color w:val="000000"/>
                <w:sz w:val="15"/>
                <w:szCs w:val="15"/>
                <w:lang w:val="es-MX" w:eastAsia="es-MX"/>
              </w:rPr>
            </w:pPr>
            <w:r w:rsidRPr="00DC1F31">
              <w:rPr>
                <w:rFonts w:ascii="Montserrat" w:eastAsia="Times New Roman" w:hAnsi="Montserrat" w:cs="Arial"/>
                <w:b/>
                <w:bCs/>
                <w:color w:val="000000"/>
                <w:sz w:val="15"/>
                <w:szCs w:val="15"/>
                <w:lang w:val="es-MX" w:eastAsia="es-MX"/>
              </w:rPr>
              <w:t>Suma de Derechos a Recibir Bienes o Servicios</w:t>
            </w:r>
          </w:p>
        </w:tc>
        <w:tc>
          <w:tcPr>
            <w:tcW w:w="1738" w:type="dxa"/>
            <w:tcBorders>
              <w:top w:val="nil"/>
              <w:left w:val="nil"/>
              <w:bottom w:val="nil"/>
              <w:right w:val="nil"/>
            </w:tcBorders>
            <w:shd w:val="clear" w:color="000000" w:fill="F2F2F2"/>
            <w:vAlign w:val="center"/>
            <w:hideMark/>
          </w:tcPr>
          <w:p w:rsidR="00DC1F31" w:rsidRPr="000B1893" w:rsidRDefault="00DC1F31" w:rsidP="00DC1F31">
            <w:pPr>
              <w:spacing w:after="0" w:line="240" w:lineRule="auto"/>
              <w:jc w:val="right"/>
              <w:rPr>
                <w:rFonts w:ascii="Montserrat" w:eastAsia="Times New Roman" w:hAnsi="Montserrat" w:cs="Arial"/>
                <w:b/>
                <w:color w:val="000000"/>
                <w:sz w:val="15"/>
                <w:szCs w:val="15"/>
                <w:lang w:val="es-MX" w:eastAsia="es-MX"/>
              </w:rPr>
            </w:pPr>
            <w:r w:rsidRPr="000B1893">
              <w:rPr>
                <w:rFonts w:ascii="Montserrat" w:eastAsia="Times New Roman" w:hAnsi="Montserrat" w:cs="Arial"/>
                <w:b/>
                <w:color w:val="000000"/>
                <w:sz w:val="15"/>
                <w:szCs w:val="15"/>
                <w:lang w:val="es-MX" w:eastAsia="es-MX"/>
              </w:rPr>
              <w:t>42,310,971</w:t>
            </w:r>
          </w:p>
        </w:tc>
        <w:tc>
          <w:tcPr>
            <w:tcW w:w="1738" w:type="dxa"/>
            <w:tcBorders>
              <w:top w:val="nil"/>
              <w:left w:val="nil"/>
              <w:bottom w:val="nil"/>
              <w:right w:val="nil"/>
            </w:tcBorders>
            <w:shd w:val="clear" w:color="000000" w:fill="F2F2F2"/>
            <w:vAlign w:val="center"/>
            <w:hideMark/>
          </w:tcPr>
          <w:p w:rsidR="00DC1F31" w:rsidRPr="000B1893" w:rsidRDefault="00DC1F31" w:rsidP="00DC1F31">
            <w:pPr>
              <w:spacing w:after="0" w:line="240" w:lineRule="auto"/>
              <w:jc w:val="right"/>
              <w:rPr>
                <w:rFonts w:ascii="Montserrat" w:eastAsia="Times New Roman" w:hAnsi="Montserrat" w:cs="Arial"/>
                <w:b/>
                <w:color w:val="000000"/>
                <w:sz w:val="15"/>
                <w:szCs w:val="15"/>
                <w:lang w:val="es-MX" w:eastAsia="es-MX"/>
              </w:rPr>
            </w:pPr>
            <w:r w:rsidRPr="000B1893">
              <w:rPr>
                <w:rFonts w:ascii="Montserrat" w:eastAsia="Times New Roman" w:hAnsi="Montserrat" w:cs="Arial"/>
                <w:b/>
                <w:color w:val="000000"/>
                <w:sz w:val="15"/>
                <w:szCs w:val="15"/>
                <w:lang w:val="es-MX" w:eastAsia="es-MX"/>
              </w:rPr>
              <w:t>43,715,387</w:t>
            </w:r>
          </w:p>
        </w:tc>
      </w:tr>
      <w:tr w:rsidR="00DC1F31" w:rsidRPr="00DC1F31" w:rsidTr="00337B1D">
        <w:trPr>
          <w:trHeight w:val="44"/>
          <w:jc w:val="center"/>
        </w:trPr>
        <w:tc>
          <w:tcPr>
            <w:tcW w:w="4141" w:type="dxa"/>
            <w:tcBorders>
              <w:top w:val="single" w:sz="12" w:space="0" w:color="808080"/>
              <w:left w:val="nil"/>
              <w:bottom w:val="nil"/>
              <w:right w:val="nil"/>
            </w:tcBorders>
            <w:shd w:val="clear" w:color="auto" w:fill="auto"/>
            <w:noWrap/>
            <w:vAlign w:val="center"/>
          </w:tcPr>
          <w:p w:rsidR="00DC1F31" w:rsidRPr="00DC1F31" w:rsidRDefault="00DC1F31" w:rsidP="00DC1F31">
            <w:pPr>
              <w:spacing w:after="0" w:line="240" w:lineRule="auto"/>
              <w:jc w:val="right"/>
              <w:rPr>
                <w:rFonts w:ascii="Soberana Sans Light" w:eastAsia="Times New Roman" w:hAnsi="Soberana Sans Light" w:cs="Arial"/>
                <w:b/>
                <w:bCs/>
                <w:color w:val="E26B0A"/>
                <w:sz w:val="16"/>
                <w:szCs w:val="16"/>
                <w:lang w:val="es-MX" w:eastAsia="es-MX"/>
              </w:rPr>
            </w:pPr>
          </w:p>
        </w:tc>
        <w:tc>
          <w:tcPr>
            <w:tcW w:w="1738" w:type="dxa"/>
            <w:tcBorders>
              <w:top w:val="single" w:sz="12" w:space="0" w:color="808080"/>
              <w:left w:val="nil"/>
              <w:bottom w:val="nil"/>
              <w:right w:val="nil"/>
            </w:tcBorders>
            <w:shd w:val="clear" w:color="auto" w:fill="auto"/>
            <w:noWrap/>
            <w:vAlign w:val="center"/>
          </w:tcPr>
          <w:p w:rsidR="00DC1F31" w:rsidRPr="00DC1F31" w:rsidRDefault="00DC1F31" w:rsidP="00DC1F31">
            <w:pPr>
              <w:spacing w:after="0" w:line="240" w:lineRule="auto"/>
              <w:jc w:val="right"/>
              <w:rPr>
                <w:rFonts w:ascii="Soberana Sans Light" w:eastAsia="Times New Roman" w:hAnsi="Soberana Sans Light" w:cs="Arial"/>
                <w:b/>
                <w:bCs/>
                <w:color w:val="E26B0A"/>
                <w:sz w:val="16"/>
                <w:szCs w:val="16"/>
                <w:lang w:val="es-MX" w:eastAsia="es-MX"/>
              </w:rPr>
            </w:pPr>
          </w:p>
        </w:tc>
        <w:tc>
          <w:tcPr>
            <w:tcW w:w="1738" w:type="dxa"/>
            <w:tcBorders>
              <w:top w:val="single" w:sz="12" w:space="0" w:color="808080"/>
              <w:left w:val="nil"/>
              <w:bottom w:val="nil"/>
              <w:right w:val="nil"/>
            </w:tcBorders>
            <w:shd w:val="clear" w:color="auto" w:fill="auto"/>
            <w:noWrap/>
            <w:vAlign w:val="center"/>
          </w:tcPr>
          <w:p w:rsidR="00DC1F31" w:rsidRPr="00DC1F31" w:rsidRDefault="00DC1F31" w:rsidP="00DC1F31">
            <w:pPr>
              <w:spacing w:after="0" w:line="240" w:lineRule="auto"/>
              <w:jc w:val="right"/>
              <w:rPr>
                <w:rFonts w:ascii="Soberana Sans Light" w:eastAsia="Times New Roman" w:hAnsi="Soberana Sans Light" w:cs="Arial"/>
                <w:b/>
                <w:bCs/>
                <w:color w:val="E26B0A"/>
                <w:sz w:val="16"/>
                <w:szCs w:val="16"/>
                <w:lang w:val="es-MX" w:eastAsia="es-MX"/>
              </w:rPr>
            </w:pPr>
          </w:p>
        </w:tc>
      </w:tr>
    </w:tbl>
    <w:p w:rsidR="00297378" w:rsidRPr="002C6D54" w:rsidRDefault="00297378" w:rsidP="00297378">
      <w:pPr>
        <w:pStyle w:val="VIETAFLECHA"/>
      </w:pPr>
      <w:r w:rsidRPr="002C6D54">
        <w:lastRenderedPageBreak/>
        <w:t>Bienes Disponibles para su Transformación o Consumo (inventarios)</w:t>
      </w:r>
    </w:p>
    <w:p w:rsidR="00297378" w:rsidRDefault="00297378" w:rsidP="002C6D54">
      <w:pPr>
        <w:pStyle w:val="TEXTONORMAL"/>
      </w:pPr>
      <w:r w:rsidRPr="00E40C7B">
        <w:t xml:space="preserve">El Poder Legislativo no reporta información en </w:t>
      </w:r>
      <w:r w:rsidR="000B1893" w:rsidRPr="00E40C7B">
        <w:t>el rubro de Inventarios.</w:t>
      </w:r>
    </w:p>
    <w:p w:rsidR="00297378" w:rsidRDefault="00297378" w:rsidP="002C6D54">
      <w:pPr>
        <w:pStyle w:val="TEXTONORMAL"/>
      </w:pPr>
      <w:r>
        <w:t xml:space="preserve">Se presenta la información consolidada de los entes públicos del Poder Legislativo que integra el rubro de </w:t>
      </w:r>
      <w:r w:rsidRPr="00E40C7B">
        <w:t>Almacenes:</w:t>
      </w:r>
    </w:p>
    <w:tbl>
      <w:tblPr>
        <w:tblW w:w="7616" w:type="dxa"/>
        <w:jc w:val="center"/>
        <w:tblCellMar>
          <w:left w:w="70" w:type="dxa"/>
          <w:right w:w="70" w:type="dxa"/>
        </w:tblCellMar>
        <w:tblLook w:val="04A0" w:firstRow="1" w:lastRow="0" w:firstColumn="1" w:lastColumn="0" w:noHBand="0" w:noVBand="1"/>
      </w:tblPr>
      <w:tblGrid>
        <w:gridCol w:w="3884"/>
        <w:gridCol w:w="1866"/>
        <w:gridCol w:w="1866"/>
      </w:tblGrid>
      <w:tr w:rsidR="00DC1F31" w:rsidRPr="00DC1F31" w:rsidTr="00337B1D">
        <w:trPr>
          <w:trHeight w:val="70"/>
          <w:jc w:val="center"/>
        </w:trPr>
        <w:tc>
          <w:tcPr>
            <w:tcW w:w="7616" w:type="dxa"/>
            <w:gridSpan w:val="3"/>
            <w:tcBorders>
              <w:top w:val="nil"/>
              <w:left w:val="nil"/>
              <w:bottom w:val="single" w:sz="12" w:space="0" w:color="808080"/>
              <w:right w:val="nil"/>
            </w:tcBorders>
            <w:shd w:val="clear" w:color="auto" w:fill="auto"/>
            <w:noWrap/>
            <w:vAlign w:val="center"/>
            <w:hideMark/>
          </w:tcPr>
          <w:p w:rsidR="00DC1F31" w:rsidRPr="00DC1F31" w:rsidRDefault="00DC1F31" w:rsidP="00DC1F31">
            <w:pPr>
              <w:spacing w:after="0" w:line="240" w:lineRule="auto"/>
              <w:jc w:val="center"/>
              <w:rPr>
                <w:rFonts w:ascii="Montserrat" w:eastAsia="Times New Roman" w:hAnsi="Montserrat" w:cs="Arial"/>
                <w:sz w:val="16"/>
                <w:szCs w:val="16"/>
                <w:lang w:val="es-MX" w:eastAsia="es-MX"/>
              </w:rPr>
            </w:pPr>
            <w:r w:rsidRPr="00DC1F31">
              <w:rPr>
                <w:rFonts w:ascii="Montserrat" w:eastAsia="Times New Roman" w:hAnsi="Montserrat" w:cs="Arial"/>
                <w:sz w:val="16"/>
                <w:szCs w:val="16"/>
                <w:lang w:val="es-MX" w:eastAsia="es-MX"/>
              </w:rPr>
              <w:t>(Pesos)</w:t>
            </w:r>
          </w:p>
        </w:tc>
      </w:tr>
      <w:tr w:rsidR="00DC1F31" w:rsidRPr="00DC1F31" w:rsidTr="00337B1D">
        <w:trPr>
          <w:trHeight w:val="15"/>
          <w:jc w:val="center"/>
        </w:trPr>
        <w:tc>
          <w:tcPr>
            <w:tcW w:w="7616" w:type="dxa"/>
            <w:gridSpan w:val="3"/>
            <w:tcBorders>
              <w:top w:val="single" w:sz="12" w:space="0" w:color="808080"/>
              <w:left w:val="nil"/>
              <w:bottom w:val="nil"/>
              <w:right w:val="nil"/>
            </w:tcBorders>
            <w:shd w:val="clear" w:color="auto" w:fill="auto"/>
            <w:vAlign w:val="center"/>
            <w:hideMark/>
          </w:tcPr>
          <w:p w:rsidR="00DC1F31" w:rsidRPr="00DC1F31" w:rsidRDefault="00DC1F31" w:rsidP="00D36914">
            <w:pPr>
              <w:spacing w:after="0" w:line="240" w:lineRule="auto"/>
              <w:rPr>
                <w:rFonts w:ascii="Montserrat" w:eastAsia="Times New Roman" w:hAnsi="Montserrat" w:cs="Arial"/>
                <w:b/>
                <w:bCs/>
                <w:color w:val="000000"/>
                <w:sz w:val="10"/>
                <w:szCs w:val="10"/>
                <w:lang w:val="es-MX" w:eastAsia="es-MX"/>
              </w:rPr>
            </w:pPr>
          </w:p>
        </w:tc>
      </w:tr>
      <w:tr w:rsidR="00DC1F31" w:rsidRPr="00DC1F31" w:rsidTr="00337B1D">
        <w:trPr>
          <w:trHeight w:val="255"/>
          <w:jc w:val="center"/>
        </w:trPr>
        <w:tc>
          <w:tcPr>
            <w:tcW w:w="3884" w:type="dxa"/>
            <w:tcBorders>
              <w:top w:val="nil"/>
              <w:left w:val="nil"/>
              <w:bottom w:val="nil"/>
              <w:right w:val="single" w:sz="8" w:space="0" w:color="FFFFFF"/>
            </w:tcBorders>
            <w:shd w:val="clear" w:color="000000" w:fill="D4C19C"/>
            <w:vAlign w:val="center"/>
            <w:hideMark/>
          </w:tcPr>
          <w:p w:rsidR="00DC1F31" w:rsidRPr="00DC1F31" w:rsidRDefault="00DC1F31" w:rsidP="00DC1F31">
            <w:pPr>
              <w:spacing w:after="0" w:line="240" w:lineRule="auto"/>
              <w:jc w:val="center"/>
              <w:rPr>
                <w:rFonts w:ascii="Montserrat" w:eastAsia="Times New Roman" w:hAnsi="Montserrat" w:cs="Arial"/>
                <w:b/>
                <w:bCs/>
                <w:color w:val="FFFFFF"/>
                <w:sz w:val="16"/>
                <w:szCs w:val="16"/>
                <w:lang w:val="es-MX" w:eastAsia="es-MX"/>
              </w:rPr>
            </w:pPr>
            <w:r w:rsidRPr="00DC1F31">
              <w:rPr>
                <w:rFonts w:ascii="Montserrat" w:eastAsia="Times New Roman" w:hAnsi="Montserrat" w:cs="Arial"/>
                <w:b/>
                <w:bCs/>
                <w:color w:val="FFFFFF"/>
                <w:sz w:val="16"/>
                <w:szCs w:val="16"/>
                <w:lang w:val="es-MX" w:eastAsia="es-MX"/>
              </w:rPr>
              <w:t>Concepto</w:t>
            </w:r>
          </w:p>
        </w:tc>
        <w:tc>
          <w:tcPr>
            <w:tcW w:w="1866" w:type="dxa"/>
            <w:tcBorders>
              <w:top w:val="nil"/>
              <w:left w:val="nil"/>
              <w:bottom w:val="nil"/>
              <w:right w:val="single" w:sz="8" w:space="0" w:color="FFFFFF"/>
            </w:tcBorders>
            <w:shd w:val="clear" w:color="000000" w:fill="D4C19C"/>
            <w:vAlign w:val="center"/>
            <w:hideMark/>
          </w:tcPr>
          <w:p w:rsidR="00DC1F31" w:rsidRPr="00DC1F31" w:rsidRDefault="00DC1F31" w:rsidP="00DC1F31">
            <w:pPr>
              <w:spacing w:after="0" w:line="240" w:lineRule="auto"/>
              <w:jc w:val="center"/>
              <w:rPr>
                <w:rFonts w:ascii="Montserrat" w:eastAsia="Times New Roman" w:hAnsi="Montserrat" w:cs="Arial"/>
                <w:b/>
                <w:bCs/>
                <w:color w:val="FFFFFF"/>
                <w:sz w:val="16"/>
                <w:szCs w:val="16"/>
                <w:lang w:val="es-MX" w:eastAsia="es-MX"/>
              </w:rPr>
            </w:pPr>
            <w:r w:rsidRPr="00DC1F31">
              <w:rPr>
                <w:rFonts w:ascii="Montserrat" w:eastAsia="Times New Roman" w:hAnsi="Montserrat" w:cs="Arial"/>
                <w:b/>
                <w:bCs/>
                <w:color w:val="FFFFFF"/>
                <w:sz w:val="16"/>
                <w:szCs w:val="16"/>
                <w:lang w:val="es-MX" w:eastAsia="es-MX"/>
              </w:rPr>
              <w:t>2018</w:t>
            </w:r>
          </w:p>
        </w:tc>
        <w:tc>
          <w:tcPr>
            <w:tcW w:w="1866" w:type="dxa"/>
            <w:tcBorders>
              <w:top w:val="nil"/>
              <w:left w:val="nil"/>
              <w:bottom w:val="nil"/>
              <w:right w:val="single" w:sz="8" w:space="0" w:color="FFFFFF"/>
            </w:tcBorders>
            <w:shd w:val="clear" w:color="000000" w:fill="D4C19C"/>
            <w:vAlign w:val="center"/>
            <w:hideMark/>
          </w:tcPr>
          <w:p w:rsidR="00DC1F31" w:rsidRPr="00DC1F31" w:rsidRDefault="00DC1F31" w:rsidP="00DC1F31">
            <w:pPr>
              <w:spacing w:after="0" w:line="240" w:lineRule="auto"/>
              <w:jc w:val="center"/>
              <w:rPr>
                <w:rFonts w:ascii="Montserrat" w:eastAsia="Times New Roman" w:hAnsi="Montserrat" w:cs="Arial"/>
                <w:b/>
                <w:bCs/>
                <w:color w:val="FFFFFF"/>
                <w:sz w:val="16"/>
                <w:szCs w:val="16"/>
                <w:lang w:val="es-MX" w:eastAsia="es-MX"/>
              </w:rPr>
            </w:pPr>
            <w:r w:rsidRPr="00DC1F31">
              <w:rPr>
                <w:rFonts w:ascii="Montserrat" w:eastAsia="Times New Roman" w:hAnsi="Montserrat" w:cs="Arial"/>
                <w:b/>
                <w:bCs/>
                <w:color w:val="FFFFFF"/>
                <w:sz w:val="16"/>
                <w:szCs w:val="16"/>
                <w:lang w:val="es-MX" w:eastAsia="es-MX"/>
              </w:rPr>
              <w:t>2017</w:t>
            </w:r>
          </w:p>
        </w:tc>
      </w:tr>
      <w:tr w:rsidR="00DC1F31" w:rsidRPr="00DC1F31" w:rsidTr="00D36914">
        <w:trPr>
          <w:trHeight w:val="53"/>
          <w:jc w:val="center"/>
        </w:trPr>
        <w:tc>
          <w:tcPr>
            <w:tcW w:w="7616" w:type="dxa"/>
            <w:gridSpan w:val="3"/>
            <w:tcBorders>
              <w:top w:val="nil"/>
              <w:left w:val="nil"/>
              <w:bottom w:val="double" w:sz="6" w:space="0" w:color="808080"/>
              <w:right w:val="nil"/>
            </w:tcBorders>
            <w:shd w:val="clear" w:color="auto" w:fill="auto"/>
            <w:vAlign w:val="center"/>
            <w:hideMark/>
          </w:tcPr>
          <w:p w:rsidR="00DC1F31" w:rsidRPr="00DC1F31" w:rsidRDefault="00DC1F31" w:rsidP="00DC1F31">
            <w:pPr>
              <w:spacing w:after="0" w:line="240" w:lineRule="auto"/>
              <w:jc w:val="center"/>
              <w:rPr>
                <w:rFonts w:ascii="Montserrat" w:eastAsia="Times New Roman" w:hAnsi="Montserrat" w:cs="Arial"/>
                <w:b/>
                <w:bCs/>
                <w:color w:val="000000"/>
                <w:sz w:val="4"/>
                <w:szCs w:val="4"/>
                <w:lang w:val="es-MX" w:eastAsia="es-MX"/>
              </w:rPr>
            </w:pPr>
            <w:r w:rsidRPr="00DC1F31">
              <w:rPr>
                <w:rFonts w:ascii="Montserrat" w:eastAsia="Times New Roman" w:hAnsi="Montserrat" w:cs="Arial"/>
                <w:b/>
                <w:bCs/>
                <w:color w:val="000000"/>
                <w:sz w:val="4"/>
                <w:szCs w:val="4"/>
                <w:lang w:val="es-MX" w:eastAsia="es-MX"/>
              </w:rPr>
              <w:t> </w:t>
            </w:r>
          </w:p>
        </w:tc>
      </w:tr>
      <w:tr w:rsidR="00DC1F31" w:rsidRPr="00DC1F31" w:rsidTr="00337B1D">
        <w:trPr>
          <w:trHeight w:val="270"/>
          <w:jc w:val="center"/>
        </w:trPr>
        <w:tc>
          <w:tcPr>
            <w:tcW w:w="3884" w:type="dxa"/>
            <w:tcBorders>
              <w:top w:val="nil"/>
              <w:left w:val="nil"/>
              <w:bottom w:val="nil"/>
              <w:right w:val="nil"/>
            </w:tcBorders>
            <w:shd w:val="clear" w:color="000000" w:fill="F2F2F2"/>
            <w:noWrap/>
            <w:vAlign w:val="center"/>
            <w:hideMark/>
          </w:tcPr>
          <w:p w:rsidR="00DC1F31" w:rsidRPr="00DC1F31" w:rsidRDefault="00DC1F31" w:rsidP="00DC1F31">
            <w:pPr>
              <w:spacing w:after="0" w:line="240" w:lineRule="auto"/>
              <w:rPr>
                <w:rFonts w:ascii="Montserrat" w:eastAsia="Times New Roman" w:hAnsi="Montserrat" w:cs="Arial"/>
                <w:color w:val="000000"/>
                <w:sz w:val="15"/>
                <w:szCs w:val="15"/>
                <w:lang w:val="es-MX" w:eastAsia="es-MX"/>
              </w:rPr>
            </w:pPr>
            <w:r w:rsidRPr="00DC1F31">
              <w:rPr>
                <w:rFonts w:ascii="Montserrat" w:eastAsia="Times New Roman" w:hAnsi="Montserrat" w:cs="Arial"/>
                <w:color w:val="000000"/>
                <w:sz w:val="15"/>
                <w:szCs w:val="15"/>
                <w:lang w:val="es-MX" w:eastAsia="es-MX"/>
              </w:rPr>
              <w:t>Cámara de Diputados</w:t>
            </w:r>
          </w:p>
        </w:tc>
        <w:tc>
          <w:tcPr>
            <w:tcW w:w="1866" w:type="dxa"/>
            <w:tcBorders>
              <w:top w:val="nil"/>
              <w:left w:val="nil"/>
              <w:bottom w:val="nil"/>
              <w:right w:val="nil"/>
            </w:tcBorders>
            <w:shd w:val="clear" w:color="000000" w:fill="F2F2F2"/>
            <w:vAlign w:val="center"/>
            <w:hideMark/>
          </w:tcPr>
          <w:p w:rsidR="00DC1F31" w:rsidRPr="00DC1F31" w:rsidRDefault="00DC1F31" w:rsidP="00DC1F31">
            <w:pPr>
              <w:spacing w:after="0" w:line="240" w:lineRule="auto"/>
              <w:jc w:val="right"/>
              <w:rPr>
                <w:rFonts w:ascii="Montserrat" w:eastAsia="Times New Roman" w:hAnsi="Montserrat" w:cs="Arial"/>
                <w:color w:val="000000"/>
                <w:sz w:val="15"/>
                <w:szCs w:val="15"/>
                <w:lang w:val="es-MX" w:eastAsia="es-MX"/>
              </w:rPr>
            </w:pPr>
            <w:r w:rsidRPr="00DC1F31">
              <w:rPr>
                <w:rFonts w:ascii="Montserrat" w:eastAsia="Times New Roman" w:hAnsi="Montserrat" w:cs="Arial"/>
                <w:color w:val="000000"/>
                <w:sz w:val="15"/>
                <w:szCs w:val="15"/>
                <w:lang w:val="es-MX" w:eastAsia="es-MX"/>
              </w:rPr>
              <w:t>27,538,956</w:t>
            </w:r>
          </w:p>
        </w:tc>
        <w:tc>
          <w:tcPr>
            <w:tcW w:w="1866" w:type="dxa"/>
            <w:tcBorders>
              <w:top w:val="nil"/>
              <w:left w:val="nil"/>
              <w:bottom w:val="nil"/>
              <w:right w:val="nil"/>
            </w:tcBorders>
            <w:shd w:val="clear" w:color="000000" w:fill="F2F2F2"/>
            <w:vAlign w:val="center"/>
            <w:hideMark/>
          </w:tcPr>
          <w:p w:rsidR="00DC1F31" w:rsidRPr="00DC1F31" w:rsidRDefault="00DC1F31" w:rsidP="00DC1F31">
            <w:pPr>
              <w:spacing w:after="0" w:line="240" w:lineRule="auto"/>
              <w:jc w:val="right"/>
              <w:rPr>
                <w:rFonts w:ascii="Montserrat" w:eastAsia="Times New Roman" w:hAnsi="Montserrat" w:cs="Arial"/>
                <w:color w:val="000000"/>
                <w:sz w:val="15"/>
                <w:szCs w:val="15"/>
                <w:lang w:val="es-MX" w:eastAsia="es-MX"/>
              </w:rPr>
            </w:pPr>
            <w:r w:rsidRPr="00DC1F31">
              <w:rPr>
                <w:rFonts w:ascii="Montserrat" w:eastAsia="Times New Roman" w:hAnsi="Montserrat" w:cs="Arial"/>
                <w:color w:val="000000"/>
                <w:sz w:val="15"/>
                <w:szCs w:val="15"/>
                <w:lang w:val="es-MX" w:eastAsia="es-MX"/>
              </w:rPr>
              <w:t>31,035,925</w:t>
            </w:r>
          </w:p>
        </w:tc>
      </w:tr>
      <w:tr w:rsidR="00DC1F31" w:rsidRPr="00DC1F31" w:rsidTr="00337B1D">
        <w:trPr>
          <w:trHeight w:val="255"/>
          <w:jc w:val="center"/>
        </w:trPr>
        <w:tc>
          <w:tcPr>
            <w:tcW w:w="3884" w:type="dxa"/>
            <w:tcBorders>
              <w:top w:val="nil"/>
              <w:left w:val="nil"/>
              <w:bottom w:val="nil"/>
              <w:right w:val="nil"/>
            </w:tcBorders>
            <w:shd w:val="clear" w:color="000000" w:fill="F2F2F2"/>
            <w:noWrap/>
            <w:vAlign w:val="center"/>
            <w:hideMark/>
          </w:tcPr>
          <w:p w:rsidR="00DC1F31" w:rsidRPr="00DC1F31" w:rsidRDefault="00DC1F31" w:rsidP="00DC1F31">
            <w:pPr>
              <w:spacing w:after="0" w:line="240" w:lineRule="auto"/>
              <w:rPr>
                <w:rFonts w:ascii="Montserrat" w:eastAsia="Times New Roman" w:hAnsi="Montserrat" w:cs="Arial"/>
                <w:color w:val="000000"/>
                <w:sz w:val="15"/>
                <w:szCs w:val="15"/>
                <w:lang w:val="es-MX" w:eastAsia="es-MX"/>
              </w:rPr>
            </w:pPr>
            <w:r w:rsidRPr="00DC1F31">
              <w:rPr>
                <w:rFonts w:ascii="Montserrat" w:eastAsia="Times New Roman" w:hAnsi="Montserrat" w:cs="Arial"/>
                <w:color w:val="000000"/>
                <w:sz w:val="15"/>
                <w:szCs w:val="15"/>
                <w:lang w:val="es-MX" w:eastAsia="es-MX"/>
              </w:rPr>
              <w:t>Cámara de Senadores</w:t>
            </w:r>
          </w:p>
        </w:tc>
        <w:tc>
          <w:tcPr>
            <w:tcW w:w="1866" w:type="dxa"/>
            <w:tcBorders>
              <w:top w:val="nil"/>
              <w:left w:val="nil"/>
              <w:bottom w:val="nil"/>
              <w:right w:val="nil"/>
            </w:tcBorders>
            <w:shd w:val="clear" w:color="000000" w:fill="F2F2F2"/>
            <w:vAlign w:val="center"/>
            <w:hideMark/>
          </w:tcPr>
          <w:p w:rsidR="00DC1F31" w:rsidRPr="00DC1F31" w:rsidRDefault="00DC1F31" w:rsidP="00DC1F31">
            <w:pPr>
              <w:spacing w:after="0" w:line="240" w:lineRule="auto"/>
              <w:jc w:val="right"/>
              <w:rPr>
                <w:rFonts w:ascii="Montserrat" w:eastAsia="Times New Roman" w:hAnsi="Montserrat" w:cs="Arial"/>
                <w:color w:val="000000"/>
                <w:sz w:val="15"/>
                <w:szCs w:val="15"/>
                <w:lang w:val="es-MX" w:eastAsia="es-MX"/>
              </w:rPr>
            </w:pPr>
            <w:r w:rsidRPr="00DC1F31">
              <w:rPr>
                <w:rFonts w:ascii="Montserrat" w:eastAsia="Times New Roman" w:hAnsi="Montserrat" w:cs="Arial"/>
                <w:color w:val="000000"/>
                <w:sz w:val="15"/>
                <w:szCs w:val="15"/>
                <w:lang w:val="es-MX" w:eastAsia="es-MX"/>
              </w:rPr>
              <w:t>8,026,259</w:t>
            </w:r>
          </w:p>
        </w:tc>
        <w:tc>
          <w:tcPr>
            <w:tcW w:w="1866" w:type="dxa"/>
            <w:tcBorders>
              <w:top w:val="nil"/>
              <w:left w:val="nil"/>
              <w:bottom w:val="nil"/>
              <w:right w:val="nil"/>
            </w:tcBorders>
            <w:shd w:val="clear" w:color="000000" w:fill="F2F2F2"/>
            <w:vAlign w:val="center"/>
            <w:hideMark/>
          </w:tcPr>
          <w:p w:rsidR="00DC1F31" w:rsidRPr="00DC1F31" w:rsidRDefault="00DC1F31" w:rsidP="00DC1F31">
            <w:pPr>
              <w:spacing w:after="0" w:line="240" w:lineRule="auto"/>
              <w:jc w:val="right"/>
              <w:rPr>
                <w:rFonts w:ascii="Montserrat" w:eastAsia="Times New Roman" w:hAnsi="Montserrat" w:cs="Arial"/>
                <w:color w:val="000000"/>
                <w:sz w:val="15"/>
                <w:szCs w:val="15"/>
                <w:lang w:val="es-MX" w:eastAsia="es-MX"/>
              </w:rPr>
            </w:pPr>
            <w:r w:rsidRPr="00DC1F31">
              <w:rPr>
                <w:rFonts w:ascii="Montserrat" w:eastAsia="Times New Roman" w:hAnsi="Montserrat" w:cs="Arial"/>
                <w:color w:val="000000"/>
                <w:sz w:val="15"/>
                <w:szCs w:val="15"/>
                <w:lang w:val="es-MX" w:eastAsia="es-MX"/>
              </w:rPr>
              <w:t>0</w:t>
            </w:r>
          </w:p>
        </w:tc>
      </w:tr>
      <w:tr w:rsidR="00DC1F31" w:rsidRPr="00DC1F31" w:rsidTr="00337B1D">
        <w:trPr>
          <w:trHeight w:val="255"/>
          <w:jc w:val="center"/>
        </w:trPr>
        <w:tc>
          <w:tcPr>
            <w:tcW w:w="3884" w:type="dxa"/>
            <w:tcBorders>
              <w:top w:val="nil"/>
              <w:left w:val="nil"/>
              <w:bottom w:val="nil"/>
              <w:right w:val="nil"/>
            </w:tcBorders>
            <w:shd w:val="clear" w:color="000000" w:fill="F2F2F2"/>
            <w:noWrap/>
            <w:vAlign w:val="center"/>
            <w:hideMark/>
          </w:tcPr>
          <w:p w:rsidR="00DC1F31" w:rsidRPr="00DC1F31" w:rsidRDefault="00DC1F31" w:rsidP="00DC1F31">
            <w:pPr>
              <w:spacing w:after="0" w:line="240" w:lineRule="auto"/>
              <w:rPr>
                <w:rFonts w:ascii="Montserrat" w:eastAsia="Times New Roman" w:hAnsi="Montserrat" w:cs="Arial"/>
                <w:color w:val="000000"/>
                <w:sz w:val="15"/>
                <w:szCs w:val="15"/>
                <w:lang w:val="es-MX" w:eastAsia="es-MX"/>
              </w:rPr>
            </w:pPr>
            <w:r w:rsidRPr="00DC1F31">
              <w:rPr>
                <w:rFonts w:ascii="Montserrat" w:eastAsia="Times New Roman" w:hAnsi="Montserrat" w:cs="Arial"/>
                <w:color w:val="000000"/>
                <w:sz w:val="15"/>
                <w:szCs w:val="15"/>
                <w:lang w:val="es-MX" w:eastAsia="es-MX"/>
              </w:rPr>
              <w:t>Auditoría Superior de la Federación</w:t>
            </w:r>
          </w:p>
        </w:tc>
        <w:tc>
          <w:tcPr>
            <w:tcW w:w="1866" w:type="dxa"/>
            <w:tcBorders>
              <w:top w:val="nil"/>
              <w:left w:val="nil"/>
              <w:bottom w:val="nil"/>
              <w:right w:val="nil"/>
            </w:tcBorders>
            <w:shd w:val="clear" w:color="000000" w:fill="F2F2F2"/>
            <w:vAlign w:val="center"/>
            <w:hideMark/>
          </w:tcPr>
          <w:p w:rsidR="00DC1F31" w:rsidRPr="00DC1F31" w:rsidRDefault="00DC1F31" w:rsidP="00DC1F31">
            <w:pPr>
              <w:spacing w:after="0" w:line="240" w:lineRule="auto"/>
              <w:jc w:val="right"/>
              <w:rPr>
                <w:rFonts w:ascii="Montserrat" w:eastAsia="Times New Roman" w:hAnsi="Montserrat" w:cs="Arial"/>
                <w:color w:val="000000"/>
                <w:sz w:val="15"/>
                <w:szCs w:val="15"/>
                <w:lang w:val="es-MX" w:eastAsia="es-MX"/>
              </w:rPr>
            </w:pPr>
            <w:r w:rsidRPr="00DC1F31">
              <w:rPr>
                <w:rFonts w:ascii="Montserrat" w:eastAsia="Times New Roman" w:hAnsi="Montserrat" w:cs="Arial"/>
                <w:color w:val="000000"/>
                <w:sz w:val="15"/>
                <w:szCs w:val="15"/>
                <w:lang w:val="es-MX" w:eastAsia="es-MX"/>
              </w:rPr>
              <w:t>4,277,943</w:t>
            </w:r>
          </w:p>
        </w:tc>
        <w:tc>
          <w:tcPr>
            <w:tcW w:w="1866" w:type="dxa"/>
            <w:tcBorders>
              <w:top w:val="nil"/>
              <w:left w:val="nil"/>
              <w:bottom w:val="nil"/>
              <w:right w:val="nil"/>
            </w:tcBorders>
            <w:shd w:val="clear" w:color="000000" w:fill="F2F2F2"/>
            <w:vAlign w:val="center"/>
            <w:hideMark/>
          </w:tcPr>
          <w:p w:rsidR="00DC1F31" w:rsidRPr="00DC1F31" w:rsidRDefault="00DC1F31" w:rsidP="00DC1F31">
            <w:pPr>
              <w:spacing w:after="0" w:line="240" w:lineRule="auto"/>
              <w:jc w:val="right"/>
              <w:rPr>
                <w:rFonts w:ascii="Montserrat" w:eastAsia="Times New Roman" w:hAnsi="Montserrat" w:cs="Arial"/>
                <w:color w:val="000000"/>
                <w:sz w:val="15"/>
                <w:szCs w:val="15"/>
                <w:lang w:val="es-MX" w:eastAsia="es-MX"/>
              </w:rPr>
            </w:pPr>
            <w:r w:rsidRPr="00DC1F31">
              <w:rPr>
                <w:rFonts w:ascii="Montserrat" w:eastAsia="Times New Roman" w:hAnsi="Montserrat" w:cs="Arial"/>
                <w:color w:val="000000"/>
                <w:sz w:val="15"/>
                <w:szCs w:val="15"/>
                <w:lang w:val="es-MX" w:eastAsia="es-MX"/>
              </w:rPr>
              <w:t>8,687,704</w:t>
            </w:r>
          </w:p>
        </w:tc>
      </w:tr>
      <w:tr w:rsidR="00DC1F31" w:rsidRPr="00DC1F31" w:rsidTr="00337B1D">
        <w:trPr>
          <w:trHeight w:val="270"/>
          <w:jc w:val="center"/>
        </w:trPr>
        <w:tc>
          <w:tcPr>
            <w:tcW w:w="3884" w:type="dxa"/>
            <w:tcBorders>
              <w:top w:val="nil"/>
              <w:left w:val="nil"/>
              <w:bottom w:val="nil"/>
              <w:right w:val="nil"/>
            </w:tcBorders>
            <w:shd w:val="clear" w:color="000000" w:fill="F2F2F2"/>
            <w:noWrap/>
            <w:vAlign w:val="center"/>
            <w:hideMark/>
          </w:tcPr>
          <w:p w:rsidR="00DC1F31" w:rsidRPr="00DC1F31" w:rsidRDefault="00DC1F31" w:rsidP="00DC1F31">
            <w:pPr>
              <w:spacing w:after="0" w:line="240" w:lineRule="auto"/>
              <w:jc w:val="right"/>
              <w:rPr>
                <w:rFonts w:ascii="Montserrat" w:eastAsia="Times New Roman" w:hAnsi="Montserrat" w:cs="Arial"/>
                <w:b/>
                <w:bCs/>
                <w:color w:val="000000"/>
                <w:sz w:val="15"/>
                <w:szCs w:val="15"/>
                <w:lang w:val="es-MX" w:eastAsia="es-MX"/>
              </w:rPr>
            </w:pPr>
            <w:r w:rsidRPr="00DC1F31">
              <w:rPr>
                <w:rFonts w:ascii="Montserrat" w:eastAsia="Times New Roman" w:hAnsi="Montserrat" w:cs="Arial"/>
                <w:b/>
                <w:bCs/>
                <w:color w:val="000000"/>
                <w:sz w:val="15"/>
                <w:szCs w:val="15"/>
                <w:lang w:val="es-MX" w:eastAsia="es-MX"/>
              </w:rPr>
              <w:t>Suma de Almacenes</w:t>
            </w:r>
          </w:p>
        </w:tc>
        <w:tc>
          <w:tcPr>
            <w:tcW w:w="1866" w:type="dxa"/>
            <w:tcBorders>
              <w:top w:val="nil"/>
              <w:left w:val="nil"/>
              <w:bottom w:val="nil"/>
              <w:right w:val="nil"/>
            </w:tcBorders>
            <w:shd w:val="clear" w:color="000000" w:fill="F2F2F2"/>
            <w:vAlign w:val="center"/>
            <w:hideMark/>
          </w:tcPr>
          <w:p w:rsidR="00DC1F31" w:rsidRPr="000B1893" w:rsidRDefault="00DC1F31" w:rsidP="00DC1F31">
            <w:pPr>
              <w:spacing w:after="0" w:line="240" w:lineRule="auto"/>
              <w:jc w:val="right"/>
              <w:rPr>
                <w:rFonts w:ascii="Montserrat" w:eastAsia="Times New Roman" w:hAnsi="Montserrat" w:cs="Arial"/>
                <w:b/>
                <w:color w:val="000000"/>
                <w:sz w:val="15"/>
                <w:szCs w:val="15"/>
                <w:lang w:val="es-MX" w:eastAsia="es-MX"/>
              </w:rPr>
            </w:pPr>
            <w:r w:rsidRPr="000B1893">
              <w:rPr>
                <w:rFonts w:ascii="Montserrat" w:eastAsia="Times New Roman" w:hAnsi="Montserrat" w:cs="Arial"/>
                <w:b/>
                <w:color w:val="000000"/>
                <w:sz w:val="15"/>
                <w:szCs w:val="15"/>
                <w:lang w:val="es-MX" w:eastAsia="es-MX"/>
              </w:rPr>
              <w:t>39,843,158</w:t>
            </w:r>
          </w:p>
        </w:tc>
        <w:tc>
          <w:tcPr>
            <w:tcW w:w="1866" w:type="dxa"/>
            <w:tcBorders>
              <w:top w:val="nil"/>
              <w:left w:val="nil"/>
              <w:bottom w:val="nil"/>
              <w:right w:val="nil"/>
            </w:tcBorders>
            <w:shd w:val="clear" w:color="000000" w:fill="F2F2F2"/>
            <w:vAlign w:val="center"/>
            <w:hideMark/>
          </w:tcPr>
          <w:p w:rsidR="00DC1F31" w:rsidRPr="000B1893" w:rsidRDefault="00DC1F31" w:rsidP="00DC1F31">
            <w:pPr>
              <w:spacing w:after="0" w:line="240" w:lineRule="auto"/>
              <w:jc w:val="right"/>
              <w:rPr>
                <w:rFonts w:ascii="Montserrat" w:eastAsia="Times New Roman" w:hAnsi="Montserrat" w:cs="Arial"/>
                <w:b/>
                <w:color w:val="000000"/>
                <w:sz w:val="15"/>
                <w:szCs w:val="15"/>
                <w:lang w:val="es-MX" w:eastAsia="es-MX"/>
              </w:rPr>
            </w:pPr>
            <w:r w:rsidRPr="000B1893">
              <w:rPr>
                <w:rFonts w:ascii="Montserrat" w:eastAsia="Times New Roman" w:hAnsi="Montserrat" w:cs="Arial"/>
                <w:b/>
                <w:color w:val="000000"/>
                <w:sz w:val="15"/>
                <w:szCs w:val="15"/>
                <w:lang w:val="es-MX" w:eastAsia="es-MX"/>
              </w:rPr>
              <w:t>39,723,629</w:t>
            </w:r>
          </w:p>
        </w:tc>
      </w:tr>
      <w:tr w:rsidR="00DC1F31" w:rsidRPr="00DC1F31" w:rsidTr="00337B1D">
        <w:trPr>
          <w:trHeight w:val="44"/>
          <w:jc w:val="center"/>
        </w:trPr>
        <w:tc>
          <w:tcPr>
            <w:tcW w:w="3884" w:type="dxa"/>
            <w:tcBorders>
              <w:top w:val="single" w:sz="12" w:space="0" w:color="808080"/>
              <w:left w:val="nil"/>
              <w:bottom w:val="nil"/>
              <w:right w:val="nil"/>
            </w:tcBorders>
            <w:shd w:val="clear" w:color="auto" w:fill="auto"/>
            <w:noWrap/>
            <w:vAlign w:val="center"/>
          </w:tcPr>
          <w:p w:rsidR="00DC1F31" w:rsidRPr="00DC1F31" w:rsidRDefault="00DC1F31" w:rsidP="00DC1F31">
            <w:pPr>
              <w:spacing w:after="0" w:line="240" w:lineRule="auto"/>
              <w:jc w:val="right"/>
              <w:rPr>
                <w:rFonts w:ascii="Soberana Sans Light" w:eastAsia="Times New Roman" w:hAnsi="Soberana Sans Light" w:cs="Arial"/>
                <w:b/>
                <w:bCs/>
                <w:color w:val="E26B0A"/>
                <w:sz w:val="16"/>
                <w:szCs w:val="16"/>
                <w:lang w:val="es-MX" w:eastAsia="es-MX"/>
              </w:rPr>
            </w:pPr>
          </w:p>
        </w:tc>
        <w:tc>
          <w:tcPr>
            <w:tcW w:w="1866" w:type="dxa"/>
            <w:tcBorders>
              <w:top w:val="single" w:sz="12" w:space="0" w:color="808080"/>
              <w:left w:val="nil"/>
              <w:bottom w:val="nil"/>
              <w:right w:val="nil"/>
            </w:tcBorders>
            <w:shd w:val="clear" w:color="auto" w:fill="auto"/>
            <w:noWrap/>
            <w:vAlign w:val="center"/>
          </w:tcPr>
          <w:p w:rsidR="00DC1F31" w:rsidRPr="00DC1F31" w:rsidRDefault="00DC1F31" w:rsidP="00DC1F31">
            <w:pPr>
              <w:spacing w:after="0" w:line="240" w:lineRule="auto"/>
              <w:jc w:val="right"/>
              <w:rPr>
                <w:rFonts w:ascii="Soberana Sans Light" w:eastAsia="Times New Roman" w:hAnsi="Soberana Sans Light" w:cs="Arial"/>
                <w:b/>
                <w:bCs/>
                <w:color w:val="E26B0A"/>
                <w:sz w:val="16"/>
                <w:szCs w:val="16"/>
                <w:lang w:val="es-MX" w:eastAsia="es-MX"/>
              </w:rPr>
            </w:pPr>
          </w:p>
        </w:tc>
        <w:tc>
          <w:tcPr>
            <w:tcW w:w="1866" w:type="dxa"/>
            <w:tcBorders>
              <w:top w:val="single" w:sz="12" w:space="0" w:color="808080"/>
              <w:left w:val="nil"/>
              <w:bottom w:val="nil"/>
              <w:right w:val="nil"/>
            </w:tcBorders>
            <w:shd w:val="clear" w:color="auto" w:fill="auto"/>
            <w:noWrap/>
            <w:vAlign w:val="center"/>
          </w:tcPr>
          <w:p w:rsidR="00DC1F31" w:rsidRPr="00DC1F31" w:rsidRDefault="00DC1F31" w:rsidP="00DC1F31">
            <w:pPr>
              <w:spacing w:after="0" w:line="240" w:lineRule="auto"/>
              <w:jc w:val="right"/>
              <w:rPr>
                <w:rFonts w:ascii="Soberana Sans Light" w:eastAsia="Times New Roman" w:hAnsi="Soberana Sans Light" w:cs="Arial"/>
                <w:b/>
                <w:bCs/>
                <w:color w:val="E26B0A"/>
                <w:sz w:val="16"/>
                <w:szCs w:val="16"/>
                <w:lang w:val="es-MX" w:eastAsia="es-MX"/>
              </w:rPr>
            </w:pPr>
          </w:p>
        </w:tc>
      </w:tr>
    </w:tbl>
    <w:p w:rsidR="00297378" w:rsidRPr="002C6D54" w:rsidRDefault="00297378" w:rsidP="00297378">
      <w:pPr>
        <w:pStyle w:val="VIETAFLECHA"/>
      </w:pPr>
      <w:r w:rsidRPr="002C6D54">
        <w:t>Estimación por Pérdida o Deterioro de Activos Circulantes</w:t>
      </w:r>
    </w:p>
    <w:p w:rsidR="00297378" w:rsidRDefault="000B1893" w:rsidP="002C6D54">
      <w:pPr>
        <w:pStyle w:val="TEXTONORMAL"/>
      </w:pPr>
      <w:r>
        <w:t xml:space="preserve">Se presenta la información consolidada de </w:t>
      </w:r>
      <w:r w:rsidRPr="000B1893">
        <w:t xml:space="preserve">los entes públicos del Poder Legislativo que integra </w:t>
      </w:r>
      <w:r w:rsidR="00297378" w:rsidRPr="000B1893">
        <w:t>el rubro de Estimación por Pérdida o Deterioro de Activos Circulantes.</w:t>
      </w:r>
    </w:p>
    <w:tbl>
      <w:tblPr>
        <w:tblW w:w="7616" w:type="dxa"/>
        <w:jc w:val="center"/>
        <w:tblCellMar>
          <w:left w:w="70" w:type="dxa"/>
          <w:right w:w="70" w:type="dxa"/>
        </w:tblCellMar>
        <w:tblLook w:val="04A0" w:firstRow="1" w:lastRow="0" w:firstColumn="1" w:lastColumn="0" w:noHBand="0" w:noVBand="1"/>
      </w:tblPr>
      <w:tblGrid>
        <w:gridCol w:w="4768"/>
        <w:gridCol w:w="1526"/>
        <w:gridCol w:w="1322"/>
      </w:tblGrid>
      <w:tr w:rsidR="00F353A2" w:rsidRPr="00F353A2" w:rsidTr="00337B1D">
        <w:trPr>
          <w:trHeight w:val="70"/>
          <w:jc w:val="center"/>
        </w:trPr>
        <w:tc>
          <w:tcPr>
            <w:tcW w:w="7616" w:type="dxa"/>
            <w:gridSpan w:val="3"/>
            <w:tcBorders>
              <w:top w:val="nil"/>
              <w:left w:val="nil"/>
              <w:bottom w:val="single" w:sz="12" w:space="0" w:color="808080"/>
              <w:right w:val="nil"/>
            </w:tcBorders>
            <w:shd w:val="clear" w:color="auto" w:fill="auto"/>
            <w:noWrap/>
            <w:vAlign w:val="center"/>
            <w:hideMark/>
          </w:tcPr>
          <w:p w:rsidR="00F353A2" w:rsidRPr="00F353A2" w:rsidRDefault="00F353A2" w:rsidP="00F353A2">
            <w:pPr>
              <w:spacing w:after="0" w:line="240" w:lineRule="auto"/>
              <w:jc w:val="center"/>
              <w:rPr>
                <w:rFonts w:ascii="Montserrat" w:eastAsia="Times New Roman" w:hAnsi="Montserrat" w:cs="Arial"/>
                <w:sz w:val="16"/>
                <w:szCs w:val="16"/>
                <w:lang w:val="es-MX" w:eastAsia="es-MX"/>
              </w:rPr>
            </w:pPr>
            <w:r w:rsidRPr="00F353A2">
              <w:rPr>
                <w:rFonts w:ascii="Montserrat" w:eastAsia="Times New Roman" w:hAnsi="Montserrat" w:cs="Arial"/>
                <w:sz w:val="16"/>
                <w:szCs w:val="16"/>
                <w:lang w:val="es-MX" w:eastAsia="es-MX"/>
              </w:rPr>
              <w:t>(Pesos)</w:t>
            </w:r>
          </w:p>
        </w:tc>
      </w:tr>
      <w:tr w:rsidR="00F353A2" w:rsidRPr="00F353A2" w:rsidTr="00337B1D">
        <w:trPr>
          <w:trHeight w:val="15"/>
          <w:jc w:val="center"/>
        </w:trPr>
        <w:tc>
          <w:tcPr>
            <w:tcW w:w="7616" w:type="dxa"/>
            <w:gridSpan w:val="3"/>
            <w:tcBorders>
              <w:top w:val="single" w:sz="12" w:space="0" w:color="808080"/>
              <w:left w:val="nil"/>
              <w:bottom w:val="nil"/>
              <w:right w:val="nil"/>
            </w:tcBorders>
            <w:shd w:val="clear" w:color="auto" w:fill="auto"/>
            <w:vAlign w:val="center"/>
            <w:hideMark/>
          </w:tcPr>
          <w:p w:rsidR="00F353A2" w:rsidRPr="00F353A2" w:rsidRDefault="00F353A2" w:rsidP="00D36914">
            <w:pPr>
              <w:spacing w:after="0" w:line="240" w:lineRule="auto"/>
              <w:rPr>
                <w:rFonts w:ascii="Montserrat" w:eastAsia="Times New Roman" w:hAnsi="Montserrat" w:cs="Arial"/>
                <w:b/>
                <w:bCs/>
                <w:color w:val="000000"/>
                <w:sz w:val="10"/>
                <w:szCs w:val="10"/>
                <w:lang w:val="es-MX" w:eastAsia="es-MX"/>
              </w:rPr>
            </w:pPr>
          </w:p>
        </w:tc>
      </w:tr>
      <w:tr w:rsidR="00F353A2" w:rsidRPr="00F353A2" w:rsidTr="00337B1D">
        <w:trPr>
          <w:trHeight w:val="255"/>
          <w:jc w:val="center"/>
        </w:trPr>
        <w:tc>
          <w:tcPr>
            <w:tcW w:w="4768" w:type="dxa"/>
            <w:tcBorders>
              <w:top w:val="nil"/>
              <w:left w:val="nil"/>
              <w:bottom w:val="nil"/>
              <w:right w:val="single" w:sz="8" w:space="0" w:color="FFFFFF"/>
            </w:tcBorders>
            <w:shd w:val="clear" w:color="000000" w:fill="D4C19C"/>
            <w:vAlign w:val="center"/>
            <w:hideMark/>
          </w:tcPr>
          <w:p w:rsidR="00F353A2" w:rsidRPr="00F353A2" w:rsidRDefault="00F353A2" w:rsidP="00F353A2">
            <w:pPr>
              <w:spacing w:after="0" w:line="240" w:lineRule="auto"/>
              <w:jc w:val="center"/>
              <w:rPr>
                <w:rFonts w:ascii="Montserrat" w:eastAsia="Times New Roman" w:hAnsi="Montserrat" w:cs="Arial"/>
                <w:b/>
                <w:bCs/>
                <w:color w:val="FFFFFF"/>
                <w:sz w:val="16"/>
                <w:szCs w:val="16"/>
                <w:lang w:val="es-MX" w:eastAsia="es-MX"/>
              </w:rPr>
            </w:pPr>
            <w:r w:rsidRPr="00F353A2">
              <w:rPr>
                <w:rFonts w:ascii="Montserrat" w:eastAsia="Times New Roman" w:hAnsi="Montserrat" w:cs="Arial"/>
                <w:b/>
                <w:bCs/>
                <w:color w:val="FFFFFF"/>
                <w:sz w:val="16"/>
                <w:szCs w:val="16"/>
                <w:lang w:val="es-MX" w:eastAsia="es-MX"/>
              </w:rPr>
              <w:t>Concepto</w:t>
            </w:r>
          </w:p>
        </w:tc>
        <w:tc>
          <w:tcPr>
            <w:tcW w:w="1526" w:type="dxa"/>
            <w:tcBorders>
              <w:top w:val="nil"/>
              <w:left w:val="nil"/>
              <w:bottom w:val="nil"/>
              <w:right w:val="single" w:sz="8" w:space="0" w:color="FFFFFF"/>
            </w:tcBorders>
            <w:shd w:val="clear" w:color="000000" w:fill="D4C19C"/>
            <w:vAlign w:val="center"/>
            <w:hideMark/>
          </w:tcPr>
          <w:p w:rsidR="00F353A2" w:rsidRPr="00F353A2" w:rsidRDefault="00F353A2" w:rsidP="00F353A2">
            <w:pPr>
              <w:spacing w:after="0" w:line="240" w:lineRule="auto"/>
              <w:jc w:val="center"/>
              <w:rPr>
                <w:rFonts w:ascii="Montserrat" w:eastAsia="Times New Roman" w:hAnsi="Montserrat" w:cs="Arial"/>
                <w:b/>
                <w:bCs/>
                <w:color w:val="FFFFFF"/>
                <w:sz w:val="16"/>
                <w:szCs w:val="16"/>
                <w:lang w:val="es-MX" w:eastAsia="es-MX"/>
              </w:rPr>
            </w:pPr>
            <w:r w:rsidRPr="00F353A2">
              <w:rPr>
                <w:rFonts w:ascii="Montserrat" w:eastAsia="Times New Roman" w:hAnsi="Montserrat" w:cs="Arial"/>
                <w:b/>
                <w:bCs/>
                <w:color w:val="FFFFFF"/>
                <w:sz w:val="16"/>
                <w:szCs w:val="16"/>
                <w:lang w:val="es-MX" w:eastAsia="es-MX"/>
              </w:rPr>
              <w:t>2018</w:t>
            </w:r>
          </w:p>
        </w:tc>
        <w:tc>
          <w:tcPr>
            <w:tcW w:w="1322" w:type="dxa"/>
            <w:tcBorders>
              <w:top w:val="nil"/>
              <w:left w:val="nil"/>
              <w:bottom w:val="nil"/>
              <w:right w:val="single" w:sz="8" w:space="0" w:color="FFFFFF"/>
            </w:tcBorders>
            <w:shd w:val="clear" w:color="000000" w:fill="D4C19C"/>
            <w:vAlign w:val="center"/>
            <w:hideMark/>
          </w:tcPr>
          <w:p w:rsidR="00F353A2" w:rsidRPr="00F353A2" w:rsidRDefault="00F353A2" w:rsidP="00F353A2">
            <w:pPr>
              <w:spacing w:after="0" w:line="240" w:lineRule="auto"/>
              <w:jc w:val="center"/>
              <w:rPr>
                <w:rFonts w:ascii="Montserrat" w:eastAsia="Times New Roman" w:hAnsi="Montserrat" w:cs="Arial"/>
                <w:b/>
                <w:bCs/>
                <w:color w:val="FFFFFF"/>
                <w:sz w:val="16"/>
                <w:szCs w:val="16"/>
                <w:lang w:val="es-MX" w:eastAsia="es-MX"/>
              </w:rPr>
            </w:pPr>
            <w:r w:rsidRPr="00F353A2">
              <w:rPr>
                <w:rFonts w:ascii="Montserrat" w:eastAsia="Times New Roman" w:hAnsi="Montserrat" w:cs="Arial"/>
                <w:b/>
                <w:bCs/>
                <w:color w:val="FFFFFF"/>
                <w:sz w:val="16"/>
                <w:szCs w:val="16"/>
                <w:lang w:val="es-MX" w:eastAsia="es-MX"/>
              </w:rPr>
              <w:t>2017</w:t>
            </w:r>
          </w:p>
        </w:tc>
      </w:tr>
      <w:tr w:rsidR="00F353A2" w:rsidRPr="00F353A2" w:rsidTr="00D36914">
        <w:trPr>
          <w:trHeight w:val="53"/>
          <w:jc w:val="center"/>
        </w:trPr>
        <w:tc>
          <w:tcPr>
            <w:tcW w:w="7616" w:type="dxa"/>
            <w:gridSpan w:val="3"/>
            <w:tcBorders>
              <w:top w:val="nil"/>
              <w:left w:val="nil"/>
              <w:bottom w:val="double" w:sz="6" w:space="0" w:color="808080"/>
              <w:right w:val="nil"/>
            </w:tcBorders>
            <w:shd w:val="clear" w:color="auto" w:fill="auto"/>
            <w:vAlign w:val="center"/>
            <w:hideMark/>
          </w:tcPr>
          <w:p w:rsidR="00F353A2" w:rsidRPr="00F353A2" w:rsidRDefault="00F353A2" w:rsidP="00F353A2">
            <w:pPr>
              <w:spacing w:after="0" w:line="240" w:lineRule="auto"/>
              <w:jc w:val="center"/>
              <w:rPr>
                <w:rFonts w:ascii="Montserrat" w:eastAsia="Times New Roman" w:hAnsi="Montserrat" w:cs="Arial"/>
                <w:b/>
                <w:bCs/>
                <w:color w:val="000000"/>
                <w:sz w:val="4"/>
                <w:szCs w:val="4"/>
                <w:lang w:val="es-MX" w:eastAsia="es-MX"/>
              </w:rPr>
            </w:pPr>
            <w:r w:rsidRPr="00F353A2">
              <w:rPr>
                <w:rFonts w:ascii="Montserrat" w:eastAsia="Times New Roman" w:hAnsi="Montserrat" w:cs="Arial"/>
                <w:b/>
                <w:bCs/>
                <w:color w:val="000000"/>
                <w:sz w:val="4"/>
                <w:szCs w:val="4"/>
                <w:lang w:val="es-MX" w:eastAsia="es-MX"/>
              </w:rPr>
              <w:t> </w:t>
            </w:r>
          </w:p>
        </w:tc>
      </w:tr>
      <w:tr w:rsidR="00F353A2" w:rsidRPr="00F353A2" w:rsidTr="00337B1D">
        <w:trPr>
          <w:trHeight w:val="270"/>
          <w:jc w:val="center"/>
        </w:trPr>
        <w:tc>
          <w:tcPr>
            <w:tcW w:w="4768" w:type="dxa"/>
            <w:tcBorders>
              <w:top w:val="nil"/>
              <w:left w:val="nil"/>
              <w:bottom w:val="nil"/>
              <w:right w:val="nil"/>
            </w:tcBorders>
            <w:shd w:val="clear" w:color="000000" w:fill="F2F2F2"/>
            <w:noWrap/>
            <w:vAlign w:val="center"/>
            <w:hideMark/>
          </w:tcPr>
          <w:p w:rsidR="00F353A2" w:rsidRPr="00F353A2" w:rsidRDefault="00F353A2" w:rsidP="00F353A2">
            <w:pPr>
              <w:spacing w:after="0" w:line="240" w:lineRule="auto"/>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Cámara de Diputados</w:t>
            </w:r>
          </w:p>
        </w:tc>
        <w:tc>
          <w:tcPr>
            <w:tcW w:w="1526" w:type="dxa"/>
            <w:tcBorders>
              <w:top w:val="nil"/>
              <w:left w:val="nil"/>
              <w:bottom w:val="nil"/>
              <w:right w:val="nil"/>
            </w:tcBorders>
            <w:shd w:val="clear" w:color="000000" w:fill="F2F2F2"/>
            <w:vAlign w:val="center"/>
            <w:hideMark/>
          </w:tcPr>
          <w:p w:rsidR="00F353A2" w:rsidRPr="00F353A2" w:rsidRDefault="00F353A2" w:rsidP="00F353A2">
            <w:pPr>
              <w:spacing w:after="0" w:line="240" w:lineRule="auto"/>
              <w:jc w:val="right"/>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-772,800</w:t>
            </w:r>
          </w:p>
        </w:tc>
        <w:tc>
          <w:tcPr>
            <w:tcW w:w="1322" w:type="dxa"/>
            <w:tcBorders>
              <w:top w:val="nil"/>
              <w:left w:val="nil"/>
              <w:bottom w:val="nil"/>
              <w:right w:val="nil"/>
            </w:tcBorders>
            <w:shd w:val="clear" w:color="000000" w:fill="F2F2F2"/>
            <w:vAlign w:val="center"/>
            <w:hideMark/>
          </w:tcPr>
          <w:p w:rsidR="00F353A2" w:rsidRPr="00F353A2" w:rsidRDefault="00F353A2" w:rsidP="00F353A2">
            <w:pPr>
              <w:spacing w:after="0" w:line="240" w:lineRule="auto"/>
              <w:jc w:val="right"/>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0</w:t>
            </w:r>
          </w:p>
        </w:tc>
      </w:tr>
      <w:tr w:rsidR="00F353A2" w:rsidRPr="00F353A2" w:rsidTr="00337B1D">
        <w:trPr>
          <w:trHeight w:val="255"/>
          <w:jc w:val="center"/>
        </w:trPr>
        <w:tc>
          <w:tcPr>
            <w:tcW w:w="4768" w:type="dxa"/>
            <w:tcBorders>
              <w:top w:val="nil"/>
              <w:left w:val="nil"/>
              <w:bottom w:val="nil"/>
              <w:right w:val="nil"/>
            </w:tcBorders>
            <w:shd w:val="clear" w:color="000000" w:fill="F2F2F2"/>
            <w:noWrap/>
            <w:vAlign w:val="center"/>
            <w:hideMark/>
          </w:tcPr>
          <w:p w:rsidR="00F353A2" w:rsidRPr="00F353A2" w:rsidRDefault="00F353A2" w:rsidP="00F353A2">
            <w:pPr>
              <w:spacing w:after="0" w:line="240" w:lineRule="auto"/>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Cámara de Senadores</w:t>
            </w:r>
          </w:p>
        </w:tc>
        <w:tc>
          <w:tcPr>
            <w:tcW w:w="1526" w:type="dxa"/>
            <w:tcBorders>
              <w:top w:val="nil"/>
              <w:left w:val="nil"/>
              <w:bottom w:val="nil"/>
              <w:right w:val="nil"/>
            </w:tcBorders>
            <w:shd w:val="clear" w:color="000000" w:fill="F2F2F2"/>
            <w:vAlign w:val="center"/>
            <w:hideMark/>
          </w:tcPr>
          <w:p w:rsidR="00F353A2" w:rsidRPr="00F353A2" w:rsidRDefault="00F353A2" w:rsidP="00F353A2">
            <w:pPr>
              <w:spacing w:after="0" w:line="240" w:lineRule="auto"/>
              <w:jc w:val="right"/>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0</w:t>
            </w:r>
          </w:p>
        </w:tc>
        <w:tc>
          <w:tcPr>
            <w:tcW w:w="1322" w:type="dxa"/>
            <w:tcBorders>
              <w:top w:val="nil"/>
              <w:left w:val="nil"/>
              <w:bottom w:val="nil"/>
              <w:right w:val="nil"/>
            </w:tcBorders>
            <w:shd w:val="clear" w:color="000000" w:fill="F2F2F2"/>
            <w:vAlign w:val="center"/>
            <w:hideMark/>
          </w:tcPr>
          <w:p w:rsidR="00F353A2" w:rsidRPr="00F353A2" w:rsidRDefault="00F353A2" w:rsidP="00F353A2">
            <w:pPr>
              <w:spacing w:after="0" w:line="240" w:lineRule="auto"/>
              <w:jc w:val="right"/>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0</w:t>
            </w:r>
          </w:p>
        </w:tc>
      </w:tr>
      <w:tr w:rsidR="00F353A2" w:rsidRPr="00F353A2" w:rsidTr="00337B1D">
        <w:trPr>
          <w:trHeight w:val="255"/>
          <w:jc w:val="center"/>
        </w:trPr>
        <w:tc>
          <w:tcPr>
            <w:tcW w:w="4768" w:type="dxa"/>
            <w:tcBorders>
              <w:top w:val="nil"/>
              <w:left w:val="nil"/>
              <w:bottom w:val="nil"/>
              <w:right w:val="nil"/>
            </w:tcBorders>
            <w:shd w:val="clear" w:color="000000" w:fill="F2F2F2"/>
            <w:noWrap/>
            <w:vAlign w:val="center"/>
            <w:hideMark/>
          </w:tcPr>
          <w:p w:rsidR="00F353A2" w:rsidRPr="00F353A2" w:rsidRDefault="00F353A2" w:rsidP="00F353A2">
            <w:pPr>
              <w:spacing w:after="0" w:line="240" w:lineRule="auto"/>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Auditoría Superior de la Federación</w:t>
            </w:r>
          </w:p>
        </w:tc>
        <w:tc>
          <w:tcPr>
            <w:tcW w:w="1526" w:type="dxa"/>
            <w:tcBorders>
              <w:top w:val="nil"/>
              <w:left w:val="nil"/>
              <w:bottom w:val="nil"/>
              <w:right w:val="nil"/>
            </w:tcBorders>
            <w:shd w:val="clear" w:color="000000" w:fill="F2F2F2"/>
            <w:vAlign w:val="center"/>
            <w:hideMark/>
          </w:tcPr>
          <w:p w:rsidR="00F353A2" w:rsidRPr="00F353A2" w:rsidRDefault="00F353A2" w:rsidP="00F353A2">
            <w:pPr>
              <w:spacing w:after="0" w:line="240" w:lineRule="auto"/>
              <w:jc w:val="right"/>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0</w:t>
            </w:r>
          </w:p>
        </w:tc>
        <w:tc>
          <w:tcPr>
            <w:tcW w:w="1322" w:type="dxa"/>
            <w:tcBorders>
              <w:top w:val="nil"/>
              <w:left w:val="nil"/>
              <w:bottom w:val="nil"/>
              <w:right w:val="nil"/>
            </w:tcBorders>
            <w:shd w:val="clear" w:color="000000" w:fill="F2F2F2"/>
            <w:vAlign w:val="center"/>
            <w:hideMark/>
          </w:tcPr>
          <w:p w:rsidR="00F353A2" w:rsidRPr="00F353A2" w:rsidRDefault="00F353A2" w:rsidP="00F353A2">
            <w:pPr>
              <w:spacing w:after="0" w:line="240" w:lineRule="auto"/>
              <w:jc w:val="right"/>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0</w:t>
            </w:r>
          </w:p>
        </w:tc>
      </w:tr>
      <w:tr w:rsidR="00F353A2" w:rsidRPr="00F353A2" w:rsidTr="00337B1D">
        <w:trPr>
          <w:trHeight w:val="270"/>
          <w:jc w:val="center"/>
        </w:trPr>
        <w:tc>
          <w:tcPr>
            <w:tcW w:w="4768" w:type="dxa"/>
            <w:tcBorders>
              <w:top w:val="nil"/>
              <w:left w:val="nil"/>
              <w:bottom w:val="nil"/>
              <w:right w:val="nil"/>
            </w:tcBorders>
            <w:shd w:val="clear" w:color="000000" w:fill="F2F2F2"/>
            <w:noWrap/>
            <w:vAlign w:val="center"/>
            <w:hideMark/>
          </w:tcPr>
          <w:p w:rsidR="00F353A2" w:rsidRPr="00F353A2" w:rsidRDefault="00F353A2" w:rsidP="00F353A2">
            <w:pPr>
              <w:spacing w:after="0" w:line="240" w:lineRule="auto"/>
              <w:jc w:val="right"/>
              <w:rPr>
                <w:rFonts w:ascii="Montserrat" w:eastAsia="Times New Roman" w:hAnsi="Montserrat" w:cs="Arial"/>
                <w:b/>
                <w:bCs/>
                <w:color w:val="000000"/>
                <w:sz w:val="15"/>
                <w:szCs w:val="15"/>
                <w:lang w:val="es-MX" w:eastAsia="es-MX"/>
              </w:rPr>
            </w:pPr>
            <w:r w:rsidRPr="00F353A2">
              <w:rPr>
                <w:rFonts w:ascii="Montserrat" w:eastAsia="Times New Roman" w:hAnsi="Montserrat" w:cs="Arial"/>
                <w:b/>
                <w:bCs/>
                <w:color w:val="000000"/>
                <w:sz w:val="15"/>
                <w:szCs w:val="15"/>
                <w:lang w:val="es-MX" w:eastAsia="es-MX"/>
              </w:rPr>
              <w:t>Suma de Estimación por Pérdida o Deterioro de Activos Circulantes</w:t>
            </w:r>
          </w:p>
        </w:tc>
        <w:tc>
          <w:tcPr>
            <w:tcW w:w="1526" w:type="dxa"/>
            <w:tcBorders>
              <w:top w:val="nil"/>
              <w:left w:val="nil"/>
              <w:bottom w:val="nil"/>
              <w:right w:val="nil"/>
            </w:tcBorders>
            <w:shd w:val="clear" w:color="000000" w:fill="F2F2F2"/>
            <w:vAlign w:val="center"/>
            <w:hideMark/>
          </w:tcPr>
          <w:p w:rsidR="00F353A2" w:rsidRPr="000B1893" w:rsidRDefault="00F353A2" w:rsidP="00F353A2">
            <w:pPr>
              <w:spacing w:after="0" w:line="240" w:lineRule="auto"/>
              <w:jc w:val="right"/>
              <w:rPr>
                <w:rFonts w:ascii="Montserrat" w:eastAsia="Times New Roman" w:hAnsi="Montserrat" w:cs="Arial"/>
                <w:b/>
                <w:color w:val="000000"/>
                <w:sz w:val="15"/>
                <w:szCs w:val="15"/>
                <w:lang w:val="es-MX" w:eastAsia="es-MX"/>
              </w:rPr>
            </w:pPr>
            <w:r w:rsidRPr="000B1893">
              <w:rPr>
                <w:rFonts w:ascii="Montserrat" w:eastAsia="Times New Roman" w:hAnsi="Montserrat" w:cs="Arial"/>
                <w:b/>
                <w:color w:val="000000"/>
                <w:sz w:val="15"/>
                <w:szCs w:val="15"/>
                <w:lang w:val="es-MX" w:eastAsia="es-MX"/>
              </w:rPr>
              <w:t>-772,800</w:t>
            </w:r>
          </w:p>
        </w:tc>
        <w:tc>
          <w:tcPr>
            <w:tcW w:w="1322" w:type="dxa"/>
            <w:tcBorders>
              <w:top w:val="nil"/>
              <w:left w:val="nil"/>
              <w:bottom w:val="nil"/>
              <w:right w:val="nil"/>
            </w:tcBorders>
            <w:shd w:val="clear" w:color="000000" w:fill="F2F2F2"/>
            <w:vAlign w:val="center"/>
            <w:hideMark/>
          </w:tcPr>
          <w:p w:rsidR="00F353A2" w:rsidRPr="000B1893" w:rsidRDefault="00F353A2" w:rsidP="00F353A2">
            <w:pPr>
              <w:spacing w:after="0" w:line="240" w:lineRule="auto"/>
              <w:jc w:val="right"/>
              <w:rPr>
                <w:rFonts w:ascii="Montserrat" w:eastAsia="Times New Roman" w:hAnsi="Montserrat" w:cs="Arial"/>
                <w:b/>
                <w:color w:val="000000"/>
                <w:sz w:val="15"/>
                <w:szCs w:val="15"/>
                <w:lang w:val="es-MX" w:eastAsia="es-MX"/>
              </w:rPr>
            </w:pPr>
            <w:r w:rsidRPr="000B1893">
              <w:rPr>
                <w:rFonts w:ascii="Montserrat" w:eastAsia="Times New Roman" w:hAnsi="Montserrat" w:cs="Arial"/>
                <w:b/>
                <w:color w:val="000000"/>
                <w:sz w:val="15"/>
                <w:szCs w:val="15"/>
                <w:lang w:val="es-MX" w:eastAsia="es-MX"/>
              </w:rPr>
              <w:t>0</w:t>
            </w:r>
          </w:p>
        </w:tc>
      </w:tr>
      <w:tr w:rsidR="00F353A2" w:rsidRPr="00F353A2" w:rsidTr="00337B1D">
        <w:trPr>
          <w:trHeight w:val="270"/>
          <w:jc w:val="center"/>
        </w:trPr>
        <w:tc>
          <w:tcPr>
            <w:tcW w:w="4768" w:type="dxa"/>
            <w:tcBorders>
              <w:top w:val="single" w:sz="12" w:space="0" w:color="808080"/>
              <w:left w:val="nil"/>
              <w:bottom w:val="nil"/>
              <w:right w:val="nil"/>
            </w:tcBorders>
            <w:shd w:val="clear" w:color="auto" w:fill="auto"/>
            <w:noWrap/>
            <w:vAlign w:val="center"/>
          </w:tcPr>
          <w:p w:rsidR="00F353A2" w:rsidRPr="00F353A2" w:rsidRDefault="00F353A2" w:rsidP="00F353A2">
            <w:pPr>
              <w:spacing w:after="0" w:line="240" w:lineRule="auto"/>
              <w:jc w:val="right"/>
              <w:rPr>
                <w:rFonts w:ascii="Soberana Sans Light" w:eastAsia="Times New Roman" w:hAnsi="Soberana Sans Light" w:cs="Arial"/>
                <w:b/>
                <w:bCs/>
                <w:color w:val="E26B0A"/>
                <w:sz w:val="16"/>
                <w:szCs w:val="16"/>
                <w:lang w:val="es-MX" w:eastAsia="es-MX"/>
              </w:rPr>
            </w:pPr>
          </w:p>
        </w:tc>
        <w:tc>
          <w:tcPr>
            <w:tcW w:w="1526" w:type="dxa"/>
            <w:tcBorders>
              <w:top w:val="single" w:sz="12" w:space="0" w:color="808080"/>
              <w:left w:val="nil"/>
              <w:bottom w:val="nil"/>
              <w:right w:val="nil"/>
            </w:tcBorders>
            <w:shd w:val="clear" w:color="auto" w:fill="auto"/>
            <w:noWrap/>
            <w:vAlign w:val="center"/>
          </w:tcPr>
          <w:p w:rsidR="00F353A2" w:rsidRPr="00F353A2" w:rsidRDefault="00F353A2" w:rsidP="00F353A2">
            <w:pPr>
              <w:spacing w:after="0" w:line="240" w:lineRule="auto"/>
              <w:jc w:val="right"/>
              <w:rPr>
                <w:rFonts w:ascii="Soberana Sans Light" w:eastAsia="Times New Roman" w:hAnsi="Soberana Sans Light" w:cs="Arial"/>
                <w:b/>
                <w:bCs/>
                <w:color w:val="E26B0A"/>
                <w:sz w:val="16"/>
                <w:szCs w:val="16"/>
                <w:lang w:val="es-MX" w:eastAsia="es-MX"/>
              </w:rPr>
            </w:pPr>
          </w:p>
        </w:tc>
        <w:tc>
          <w:tcPr>
            <w:tcW w:w="1322" w:type="dxa"/>
            <w:tcBorders>
              <w:top w:val="single" w:sz="12" w:space="0" w:color="808080"/>
              <w:left w:val="nil"/>
              <w:bottom w:val="nil"/>
              <w:right w:val="nil"/>
            </w:tcBorders>
            <w:shd w:val="clear" w:color="auto" w:fill="auto"/>
            <w:noWrap/>
            <w:vAlign w:val="center"/>
          </w:tcPr>
          <w:p w:rsidR="00F353A2" w:rsidRPr="00F353A2" w:rsidRDefault="00F353A2" w:rsidP="00F353A2">
            <w:pPr>
              <w:spacing w:after="0" w:line="240" w:lineRule="auto"/>
              <w:jc w:val="right"/>
              <w:rPr>
                <w:rFonts w:ascii="Soberana Sans Light" w:eastAsia="Times New Roman" w:hAnsi="Soberana Sans Light" w:cs="Arial"/>
                <w:b/>
                <w:bCs/>
                <w:color w:val="E26B0A"/>
                <w:sz w:val="16"/>
                <w:szCs w:val="16"/>
                <w:lang w:val="es-MX" w:eastAsia="es-MX"/>
              </w:rPr>
            </w:pPr>
          </w:p>
        </w:tc>
      </w:tr>
    </w:tbl>
    <w:p w:rsidR="00297378" w:rsidRPr="002C6D54" w:rsidRDefault="00297378" w:rsidP="00297378">
      <w:pPr>
        <w:pStyle w:val="VIETAFLECHA"/>
      </w:pPr>
      <w:r w:rsidRPr="002C6D54">
        <w:t>Otros Activos Circulantes</w:t>
      </w:r>
    </w:p>
    <w:p w:rsidR="00297378" w:rsidRDefault="00297378" w:rsidP="002C6D54">
      <w:pPr>
        <w:pStyle w:val="TEXTONORMAL"/>
      </w:pPr>
      <w:r>
        <w:t>El Poder Legislativo no reporta información en el rubro de Otros Act</w:t>
      </w:r>
      <w:r w:rsidR="00D36914">
        <w:t>ivos Circulantes.</w:t>
      </w:r>
    </w:p>
    <w:p w:rsidR="00297378" w:rsidRPr="002C6D54" w:rsidRDefault="00297378" w:rsidP="00297378">
      <w:pPr>
        <w:pStyle w:val="VIETAFLECHA"/>
      </w:pPr>
      <w:r w:rsidRPr="002C6D54">
        <w:t>Inversiones Financieras a Largo Plazo</w:t>
      </w:r>
    </w:p>
    <w:p w:rsidR="00297378" w:rsidRDefault="00297378" w:rsidP="002C6D54">
      <w:pPr>
        <w:pStyle w:val="TEXTONORMAL"/>
      </w:pPr>
      <w:r>
        <w:t>Se presenta la información consolidada de los entes públicos del Poder Legislativo que integra el rubro de Inversiones Financieras a Largo Plazo:</w:t>
      </w:r>
    </w:p>
    <w:tbl>
      <w:tblPr>
        <w:tblW w:w="7617" w:type="dxa"/>
        <w:jc w:val="center"/>
        <w:tblCellMar>
          <w:left w:w="70" w:type="dxa"/>
          <w:right w:w="70" w:type="dxa"/>
        </w:tblCellMar>
        <w:tblLook w:val="04A0" w:firstRow="1" w:lastRow="0" w:firstColumn="1" w:lastColumn="0" w:noHBand="0" w:noVBand="1"/>
      </w:tblPr>
      <w:tblGrid>
        <w:gridCol w:w="3955"/>
        <w:gridCol w:w="1831"/>
        <w:gridCol w:w="1831"/>
      </w:tblGrid>
      <w:tr w:rsidR="00F353A2" w:rsidRPr="00F353A2" w:rsidTr="00337B1D">
        <w:trPr>
          <w:trHeight w:val="270"/>
          <w:jc w:val="center"/>
        </w:trPr>
        <w:tc>
          <w:tcPr>
            <w:tcW w:w="7617" w:type="dxa"/>
            <w:gridSpan w:val="3"/>
            <w:tcBorders>
              <w:top w:val="nil"/>
              <w:left w:val="nil"/>
              <w:bottom w:val="single" w:sz="12" w:space="0" w:color="808080"/>
              <w:right w:val="nil"/>
            </w:tcBorders>
            <w:shd w:val="clear" w:color="auto" w:fill="auto"/>
            <w:noWrap/>
            <w:vAlign w:val="center"/>
            <w:hideMark/>
          </w:tcPr>
          <w:p w:rsidR="00F353A2" w:rsidRPr="00F353A2" w:rsidRDefault="00F353A2" w:rsidP="00F353A2">
            <w:pPr>
              <w:spacing w:after="0" w:line="240" w:lineRule="auto"/>
              <w:jc w:val="center"/>
              <w:rPr>
                <w:rFonts w:ascii="Montserrat" w:eastAsia="Times New Roman" w:hAnsi="Montserrat" w:cs="Arial"/>
                <w:sz w:val="16"/>
                <w:szCs w:val="16"/>
                <w:lang w:val="es-MX" w:eastAsia="es-MX"/>
              </w:rPr>
            </w:pPr>
            <w:r w:rsidRPr="00F353A2">
              <w:rPr>
                <w:rFonts w:ascii="Montserrat" w:eastAsia="Times New Roman" w:hAnsi="Montserrat" w:cs="Arial"/>
                <w:sz w:val="16"/>
                <w:szCs w:val="16"/>
                <w:lang w:val="es-MX" w:eastAsia="es-MX"/>
              </w:rPr>
              <w:t>(Pesos)</w:t>
            </w:r>
          </w:p>
        </w:tc>
      </w:tr>
      <w:tr w:rsidR="00F353A2" w:rsidRPr="00F353A2" w:rsidTr="00337B1D">
        <w:trPr>
          <w:trHeight w:val="15"/>
          <w:jc w:val="center"/>
        </w:trPr>
        <w:tc>
          <w:tcPr>
            <w:tcW w:w="7617" w:type="dxa"/>
            <w:gridSpan w:val="3"/>
            <w:tcBorders>
              <w:top w:val="single" w:sz="12" w:space="0" w:color="808080"/>
              <w:left w:val="nil"/>
              <w:bottom w:val="nil"/>
              <w:right w:val="nil"/>
            </w:tcBorders>
            <w:shd w:val="clear" w:color="auto" w:fill="auto"/>
            <w:vAlign w:val="center"/>
            <w:hideMark/>
          </w:tcPr>
          <w:p w:rsidR="00F353A2" w:rsidRPr="00F353A2" w:rsidRDefault="00F353A2" w:rsidP="00D36914">
            <w:pPr>
              <w:spacing w:after="0" w:line="240" w:lineRule="auto"/>
              <w:rPr>
                <w:rFonts w:ascii="Montserrat" w:eastAsia="Times New Roman" w:hAnsi="Montserrat" w:cs="Arial"/>
                <w:b/>
                <w:bCs/>
                <w:color w:val="000000"/>
                <w:sz w:val="10"/>
                <w:szCs w:val="10"/>
                <w:lang w:val="es-MX" w:eastAsia="es-MX"/>
              </w:rPr>
            </w:pPr>
          </w:p>
        </w:tc>
      </w:tr>
      <w:tr w:rsidR="00F353A2" w:rsidRPr="00F353A2" w:rsidTr="00337B1D">
        <w:trPr>
          <w:trHeight w:val="255"/>
          <w:jc w:val="center"/>
        </w:trPr>
        <w:tc>
          <w:tcPr>
            <w:tcW w:w="3955" w:type="dxa"/>
            <w:tcBorders>
              <w:top w:val="nil"/>
              <w:left w:val="nil"/>
              <w:bottom w:val="nil"/>
              <w:right w:val="single" w:sz="8" w:space="0" w:color="FFFFFF"/>
            </w:tcBorders>
            <w:shd w:val="clear" w:color="000000" w:fill="D4C19C"/>
            <w:vAlign w:val="center"/>
            <w:hideMark/>
          </w:tcPr>
          <w:p w:rsidR="00F353A2" w:rsidRPr="00F353A2" w:rsidRDefault="00F353A2" w:rsidP="00F353A2">
            <w:pPr>
              <w:spacing w:after="0" w:line="240" w:lineRule="auto"/>
              <w:jc w:val="center"/>
              <w:rPr>
                <w:rFonts w:ascii="Montserrat" w:eastAsia="Times New Roman" w:hAnsi="Montserrat" w:cs="Arial"/>
                <w:b/>
                <w:bCs/>
                <w:color w:val="FFFFFF"/>
                <w:sz w:val="16"/>
                <w:szCs w:val="16"/>
                <w:lang w:val="es-MX" w:eastAsia="es-MX"/>
              </w:rPr>
            </w:pPr>
            <w:r w:rsidRPr="00F353A2">
              <w:rPr>
                <w:rFonts w:ascii="Montserrat" w:eastAsia="Times New Roman" w:hAnsi="Montserrat" w:cs="Arial"/>
                <w:b/>
                <w:bCs/>
                <w:color w:val="FFFFFF"/>
                <w:sz w:val="16"/>
                <w:szCs w:val="16"/>
                <w:lang w:val="es-MX" w:eastAsia="es-MX"/>
              </w:rPr>
              <w:t>Concepto</w:t>
            </w:r>
          </w:p>
        </w:tc>
        <w:tc>
          <w:tcPr>
            <w:tcW w:w="1831" w:type="dxa"/>
            <w:tcBorders>
              <w:top w:val="nil"/>
              <w:left w:val="nil"/>
              <w:bottom w:val="nil"/>
              <w:right w:val="single" w:sz="8" w:space="0" w:color="FFFFFF"/>
            </w:tcBorders>
            <w:shd w:val="clear" w:color="000000" w:fill="D4C19C"/>
            <w:vAlign w:val="center"/>
            <w:hideMark/>
          </w:tcPr>
          <w:p w:rsidR="00F353A2" w:rsidRPr="00F353A2" w:rsidRDefault="00F353A2" w:rsidP="00F353A2">
            <w:pPr>
              <w:spacing w:after="0" w:line="240" w:lineRule="auto"/>
              <w:jc w:val="center"/>
              <w:rPr>
                <w:rFonts w:ascii="Montserrat" w:eastAsia="Times New Roman" w:hAnsi="Montserrat" w:cs="Arial"/>
                <w:b/>
                <w:bCs/>
                <w:color w:val="FFFFFF"/>
                <w:sz w:val="16"/>
                <w:szCs w:val="16"/>
                <w:lang w:val="es-MX" w:eastAsia="es-MX"/>
              </w:rPr>
            </w:pPr>
            <w:r w:rsidRPr="00F353A2">
              <w:rPr>
                <w:rFonts w:ascii="Montserrat" w:eastAsia="Times New Roman" w:hAnsi="Montserrat" w:cs="Arial"/>
                <w:b/>
                <w:bCs/>
                <w:color w:val="FFFFFF"/>
                <w:sz w:val="16"/>
                <w:szCs w:val="16"/>
                <w:lang w:val="es-MX" w:eastAsia="es-MX"/>
              </w:rPr>
              <w:t>2018</w:t>
            </w:r>
          </w:p>
        </w:tc>
        <w:tc>
          <w:tcPr>
            <w:tcW w:w="1831" w:type="dxa"/>
            <w:tcBorders>
              <w:top w:val="nil"/>
              <w:left w:val="nil"/>
              <w:bottom w:val="nil"/>
              <w:right w:val="single" w:sz="8" w:space="0" w:color="FFFFFF"/>
            </w:tcBorders>
            <w:shd w:val="clear" w:color="000000" w:fill="D4C19C"/>
            <w:vAlign w:val="center"/>
            <w:hideMark/>
          </w:tcPr>
          <w:p w:rsidR="00F353A2" w:rsidRPr="00F353A2" w:rsidRDefault="00F353A2" w:rsidP="00F353A2">
            <w:pPr>
              <w:spacing w:after="0" w:line="240" w:lineRule="auto"/>
              <w:jc w:val="center"/>
              <w:rPr>
                <w:rFonts w:ascii="Montserrat" w:eastAsia="Times New Roman" w:hAnsi="Montserrat" w:cs="Arial"/>
                <w:b/>
                <w:bCs/>
                <w:color w:val="FFFFFF"/>
                <w:sz w:val="16"/>
                <w:szCs w:val="16"/>
                <w:lang w:val="es-MX" w:eastAsia="es-MX"/>
              </w:rPr>
            </w:pPr>
            <w:r w:rsidRPr="00F353A2">
              <w:rPr>
                <w:rFonts w:ascii="Montserrat" w:eastAsia="Times New Roman" w:hAnsi="Montserrat" w:cs="Arial"/>
                <w:b/>
                <w:bCs/>
                <w:color w:val="FFFFFF"/>
                <w:sz w:val="16"/>
                <w:szCs w:val="16"/>
                <w:lang w:val="es-MX" w:eastAsia="es-MX"/>
              </w:rPr>
              <w:t>2017</w:t>
            </w:r>
          </w:p>
        </w:tc>
      </w:tr>
      <w:tr w:rsidR="00F353A2" w:rsidRPr="00F353A2" w:rsidTr="00D36914">
        <w:trPr>
          <w:trHeight w:val="53"/>
          <w:jc w:val="center"/>
        </w:trPr>
        <w:tc>
          <w:tcPr>
            <w:tcW w:w="7617" w:type="dxa"/>
            <w:gridSpan w:val="3"/>
            <w:tcBorders>
              <w:top w:val="nil"/>
              <w:left w:val="nil"/>
              <w:bottom w:val="double" w:sz="6" w:space="0" w:color="808080"/>
              <w:right w:val="nil"/>
            </w:tcBorders>
            <w:shd w:val="clear" w:color="auto" w:fill="auto"/>
            <w:vAlign w:val="center"/>
            <w:hideMark/>
          </w:tcPr>
          <w:p w:rsidR="00F353A2" w:rsidRPr="00F353A2" w:rsidRDefault="00F353A2" w:rsidP="00F353A2">
            <w:pPr>
              <w:spacing w:after="0" w:line="240" w:lineRule="auto"/>
              <w:jc w:val="center"/>
              <w:rPr>
                <w:rFonts w:ascii="Montserrat" w:eastAsia="Times New Roman" w:hAnsi="Montserrat" w:cs="Arial"/>
                <w:b/>
                <w:bCs/>
                <w:color w:val="000000"/>
                <w:sz w:val="4"/>
                <w:szCs w:val="4"/>
                <w:lang w:val="es-MX" w:eastAsia="es-MX"/>
              </w:rPr>
            </w:pPr>
            <w:r w:rsidRPr="00F353A2">
              <w:rPr>
                <w:rFonts w:ascii="Montserrat" w:eastAsia="Times New Roman" w:hAnsi="Montserrat" w:cs="Arial"/>
                <w:b/>
                <w:bCs/>
                <w:color w:val="000000"/>
                <w:sz w:val="4"/>
                <w:szCs w:val="4"/>
                <w:lang w:val="es-MX" w:eastAsia="es-MX"/>
              </w:rPr>
              <w:t> </w:t>
            </w:r>
          </w:p>
        </w:tc>
      </w:tr>
      <w:tr w:rsidR="00F353A2" w:rsidRPr="00F353A2" w:rsidTr="00337B1D">
        <w:trPr>
          <w:trHeight w:val="270"/>
          <w:jc w:val="center"/>
        </w:trPr>
        <w:tc>
          <w:tcPr>
            <w:tcW w:w="3955" w:type="dxa"/>
            <w:tcBorders>
              <w:top w:val="nil"/>
              <w:left w:val="nil"/>
              <w:bottom w:val="nil"/>
              <w:right w:val="nil"/>
            </w:tcBorders>
            <w:shd w:val="clear" w:color="000000" w:fill="F2F2F2"/>
            <w:noWrap/>
            <w:vAlign w:val="center"/>
            <w:hideMark/>
          </w:tcPr>
          <w:p w:rsidR="00F353A2" w:rsidRPr="00F353A2" w:rsidRDefault="00F353A2" w:rsidP="00F353A2">
            <w:pPr>
              <w:spacing w:after="0" w:line="240" w:lineRule="auto"/>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Cámara de Diputados</w:t>
            </w:r>
          </w:p>
        </w:tc>
        <w:tc>
          <w:tcPr>
            <w:tcW w:w="1831" w:type="dxa"/>
            <w:tcBorders>
              <w:top w:val="nil"/>
              <w:left w:val="nil"/>
              <w:bottom w:val="nil"/>
              <w:right w:val="nil"/>
            </w:tcBorders>
            <w:shd w:val="clear" w:color="000000" w:fill="F2F2F2"/>
            <w:vAlign w:val="center"/>
            <w:hideMark/>
          </w:tcPr>
          <w:p w:rsidR="00F353A2" w:rsidRPr="00F353A2" w:rsidRDefault="00F353A2" w:rsidP="00F353A2">
            <w:pPr>
              <w:spacing w:after="0" w:line="240" w:lineRule="auto"/>
              <w:jc w:val="right"/>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0</w:t>
            </w:r>
          </w:p>
        </w:tc>
        <w:tc>
          <w:tcPr>
            <w:tcW w:w="1831" w:type="dxa"/>
            <w:tcBorders>
              <w:top w:val="nil"/>
              <w:left w:val="nil"/>
              <w:bottom w:val="nil"/>
              <w:right w:val="nil"/>
            </w:tcBorders>
            <w:shd w:val="clear" w:color="000000" w:fill="F2F2F2"/>
            <w:vAlign w:val="center"/>
            <w:hideMark/>
          </w:tcPr>
          <w:p w:rsidR="00F353A2" w:rsidRPr="00F353A2" w:rsidRDefault="00F353A2" w:rsidP="00F353A2">
            <w:pPr>
              <w:spacing w:after="0" w:line="240" w:lineRule="auto"/>
              <w:jc w:val="right"/>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0</w:t>
            </w:r>
          </w:p>
        </w:tc>
      </w:tr>
      <w:tr w:rsidR="00F353A2" w:rsidRPr="00F353A2" w:rsidTr="00337B1D">
        <w:trPr>
          <w:trHeight w:val="255"/>
          <w:jc w:val="center"/>
        </w:trPr>
        <w:tc>
          <w:tcPr>
            <w:tcW w:w="3955" w:type="dxa"/>
            <w:tcBorders>
              <w:top w:val="nil"/>
              <w:left w:val="nil"/>
              <w:bottom w:val="nil"/>
              <w:right w:val="nil"/>
            </w:tcBorders>
            <w:shd w:val="clear" w:color="000000" w:fill="F2F2F2"/>
            <w:noWrap/>
            <w:vAlign w:val="center"/>
            <w:hideMark/>
          </w:tcPr>
          <w:p w:rsidR="00F353A2" w:rsidRPr="00F353A2" w:rsidRDefault="00F353A2" w:rsidP="00F353A2">
            <w:pPr>
              <w:spacing w:after="0" w:line="240" w:lineRule="auto"/>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Cámara de Senadores</w:t>
            </w:r>
          </w:p>
        </w:tc>
        <w:tc>
          <w:tcPr>
            <w:tcW w:w="1831" w:type="dxa"/>
            <w:tcBorders>
              <w:top w:val="nil"/>
              <w:left w:val="nil"/>
              <w:bottom w:val="nil"/>
              <w:right w:val="nil"/>
            </w:tcBorders>
            <w:shd w:val="clear" w:color="000000" w:fill="F2F2F2"/>
            <w:vAlign w:val="center"/>
            <w:hideMark/>
          </w:tcPr>
          <w:p w:rsidR="00F353A2" w:rsidRPr="00F353A2" w:rsidRDefault="00F353A2" w:rsidP="00F353A2">
            <w:pPr>
              <w:spacing w:after="0" w:line="240" w:lineRule="auto"/>
              <w:jc w:val="right"/>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1,455,955,125</w:t>
            </w:r>
          </w:p>
        </w:tc>
        <w:tc>
          <w:tcPr>
            <w:tcW w:w="1831" w:type="dxa"/>
            <w:tcBorders>
              <w:top w:val="nil"/>
              <w:left w:val="nil"/>
              <w:bottom w:val="nil"/>
              <w:right w:val="nil"/>
            </w:tcBorders>
            <w:shd w:val="clear" w:color="000000" w:fill="F2F2F2"/>
            <w:vAlign w:val="center"/>
            <w:hideMark/>
          </w:tcPr>
          <w:p w:rsidR="00F353A2" w:rsidRPr="00F353A2" w:rsidRDefault="00F353A2" w:rsidP="00F353A2">
            <w:pPr>
              <w:spacing w:after="0" w:line="240" w:lineRule="auto"/>
              <w:jc w:val="right"/>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2,243,410,069</w:t>
            </w:r>
          </w:p>
        </w:tc>
      </w:tr>
      <w:tr w:rsidR="00F353A2" w:rsidRPr="00F353A2" w:rsidTr="00337B1D">
        <w:trPr>
          <w:trHeight w:val="255"/>
          <w:jc w:val="center"/>
        </w:trPr>
        <w:tc>
          <w:tcPr>
            <w:tcW w:w="3955" w:type="dxa"/>
            <w:tcBorders>
              <w:top w:val="nil"/>
              <w:left w:val="nil"/>
              <w:bottom w:val="nil"/>
              <w:right w:val="nil"/>
            </w:tcBorders>
            <w:shd w:val="clear" w:color="000000" w:fill="F2F2F2"/>
            <w:noWrap/>
            <w:vAlign w:val="center"/>
            <w:hideMark/>
          </w:tcPr>
          <w:p w:rsidR="00F353A2" w:rsidRPr="00F353A2" w:rsidRDefault="00F353A2" w:rsidP="00F353A2">
            <w:pPr>
              <w:spacing w:after="0" w:line="240" w:lineRule="auto"/>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Auditoría Superior de la Federación</w:t>
            </w:r>
          </w:p>
        </w:tc>
        <w:tc>
          <w:tcPr>
            <w:tcW w:w="1831" w:type="dxa"/>
            <w:tcBorders>
              <w:top w:val="nil"/>
              <w:left w:val="nil"/>
              <w:bottom w:val="nil"/>
              <w:right w:val="nil"/>
            </w:tcBorders>
            <w:shd w:val="clear" w:color="000000" w:fill="F2F2F2"/>
            <w:vAlign w:val="center"/>
            <w:hideMark/>
          </w:tcPr>
          <w:p w:rsidR="00F353A2" w:rsidRPr="00F353A2" w:rsidRDefault="00F353A2" w:rsidP="00F353A2">
            <w:pPr>
              <w:spacing w:after="0" w:line="240" w:lineRule="auto"/>
              <w:jc w:val="right"/>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0</w:t>
            </w:r>
          </w:p>
        </w:tc>
        <w:tc>
          <w:tcPr>
            <w:tcW w:w="1831" w:type="dxa"/>
            <w:tcBorders>
              <w:top w:val="nil"/>
              <w:left w:val="nil"/>
              <w:bottom w:val="nil"/>
              <w:right w:val="nil"/>
            </w:tcBorders>
            <w:shd w:val="clear" w:color="000000" w:fill="F2F2F2"/>
            <w:vAlign w:val="center"/>
            <w:hideMark/>
          </w:tcPr>
          <w:p w:rsidR="00F353A2" w:rsidRPr="00F353A2" w:rsidRDefault="00F353A2" w:rsidP="00F353A2">
            <w:pPr>
              <w:spacing w:after="0" w:line="240" w:lineRule="auto"/>
              <w:jc w:val="right"/>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0</w:t>
            </w:r>
          </w:p>
        </w:tc>
      </w:tr>
      <w:tr w:rsidR="00F353A2" w:rsidRPr="00F353A2" w:rsidTr="00337B1D">
        <w:trPr>
          <w:trHeight w:val="270"/>
          <w:jc w:val="center"/>
        </w:trPr>
        <w:tc>
          <w:tcPr>
            <w:tcW w:w="3955" w:type="dxa"/>
            <w:tcBorders>
              <w:top w:val="nil"/>
              <w:left w:val="nil"/>
              <w:bottom w:val="nil"/>
              <w:right w:val="nil"/>
            </w:tcBorders>
            <w:shd w:val="clear" w:color="000000" w:fill="F2F2F2"/>
            <w:noWrap/>
            <w:vAlign w:val="center"/>
            <w:hideMark/>
          </w:tcPr>
          <w:p w:rsidR="00F353A2" w:rsidRPr="00F353A2" w:rsidRDefault="00F353A2" w:rsidP="00F353A2">
            <w:pPr>
              <w:spacing w:after="0" w:line="240" w:lineRule="auto"/>
              <w:jc w:val="right"/>
              <w:rPr>
                <w:rFonts w:ascii="Montserrat" w:eastAsia="Times New Roman" w:hAnsi="Montserrat" w:cs="Arial"/>
                <w:b/>
                <w:bCs/>
                <w:color w:val="000000"/>
                <w:sz w:val="15"/>
                <w:szCs w:val="15"/>
                <w:lang w:val="es-MX" w:eastAsia="es-MX"/>
              </w:rPr>
            </w:pPr>
            <w:r w:rsidRPr="00F353A2">
              <w:rPr>
                <w:rFonts w:ascii="Montserrat" w:eastAsia="Times New Roman" w:hAnsi="Montserrat" w:cs="Arial"/>
                <w:b/>
                <w:bCs/>
                <w:color w:val="000000"/>
                <w:sz w:val="15"/>
                <w:szCs w:val="15"/>
                <w:lang w:val="es-MX" w:eastAsia="es-MX"/>
              </w:rPr>
              <w:t>Suma de Inversiones Financieras a Largo Plazo</w:t>
            </w:r>
          </w:p>
        </w:tc>
        <w:tc>
          <w:tcPr>
            <w:tcW w:w="1831" w:type="dxa"/>
            <w:tcBorders>
              <w:top w:val="nil"/>
              <w:left w:val="nil"/>
              <w:bottom w:val="nil"/>
              <w:right w:val="nil"/>
            </w:tcBorders>
            <w:shd w:val="clear" w:color="000000" w:fill="F2F2F2"/>
            <w:vAlign w:val="center"/>
            <w:hideMark/>
          </w:tcPr>
          <w:p w:rsidR="00F353A2" w:rsidRPr="000B1893" w:rsidRDefault="00F353A2" w:rsidP="00F353A2">
            <w:pPr>
              <w:spacing w:after="0" w:line="240" w:lineRule="auto"/>
              <w:jc w:val="right"/>
              <w:rPr>
                <w:rFonts w:ascii="Montserrat" w:eastAsia="Times New Roman" w:hAnsi="Montserrat" w:cs="Arial"/>
                <w:b/>
                <w:color w:val="000000"/>
                <w:sz w:val="15"/>
                <w:szCs w:val="15"/>
                <w:lang w:val="es-MX" w:eastAsia="es-MX"/>
              </w:rPr>
            </w:pPr>
            <w:r w:rsidRPr="000B1893">
              <w:rPr>
                <w:rFonts w:ascii="Montserrat" w:eastAsia="Times New Roman" w:hAnsi="Montserrat" w:cs="Arial"/>
                <w:b/>
                <w:color w:val="000000"/>
                <w:sz w:val="15"/>
                <w:szCs w:val="15"/>
                <w:lang w:val="es-MX" w:eastAsia="es-MX"/>
              </w:rPr>
              <w:t>1,455,955,125</w:t>
            </w:r>
          </w:p>
        </w:tc>
        <w:tc>
          <w:tcPr>
            <w:tcW w:w="1831" w:type="dxa"/>
            <w:tcBorders>
              <w:top w:val="nil"/>
              <w:left w:val="nil"/>
              <w:bottom w:val="nil"/>
              <w:right w:val="nil"/>
            </w:tcBorders>
            <w:shd w:val="clear" w:color="000000" w:fill="F2F2F2"/>
            <w:vAlign w:val="center"/>
            <w:hideMark/>
          </w:tcPr>
          <w:p w:rsidR="00F353A2" w:rsidRPr="000B1893" w:rsidRDefault="00F353A2" w:rsidP="00F353A2">
            <w:pPr>
              <w:spacing w:after="0" w:line="240" w:lineRule="auto"/>
              <w:jc w:val="right"/>
              <w:rPr>
                <w:rFonts w:ascii="Montserrat" w:eastAsia="Times New Roman" w:hAnsi="Montserrat" w:cs="Arial"/>
                <w:b/>
                <w:color w:val="000000"/>
                <w:sz w:val="15"/>
                <w:szCs w:val="15"/>
                <w:lang w:val="es-MX" w:eastAsia="es-MX"/>
              </w:rPr>
            </w:pPr>
            <w:r w:rsidRPr="000B1893">
              <w:rPr>
                <w:rFonts w:ascii="Montserrat" w:eastAsia="Times New Roman" w:hAnsi="Montserrat" w:cs="Arial"/>
                <w:b/>
                <w:color w:val="000000"/>
                <w:sz w:val="15"/>
                <w:szCs w:val="15"/>
                <w:lang w:val="es-MX" w:eastAsia="es-MX"/>
              </w:rPr>
              <w:t>2,243,410,069</w:t>
            </w:r>
          </w:p>
        </w:tc>
      </w:tr>
      <w:tr w:rsidR="00F353A2" w:rsidRPr="00F353A2" w:rsidTr="00D36914">
        <w:trPr>
          <w:trHeight w:val="33"/>
          <w:jc w:val="center"/>
        </w:trPr>
        <w:tc>
          <w:tcPr>
            <w:tcW w:w="3955" w:type="dxa"/>
            <w:tcBorders>
              <w:top w:val="single" w:sz="12" w:space="0" w:color="808080"/>
              <w:left w:val="nil"/>
              <w:bottom w:val="nil"/>
              <w:right w:val="nil"/>
            </w:tcBorders>
            <w:shd w:val="clear" w:color="auto" w:fill="auto"/>
            <w:noWrap/>
            <w:vAlign w:val="center"/>
          </w:tcPr>
          <w:p w:rsidR="00F353A2" w:rsidRPr="00F353A2" w:rsidRDefault="00F353A2" w:rsidP="00D36914">
            <w:pPr>
              <w:spacing w:after="0" w:line="240" w:lineRule="auto"/>
              <w:rPr>
                <w:rFonts w:ascii="Soberana Sans Light" w:eastAsia="Times New Roman" w:hAnsi="Soberana Sans Light" w:cs="Arial"/>
                <w:b/>
                <w:bCs/>
                <w:color w:val="E26B0A"/>
                <w:sz w:val="16"/>
                <w:szCs w:val="16"/>
                <w:lang w:val="es-MX" w:eastAsia="es-MX"/>
              </w:rPr>
            </w:pPr>
          </w:p>
        </w:tc>
        <w:tc>
          <w:tcPr>
            <w:tcW w:w="1831" w:type="dxa"/>
            <w:tcBorders>
              <w:top w:val="single" w:sz="12" w:space="0" w:color="808080"/>
              <w:left w:val="nil"/>
              <w:bottom w:val="nil"/>
              <w:right w:val="nil"/>
            </w:tcBorders>
            <w:shd w:val="clear" w:color="auto" w:fill="auto"/>
            <w:noWrap/>
            <w:vAlign w:val="center"/>
          </w:tcPr>
          <w:p w:rsidR="00F353A2" w:rsidRPr="00D36914" w:rsidRDefault="00F353A2" w:rsidP="00F353A2">
            <w:pPr>
              <w:spacing w:after="0" w:line="240" w:lineRule="auto"/>
              <w:jc w:val="right"/>
              <w:rPr>
                <w:rFonts w:ascii="Soberana Sans Light" w:eastAsia="Times New Roman" w:hAnsi="Soberana Sans Light" w:cs="Arial"/>
                <w:b/>
                <w:bCs/>
                <w:color w:val="E26B0A"/>
                <w:sz w:val="2"/>
                <w:szCs w:val="16"/>
                <w:lang w:val="es-MX" w:eastAsia="es-MX"/>
              </w:rPr>
            </w:pPr>
          </w:p>
        </w:tc>
        <w:tc>
          <w:tcPr>
            <w:tcW w:w="1831" w:type="dxa"/>
            <w:tcBorders>
              <w:top w:val="single" w:sz="12" w:space="0" w:color="808080"/>
              <w:left w:val="nil"/>
              <w:bottom w:val="nil"/>
              <w:right w:val="nil"/>
            </w:tcBorders>
            <w:shd w:val="clear" w:color="auto" w:fill="auto"/>
            <w:noWrap/>
            <w:vAlign w:val="center"/>
          </w:tcPr>
          <w:p w:rsidR="00F353A2" w:rsidRPr="00F353A2" w:rsidRDefault="00F353A2" w:rsidP="00F353A2">
            <w:pPr>
              <w:spacing w:after="0" w:line="240" w:lineRule="auto"/>
              <w:jc w:val="right"/>
              <w:rPr>
                <w:rFonts w:ascii="Soberana Sans Light" w:eastAsia="Times New Roman" w:hAnsi="Soberana Sans Light" w:cs="Arial"/>
                <w:b/>
                <w:bCs/>
                <w:color w:val="E26B0A"/>
                <w:sz w:val="16"/>
                <w:szCs w:val="16"/>
                <w:lang w:val="es-MX" w:eastAsia="es-MX"/>
              </w:rPr>
            </w:pPr>
          </w:p>
        </w:tc>
      </w:tr>
    </w:tbl>
    <w:p w:rsidR="00297378" w:rsidRDefault="00297378" w:rsidP="00297378">
      <w:pPr>
        <w:pStyle w:val="TEXTONORMAL"/>
      </w:pPr>
    </w:p>
    <w:p w:rsidR="00297378" w:rsidRPr="002C6D54" w:rsidRDefault="00297378" w:rsidP="00297378">
      <w:pPr>
        <w:pStyle w:val="VIETAFLECHA"/>
      </w:pPr>
      <w:r w:rsidRPr="002C6D54">
        <w:lastRenderedPageBreak/>
        <w:t>Derechos a Recibir Efectivo o Equivalentes a Largo Plazo</w:t>
      </w:r>
    </w:p>
    <w:p w:rsidR="00297378" w:rsidRDefault="00297378" w:rsidP="002C6D54">
      <w:pPr>
        <w:pStyle w:val="TEXTONORMAL"/>
      </w:pPr>
      <w:r>
        <w:t>El Poder Legislativo no reporta información en el rubro de Derechos a Recibir Efectivo o Equivalentes a Largo Plazo.</w:t>
      </w:r>
    </w:p>
    <w:p w:rsidR="007A20B9" w:rsidRPr="002C6D54" w:rsidRDefault="00297378" w:rsidP="007A20B9">
      <w:pPr>
        <w:pStyle w:val="VIETAFLECHA"/>
      </w:pPr>
      <w:r w:rsidRPr="002C6D54">
        <w:t>Bienes Muebles, Inmuebles e Intangibles</w:t>
      </w:r>
    </w:p>
    <w:p w:rsidR="007A20B9" w:rsidRPr="002C6D54" w:rsidRDefault="007A20B9" w:rsidP="007A20B9">
      <w:pPr>
        <w:pStyle w:val="VIETAROMBO"/>
      </w:pPr>
      <w:r w:rsidRPr="002C6D54">
        <w:t>Bienes Inmuebles, Infraestructura y Construcciones en Proceso</w:t>
      </w:r>
    </w:p>
    <w:p w:rsidR="00297378" w:rsidRDefault="00297378" w:rsidP="002C6D54">
      <w:pPr>
        <w:pStyle w:val="TEXTONORMAL"/>
      </w:pPr>
      <w:r>
        <w:t>Se presenta la información consolidada de los entes públicos del Poder Legislativo que integra el rubro de Bienes Inmuebles, Infraestructura y Construcciones en Proceso:</w:t>
      </w:r>
    </w:p>
    <w:tbl>
      <w:tblPr>
        <w:tblW w:w="7617" w:type="dxa"/>
        <w:jc w:val="center"/>
        <w:tblCellMar>
          <w:left w:w="70" w:type="dxa"/>
          <w:right w:w="70" w:type="dxa"/>
        </w:tblCellMar>
        <w:tblLook w:val="04A0" w:firstRow="1" w:lastRow="0" w:firstColumn="1" w:lastColumn="0" w:noHBand="0" w:noVBand="1"/>
      </w:tblPr>
      <w:tblGrid>
        <w:gridCol w:w="4165"/>
        <w:gridCol w:w="1860"/>
        <w:gridCol w:w="1592"/>
      </w:tblGrid>
      <w:tr w:rsidR="00F353A2" w:rsidRPr="00F353A2" w:rsidTr="00337B1D">
        <w:trPr>
          <w:trHeight w:val="270"/>
          <w:jc w:val="center"/>
        </w:trPr>
        <w:tc>
          <w:tcPr>
            <w:tcW w:w="7617" w:type="dxa"/>
            <w:gridSpan w:val="3"/>
            <w:tcBorders>
              <w:top w:val="nil"/>
              <w:left w:val="nil"/>
              <w:bottom w:val="single" w:sz="12" w:space="0" w:color="808080"/>
              <w:right w:val="nil"/>
            </w:tcBorders>
            <w:shd w:val="clear" w:color="auto" w:fill="auto"/>
            <w:noWrap/>
            <w:vAlign w:val="center"/>
            <w:hideMark/>
          </w:tcPr>
          <w:p w:rsidR="00F353A2" w:rsidRPr="00F353A2" w:rsidRDefault="00F353A2" w:rsidP="00F353A2">
            <w:pPr>
              <w:spacing w:after="0" w:line="240" w:lineRule="auto"/>
              <w:jc w:val="center"/>
              <w:rPr>
                <w:rFonts w:ascii="Montserrat" w:eastAsia="Times New Roman" w:hAnsi="Montserrat" w:cs="Arial"/>
                <w:sz w:val="16"/>
                <w:szCs w:val="16"/>
                <w:lang w:val="es-MX" w:eastAsia="es-MX"/>
              </w:rPr>
            </w:pPr>
            <w:r w:rsidRPr="00F353A2">
              <w:rPr>
                <w:rFonts w:ascii="Montserrat" w:eastAsia="Times New Roman" w:hAnsi="Montserrat" w:cs="Arial"/>
                <w:sz w:val="16"/>
                <w:szCs w:val="16"/>
                <w:lang w:val="es-MX" w:eastAsia="es-MX"/>
              </w:rPr>
              <w:t>(Pesos)</w:t>
            </w:r>
          </w:p>
        </w:tc>
      </w:tr>
      <w:tr w:rsidR="00F353A2" w:rsidRPr="00F353A2" w:rsidTr="00337B1D">
        <w:trPr>
          <w:trHeight w:val="15"/>
          <w:jc w:val="center"/>
        </w:trPr>
        <w:tc>
          <w:tcPr>
            <w:tcW w:w="7617" w:type="dxa"/>
            <w:gridSpan w:val="3"/>
            <w:tcBorders>
              <w:top w:val="single" w:sz="12" w:space="0" w:color="808080"/>
              <w:left w:val="nil"/>
              <w:bottom w:val="nil"/>
              <w:right w:val="nil"/>
            </w:tcBorders>
            <w:shd w:val="clear" w:color="auto" w:fill="auto"/>
            <w:vAlign w:val="center"/>
            <w:hideMark/>
          </w:tcPr>
          <w:p w:rsidR="00F353A2" w:rsidRPr="00F353A2" w:rsidRDefault="00F353A2" w:rsidP="00D36914">
            <w:pPr>
              <w:spacing w:after="0" w:line="240" w:lineRule="auto"/>
              <w:rPr>
                <w:rFonts w:ascii="Montserrat" w:eastAsia="Times New Roman" w:hAnsi="Montserrat" w:cs="Arial"/>
                <w:b/>
                <w:bCs/>
                <w:color w:val="000000"/>
                <w:sz w:val="10"/>
                <w:szCs w:val="10"/>
                <w:lang w:val="es-MX" w:eastAsia="es-MX"/>
              </w:rPr>
            </w:pPr>
          </w:p>
        </w:tc>
      </w:tr>
      <w:tr w:rsidR="00F353A2" w:rsidRPr="00F353A2" w:rsidTr="00337B1D">
        <w:trPr>
          <w:trHeight w:val="255"/>
          <w:jc w:val="center"/>
        </w:trPr>
        <w:tc>
          <w:tcPr>
            <w:tcW w:w="4165" w:type="dxa"/>
            <w:tcBorders>
              <w:top w:val="nil"/>
              <w:left w:val="nil"/>
              <w:bottom w:val="nil"/>
              <w:right w:val="single" w:sz="8" w:space="0" w:color="FFFFFF"/>
            </w:tcBorders>
            <w:shd w:val="clear" w:color="000000" w:fill="D4C19C"/>
            <w:vAlign w:val="center"/>
            <w:hideMark/>
          </w:tcPr>
          <w:p w:rsidR="00F353A2" w:rsidRPr="00F353A2" w:rsidRDefault="00F353A2" w:rsidP="00F353A2">
            <w:pPr>
              <w:spacing w:after="0" w:line="240" w:lineRule="auto"/>
              <w:jc w:val="center"/>
              <w:rPr>
                <w:rFonts w:ascii="Montserrat" w:eastAsia="Times New Roman" w:hAnsi="Montserrat" w:cs="Arial"/>
                <w:b/>
                <w:bCs/>
                <w:color w:val="FFFFFF"/>
                <w:sz w:val="16"/>
                <w:szCs w:val="16"/>
                <w:lang w:val="es-MX" w:eastAsia="es-MX"/>
              </w:rPr>
            </w:pPr>
            <w:r w:rsidRPr="00F353A2">
              <w:rPr>
                <w:rFonts w:ascii="Montserrat" w:eastAsia="Times New Roman" w:hAnsi="Montserrat" w:cs="Arial"/>
                <w:b/>
                <w:bCs/>
                <w:color w:val="FFFFFF"/>
                <w:sz w:val="16"/>
                <w:szCs w:val="16"/>
                <w:lang w:val="es-MX" w:eastAsia="es-MX"/>
              </w:rPr>
              <w:t>Concepto</w:t>
            </w:r>
          </w:p>
        </w:tc>
        <w:tc>
          <w:tcPr>
            <w:tcW w:w="1860" w:type="dxa"/>
            <w:tcBorders>
              <w:top w:val="nil"/>
              <w:left w:val="nil"/>
              <w:bottom w:val="nil"/>
              <w:right w:val="single" w:sz="8" w:space="0" w:color="FFFFFF"/>
            </w:tcBorders>
            <w:shd w:val="clear" w:color="000000" w:fill="D4C19C"/>
            <w:vAlign w:val="center"/>
            <w:hideMark/>
          </w:tcPr>
          <w:p w:rsidR="00F353A2" w:rsidRPr="00F353A2" w:rsidRDefault="00F353A2" w:rsidP="00F353A2">
            <w:pPr>
              <w:spacing w:after="0" w:line="240" w:lineRule="auto"/>
              <w:jc w:val="center"/>
              <w:rPr>
                <w:rFonts w:ascii="Montserrat" w:eastAsia="Times New Roman" w:hAnsi="Montserrat" w:cs="Arial"/>
                <w:b/>
                <w:bCs/>
                <w:color w:val="FFFFFF"/>
                <w:sz w:val="16"/>
                <w:szCs w:val="16"/>
                <w:lang w:val="es-MX" w:eastAsia="es-MX"/>
              </w:rPr>
            </w:pPr>
            <w:r w:rsidRPr="00F353A2">
              <w:rPr>
                <w:rFonts w:ascii="Montserrat" w:eastAsia="Times New Roman" w:hAnsi="Montserrat" w:cs="Arial"/>
                <w:b/>
                <w:bCs/>
                <w:color w:val="FFFFFF"/>
                <w:sz w:val="16"/>
                <w:szCs w:val="16"/>
                <w:lang w:val="es-MX" w:eastAsia="es-MX"/>
              </w:rPr>
              <w:t>2018</w:t>
            </w:r>
          </w:p>
        </w:tc>
        <w:tc>
          <w:tcPr>
            <w:tcW w:w="1592" w:type="dxa"/>
            <w:tcBorders>
              <w:top w:val="nil"/>
              <w:left w:val="nil"/>
              <w:bottom w:val="nil"/>
              <w:right w:val="single" w:sz="8" w:space="0" w:color="FFFFFF"/>
            </w:tcBorders>
            <w:shd w:val="clear" w:color="000000" w:fill="D4C19C"/>
            <w:vAlign w:val="center"/>
            <w:hideMark/>
          </w:tcPr>
          <w:p w:rsidR="00F353A2" w:rsidRPr="00F353A2" w:rsidRDefault="00F353A2" w:rsidP="00F353A2">
            <w:pPr>
              <w:spacing w:after="0" w:line="240" w:lineRule="auto"/>
              <w:jc w:val="center"/>
              <w:rPr>
                <w:rFonts w:ascii="Montserrat" w:eastAsia="Times New Roman" w:hAnsi="Montserrat" w:cs="Arial"/>
                <w:b/>
                <w:bCs/>
                <w:color w:val="FFFFFF"/>
                <w:sz w:val="16"/>
                <w:szCs w:val="16"/>
                <w:lang w:val="es-MX" w:eastAsia="es-MX"/>
              </w:rPr>
            </w:pPr>
            <w:r w:rsidRPr="00F353A2">
              <w:rPr>
                <w:rFonts w:ascii="Montserrat" w:eastAsia="Times New Roman" w:hAnsi="Montserrat" w:cs="Arial"/>
                <w:b/>
                <w:bCs/>
                <w:color w:val="FFFFFF"/>
                <w:sz w:val="16"/>
                <w:szCs w:val="16"/>
                <w:lang w:val="es-MX" w:eastAsia="es-MX"/>
              </w:rPr>
              <w:t>2017</w:t>
            </w:r>
          </w:p>
        </w:tc>
      </w:tr>
      <w:tr w:rsidR="00F353A2" w:rsidRPr="00F353A2" w:rsidTr="00D36914">
        <w:trPr>
          <w:trHeight w:val="53"/>
          <w:jc w:val="center"/>
        </w:trPr>
        <w:tc>
          <w:tcPr>
            <w:tcW w:w="7617" w:type="dxa"/>
            <w:gridSpan w:val="3"/>
            <w:tcBorders>
              <w:top w:val="nil"/>
              <w:left w:val="nil"/>
              <w:bottom w:val="double" w:sz="6" w:space="0" w:color="808080"/>
              <w:right w:val="nil"/>
            </w:tcBorders>
            <w:shd w:val="clear" w:color="auto" w:fill="auto"/>
            <w:vAlign w:val="center"/>
            <w:hideMark/>
          </w:tcPr>
          <w:p w:rsidR="00F353A2" w:rsidRPr="00F353A2" w:rsidRDefault="00F353A2" w:rsidP="00F353A2">
            <w:pPr>
              <w:spacing w:after="0" w:line="240" w:lineRule="auto"/>
              <w:jc w:val="center"/>
              <w:rPr>
                <w:rFonts w:ascii="Montserrat" w:eastAsia="Times New Roman" w:hAnsi="Montserrat" w:cs="Arial"/>
                <w:b/>
                <w:bCs/>
                <w:color w:val="000000"/>
                <w:sz w:val="4"/>
                <w:szCs w:val="4"/>
                <w:lang w:val="es-MX" w:eastAsia="es-MX"/>
              </w:rPr>
            </w:pPr>
            <w:r w:rsidRPr="00F353A2">
              <w:rPr>
                <w:rFonts w:ascii="Montserrat" w:eastAsia="Times New Roman" w:hAnsi="Montserrat" w:cs="Arial"/>
                <w:b/>
                <w:bCs/>
                <w:color w:val="000000"/>
                <w:sz w:val="4"/>
                <w:szCs w:val="4"/>
                <w:lang w:val="es-MX" w:eastAsia="es-MX"/>
              </w:rPr>
              <w:t> </w:t>
            </w:r>
          </w:p>
        </w:tc>
      </w:tr>
      <w:tr w:rsidR="00F353A2" w:rsidRPr="00F353A2" w:rsidTr="00337B1D">
        <w:trPr>
          <w:trHeight w:val="270"/>
          <w:jc w:val="center"/>
        </w:trPr>
        <w:tc>
          <w:tcPr>
            <w:tcW w:w="4165" w:type="dxa"/>
            <w:tcBorders>
              <w:top w:val="nil"/>
              <w:left w:val="nil"/>
              <w:bottom w:val="nil"/>
              <w:right w:val="nil"/>
            </w:tcBorders>
            <w:shd w:val="clear" w:color="000000" w:fill="F2F2F2"/>
            <w:noWrap/>
            <w:vAlign w:val="center"/>
            <w:hideMark/>
          </w:tcPr>
          <w:p w:rsidR="00F353A2" w:rsidRPr="00F353A2" w:rsidRDefault="00F353A2" w:rsidP="00F353A2">
            <w:pPr>
              <w:spacing w:after="0" w:line="240" w:lineRule="auto"/>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Cámara de Diputados</w:t>
            </w:r>
          </w:p>
        </w:tc>
        <w:tc>
          <w:tcPr>
            <w:tcW w:w="1860" w:type="dxa"/>
            <w:tcBorders>
              <w:top w:val="nil"/>
              <w:left w:val="nil"/>
              <w:bottom w:val="nil"/>
              <w:right w:val="nil"/>
            </w:tcBorders>
            <w:shd w:val="clear" w:color="000000" w:fill="F2F2F2"/>
            <w:vAlign w:val="center"/>
            <w:hideMark/>
          </w:tcPr>
          <w:p w:rsidR="00F353A2" w:rsidRPr="00F353A2" w:rsidRDefault="00F353A2" w:rsidP="00F353A2">
            <w:pPr>
              <w:spacing w:after="0" w:line="240" w:lineRule="auto"/>
              <w:jc w:val="right"/>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2,928,902,181</w:t>
            </w:r>
          </w:p>
        </w:tc>
        <w:tc>
          <w:tcPr>
            <w:tcW w:w="1592" w:type="dxa"/>
            <w:tcBorders>
              <w:top w:val="nil"/>
              <w:left w:val="nil"/>
              <w:bottom w:val="nil"/>
              <w:right w:val="nil"/>
            </w:tcBorders>
            <w:shd w:val="clear" w:color="000000" w:fill="F2F2F2"/>
            <w:vAlign w:val="center"/>
            <w:hideMark/>
          </w:tcPr>
          <w:p w:rsidR="00F353A2" w:rsidRPr="00F353A2" w:rsidRDefault="00F353A2" w:rsidP="00F353A2">
            <w:pPr>
              <w:spacing w:after="0" w:line="240" w:lineRule="auto"/>
              <w:jc w:val="right"/>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2,615,122,081</w:t>
            </w:r>
          </w:p>
        </w:tc>
      </w:tr>
      <w:tr w:rsidR="00F353A2" w:rsidRPr="00F353A2" w:rsidTr="00337B1D">
        <w:trPr>
          <w:trHeight w:val="255"/>
          <w:jc w:val="center"/>
        </w:trPr>
        <w:tc>
          <w:tcPr>
            <w:tcW w:w="4165" w:type="dxa"/>
            <w:tcBorders>
              <w:top w:val="nil"/>
              <w:left w:val="nil"/>
              <w:bottom w:val="nil"/>
              <w:right w:val="nil"/>
            </w:tcBorders>
            <w:shd w:val="clear" w:color="000000" w:fill="F2F2F2"/>
            <w:noWrap/>
            <w:vAlign w:val="center"/>
            <w:hideMark/>
          </w:tcPr>
          <w:p w:rsidR="00F353A2" w:rsidRPr="00F353A2" w:rsidRDefault="00F353A2" w:rsidP="00F353A2">
            <w:pPr>
              <w:spacing w:after="0" w:line="240" w:lineRule="auto"/>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Cámara de Senadores</w:t>
            </w:r>
          </w:p>
        </w:tc>
        <w:tc>
          <w:tcPr>
            <w:tcW w:w="1860" w:type="dxa"/>
            <w:tcBorders>
              <w:top w:val="nil"/>
              <w:left w:val="nil"/>
              <w:bottom w:val="nil"/>
              <w:right w:val="nil"/>
            </w:tcBorders>
            <w:shd w:val="clear" w:color="000000" w:fill="F2F2F2"/>
            <w:vAlign w:val="center"/>
            <w:hideMark/>
          </w:tcPr>
          <w:p w:rsidR="00F353A2" w:rsidRPr="00F353A2" w:rsidRDefault="00F353A2" w:rsidP="00F353A2">
            <w:pPr>
              <w:spacing w:after="0" w:line="240" w:lineRule="auto"/>
              <w:jc w:val="right"/>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2,890,194,169</w:t>
            </w:r>
          </w:p>
        </w:tc>
        <w:tc>
          <w:tcPr>
            <w:tcW w:w="1592" w:type="dxa"/>
            <w:tcBorders>
              <w:top w:val="nil"/>
              <w:left w:val="nil"/>
              <w:bottom w:val="nil"/>
              <w:right w:val="nil"/>
            </w:tcBorders>
            <w:shd w:val="clear" w:color="000000" w:fill="F2F2F2"/>
            <w:vAlign w:val="center"/>
            <w:hideMark/>
          </w:tcPr>
          <w:p w:rsidR="00F353A2" w:rsidRPr="00F353A2" w:rsidRDefault="00F353A2" w:rsidP="00F353A2">
            <w:pPr>
              <w:spacing w:after="0" w:line="240" w:lineRule="auto"/>
              <w:jc w:val="right"/>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2,892,538,357</w:t>
            </w:r>
          </w:p>
        </w:tc>
      </w:tr>
      <w:tr w:rsidR="00F353A2" w:rsidRPr="00F353A2" w:rsidTr="00337B1D">
        <w:trPr>
          <w:trHeight w:val="255"/>
          <w:jc w:val="center"/>
        </w:trPr>
        <w:tc>
          <w:tcPr>
            <w:tcW w:w="4165" w:type="dxa"/>
            <w:tcBorders>
              <w:top w:val="nil"/>
              <w:left w:val="nil"/>
              <w:bottom w:val="nil"/>
              <w:right w:val="nil"/>
            </w:tcBorders>
            <w:shd w:val="clear" w:color="000000" w:fill="F2F2F2"/>
            <w:noWrap/>
            <w:vAlign w:val="center"/>
            <w:hideMark/>
          </w:tcPr>
          <w:p w:rsidR="00F353A2" w:rsidRPr="00F353A2" w:rsidRDefault="00F353A2" w:rsidP="00F353A2">
            <w:pPr>
              <w:spacing w:after="0" w:line="240" w:lineRule="auto"/>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Auditoría Superior de la Federación</w:t>
            </w:r>
          </w:p>
        </w:tc>
        <w:tc>
          <w:tcPr>
            <w:tcW w:w="1860" w:type="dxa"/>
            <w:tcBorders>
              <w:top w:val="nil"/>
              <w:left w:val="nil"/>
              <w:bottom w:val="nil"/>
              <w:right w:val="nil"/>
            </w:tcBorders>
            <w:shd w:val="clear" w:color="000000" w:fill="F2F2F2"/>
            <w:vAlign w:val="center"/>
            <w:hideMark/>
          </w:tcPr>
          <w:p w:rsidR="00F353A2" w:rsidRPr="00F353A2" w:rsidRDefault="00F353A2" w:rsidP="00F353A2">
            <w:pPr>
              <w:spacing w:after="0" w:line="240" w:lineRule="auto"/>
              <w:jc w:val="right"/>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2,722,811,957</w:t>
            </w:r>
          </w:p>
        </w:tc>
        <w:tc>
          <w:tcPr>
            <w:tcW w:w="1592" w:type="dxa"/>
            <w:tcBorders>
              <w:top w:val="nil"/>
              <w:left w:val="nil"/>
              <w:bottom w:val="nil"/>
              <w:right w:val="nil"/>
            </w:tcBorders>
            <w:shd w:val="clear" w:color="000000" w:fill="F2F2F2"/>
            <w:vAlign w:val="center"/>
            <w:hideMark/>
          </w:tcPr>
          <w:p w:rsidR="00F353A2" w:rsidRPr="00F353A2" w:rsidRDefault="00F353A2" w:rsidP="00F353A2">
            <w:pPr>
              <w:spacing w:after="0" w:line="240" w:lineRule="auto"/>
              <w:jc w:val="right"/>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2,702,944,405</w:t>
            </w:r>
          </w:p>
        </w:tc>
      </w:tr>
      <w:tr w:rsidR="00F353A2" w:rsidRPr="00F353A2" w:rsidTr="00337B1D">
        <w:trPr>
          <w:trHeight w:val="270"/>
          <w:jc w:val="center"/>
        </w:trPr>
        <w:tc>
          <w:tcPr>
            <w:tcW w:w="4165" w:type="dxa"/>
            <w:tcBorders>
              <w:top w:val="nil"/>
              <w:left w:val="nil"/>
              <w:bottom w:val="nil"/>
              <w:right w:val="nil"/>
            </w:tcBorders>
            <w:shd w:val="clear" w:color="000000" w:fill="F2F2F2"/>
            <w:noWrap/>
            <w:vAlign w:val="center"/>
            <w:hideMark/>
          </w:tcPr>
          <w:p w:rsidR="00F353A2" w:rsidRPr="00F353A2" w:rsidRDefault="00F353A2" w:rsidP="00F353A2">
            <w:pPr>
              <w:spacing w:after="0" w:line="240" w:lineRule="auto"/>
              <w:jc w:val="right"/>
              <w:rPr>
                <w:rFonts w:ascii="Montserrat" w:eastAsia="Times New Roman" w:hAnsi="Montserrat" w:cs="Arial"/>
                <w:b/>
                <w:bCs/>
                <w:color w:val="000000"/>
                <w:sz w:val="15"/>
                <w:szCs w:val="15"/>
                <w:lang w:val="es-MX" w:eastAsia="es-MX"/>
              </w:rPr>
            </w:pPr>
            <w:r w:rsidRPr="00F353A2">
              <w:rPr>
                <w:rFonts w:ascii="Montserrat" w:eastAsia="Times New Roman" w:hAnsi="Montserrat" w:cs="Arial"/>
                <w:b/>
                <w:bCs/>
                <w:color w:val="000000"/>
                <w:sz w:val="15"/>
                <w:szCs w:val="15"/>
                <w:lang w:val="es-MX" w:eastAsia="es-MX"/>
              </w:rPr>
              <w:t>Suma de Bienes Inmuebles, Infraestructura y Construcciones en Proceso</w:t>
            </w:r>
          </w:p>
        </w:tc>
        <w:tc>
          <w:tcPr>
            <w:tcW w:w="1860" w:type="dxa"/>
            <w:tcBorders>
              <w:top w:val="nil"/>
              <w:left w:val="nil"/>
              <w:bottom w:val="nil"/>
              <w:right w:val="nil"/>
            </w:tcBorders>
            <w:shd w:val="clear" w:color="000000" w:fill="F2F2F2"/>
            <w:vAlign w:val="center"/>
            <w:hideMark/>
          </w:tcPr>
          <w:p w:rsidR="00F353A2" w:rsidRPr="000B1893" w:rsidRDefault="00F353A2" w:rsidP="00F353A2">
            <w:pPr>
              <w:spacing w:after="0" w:line="240" w:lineRule="auto"/>
              <w:jc w:val="right"/>
              <w:rPr>
                <w:rFonts w:ascii="Montserrat" w:eastAsia="Times New Roman" w:hAnsi="Montserrat" w:cs="Arial"/>
                <w:b/>
                <w:color w:val="000000"/>
                <w:sz w:val="15"/>
                <w:szCs w:val="15"/>
                <w:lang w:val="es-MX" w:eastAsia="es-MX"/>
              </w:rPr>
            </w:pPr>
            <w:r w:rsidRPr="000B1893">
              <w:rPr>
                <w:rFonts w:ascii="Montserrat" w:eastAsia="Times New Roman" w:hAnsi="Montserrat" w:cs="Arial"/>
                <w:b/>
                <w:color w:val="000000"/>
                <w:sz w:val="15"/>
                <w:szCs w:val="15"/>
                <w:lang w:val="es-MX" w:eastAsia="es-MX"/>
              </w:rPr>
              <w:t>8,541,908,307</w:t>
            </w:r>
          </w:p>
        </w:tc>
        <w:tc>
          <w:tcPr>
            <w:tcW w:w="1592" w:type="dxa"/>
            <w:tcBorders>
              <w:top w:val="nil"/>
              <w:left w:val="nil"/>
              <w:bottom w:val="nil"/>
              <w:right w:val="nil"/>
            </w:tcBorders>
            <w:shd w:val="clear" w:color="000000" w:fill="F2F2F2"/>
            <w:vAlign w:val="center"/>
            <w:hideMark/>
          </w:tcPr>
          <w:p w:rsidR="00F353A2" w:rsidRPr="000B1893" w:rsidRDefault="00F353A2" w:rsidP="00F353A2">
            <w:pPr>
              <w:spacing w:after="0" w:line="240" w:lineRule="auto"/>
              <w:jc w:val="right"/>
              <w:rPr>
                <w:rFonts w:ascii="Montserrat" w:eastAsia="Times New Roman" w:hAnsi="Montserrat" w:cs="Arial"/>
                <w:b/>
                <w:color w:val="000000"/>
                <w:sz w:val="15"/>
                <w:szCs w:val="15"/>
                <w:lang w:val="es-MX" w:eastAsia="es-MX"/>
              </w:rPr>
            </w:pPr>
            <w:r w:rsidRPr="000B1893">
              <w:rPr>
                <w:rFonts w:ascii="Montserrat" w:eastAsia="Times New Roman" w:hAnsi="Montserrat" w:cs="Arial"/>
                <w:b/>
                <w:color w:val="000000"/>
                <w:sz w:val="15"/>
                <w:szCs w:val="15"/>
                <w:lang w:val="es-MX" w:eastAsia="es-MX"/>
              </w:rPr>
              <w:t>8,210,604,843</w:t>
            </w:r>
          </w:p>
        </w:tc>
      </w:tr>
      <w:tr w:rsidR="00F353A2" w:rsidRPr="00F353A2" w:rsidTr="00337B1D">
        <w:trPr>
          <w:trHeight w:val="270"/>
          <w:jc w:val="center"/>
        </w:trPr>
        <w:tc>
          <w:tcPr>
            <w:tcW w:w="4165" w:type="dxa"/>
            <w:tcBorders>
              <w:top w:val="single" w:sz="12" w:space="0" w:color="808080"/>
              <w:left w:val="nil"/>
              <w:bottom w:val="nil"/>
              <w:right w:val="nil"/>
            </w:tcBorders>
            <w:shd w:val="clear" w:color="auto" w:fill="auto"/>
            <w:noWrap/>
            <w:vAlign w:val="center"/>
          </w:tcPr>
          <w:p w:rsidR="00F353A2" w:rsidRPr="00F353A2" w:rsidRDefault="00F353A2" w:rsidP="00F353A2">
            <w:pPr>
              <w:spacing w:after="0" w:line="240" w:lineRule="auto"/>
              <w:jc w:val="right"/>
              <w:rPr>
                <w:rFonts w:ascii="Soberana Sans Light" w:eastAsia="Times New Roman" w:hAnsi="Soberana Sans Light" w:cs="Arial"/>
                <w:b/>
                <w:bCs/>
                <w:color w:val="E26B0A"/>
                <w:sz w:val="16"/>
                <w:szCs w:val="16"/>
                <w:lang w:val="es-MX" w:eastAsia="es-MX"/>
              </w:rPr>
            </w:pPr>
          </w:p>
        </w:tc>
        <w:tc>
          <w:tcPr>
            <w:tcW w:w="1860" w:type="dxa"/>
            <w:tcBorders>
              <w:top w:val="single" w:sz="12" w:space="0" w:color="808080"/>
              <w:left w:val="nil"/>
              <w:bottom w:val="nil"/>
              <w:right w:val="nil"/>
            </w:tcBorders>
            <w:shd w:val="clear" w:color="auto" w:fill="auto"/>
            <w:noWrap/>
            <w:vAlign w:val="center"/>
          </w:tcPr>
          <w:p w:rsidR="00F353A2" w:rsidRPr="00F353A2" w:rsidRDefault="00F353A2" w:rsidP="00F353A2">
            <w:pPr>
              <w:spacing w:after="0" w:line="240" w:lineRule="auto"/>
              <w:jc w:val="right"/>
              <w:rPr>
                <w:rFonts w:ascii="Soberana Sans Light" w:eastAsia="Times New Roman" w:hAnsi="Soberana Sans Light" w:cs="Arial"/>
                <w:b/>
                <w:bCs/>
                <w:color w:val="E26B0A"/>
                <w:sz w:val="16"/>
                <w:szCs w:val="16"/>
                <w:lang w:val="es-MX" w:eastAsia="es-MX"/>
              </w:rPr>
            </w:pPr>
          </w:p>
        </w:tc>
        <w:tc>
          <w:tcPr>
            <w:tcW w:w="1592" w:type="dxa"/>
            <w:tcBorders>
              <w:top w:val="single" w:sz="12" w:space="0" w:color="808080"/>
              <w:left w:val="nil"/>
              <w:bottom w:val="nil"/>
              <w:right w:val="nil"/>
            </w:tcBorders>
            <w:shd w:val="clear" w:color="auto" w:fill="auto"/>
            <w:noWrap/>
            <w:vAlign w:val="center"/>
          </w:tcPr>
          <w:p w:rsidR="00F353A2" w:rsidRPr="00F353A2" w:rsidRDefault="00F353A2" w:rsidP="00F353A2">
            <w:pPr>
              <w:spacing w:after="0" w:line="240" w:lineRule="auto"/>
              <w:jc w:val="right"/>
              <w:rPr>
                <w:rFonts w:ascii="Soberana Sans Light" w:eastAsia="Times New Roman" w:hAnsi="Soberana Sans Light" w:cs="Arial"/>
                <w:b/>
                <w:bCs/>
                <w:color w:val="E26B0A"/>
                <w:sz w:val="16"/>
                <w:szCs w:val="16"/>
                <w:lang w:val="es-MX" w:eastAsia="es-MX"/>
              </w:rPr>
            </w:pPr>
          </w:p>
        </w:tc>
      </w:tr>
    </w:tbl>
    <w:p w:rsidR="00F353A2" w:rsidRDefault="007A20B9" w:rsidP="002C6D54">
      <w:pPr>
        <w:pStyle w:val="TEXTONORMAL"/>
      </w:pPr>
      <w:r w:rsidRPr="007A20B9">
        <w:t>De acuerdo a la relación de Bienes Inmuebles que cada Entidad muestra, se presenta el producto de la conciliación contable-física que reportan en sus notas a los estados financieros al 31 de diciembre de 201</w:t>
      </w:r>
      <w:r>
        <w:t>8</w:t>
      </w:r>
      <w:r w:rsidRPr="007A20B9">
        <w:t>:</w:t>
      </w:r>
    </w:p>
    <w:tbl>
      <w:tblPr>
        <w:tblW w:w="11761" w:type="dxa"/>
        <w:jc w:val="center"/>
        <w:tblCellMar>
          <w:left w:w="70" w:type="dxa"/>
          <w:right w:w="70" w:type="dxa"/>
        </w:tblCellMar>
        <w:tblLook w:val="04A0" w:firstRow="1" w:lastRow="0" w:firstColumn="1" w:lastColumn="0" w:noHBand="0" w:noVBand="1"/>
      </w:tblPr>
      <w:tblGrid>
        <w:gridCol w:w="4617"/>
        <w:gridCol w:w="1860"/>
        <w:gridCol w:w="1860"/>
        <w:gridCol w:w="1743"/>
        <w:gridCol w:w="1681"/>
      </w:tblGrid>
      <w:tr w:rsidR="00F353A2" w:rsidRPr="00F353A2" w:rsidTr="00337B1D">
        <w:trPr>
          <w:trHeight w:val="70"/>
          <w:jc w:val="center"/>
        </w:trPr>
        <w:tc>
          <w:tcPr>
            <w:tcW w:w="11761" w:type="dxa"/>
            <w:gridSpan w:val="5"/>
            <w:tcBorders>
              <w:top w:val="nil"/>
              <w:left w:val="nil"/>
              <w:bottom w:val="nil"/>
              <w:right w:val="nil"/>
            </w:tcBorders>
            <w:shd w:val="clear" w:color="auto" w:fill="auto"/>
            <w:noWrap/>
            <w:vAlign w:val="center"/>
            <w:hideMark/>
          </w:tcPr>
          <w:p w:rsidR="00F353A2" w:rsidRPr="00F353A2" w:rsidRDefault="00F353A2" w:rsidP="00F353A2">
            <w:pPr>
              <w:spacing w:after="0" w:line="240" w:lineRule="auto"/>
              <w:jc w:val="center"/>
              <w:rPr>
                <w:rFonts w:ascii="Montserrat" w:eastAsia="Times New Roman" w:hAnsi="Montserrat" w:cs="Arial"/>
                <w:sz w:val="16"/>
                <w:szCs w:val="16"/>
                <w:lang w:val="es-MX" w:eastAsia="es-MX"/>
              </w:rPr>
            </w:pPr>
            <w:r w:rsidRPr="00F353A2">
              <w:rPr>
                <w:rFonts w:ascii="Montserrat" w:eastAsia="Times New Roman" w:hAnsi="Montserrat" w:cs="Arial"/>
                <w:sz w:val="16"/>
                <w:szCs w:val="16"/>
                <w:lang w:val="es-MX" w:eastAsia="es-MX"/>
              </w:rPr>
              <w:t>(Pesos)</w:t>
            </w:r>
          </w:p>
        </w:tc>
      </w:tr>
      <w:tr w:rsidR="00F353A2" w:rsidRPr="00F353A2" w:rsidTr="00337B1D">
        <w:trPr>
          <w:trHeight w:val="15"/>
          <w:jc w:val="center"/>
        </w:trPr>
        <w:tc>
          <w:tcPr>
            <w:tcW w:w="8337" w:type="dxa"/>
            <w:gridSpan w:val="3"/>
            <w:tcBorders>
              <w:top w:val="single" w:sz="12" w:space="0" w:color="808080"/>
              <w:left w:val="nil"/>
              <w:bottom w:val="nil"/>
              <w:right w:val="nil"/>
            </w:tcBorders>
            <w:shd w:val="clear" w:color="auto" w:fill="auto"/>
            <w:vAlign w:val="center"/>
            <w:hideMark/>
          </w:tcPr>
          <w:p w:rsidR="00F353A2" w:rsidRPr="00F353A2" w:rsidRDefault="00F353A2" w:rsidP="00D36914">
            <w:pPr>
              <w:spacing w:after="0" w:line="240" w:lineRule="auto"/>
              <w:rPr>
                <w:rFonts w:ascii="Montserrat" w:eastAsia="Times New Roman" w:hAnsi="Montserrat" w:cs="Arial"/>
                <w:b/>
                <w:bCs/>
                <w:color w:val="000000"/>
                <w:sz w:val="10"/>
                <w:szCs w:val="10"/>
                <w:lang w:val="es-MX" w:eastAsia="es-MX"/>
              </w:rPr>
            </w:pPr>
          </w:p>
        </w:tc>
        <w:tc>
          <w:tcPr>
            <w:tcW w:w="3424" w:type="dxa"/>
            <w:gridSpan w:val="2"/>
            <w:tcBorders>
              <w:top w:val="single" w:sz="12" w:space="0" w:color="808080"/>
              <w:left w:val="nil"/>
              <w:bottom w:val="nil"/>
              <w:right w:val="nil"/>
            </w:tcBorders>
            <w:shd w:val="clear" w:color="auto" w:fill="auto"/>
            <w:vAlign w:val="center"/>
            <w:hideMark/>
          </w:tcPr>
          <w:p w:rsidR="00F353A2" w:rsidRPr="00F353A2" w:rsidRDefault="00F353A2" w:rsidP="00D36914">
            <w:pPr>
              <w:spacing w:after="0" w:line="240" w:lineRule="auto"/>
              <w:rPr>
                <w:rFonts w:ascii="Montserrat" w:eastAsia="Times New Roman" w:hAnsi="Montserrat" w:cs="Arial"/>
                <w:b/>
                <w:bCs/>
                <w:color w:val="000000"/>
                <w:sz w:val="10"/>
                <w:szCs w:val="10"/>
                <w:lang w:val="es-MX" w:eastAsia="es-MX"/>
              </w:rPr>
            </w:pPr>
          </w:p>
        </w:tc>
      </w:tr>
      <w:tr w:rsidR="00F353A2" w:rsidRPr="00F353A2" w:rsidTr="00337B1D">
        <w:trPr>
          <w:trHeight w:val="255"/>
          <w:jc w:val="center"/>
        </w:trPr>
        <w:tc>
          <w:tcPr>
            <w:tcW w:w="4617" w:type="dxa"/>
            <w:tcBorders>
              <w:top w:val="nil"/>
              <w:left w:val="nil"/>
              <w:bottom w:val="nil"/>
              <w:right w:val="single" w:sz="8" w:space="0" w:color="FFFFFF"/>
            </w:tcBorders>
            <w:shd w:val="clear" w:color="000000" w:fill="D4C19C"/>
            <w:vAlign w:val="center"/>
            <w:hideMark/>
          </w:tcPr>
          <w:p w:rsidR="00F353A2" w:rsidRPr="00F353A2" w:rsidRDefault="00F353A2" w:rsidP="00F353A2">
            <w:pPr>
              <w:spacing w:after="0" w:line="240" w:lineRule="auto"/>
              <w:jc w:val="center"/>
              <w:rPr>
                <w:rFonts w:ascii="Montserrat" w:eastAsia="Times New Roman" w:hAnsi="Montserrat" w:cs="Arial"/>
                <w:b/>
                <w:bCs/>
                <w:color w:val="FFFFFF"/>
                <w:sz w:val="16"/>
                <w:szCs w:val="16"/>
                <w:lang w:val="es-MX" w:eastAsia="es-MX"/>
              </w:rPr>
            </w:pPr>
            <w:r w:rsidRPr="00F353A2">
              <w:rPr>
                <w:rFonts w:ascii="Montserrat" w:eastAsia="Times New Roman" w:hAnsi="Montserrat" w:cs="Arial"/>
                <w:b/>
                <w:bCs/>
                <w:color w:val="FFFFFF"/>
                <w:sz w:val="16"/>
                <w:szCs w:val="16"/>
                <w:lang w:val="es-MX" w:eastAsia="es-MX"/>
              </w:rPr>
              <w:t>Concepto</w:t>
            </w:r>
          </w:p>
        </w:tc>
        <w:tc>
          <w:tcPr>
            <w:tcW w:w="1860" w:type="dxa"/>
            <w:tcBorders>
              <w:top w:val="nil"/>
              <w:left w:val="nil"/>
              <w:bottom w:val="nil"/>
              <w:right w:val="single" w:sz="8" w:space="0" w:color="FFFFFF"/>
            </w:tcBorders>
            <w:shd w:val="clear" w:color="000000" w:fill="D4C19C"/>
            <w:vAlign w:val="center"/>
            <w:hideMark/>
          </w:tcPr>
          <w:p w:rsidR="00F353A2" w:rsidRPr="00F353A2" w:rsidRDefault="00F353A2" w:rsidP="00F353A2">
            <w:pPr>
              <w:spacing w:after="0" w:line="240" w:lineRule="auto"/>
              <w:jc w:val="center"/>
              <w:rPr>
                <w:rFonts w:ascii="Montserrat" w:eastAsia="Times New Roman" w:hAnsi="Montserrat" w:cs="Arial"/>
                <w:b/>
                <w:bCs/>
                <w:color w:val="FFFFFF"/>
                <w:sz w:val="16"/>
                <w:szCs w:val="16"/>
                <w:lang w:val="es-MX" w:eastAsia="es-MX"/>
              </w:rPr>
            </w:pPr>
            <w:r w:rsidRPr="00F353A2">
              <w:rPr>
                <w:rFonts w:ascii="Montserrat" w:eastAsia="Times New Roman" w:hAnsi="Montserrat" w:cs="Arial"/>
                <w:b/>
                <w:bCs/>
                <w:color w:val="FFFFFF"/>
                <w:sz w:val="16"/>
                <w:szCs w:val="16"/>
                <w:lang w:val="es-MX" w:eastAsia="es-MX"/>
              </w:rPr>
              <w:t>2018</w:t>
            </w:r>
          </w:p>
        </w:tc>
        <w:tc>
          <w:tcPr>
            <w:tcW w:w="1860" w:type="dxa"/>
            <w:tcBorders>
              <w:top w:val="nil"/>
              <w:left w:val="nil"/>
              <w:bottom w:val="nil"/>
              <w:right w:val="single" w:sz="8" w:space="0" w:color="FFFFFF"/>
            </w:tcBorders>
            <w:shd w:val="clear" w:color="000000" w:fill="D4C19C"/>
            <w:vAlign w:val="center"/>
            <w:hideMark/>
          </w:tcPr>
          <w:p w:rsidR="00F353A2" w:rsidRPr="00F353A2" w:rsidRDefault="00F353A2" w:rsidP="00F353A2">
            <w:pPr>
              <w:spacing w:after="0" w:line="240" w:lineRule="auto"/>
              <w:jc w:val="center"/>
              <w:rPr>
                <w:rFonts w:ascii="Montserrat" w:eastAsia="Times New Roman" w:hAnsi="Montserrat" w:cs="Arial"/>
                <w:b/>
                <w:bCs/>
                <w:color w:val="FFFFFF"/>
                <w:sz w:val="16"/>
                <w:szCs w:val="16"/>
                <w:lang w:val="es-MX" w:eastAsia="es-MX"/>
              </w:rPr>
            </w:pPr>
            <w:r w:rsidRPr="00F353A2">
              <w:rPr>
                <w:rFonts w:ascii="Montserrat" w:eastAsia="Times New Roman" w:hAnsi="Montserrat" w:cs="Arial"/>
                <w:b/>
                <w:bCs/>
                <w:color w:val="FFFFFF"/>
                <w:sz w:val="16"/>
                <w:szCs w:val="16"/>
                <w:lang w:val="es-MX" w:eastAsia="es-MX"/>
              </w:rPr>
              <w:t>CDI</w:t>
            </w:r>
          </w:p>
        </w:tc>
        <w:tc>
          <w:tcPr>
            <w:tcW w:w="1743" w:type="dxa"/>
            <w:tcBorders>
              <w:top w:val="nil"/>
              <w:left w:val="nil"/>
              <w:bottom w:val="nil"/>
              <w:right w:val="single" w:sz="8" w:space="0" w:color="FFFFFF"/>
            </w:tcBorders>
            <w:shd w:val="clear" w:color="000000" w:fill="D4C19C"/>
            <w:vAlign w:val="center"/>
            <w:hideMark/>
          </w:tcPr>
          <w:p w:rsidR="00F353A2" w:rsidRPr="00F353A2" w:rsidRDefault="00F353A2" w:rsidP="00F353A2">
            <w:pPr>
              <w:spacing w:after="0" w:line="240" w:lineRule="auto"/>
              <w:jc w:val="center"/>
              <w:rPr>
                <w:rFonts w:ascii="Montserrat" w:eastAsia="Times New Roman" w:hAnsi="Montserrat" w:cs="Arial"/>
                <w:b/>
                <w:bCs/>
                <w:color w:val="FFFFFF"/>
                <w:sz w:val="16"/>
                <w:szCs w:val="16"/>
                <w:lang w:val="es-MX" w:eastAsia="es-MX"/>
              </w:rPr>
            </w:pPr>
            <w:r w:rsidRPr="00F353A2">
              <w:rPr>
                <w:rFonts w:ascii="Montserrat" w:eastAsia="Times New Roman" w:hAnsi="Montserrat" w:cs="Arial"/>
                <w:b/>
                <w:bCs/>
                <w:color w:val="FFFFFF"/>
                <w:sz w:val="16"/>
                <w:szCs w:val="16"/>
                <w:lang w:val="es-MX" w:eastAsia="es-MX"/>
              </w:rPr>
              <w:t>CSE</w:t>
            </w:r>
          </w:p>
        </w:tc>
        <w:tc>
          <w:tcPr>
            <w:tcW w:w="1681" w:type="dxa"/>
            <w:tcBorders>
              <w:top w:val="nil"/>
              <w:left w:val="nil"/>
              <w:bottom w:val="nil"/>
              <w:right w:val="single" w:sz="8" w:space="0" w:color="FFFFFF"/>
            </w:tcBorders>
            <w:shd w:val="clear" w:color="000000" w:fill="D4C19C"/>
            <w:vAlign w:val="center"/>
            <w:hideMark/>
          </w:tcPr>
          <w:p w:rsidR="00F353A2" w:rsidRPr="00F353A2" w:rsidRDefault="00F353A2" w:rsidP="00F353A2">
            <w:pPr>
              <w:spacing w:after="0" w:line="240" w:lineRule="auto"/>
              <w:jc w:val="center"/>
              <w:rPr>
                <w:rFonts w:ascii="Montserrat" w:eastAsia="Times New Roman" w:hAnsi="Montserrat" w:cs="Arial"/>
                <w:b/>
                <w:bCs/>
                <w:color w:val="FFFFFF"/>
                <w:sz w:val="16"/>
                <w:szCs w:val="16"/>
                <w:lang w:val="es-MX" w:eastAsia="es-MX"/>
              </w:rPr>
            </w:pPr>
            <w:r w:rsidRPr="00F353A2">
              <w:rPr>
                <w:rFonts w:ascii="Montserrat" w:eastAsia="Times New Roman" w:hAnsi="Montserrat" w:cs="Arial"/>
                <w:b/>
                <w:bCs/>
                <w:color w:val="FFFFFF"/>
                <w:sz w:val="16"/>
                <w:szCs w:val="16"/>
                <w:lang w:val="es-MX" w:eastAsia="es-MX"/>
              </w:rPr>
              <w:t>ASF</w:t>
            </w:r>
          </w:p>
        </w:tc>
      </w:tr>
      <w:tr w:rsidR="00F353A2" w:rsidRPr="00F353A2" w:rsidTr="00D36914">
        <w:trPr>
          <w:trHeight w:val="53"/>
          <w:jc w:val="center"/>
        </w:trPr>
        <w:tc>
          <w:tcPr>
            <w:tcW w:w="8337" w:type="dxa"/>
            <w:gridSpan w:val="3"/>
            <w:tcBorders>
              <w:top w:val="nil"/>
              <w:left w:val="nil"/>
              <w:bottom w:val="double" w:sz="6" w:space="0" w:color="808080"/>
              <w:right w:val="nil"/>
            </w:tcBorders>
            <w:shd w:val="clear" w:color="auto" w:fill="auto"/>
            <w:vAlign w:val="center"/>
            <w:hideMark/>
          </w:tcPr>
          <w:p w:rsidR="00F353A2" w:rsidRPr="00F353A2" w:rsidRDefault="00F353A2" w:rsidP="00F353A2">
            <w:pPr>
              <w:spacing w:after="0" w:line="240" w:lineRule="auto"/>
              <w:jc w:val="center"/>
              <w:rPr>
                <w:rFonts w:ascii="Montserrat" w:eastAsia="Times New Roman" w:hAnsi="Montserrat" w:cs="Arial"/>
                <w:b/>
                <w:bCs/>
                <w:color w:val="000000"/>
                <w:sz w:val="4"/>
                <w:szCs w:val="4"/>
                <w:lang w:val="es-MX" w:eastAsia="es-MX"/>
              </w:rPr>
            </w:pPr>
            <w:r w:rsidRPr="00F353A2">
              <w:rPr>
                <w:rFonts w:ascii="Montserrat" w:eastAsia="Times New Roman" w:hAnsi="Montserrat" w:cs="Arial"/>
                <w:b/>
                <w:bCs/>
                <w:color w:val="000000"/>
                <w:sz w:val="4"/>
                <w:szCs w:val="4"/>
                <w:lang w:val="es-MX" w:eastAsia="es-MX"/>
              </w:rPr>
              <w:t> </w:t>
            </w:r>
          </w:p>
        </w:tc>
        <w:tc>
          <w:tcPr>
            <w:tcW w:w="3424" w:type="dxa"/>
            <w:gridSpan w:val="2"/>
            <w:tcBorders>
              <w:top w:val="nil"/>
              <w:left w:val="nil"/>
              <w:bottom w:val="double" w:sz="6" w:space="0" w:color="808080"/>
              <w:right w:val="nil"/>
            </w:tcBorders>
            <w:shd w:val="clear" w:color="auto" w:fill="auto"/>
            <w:vAlign w:val="center"/>
            <w:hideMark/>
          </w:tcPr>
          <w:p w:rsidR="00F353A2" w:rsidRPr="00F353A2" w:rsidRDefault="00F353A2" w:rsidP="00F353A2">
            <w:pPr>
              <w:spacing w:after="0" w:line="240" w:lineRule="auto"/>
              <w:jc w:val="center"/>
              <w:rPr>
                <w:rFonts w:ascii="Montserrat" w:eastAsia="Times New Roman" w:hAnsi="Montserrat" w:cs="Arial"/>
                <w:b/>
                <w:bCs/>
                <w:color w:val="000000"/>
                <w:sz w:val="4"/>
                <w:szCs w:val="4"/>
                <w:lang w:val="es-MX" w:eastAsia="es-MX"/>
              </w:rPr>
            </w:pPr>
            <w:r w:rsidRPr="00F353A2">
              <w:rPr>
                <w:rFonts w:ascii="Montserrat" w:eastAsia="Times New Roman" w:hAnsi="Montserrat" w:cs="Arial"/>
                <w:b/>
                <w:bCs/>
                <w:color w:val="000000"/>
                <w:sz w:val="4"/>
                <w:szCs w:val="4"/>
                <w:lang w:val="es-MX" w:eastAsia="es-MX"/>
              </w:rPr>
              <w:t> </w:t>
            </w:r>
          </w:p>
        </w:tc>
      </w:tr>
      <w:tr w:rsidR="00F353A2" w:rsidRPr="00F353A2" w:rsidTr="00337B1D">
        <w:trPr>
          <w:trHeight w:val="270"/>
          <w:jc w:val="center"/>
        </w:trPr>
        <w:tc>
          <w:tcPr>
            <w:tcW w:w="4617" w:type="dxa"/>
            <w:tcBorders>
              <w:top w:val="nil"/>
              <w:left w:val="nil"/>
              <w:bottom w:val="nil"/>
              <w:right w:val="nil"/>
            </w:tcBorders>
            <w:shd w:val="clear" w:color="000000" w:fill="F2F2F2"/>
            <w:noWrap/>
            <w:vAlign w:val="center"/>
            <w:hideMark/>
          </w:tcPr>
          <w:p w:rsidR="00F353A2" w:rsidRPr="00F353A2" w:rsidRDefault="00F353A2" w:rsidP="00F353A2">
            <w:pPr>
              <w:spacing w:after="0" w:line="240" w:lineRule="auto"/>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Terrenos</w:t>
            </w:r>
          </w:p>
        </w:tc>
        <w:tc>
          <w:tcPr>
            <w:tcW w:w="1860"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1,779,528,852</w:t>
            </w:r>
          </w:p>
        </w:tc>
        <w:tc>
          <w:tcPr>
            <w:tcW w:w="1860"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2,107,500</w:t>
            </w:r>
          </w:p>
        </w:tc>
        <w:tc>
          <w:tcPr>
            <w:tcW w:w="1743" w:type="dxa"/>
            <w:tcBorders>
              <w:top w:val="nil"/>
              <w:left w:val="nil"/>
              <w:bottom w:val="nil"/>
              <w:right w:val="nil"/>
            </w:tcBorders>
            <w:shd w:val="clear" w:color="000000" w:fill="F2F2F2"/>
            <w:noWrap/>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967,369,829</w:t>
            </w:r>
          </w:p>
        </w:tc>
        <w:tc>
          <w:tcPr>
            <w:tcW w:w="1681"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810,051,523</w:t>
            </w:r>
          </w:p>
        </w:tc>
      </w:tr>
      <w:tr w:rsidR="00F353A2" w:rsidRPr="00F353A2" w:rsidTr="00337B1D">
        <w:trPr>
          <w:trHeight w:val="255"/>
          <w:jc w:val="center"/>
        </w:trPr>
        <w:tc>
          <w:tcPr>
            <w:tcW w:w="4617" w:type="dxa"/>
            <w:tcBorders>
              <w:top w:val="nil"/>
              <w:left w:val="nil"/>
              <w:bottom w:val="nil"/>
              <w:right w:val="nil"/>
            </w:tcBorders>
            <w:shd w:val="clear" w:color="000000" w:fill="F2F2F2"/>
            <w:noWrap/>
            <w:vAlign w:val="center"/>
            <w:hideMark/>
          </w:tcPr>
          <w:p w:rsidR="00F353A2" w:rsidRPr="00F353A2" w:rsidRDefault="00F353A2" w:rsidP="00F353A2">
            <w:pPr>
              <w:spacing w:after="0" w:line="240" w:lineRule="auto"/>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Viviendas</w:t>
            </w:r>
          </w:p>
        </w:tc>
        <w:tc>
          <w:tcPr>
            <w:tcW w:w="1860"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0</w:t>
            </w:r>
          </w:p>
        </w:tc>
        <w:tc>
          <w:tcPr>
            <w:tcW w:w="1860"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0</w:t>
            </w:r>
          </w:p>
        </w:tc>
        <w:tc>
          <w:tcPr>
            <w:tcW w:w="1743" w:type="dxa"/>
            <w:tcBorders>
              <w:top w:val="nil"/>
              <w:left w:val="nil"/>
              <w:bottom w:val="nil"/>
              <w:right w:val="nil"/>
            </w:tcBorders>
            <w:shd w:val="clear" w:color="000000" w:fill="F2F2F2"/>
            <w:noWrap/>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0</w:t>
            </w:r>
          </w:p>
        </w:tc>
        <w:tc>
          <w:tcPr>
            <w:tcW w:w="1681"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0</w:t>
            </w:r>
          </w:p>
        </w:tc>
      </w:tr>
      <w:tr w:rsidR="00F353A2" w:rsidRPr="00F353A2" w:rsidTr="00337B1D">
        <w:trPr>
          <w:trHeight w:val="255"/>
          <w:jc w:val="center"/>
        </w:trPr>
        <w:tc>
          <w:tcPr>
            <w:tcW w:w="4617" w:type="dxa"/>
            <w:tcBorders>
              <w:top w:val="nil"/>
              <w:left w:val="nil"/>
              <w:bottom w:val="nil"/>
              <w:right w:val="nil"/>
            </w:tcBorders>
            <w:shd w:val="clear" w:color="000000" w:fill="F2F2F2"/>
            <w:noWrap/>
            <w:vAlign w:val="center"/>
            <w:hideMark/>
          </w:tcPr>
          <w:p w:rsidR="00F353A2" w:rsidRPr="00F353A2" w:rsidRDefault="00F353A2" w:rsidP="00F353A2">
            <w:pPr>
              <w:spacing w:after="0" w:line="240" w:lineRule="auto"/>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Edificios no Habitacionales</w:t>
            </w:r>
          </w:p>
        </w:tc>
        <w:tc>
          <w:tcPr>
            <w:tcW w:w="1860"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6,295,814,863</w:t>
            </w:r>
          </w:p>
        </w:tc>
        <w:tc>
          <w:tcPr>
            <w:tcW w:w="1860"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2,599,544,345</w:t>
            </w:r>
          </w:p>
        </w:tc>
        <w:tc>
          <w:tcPr>
            <w:tcW w:w="1743" w:type="dxa"/>
            <w:tcBorders>
              <w:top w:val="nil"/>
              <w:left w:val="nil"/>
              <w:bottom w:val="nil"/>
              <w:right w:val="nil"/>
            </w:tcBorders>
            <w:shd w:val="clear" w:color="000000" w:fill="F2F2F2"/>
            <w:noWrap/>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1,868,291,786</w:t>
            </w:r>
          </w:p>
        </w:tc>
        <w:tc>
          <w:tcPr>
            <w:tcW w:w="1681"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1,827,978,732</w:t>
            </w:r>
          </w:p>
        </w:tc>
      </w:tr>
      <w:tr w:rsidR="00F353A2" w:rsidRPr="00F353A2" w:rsidTr="00337B1D">
        <w:trPr>
          <w:trHeight w:val="255"/>
          <w:jc w:val="center"/>
        </w:trPr>
        <w:tc>
          <w:tcPr>
            <w:tcW w:w="4617" w:type="dxa"/>
            <w:tcBorders>
              <w:top w:val="nil"/>
              <w:left w:val="nil"/>
              <w:bottom w:val="nil"/>
              <w:right w:val="nil"/>
            </w:tcBorders>
            <w:shd w:val="clear" w:color="000000" w:fill="F2F2F2"/>
            <w:noWrap/>
            <w:vAlign w:val="center"/>
            <w:hideMark/>
          </w:tcPr>
          <w:p w:rsidR="00F353A2" w:rsidRPr="00F353A2" w:rsidRDefault="00F353A2" w:rsidP="00F353A2">
            <w:pPr>
              <w:spacing w:after="0" w:line="240" w:lineRule="auto"/>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Otros Bienes Inmuebles</w:t>
            </w:r>
          </w:p>
        </w:tc>
        <w:tc>
          <w:tcPr>
            <w:tcW w:w="1860"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0</w:t>
            </w:r>
          </w:p>
        </w:tc>
        <w:tc>
          <w:tcPr>
            <w:tcW w:w="1860"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0</w:t>
            </w:r>
          </w:p>
        </w:tc>
        <w:tc>
          <w:tcPr>
            <w:tcW w:w="1743" w:type="dxa"/>
            <w:tcBorders>
              <w:top w:val="nil"/>
              <w:left w:val="nil"/>
              <w:bottom w:val="nil"/>
              <w:right w:val="nil"/>
            </w:tcBorders>
            <w:shd w:val="clear" w:color="000000" w:fill="F2F2F2"/>
            <w:noWrap/>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0</w:t>
            </w:r>
          </w:p>
        </w:tc>
        <w:tc>
          <w:tcPr>
            <w:tcW w:w="1681"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0</w:t>
            </w:r>
          </w:p>
        </w:tc>
      </w:tr>
      <w:tr w:rsidR="00F353A2" w:rsidRPr="00F353A2" w:rsidTr="00337B1D">
        <w:trPr>
          <w:trHeight w:val="255"/>
          <w:jc w:val="center"/>
        </w:trPr>
        <w:tc>
          <w:tcPr>
            <w:tcW w:w="4617" w:type="dxa"/>
            <w:tcBorders>
              <w:top w:val="nil"/>
              <w:left w:val="nil"/>
              <w:bottom w:val="nil"/>
              <w:right w:val="nil"/>
            </w:tcBorders>
            <w:shd w:val="clear" w:color="000000" w:fill="F2F2F2"/>
            <w:noWrap/>
            <w:vAlign w:val="center"/>
            <w:hideMark/>
          </w:tcPr>
          <w:p w:rsidR="00F353A2" w:rsidRPr="00F353A2" w:rsidRDefault="00F353A2" w:rsidP="00F353A2">
            <w:pPr>
              <w:spacing w:after="0" w:line="240" w:lineRule="auto"/>
              <w:rPr>
                <w:rFonts w:ascii="Montserrat" w:eastAsia="Times New Roman" w:hAnsi="Montserrat" w:cs="Arial"/>
                <w:b/>
                <w:bCs/>
                <w:color w:val="000000"/>
                <w:sz w:val="15"/>
                <w:szCs w:val="15"/>
                <w:lang w:val="es-MX" w:eastAsia="es-MX"/>
              </w:rPr>
            </w:pPr>
            <w:r w:rsidRPr="00F353A2">
              <w:rPr>
                <w:rFonts w:ascii="Montserrat" w:eastAsia="Times New Roman" w:hAnsi="Montserrat" w:cs="Arial"/>
                <w:b/>
                <w:bCs/>
                <w:color w:val="000000"/>
                <w:sz w:val="15"/>
                <w:szCs w:val="15"/>
                <w:lang w:val="es-MX" w:eastAsia="es-MX"/>
              </w:rPr>
              <w:t>Subtotal de Bienes Inmuebles</w:t>
            </w:r>
          </w:p>
        </w:tc>
        <w:tc>
          <w:tcPr>
            <w:tcW w:w="1860"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b/>
                <w:bCs/>
                <w:sz w:val="15"/>
                <w:szCs w:val="15"/>
                <w:lang w:val="es-MX" w:eastAsia="es-MX"/>
              </w:rPr>
            </w:pPr>
            <w:r w:rsidRPr="007A20B9">
              <w:rPr>
                <w:rFonts w:ascii="Montserrat" w:eastAsia="Times New Roman" w:hAnsi="Montserrat" w:cs="Arial"/>
                <w:b/>
                <w:bCs/>
                <w:sz w:val="15"/>
                <w:szCs w:val="15"/>
                <w:lang w:val="es-MX" w:eastAsia="es-MX"/>
              </w:rPr>
              <w:t>8,075,343,715</w:t>
            </w:r>
          </w:p>
        </w:tc>
        <w:tc>
          <w:tcPr>
            <w:tcW w:w="1860"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b/>
                <w:bCs/>
                <w:sz w:val="15"/>
                <w:szCs w:val="15"/>
                <w:lang w:val="es-MX" w:eastAsia="es-MX"/>
              </w:rPr>
            </w:pPr>
            <w:r w:rsidRPr="007A20B9">
              <w:rPr>
                <w:rFonts w:ascii="Montserrat" w:eastAsia="Times New Roman" w:hAnsi="Montserrat" w:cs="Arial"/>
                <w:b/>
                <w:bCs/>
                <w:sz w:val="15"/>
                <w:szCs w:val="15"/>
                <w:lang w:val="es-MX" w:eastAsia="es-MX"/>
              </w:rPr>
              <w:t>2,601,651,845</w:t>
            </w:r>
          </w:p>
        </w:tc>
        <w:tc>
          <w:tcPr>
            <w:tcW w:w="1743" w:type="dxa"/>
            <w:tcBorders>
              <w:top w:val="nil"/>
              <w:left w:val="nil"/>
              <w:bottom w:val="nil"/>
              <w:right w:val="nil"/>
            </w:tcBorders>
            <w:shd w:val="clear" w:color="000000" w:fill="F2F2F2"/>
            <w:noWrap/>
            <w:vAlign w:val="center"/>
            <w:hideMark/>
          </w:tcPr>
          <w:p w:rsidR="00F353A2" w:rsidRPr="007A20B9" w:rsidRDefault="00F353A2" w:rsidP="00F353A2">
            <w:pPr>
              <w:spacing w:after="0" w:line="240" w:lineRule="auto"/>
              <w:jc w:val="right"/>
              <w:rPr>
                <w:rFonts w:ascii="Montserrat" w:eastAsia="Times New Roman" w:hAnsi="Montserrat" w:cs="Arial"/>
                <w:b/>
                <w:bCs/>
                <w:sz w:val="15"/>
                <w:szCs w:val="15"/>
                <w:lang w:val="es-MX" w:eastAsia="es-MX"/>
              </w:rPr>
            </w:pPr>
            <w:r w:rsidRPr="007A20B9">
              <w:rPr>
                <w:rFonts w:ascii="Montserrat" w:eastAsia="Times New Roman" w:hAnsi="Montserrat" w:cs="Arial"/>
                <w:b/>
                <w:bCs/>
                <w:sz w:val="15"/>
                <w:szCs w:val="15"/>
                <w:lang w:val="es-MX" w:eastAsia="es-MX"/>
              </w:rPr>
              <w:t>2,835,661,615</w:t>
            </w:r>
          </w:p>
        </w:tc>
        <w:tc>
          <w:tcPr>
            <w:tcW w:w="1681"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b/>
                <w:bCs/>
                <w:sz w:val="15"/>
                <w:szCs w:val="15"/>
                <w:lang w:val="es-MX" w:eastAsia="es-MX"/>
              </w:rPr>
            </w:pPr>
            <w:r w:rsidRPr="007A20B9">
              <w:rPr>
                <w:rFonts w:ascii="Montserrat" w:eastAsia="Times New Roman" w:hAnsi="Montserrat" w:cs="Arial"/>
                <w:b/>
                <w:bCs/>
                <w:sz w:val="15"/>
                <w:szCs w:val="15"/>
                <w:lang w:val="es-MX" w:eastAsia="es-MX"/>
              </w:rPr>
              <w:t>2,638,030,255</w:t>
            </w:r>
          </w:p>
        </w:tc>
      </w:tr>
      <w:tr w:rsidR="00F353A2" w:rsidRPr="00F353A2" w:rsidTr="00337B1D">
        <w:trPr>
          <w:trHeight w:val="255"/>
          <w:jc w:val="center"/>
        </w:trPr>
        <w:tc>
          <w:tcPr>
            <w:tcW w:w="4617" w:type="dxa"/>
            <w:tcBorders>
              <w:top w:val="nil"/>
              <w:left w:val="nil"/>
              <w:bottom w:val="nil"/>
              <w:right w:val="nil"/>
            </w:tcBorders>
            <w:shd w:val="clear" w:color="000000" w:fill="F2F2F2"/>
            <w:noWrap/>
            <w:vAlign w:val="center"/>
            <w:hideMark/>
          </w:tcPr>
          <w:p w:rsidR="00F353A2" w:rsidRPr="00F353A2" w:rsidRDefault="00F353A2" w:rsidP="00F353A2">
            <w:pPr>
              <w:spacing w:after="0" w:line="240" w:lineRule="auto"/>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Infraestructura</w:t>
            </w:r>
          </w:p>
        </w:tc>
        <w:tc>
          <w:tcPr>
            <w:tcW w:w="1860"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0</w:t>
            </w:r>
          </w:p>
        </w:tc>
        <w:tc>
          <w:tcPr>
            <w:tcW w:w="1860"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0</w:t>
            </w:r>
          </w:p>
        </w:tc>
        <w:tc>
          <w:tcPr>
            <w:tcW w:w="1743" w:type="dxa"/>
            <w:tcBorders>
              <w:top w:val="nil"/>
              <w:left w:val="nil"/>
              <w:bottom w:val="nil"/>
              <w:right w:val="nil"/>
            </w:tcBorders>
            <w:shd w:val="clear" w:color="000000" w:fill="F2F2F2"/>
            <w:noWrap/>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0</w:t>
            </w:r>
          </w:p>
        </w:tc>
        <w:tc>
          <w:tcPr>
            <w:tcW w:w="1681"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0</w:t>
            </w:r>
          </w:p>
        </w:tc>
      </w:tr>
      <w:tr w:rsidR="00F353A2" w:rsidRPr="00F353A2" w:rsidTr="00337B1D">
        <w:trPr>
          <w:trHeight w:val="255"/>
          <w:jc w:val="center"/>
        </w:trPr>
        <w:tc>
          <w:tcPr>
            <w:tcW w:w="4617" w:type="dxa"/>
            <w:tcBorders>
              <w:top w:val="nil"/>
              <w:left w:val="nil"/>
              <w:bottom w:val="nil"/>
              <w:right w:val="nil"/>
            </w:tcBorders>
            <w:shd w:val="clear" w:color="000000" w:fill="F2F2F2"/>
            <w:noWrap/>
            <w:vAlign w:val="center"/>
            <w:hideMark/>
          </w:tcPr>
          <w:p w:rsidR="00F353A2" w:rsidRPr="00F353A2" w:rsidRDefault="00F353A2" w:rsidP="00F353A2">
            <w:pPr>
              <w:spacing w:after="0" w:line="240" w:lineRule="auto"/>
              <w:rPr>
                <w:rFonts w:ascii="Montserrat" w:eastAsia="Times New Roman" w:hAnsi="Montserrat" w:cs="Arial"/>
                <w:b/>
                <w:bCs/>
                <w:color w:val="000000"/>
                <w:sz w:val="15"/>
                <w:szCs w:val="15"/>
                <w:lang w:val="es-MX" w:eastAsia="es-MX"/>
              </w:rPr>
            </w:pPr>
            <w:r w:rsidRPr="00F353A2">
              <w:rPr>
                <w:rFonts w:ascii="Montserrat" w:eastAsia="Times New Roman" w:hAnsi="Montserrat" w:cs="Arial"/>
                <w:b/>
                <w:bCs/>
                <w:color w:val="000000"/>
                <w:sz w:val="15"/>
                <w:szCs w:val="15"/>
                <w:lang w:val="es-MX" w:eastAsia="es-MX"/>
              </w:rPr>
              <w:t>Subtotal de Infraestructura</w:t>
            </w:r>
          </w:p>
        </w:tc>
        <w:tc>
          <w:tcPr>
            <w:tcW w:w="1860"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b/>
                <w:bCs/>
                <w:sz w:val="15"/>
                <w:szCs w:val="15"/>
                <w:lang w:val="es-MX" w:eastAsia="es-MX"/>
              </w:rPr>
            </w:pPr>
            <w:r w:rsidRPr="007A20B9">
              <w:rPr>
                <w:rFonts w:ascii="Montserrat" w:eastAsia="Times New Roman" w:hAnsi="Montserrat" w:cs="Arial"/>
                <w:b/>
                <w:bCs/>
                <w:sz w:val="15"/>
                <w:szCs w:val="15"/>
                <w:lang w:val="es-MX" w:eastAsia="es-MX"/>
              </w:rPr>
              <w:t>0</w:t>
            </w:r>
          </w:p>
        </w:tc>
        <w:tc>
          <w:tcPr>
            <w:tcW w:w="1860"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b/>
                <w:bCs/>
                <w:sz w:val="15"/>
                <w:szCs w:val="15"/>
                <w:lang w:val="es-MX" w:eastAsia="es-MX"/>
              </w:rPr>
            </w:pPr>
            <w:r w:rsidRPr="007A20B9">
              <w:rPr>
                <w:rFonts w:ascii="Montserrat" w:eastAsia="Times New Roman" w:hAnsi="Montserrat" w:cs="Arial"/>
                <w:b/>
                <w:bCs/>
                <w:sz w:val="15"/>
                <w:szCs w:val="15"/>
                <w:lang w:val="es-MX" w:eastAsia="es-MX"/>
              </w:rPr>
              <w:t>0</w:t>
            </w:r>
          </w:p>
        </w:tc>
        <w:tc>
          <w:tcPr>
            <w:tcW w:w="1743" w:type="dxa"/>
            <w:tcBorders>
              <w:top w:val="nil"/>
              <w:left w:val="nil"/>
              <w:bottom w:val="nil"/>
              <w:right w:val="nil"/>
            </w:tcBorders>
            <w:shd w:val="clear" w:color="000000" w:fill="F2F2F2"/>
            <w:noWrap/>
            <w:vAlign w:val="center"/>
            <w:hideMark/>
          </w:tcPr>
          <w:p w:rsidR="00F353A2" w:rsidRPr="007A20B9" w:rsidRDefault="00F353A2" w:rsidP="00F353A2">
            <w:pPr>
              <w:spacing w:after="0" w:line="240" w:lineRule="auto"/>
              <w:jc w:val="right"/>
              <w:rPr>
                <w:rFonts w:ascii="Montserrat" w:eastAsia="Times New Roman" w:hAnsi="Montserrat" w:cs="Arial"/>
                <w:b/>
                <w:bCs/>
                <w:sz w:val="15"/>
                <w:szCs w:val="15"/>
                <w:lang w:val="es-MX" w:eastAsia="es-MX"/>
              </w:rPr>
            </w:pPr>
            <w:r w:rsidRPr="007A20B9">
              <w:rPr>
                <w:rFonts w:ascii="Montserrat" w:eastAsia="Times New Roman" w:hAnsi="Montserrat" w:cs="Arial"/>
                <w:b/>
                <w:bCs/>
                <w:sz w:val="15"/>
                <w:szCs w:val="15"/>
                <w:lang w:val="es-MX" w:eastAsia="es-MX"/>
              </w:rPr>
              <w:t>0</w:t>
            </w:r>
          </w:p>
        </w:tc>
        <w:tc>
          <w:tcPr>
            <w:tcW w:w="1681"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b/>
                <w:bCs/>
                <w:sz w:val="15"/>
                <w:szCs w:val="15"/>
                <w:lang w:val="es-MX" w:eastAsia="es-MX"/>
              </w:rPr>
            </w:pPr>
            <w:r w:rsidRPr="007A20B9">
              <w:rPr>
                <w:rFonts w:ascii="Montserrat" w:eastAsia="Times New Roman" w:hAnsi="Montserrat" w:cs="Arial"/>
                <w:b/>
                <w:bCs/>
                <w:sz w:val="15"/>
                <w:szCs w:val="15"/>
                <w:lang w:val="es-MX" w:eastAsia="es-MX"/>
              </w:rPr>
              <w:t>0</w:t>
            </w:r>
          </w:p>
        </w:tc>
      </w:tr>
      <w:tr w:rsidR="00F353A2" w:rsidRPr="00F353A2" w:rsidTr="00337B1D">
        <w:trPr>
          <w:trHeight w:val="255"/>
          <w:jc w:val="center"/>
        </w:trPr>
        <w:tc>
          <w:tcPr>
            <w:tcW w:w="4617" w:type="dxa"/>
            <w:tcBorders>
              <w:top w:val="nil"/>
              <w:left w:val="nil"/>
              <w:bottom w:val="nil"/>
              <w:right w:val="nil"/>
            </w:tcBorders>
            <w:shd w:val="clear" w:color="000000" w:fill="F2F2F2"/>
            <w:noWrap/>
            <w:vAlign w:val="center"/>
            <w:hideMark/>
          </w:tcPr>
          <w:p w:rsidR="00F353A2" w:rsidRPr="00F353A2" w:rsidRDefault="00F353A2" w:rsidP="00F353A2">
            <w:pPr>
              <w:spacing w:after="0" w:line="240" w:lineRule="auto"/>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Construcciones en Proceso en Bienes de Dominio Público</w:t>
            </w:r>
          </w:p>
        </w:tc>
        <w:tc>
          <w:tcPr>
            <w:tcW w:w="1860"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0</w:t>
            </w:r>
          </w:p>
        </w:tc>
        <w:tc>
          <w:tcPr>
            <w:tcW w:w="1860"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0</w:t>
            </w:r>
          </w:p>
        </w:tc>
        <w:tc>
          <w:tcPr>
            <w:tcW w:w="1743" w:type="dxa"/>
            <w:tcBorders>
              <w:top w:val="nil"/>
              <w:left w:val="nil"/>
              <w:bottom w:val="nil"/>
              <w:right w:val="nil"/>
            </w:tcBorders>
            <w:shd w:val="clear" w:color="000000" w:fill="F2F2F2"/>
            <w:noWrap/>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0</w:t>
            </w:r>
          </w:p>
        </w:tc>
        <w:tc>
          <w:tcPr>
            <w:tcW w:w="1681"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0</w:t>
            </w:r>
          </w:p>
        </w:tc>
      </w:tr>
      <w:tr w:rsidR="00F353A2" w:rsidRPr="00F353A2" w:rsidTr="00337B1D">
        <w:trPr>
          <w:trHeight w:val="255"/>
          <w:jc w:val="center"/>
        </w:trPr>
        <w:tc>
          <w:tcPr>
            <w:tcW w:w="4617" w:type="dxa"/>
            <w:tcBorders>
              <w:top w:val="nil"/>
              <w:left w:val="nil"/>
              <w:bottom w:val="nil"/>
              <w:right w:val="nil"/>
            </w:tcBorders>
            <w:shd w:val="clear" w:color="000000" w:fill="F2F2F2"/>
            <w:noWrap/>
            <w:vAlign w:val="center"/>
            <w:hideMark/>
          </w:tcPr>
          <w:p w:rsidR="00F353A2" w:rsidRPr="00F353A2" w:rsidRDefault="00F353A2" w:rsidP="00F353A2">
            <w:pPr>
              <w:spacing w:after="0" w:line="240" w:lineRule="auto"/>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Construcciones en Proceso en Bienes Propios</w:t>
            </w:r>
          </w:p>
        </w:tc>
        <w:tc>
          <w:tcPr>
            <w:tcW w:w="1860"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466,564,592</w:t>
            </w:r>
          </w:p>
        </w:tc>
        <w:tc>
          <w:tcPr>
            <w:tcW w:w="1860"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327,250,336</w:t>
            </w:r>
          </w:p>
        </w:tc>
        <w:tc>
          <w:tcPr>
            <w:tcW w:w="1743" w:type="dxa"/>
            <w:tcBorders>
              <w:top w:val="nil"/>
              <w:left w:val="nil"/>
              <w:bottom w:val="nil"/>
              <w:right w:val="nil"/>
            </w:tcBorders>
            <w:shd w:val="clear" w:color="000000" w:fill="F2F2F2"/>
            <w:noWrap/>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54,532,554</w:t>
            </w:r>
          </w:p>
        </w:tc>
        <w:tc>
          <w:tcPr>
            <w:tcW w:w="1681"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84,781,702</w:t>
            </w:r>
          </w:p>
        </w:tc>
      </w:tr>
      <w:tr w:rsidR="00F353A2" w:rsidRPr="00F353A2" w:rsidTr="00337B1D">
        <w:trPr>
          <w:trHeight w:val="255"/>
          <w:jc w:val="center"/>
        </w:trPr>
        <w:tc>
          <w:tcPr>
            <w:tcW w:w="4617" w:type="dxa"/>
            <w:tcBorders>
              <w:top w:val="nil"/>
              <w:left w:val="nil"/>
              <w:bottom w:val="nil"/>
              <w:right w:val="nil"/>
            </w:tcBorders>
            <w:shd w:val="clear" w:color="000000" w:fill="F2F2F2"/>
            <w:noWrap/>
            <w:vAlign w:val="center"/>
            <w:hideMark/>
          </w:tcPr>
          <w:p w:rsidR="00F353A2" w:rsidRPr="00F353A2" w:rsidRDefault="00F353A2" w:rsidP="00F353A2">
            <w:pPr>
              <w:spacing w:after="0" w:line="240" w:lineRule="auto"/>
              <w:rPr>
                <w:rFonts w:ascii="Montserrat" w:eastAsia="Times New Roman" w:hAnsi="Montserrat" w:cs="Arial"/>
                <w:b/>
                <w:bCs/>
                <w:color w:val="000000"/>
                <w:sz w:val="15"/>
                <w:szCs w:val="15"/>
                <w:lang w:val="es-MX" w:eastAsia="es-MX"/>
              </w:rPr>
            </w:pPr>
            <w:r w:rsidRPr="00F353A2">
              <w:rPr>
                <w:rFonts w:ascii="Montserrat" w:eastAsia="Times New Roman" w:hAnsi="Montserrat" w:cs="Arial"/>
                <w:b/>
                <w:bCs/>
                <w:color w:val="000000"/>
                <w:sz w:val="15"/>
                <w:szCs w:val="15"/>
                <w:lang w:val="es-MX" w:eastAsia="es-MX"/>
              </w:rPr>
              <w:t>Subtotal de Construcciones en Proceso</w:t>
            </w:r>
          </w:p>
        </w:tc>
        <w:tc>
          <w:tcPr>
            <w:tcW w:w="1860"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b/>
                <w:bCs/>
                <w:sz w:val="15"/>
                <w:szCs w:val="15"/>
                <w:lang w:val="es-MX" w:eastAsia="es-MX"/>
              </w:rPr>
            </w:pPr>
            <w:r w:rsidRPr="007A20B9">
              <w:rPr>
                <w:rFonts w:ascii="Montserrat" w:eastAsia="Times New Roman" w:hAnsi="Montserrat" w:cs="Arial"/>
                <w:b/>
                <w:bCs/>
                <w:sz w:val="15"/>
                <w:szCs w:val="15"/>
                <w:lang w:val="es-MX" w:eastAsia="es-MX"/>
              </w:rPr>
              <w:t>466,564,592</w:t>
            </w:r>
          </w:p>
        </w:tc>
        <w:tc>
          <w:tcPr>
            <w:tcW w:w="1860"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b/>
                <w:bCs/>
                <w:sz w:val="15"/>
                <w:szCs w:val="15"/>
                <w:lang w:val="es-MX" w:eastAsia="es-MX"/>
              </w:rPr>
            </w:pPr>
            <w:r w:rsidRPr="007A20B9">
              <w:rPr>
                <w:rFonts w:ascii="Montserrat" w:eastAsia="Times New Roman" w:hAnsi="Montserrat" w:cs="Arial"/>
                <w:b/>
                <w:bCs/>
                <w:sz w:val="15"/>
                <w:szCs w:val="15"/>
                <w:lang w:val="es-MX" w:eastAsia="es-MX"/>
              </w:rPr>
              <w:t>327,250,336</w:t>
            </w:r>
          </w:p>
        </w:tc>
        <w:tc>
          <w:tcPr>
            <w:tcW w:w="1743" w:type="dxa"/>
            <w:tcBorders>
              <w:top w:val="nil"/>
              <w:left w:val="nil"/>
              <w:bottom w:val="nil"/>
              <w:right w:val="nil"/>
            </w:tcBorders>
            <w:shd w:val="clear" w:color="000000" w:fill="F2F2F2"/>
            <w:noWrap/>
            <w:vAlign w:val="center"/>
            <w:hideMark/>
          </w:tcPr>
          <w:p w:rsidR="00F353A2" w:rsidRPr="007A20B9" w:rsidRDefault="00F353A2" w:rsidP="00F353A2">
            <w:pPr>
              <w:spacing w:after="0" w:line="240" w:lineRule="auto"/>
              <w:jc w:val="right"/>
              <w:rPr>
                <w:rFonts w:ascii="Montserrat" w:eastAsia="Times New Roman" w:hAnsi="Montserrat" w:cs="Arial"/>
                <w:b/>
                <w:bCs/>
                <w:sz w:val="15"/>
                <w:szCs w:val="15"/>
                <w:lang w:val="es-MX" w:eastAsia="es-MX"/>
              </w:rPr>
            </w:pPr>
            <w:r w:rsidRPr="007A20B9">
              <w:rPr>
                <w:rFonts w:ascii="Montserrat" w:eastAsia="Times New Roman" w:hAnsi="Montserrat" w:cs="Arial"/>
                <w:b/>
                <w:bCs/>
                <w:sz w:val="15"/>
                <w:szCs w:val="15"/>
                <w:lang w:val="es-MX" w:eastAsia="es-MX"/>
              </w:rPr>
              <w:t>54,532,554</w:t>
            </w:r>
          </w:p>
        </w:tc>
        <w:tc>
          <w:tcPr>
            <w:tcW w:w="1681"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b/>
                <w:bCs/>
                <w:sz w:val="15"/>
                <w:szCs w:val="15"/>
                <w:lang w:val="es-MX" w:eastAsia="es-MX"/>
              </w:rPr>
            </w:pPr>
            <w:r w:rsidRPr="007A20B9">
              <w:rPr>
                <w:rFonts w:ascii="Montserrat" w:eastAsia="Times New Roman" w:hAnsi="Montserrat" w:cs="Arial"/>
                <w:b/>
                <w:bCs/>
                <w:sz w:val="15"/>
                <w:szCs w:val="15"/>
                <w:lang w:val="es-MX" w:eastAsia="es-MX"/>
              </w:rPr>
              <w:t>84,781,702</w:t>
            </w:r>
          </w:p>
        </w:tc>
      </w:tr>
      <w:tr w:rsidR="00F353A2" w:rsidRPr="00F353A2" w:rsidTr="00337B1D">
        <w:trPr>
          <w:trHeight w:val="255"/>
          <w:jc w:val="center"/>
        </w:trPr>
        <w:tc>
          <w:tcPr>
            <w:tcW w:w="4617" w:type="dxa"/>
            <w:tcBorders>
              <w:top w:val="nil"/>
              <w:left w:val="nil"/>
              <w:bottom w:val="nil"/>
              <w:right w:val="nil"/>
            </w:tcBorders>
            <w:shd w:val="clear" w:color="000000" w:fill="F2F2F2"/>
            <w:noWrap/>
            <w:vAlign w:val="center"/>
            <w:hideMark/>
          </w:tcPr>
          <w:p w:rsidR="00F353A2" w:rsidRPr="00F353A2" w:rsidRDefault="00F353A2" w:rsidP="007A20B9">
            <w:pPr>
              <w:spacing w:after="0" w:line="240" w:lineRule="auto"/>
              <w:jc w:val="right"/>
              <w:rPr>
                <w:rFonts w:ascii="Montserrat" w:eastAsia="Times New Roman" w:hAnsi="Montserrat" w:cs="Arial"/>
                <w:b/>
                <w:bCs/>
                <w:i/>
                <w:iCs/>
                <w:color w:val="000000"/>
                <w:sz w:val="15"/>
                <w:szCs w:val="15"/>
                <w:lang w:val="es-MX" w:eastAsia="es-MX"/>
              </w:rPr>
            </w:pPr>
            <w:r w:rsidRPr="00F353A2">
              <w:rPr>
                <w:rFonts w:ascii="Montserrat" w:eastAsia="Times New Roman" w:hAnsi="Montserrat" w:cs="Arial"/>
                <w:b/>
                <w:bCs/>
                <w:i/>
                <w:iCs/>
                <w:color w:val="000000"/>
                <w:sz w:val="15"/>
                <w:szCs w:val="15"/>
                <w:lang w:val="es-MX" w:eastAsia="es-MX"/>
              </w:rPr>
              <w:t>Suma de Bienes Inmuebles, Infraestructura y Construcciones en Proceso</w:t>
            </w:r>
          </w:p>
        </w:tc>
        <w:tc>
          <w:tcPr>
            <w:tcW w:w="1860"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b/>
                <w:bCs/>
                <w:i/>
                <w:iCs/>
                <w:sz w:val="15"/>
                <w:szCs w:val="15"/>
                <w:lang w:val="es-MX" w:eastAsia="es-MX"/>
              </w:rPr>
            </w:pPr>
            <w:r w:rsidRPr="007A20B9">
              <w:rPr>
                <w:rFonts w:ascii="Montserrat" w:eastAsia="Times New Roman" w:hAnsi="Montserrat" w:cs="Arial"/>
                <w:b/>
                <w:bCs/>
                <w:i/>
                <w:iCs/>
                <w:sz w:val="15"/>
                <w:szCs w:val="15"/>
                <w:lang w:val="es-MX" w:eastAsia="es-MX"/>
              </w:rPr>
              <w:t>8,541,908,307</w:t>
            </w:r>
          </w:p>
        </w:tc>
        <w:tc>
          <w:tcPr>
            <w:tcW w:w="1860"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b/>
                <w:bCs/>
                <w:i/>
                <w:iCs/>
                <w:sz w:val="15"/>
                <w:szCs w:val="15"/>
                <w:lang w:val="es-MX" w:eastAsia="es-MX"/>
              </w:rPr>
            </w:pPr>
            <w:r w:rsidRPr="007A20B9">
              <w:rPr>
                <w:rFonts w:ascii="Montserrat" w:eastAsia="Times New Roman" w:hAnsi="Montserrat" w:cs="Arial"/>
                <w:b/>
                <w:bCs/>
                <w:i/>
                <w:iCs/>
                <w:sz w:val="15"/>
                <w:szCs w:val="15"/>
                <w:lang w:val="es-MX" w:eastAsia="es-MX"/>
              </w:rPr>
              <w:t>2,928,902,181</w:t>
            </w:r>
          </w:p>
        </w:tc>
        <w:tc>
          <w:tcPr>
            <w:tcW w:w="1743" w:type="dxa"/>
            <w:tcBorders>
              <w:top w:val="nil"/>
              <w:left w:val="nil"/>
              <w:bottom w:val="nil"/>
              <w:right w:val="nil"/>
            </w:tcBorders>
            <w:shd w:val="clear" w:color="000000" w:fill="F2F2F2"/>
            <w:noWrap/>
            <w:vAlign w:val="center"/>
            <w:hideMark/>
          </w:tcPr>
          <w:p w:rsidR="00F353A2" w:rsidRPr="007A20B9" w:rsidRDefault="00F353A2" w:rsidP="00F353A2">
            <w:pPr>
              <w:spacing w:after="0" w:line="240" w:lineRule="auto"/>
              <w:jc w:val="right"/>
              <w:rPr>
                <w:rFonts w:ascii="Montserrat" w:eastAsia="Times New Roman" w:hAnsi="Montserrat" w:cs="Arial"/>
                <w:b/>
                <w:bCs/>
                <w:i/>
                <w:iCs/>
                <w:sz w:val="15"/>
                <w:szCs w:val="15"/>
                <w:lang w:val="es-MX" w:eastAsia="es-MX"/>
              </w:rPr>
            </w:pPr>
            <w:r w:rsidRPr="007A20B9">
              <w:rPr>
                <w:rFonts w:ascii="Montserrat" w:eastAsia="Times New Roman" w:hAnsi="Montserrat" w:cs="Arial"/>
                <w:b/>
                <w:bCs/>
                <w:i/>
                <w:iCs/>
                <w:sz w:val="15"/>
                <w:szCs w:val="15"/>
                <w:lang w:val="es-MX" w:eastAsia="es-MX"/>
              </w:rPr>
              <w:t>2,890,194,169</w:t>
            </w:r>
          </w:p>
        </w:tc>
        <w:tc>
          <w:tcPr>
            <w:tcW w:w="1681"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b/>
                <w:bCs/>
                <w:i/>
                <w:iCs/>
                <w:sz w:val="15"/>
                <w:szCs w:val="15"/>
                <w:lang w:val="es-MX" w:eastAsia="es-MX"/>
              </w:rPr>
            </w:pPr>
            <w:r w:rsidRPr="007A20B9">
              <w:rPr>
                <w:rFonts w:ascii="Montserrat" w:eastAsia="Times New Roman" w:hAnsi="Montserrat" w:cs="Arial"/>
                <w:b/>
                <w:bCs/>
                <w:i/>
                <w:iCs/>
                <w:sz w:val="15"/>
                <w:szCs w:val="15"/>
                <w:lang w:val="es-MX" w:eastAsia="es-MX"/>
              </w:rPr>
              <w:t>2,722,811,957</w:t>
            </w:r>
          </w:p>
        </w:tc>
      </w:tr>
      <w:tr w:rsidR="00F353A2" w:rsidRPr="00F353A2" w:rsidTr="00337B1D">
        <w:trPr>
          <w:trHeight w:val="255"/>
          <w:jc w:val="center"/>
        </w:trPr>
        <w:tc>
          <w:tcPr>
            <w:tcW w:w="4617" w:type="dxa"/>
            <w:tcBorders>
              <w:top w:val="nil"/>
              <w:left w:val="nil"/>
              <w:bottom w:val="nil"/>
              <w:right w:val="nil"/>
            </w:tcBorders>
            <w:shd w:val="clear" w:color="000000" w:fill="F2F2F2"/>
            <w:noWrap/>
            <w:vAlign w:val="center"/>
          </w:tcPr>
          <w:p w:rsidR="00F353A2" w:rsidRPr="00F353A2" w:rsidRDefault="00F353A2" w:rsidP="00F353A2">
            <w:pPr>
              <w:spacing w:after="0" w:line="240" w:lineRule="auto"/>
              <w:rPr>
                <w:rFonts w:ascii="Montserrat" w:eastAsia="Times New Roman" w:hAnsi="Montserrat" w:cs="Arial"/>
                <w:b/>
                <w:bCs/>
                <w:color w:val="E26B0A"/>
                <w:sz w:val="15"/>
                <w:szCs w:val="15"/>
                <w:lang w:val="es-MX" w:eastAsia="es-MX"/>
              </w:rPr>
            </w:pPr>
          </w:p>
        </w:tc>
        <w:tc>
          <w:tcPr>
            <w:tcW w:w="1860" w:type="dxa"/>
            <w:tcBorders>
              <w:top w:val="nil"/>
              <w:left w:val="nil"/>
              <w:bottom w:val="nil"/>
              <w:right w:val="nil"/>
            </w:tcBorders>
            <w:shd w:val="clear" w:color="000000" w:fill="F2F2F2"/>
            <w:vAlign w:val="center"/>
          </w:tcPr>
          <w:p w:rsidR="00F353A2" w:rsidRPr="007A20B9" w:rsidRDefault="00F353A2" w:rsidP="00F353A2">
            <w:pPr>
              <w:spacing w:after="0" w:line="240" w:lineRule="auto"/>
              <w:jc w:val="right"/>
              <w:rPr>
                <w:rFonts w:ascii="Montserrat" w:eastAsia="Times New Roman" w:hAnsi="Montserrat" w:cs="Arial"/>
                <w:b/>
                <w:bCs/>
                <w:sz w:val="15"/>
                <w:szCs w:val="15"/>
                <w:lang w:val="es-MX" w:eastAsia="es-MX"/>
              </w:rPr>
            </w:pPr>
          </w:p>
        </w:tc>
        <w:tc>
          <w:tcPr>
            <w:tcW w:w="1860" w:type="dxa"/>
            <w:tcBorders>
              <w:top w:val="nil"/>
              <w:left w:val="nil"/>
              <w:bottom w:val="nil"/>
              <w:right w:val="nil"/>
            </w:tcBorders>
            <w:shd w:val="clear" w:color="000000" w:fill="F2F2F2"/>
            <w:vAlign w:val="center"/>
          </w:tcPr>
          <w:p w:rsidR="00F353A2" w:rsidRPr="007A20B9" w:rsidRDefault="00F353A2" w:rsidP="00F353A2">
            <w:pPr>
              <w:spacing w:after="0" w:line="240" w:lineRule="auto"/>
              <w:jc w:val="right"/>
              <w:rPr>
                <w:rFonts w:ascii="Montserrat" w:eastAsia="Times New Roman" w:hAnsi="Montserrat" w:cs="Arial"/>
                <w:b/>
                <w:bCs/>
                <w:sz w:val="15"/>
                <w:szCs w:val="15"/>
                <w:lang w:val="es-MX" w:eastAsia="es-MX"/>
              </w:rPr>
            </w:pPr>
          </w:p>
        </w:tc>
        <w:tc>
          <w:tcPr>
            <w:tcW w:w="1743" w:type="dxa"/>
            <w:tcBorders>
              <w:top w:val="nil"/>
              <w:left w:val="nil"/>
              <w:bottom w:val="nil"/>
              <w:right w:val="nil"/>
            </w:tcBorders>
            <w:shd w:val="clear" w:color="000000" w:fill="F2F2F2"/>
            <w:noWrap/>
            <w:vAlign w:val="center"/>
          </w:tcPr>
          <w:p w:rsidR="00F353A2" w:rsidRPr="007A20B9" w:rsidRDefault="00F353A2" w:rsidP="00F353A2">
            <w:pPr>
              <w:spacing w:after="0" w:line="240" w:lineRule="auto"/>
              <w:jc w:val="right"/>
              <w:rPr>
                <w:rFonts w:ascii="Montserrat" w:eastAsia="Times New Roman" w:hAnsi="Montserrat" w:cs="Arial"/>
                <w:b/>
                <w:bCs/>
                <w:sz w:val="15"/>
                <w:szCs w:val="15"/>
                <w:lang w:val="es-MX" w:eastAsia="es-MX"/>
              </w:rPr>
            </w:pPr>
          </w:p>
        </w:tc>
        <w:tc>
          <w:tcPr>
            <w:tcW w:w="1681" w:type="dxa"/>
            <w:tcBorders>
              <w:top w:val="nil"/>
              <w:left w:val="nil"/>
              <w:bottom w:val="nil"/>
              <w:right w:val="nil"/>
            </w:tcBorders>
            <w:shd w:val="clear" w:color="000000" w:fill="F2F2F2"/>
            <w:vAlign w:val="center"/>
          </w:tcPr>
          <w:p w:rsidR="00F353A2" w:rsidRPr="007A20B9" w:rsidRDefault="00F353A2" w:rsidP="00F353A2">
            <w:pPr>
              <w:spacing w:after="0" w:line="240" w:lineRule="auto"/>
              <w:jc w:val="right"/>
              <w:rPr>
                <w:rFonts w:ascii="Montserrat" w:eastAsia="Times New Roman" w:hAnsi="Montserrat" w:cs="Arial"/>
                <w:b/>
                <w:bCs/>
                <w:sz w:val="15"/>
                <w:szCs w:val="15"/>
                <w:lang w:val="es-MX" w:eastAsia="es-MX"/>
              </w:rPr>
            </w:pPr>
          </w:p>
        </w:tc>
      </w:tr>
      <w:tr w:rsidR="00F353A2" w:rsidRPr="00F353A2" w:rsidTr="00337B1D">
        <w:trPr>
          <w:trHeight w:val="255"/>
          <w:jc w:val="center"/>
        </w:trPr>
        <w:tc>
          <w:tcPr>
            <w:tcW w:w="4617" w:type="dxa"/>
            <w:tcBorders>
              <w:top w:val="nil"/>
              <w:left w:val="nil"/>
              <w:bottom w:val="nil"/>
              <w:right w:val="nil"/>
            </w:tcBorders>
            <w:shd w:val="clear" w:color="000000" w:fill="F2F2F2"/>
            <w:noWrap/>
            <w:vAlign w:val="center"/>
            <w:hideMark/>
          </w:tcPr>
          <w:p w:rsidR="00F353A2" w:rsidRPr="00F353A2" w:rsidRDefault="00F353A2" w:rsidP="00F353A2">
            <w:pPr>
              <w:spacing w:after="0" w:line="240" w:lineRule="auto"/>
              <w:rPr>
                <w:rFonts w:ascii="Montserrat" w:eastAsia="Times New Roman" w:hAnsi="Montserrat" w:cs="Arial"/>
                <w:b/>
                <w:bCs/>
                <w:color w:val="000000"/>
                <w:sz w:val="15"/>
                <w:szCs w:val="15"/>
                <w:lang w:val="es-MX" w:eastAsia="es-MX"/>
              </w:rPr>
            </w:pPr>
            <w:r w:rsidRPr="00F353A2">
              <w:rPr>
                <w:rFonts w:ascii="Montserrat" w:eastAsia="Times New Roman" w:hAnsi="Montserrat" w:cs="Arial"/>
                <w:b/>
                <w:bCs/>
                <w:color w:val="000000"/>
                <w:sz w:val="15"/>
                <w:szCs w:val="15"/>
                <w:lang w:val="es-MX" w:eastAsia="es-MX"/>
              </w:rPr>
              <w:t>Subtotal de Bienes Inmuebles</w:t>
            </w:r>
          </w:p>
        </w:tc>
        <w:tc>
          <w:tcPr>
            <w:tcW w:w="1860"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b/>
                <w:bCs/>
                <w:sz w:val="15"/>
                <w:szCs w:val="15"/>
                <w:lang w:val="es-MX" w:eastAsia="es-MX"/>
              </w:rPr>
            </w:pPr>
            <w:r w:rsidRPr="007A20B9">
              <w:rPr>
                <w:rFonts w:ascii="Montserrat" w:eastAsia="Times New Roman" w:hAnsi="Montserrat" w:cs="Arial"/>
                <w:b/>
                <w:bCs/>
                <w:sz w:val="15"/>
                <w:szCs w:val="15"/>
                <w:lang w:val="es-MX" w:eastAsia="es-MX"/>
              </w:rPr>
              <w:t>8,075,343,715</w:t>
            </w:r>
          </w:p>
        </w:tc>
        <w:tc>
          <w:tcPr>
            <w:tcW w:w="1860"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b/>
                <w:bCs/>
                <w:sz w:val="15"/>
                <w:szCs w:val="15"/>
                <w:lang w:val="es-MX" w:eastAsia="es-MX"/>
              </w:rPr>
            </w:pPr>
            <w:r w:rsidRPr="007A20B9">
              <w:rPr>
                <w:rFonts w:ascii="Montserrat" w:eastAsia="Times New Roman" w:hAnsi="Montserrat" w:cs="Arial"/>
                <w:b/>
                <w:bCs/>
                <w:sz w:val="15"/>
                <w:szCs w:val="15"/>
                <w:lang w:val="es-MX" w:eastAsia="es-MX"/>
              </w:rPr>
              <w:t>2,601,651,845</w:t>
            </w:r>
          </w:p>
        </w:tc>
        <w:tc>
          <w:tcPr>
            <w:tcW w:w="1743" w:type="dxa"/>
            <w:tcBorders>
              <w:top w:val="nil"/>
              <w:left w:val="nil"/>
              <w:bottom w:val="nil"/>
              <w:right w:val="nil"/>
            </w:tcBorders>
            <w:shd w:val="clear" w:color="000000" w:fill="F2F2F2"/>
            <w:noWrap/>
            <w:vAlign w:val="center"/>
            <w:hideMark/>
          </w:tcPr>
          <w:p w:rsidR="00F353A2" w:rsidRPr="007A20B9" w:rsidRDefault="00F353A2" w:rsidP="00F353A2">
            <w:pPr>
              <w:spacing w:after="0" w:line="240" w:lineRule="auto"/>
              <w:jc w:val="right"/>
              <w:rPr>
                <w:rFonts w:ascii="Montserrat" w:eastAsia="Times New Roman" w:hAnsi="Montserrat" w:cs="Arial"/>
                <w:b/>
                <w:bCs/>
                <w:sz w:val="15"/>
                <w:szCs w:val="15"/>
                <w:lang w:val="es-MX" w:eastAsia="es-MX"/>
              </w:rPr>
            </w:pPr>
            <w:r w:rsidRPr="007A20B9">
              <w:rPr>
                <w:rFonts w:ascii="Montserrat" w:eastAsia="Times New Roman" w:hAnsi="Montserrat" w:cs="Arial"/>
                <w:b/>
                <w:bCs/>
                <w:sz w:val="15"/>
                <w:szCs w:val="15"/>
                <w:lang w:val="es-MX" w:eastAsia="es-MX"/>
              </w:rPr>
              <w:t>2,835,661,615</w:t>
            </w:r>
          </w:p>
        </w:tc>
        <w:tc>
          <w:tcPr>
            <w:tcW w:w="1681"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b/>
                <w:bCs/>
                <w:sz w:val="15"/>
                <w:szCs w:val="15"/>
                <w:lang w:val="es-MX" w:eastAsia="es-MX"/>
              </w:rPr>
            </w:pPr>
            <w:r w:rsidRPr="007A20B9">
              <w:rPr>
                <w:rFonts w:ascii="Montserrat" w:eastAsia="Times New Roman" w:hAnsi="Montserrat" w:cs="Arial"/>
                <w:b/>
                <w:bCs/>
                <w:sz w:val="15"/>
                <w:szCs w:val="15"/>
                <w:lang w:val="es-MX" w:eastAsia="es-MX"/>
              </w:rPr>
              <w:t>2,638,030,255</w:t>
            </w:r>
          </w:p>
        </w:tc>
      </w:tr>
      <w:tr w:rsidR="00F353A2" w:rsidRPr="00F353A2" w:rsidTr="00337B1D">
        <w:trPr>
          <w:trHeight w:val="255"/>
          <w:jc w:val="center"/>
        </w:trPr>
        <w:tc>
          <w:tcPr>
            <w:tcW w:w="4617" w:type="dxa"/>
            <w:tcBorders>
              <w:top w:val="nil"/>
              <w:left w:val="nil"/>
              <w:bottom w:val="nil"/>
              <w:right w:val="nil"/>
            </w:tcBorders>
            <w:shd w:val="clear" w:color="000000" w:fill="F2F2F2"/>
            <w:noWrap/>
            <w:vAlign w:val="center"/>
            <w:hideMark/>
          </w:tcPr>
          <w:p w:rsidR="00F353A2" w:rsidRPr="00F353A2" w:rsidRDefault="00F353A2" w:rsidP="00F353A2">
            <w:pPr>
              <w:spacing w:after="0" w:line="240" w:lineRule="auto"/>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Valor relación de bienes inmuebles</w:t>
            </w:r>
          </w:p>
        </w:tc>
        <w:tc>
          <w:tcPr>
            <w:tcW w:w="1860"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8,073,236,215</w:t>
            </w:r>
          </w:p>
        </w:tc>
        <w:tc>
          <w:tcPr>
            <w:tcW w:w="1860"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2,601,651,845</w:t>
            </w:r>
          </w:p>
        </w:tc>
        <w:tc>
          <w:tcPr>
            <w:tcW w:w="1743" w:type="dxa"/>
            <w:tcBorders>
              <w:top w:val="nil"/>
              <w:left w:val="nil"/>
              <w:bottom w:val="nil"/>
              <w:right w:val="nil"/>
            </w:tcBorders>
            <w:shd w:val="clear" w:color="000000" w:fill="F2F2F2"/>
            <w:noWrap/>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2,833,554,115</w:t>
            </w:r>
          </w:p>
        </w:tc>
        <w:tc>
          <w:tcPr>
            <w:tcW w:w="1681"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2,638,030,255</w:t>
            </w:r>
          </w:p>
        </w:tc>
      </w:tr>
      <w:tr w:rsidR="00F353A2" w:rsidRPr="00F353A2" w:rsidTr="00337B1D">
        <w:trPr>
          <w:trHeight w:val="270"/>
          <w:jc w:val="center"/>
        </w:trPr>
        <w:tc>
          <w:tcPr>
            <w:tcW w:w="4617" w:type="dxa"/>
            <w:tcBorders>
              <w:top w:val="nil"/>
              <w:left w:val="nil"/>
              <w:bottom w:val="nil"/>
              <w:right w:val="nil"/>
            </w:tcBorders>
            <w:shd w:val="clear" w:color="000000" w:fill="F2F2F2"/>
            <w:noWrap/>
            <w:vAlign w:val="center"/>
            <w:hideMark/>
          </w:tcPr>
          <w:p w:rsidR="00F353A2" w:rsidRPr="00F353A2" w:rsidRDefault="00F353A2" w:rsidP="00F353A2">
            <w:pPr>
              <w:spacing w:after="0" w:line="240" w:lineRule="auto"/>
              <w:jc w:val="right"/>
              <w:rPr>
                <w:rFonts w:ascii="Montserrat" w:eastAsia="Times New Roman" w:hAnsi="Montserrat" w:cs="Arial"/>
                <w:b/>
                <w:bCs/>
                <w:color w:val="000000"/>
                <w:sz w:val="15"/>
                <w:szCs w:val="15"/>
                <w:lang w:val="es-MX" w:eastAsia="es-MX"/>
              </w:rPr>
            </w:pPr>
            <w:r w:rsidRPr="00F353A2">
              <w:rPr>
                <w:rFonts w:ascii="Montserrat" w:eastAsia="Times New Roman" w:hAnsi="Montserrat" w:cs="Arial"/>
                <w:b/>
                <w:bCs/>
                <w:color w:val="000000"/>
                <w:sz w:val="15"/>
                <w:szCs w:val="15"/>
                <w:lang w:val="es-MX" w:eastAsia="es-MX"/>
              </w:rPr>
              <w:t>Diferencia</w:t>
            </w:r>
          </w:p>
        </w:tc>
        <w:tc>
          <w:tcPr>
            <w:tcW w:w="1860"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b/>
                <w:bCs/>
                <w:sz w:val="15"/>
                <w:szCs w:val="15"/>
                <w:lang w:val="es-MX" w:eastAsia="es-MX"/>
              </w:rPr>
            </w:pPr>
            <w:r w:rsidRPr="007A20B9">
              <w:rPr>
                <w:rFonts w:ascii="Montserrat" w:eastAsia="Times New Roman" w:hAnsi="Montserrat" w:cs="Arial"/>
                <w:b/>
                <w:bCs/>
                <w:sz w:val="15"/>
                <w:szCs w:val="15"/>
                <w:lang w:val="es-MX" w:eastAsia="es-MX"/>
              </w:rPr>
              <w:t>2,107,500</w:t>
            </w:r>
          </w:p>
        </w:tc>
        <w:tc>
          <w:tcPr>
            <w:tcW w:w="1860"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b/>
                <w:bCs/>
                <w:sz w:val="15"/>
                <w:szCs w:val="15"/>
                <w:lang w:val="es-MX" w:eastAsia="es-MX"/>
              </w:rPr>
            </w:pPr>
            <w:r w:rsidRPr="007A20B9">
              <w:rPr>
                <w:rFonts w:ascii="Montserrat" w:eastAsia="Times New Roman" w:hAnsi="Montserrat" w:cs="Arial"/>
                <w:b/>
                <w:bCs/>
                <w:sz w:val="15"/>
                <w:szCs w:val="15"/>
                <w:lang w:val="es-MX" w:eastAsia="es-MX"/>
              </w:rPr>
              <w:t>0</w:t>
            </w:r>
          </w:p>
        </w:tc>
        <w:tc>
          <w:tcPr>
            <w:tcW w:w="1743" w:type="dxa"/>
            <w:tcBorders>
              <w:top w:val="nil"/>
              <w:left w:val="nil"/>
              <w:bottom w:val="nil"/>
              <w:right w:val="nil"/>
            </w:tcBorders>
            <w:shd w:val="clear" w:color="000000" w:fill="F2F2F2"/>
            <w:noWrap/>
            <w:vAlign w:val="center"/>
            <w:hideMark/>
          </w:tcPr>
          <w:p w:rsidR="00F353A2" w:rsidRPr="007A20B9" w:rsidRDefault="00F353A2" w:rsidP="00F353A2">
            <w:pPr>
              <w:spacing w:after="0" w:line="240" w:lineRule="auto"/>
              <w:jc w:val="right"/>
              <w:rPr>
                <w:rFonts w:ascii="Montserrat" w:eastAsia="Times New Roman" w:hAnsi="Montserrat" w:cs="Arial"/>
                <w:b/>
                <w:bCs/>
                <w:sz w:val="15"/>
                <w:szCs w:val="15"/>
                <w:lang w:val="es-MX" w:eastAsia="es-MX"/>
              </w:rPr>
            </w:pPr>
            <w:r w:rsidRPr="007A20B9">
              <w:rPr>
                <w:rFonts w:ascii="Montserrat" w:eastAsia="Times New Roman" w:hAnsi="Montserrat" w:cs="Arial"/>
                <w:b/>
                <w:bCs/>
                <w:sz w:val="15"/>
                <w:szCs w:val="15"/>
                <w:lang w:val="es-MX" w:eastAsia="es-MX"/>
              </w:rPr>
              <w:t>2,107,500</w:t>
            </w:r>
          </w:p>
        </w:tc>
        <w:tc>
          <w:tcPr>
            <w:tcW w:w="1681"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b/>
                <w:bCs/>
                <w:sz w:val="15"/>
                <w:szCs w:val="15"/>
                <w:lang w:val="es-MX" w:eastAsia="es-MX"/>
              </w:rPr>
            </w:pPr>
            <w:r w:rsidRPr="007A20B9">
              <w:rPr>
                <w:rFonts w:ascii="Montserrat" w:eastAsia="Times New Roman" w:hAnsi="Montserrat" w:cs="Arial"/>
                <w:b/>
                <w:bCs/>
                <w:sz w:val="15"/>
                <w:szCs w:val="15"/>
                <w:lang w:val="es-MX" w:eastAsia="es-MX"/>
              </w:rPr>
              <w:t>0</w:t>
            </w:r>
          </w:p>
        </w:tc>
      </w:tr>
      <w:tr w:rsidR="00F353A2" w:rsidRPr="00F353A2" w:rsidTr="00337B1D">
        <w:trPr>
          <w:trHeight w:val="40"/>
          <w:jc w:val="center"/>
        </w:trPr>
        <w:tc>
          <w:tcPr>
            <w:tcW w:w="4617" w:type="dxa"/>
            <w:tcBorders>
              <w:top w:val="single" w:sz="12" w:space="0" w:color="808080"/>
              <w:left w:val="nil"/>
              <w:bottom w:val="nil"/>
              <w:right w:val="nil"/>
            </w:tcBorders>
            <w:shd w:val="clear" w:color="auto" w:fill="auto"/>
            <w:noWrap/>
            <w:vAlign w:val="center"/>
            <w:hideMark/>
          </w:tcPr>
          <w:p w:rsidR="00F353A2" w:rsidRPr="00F353A2" w:rsidRDefault="00F353A2" w:rsidP="00F353A2">
            <w:pPr>
              <w:spacing w:after="0" w:line="240" w:lineRule="auto"/>
              <w:jc w:val="right"/>
              <w:rPr>
                <w:rFonts w:ascii="Soberana Sans Light" w:eastAsia="Times New Roman" w:hAnsi="Soberana Sans Light" w:cs="Arial"/>
                <w:b/>
                <w:bCs/>
                <w:color w:val="E26B0A"/>
                <w:sz w:val="16"/>
                <w:szCs w:val="16"/>
                <w:lang w:val="es-MX" w:eastAsia="es-MX"/>
              </w:rPr>
            </w:pPr>
            <w:r w:rsidRPr="00F353A2">
              <w:rPr>
                <w:rFonts w:ascii="Soberana Sans Light" w:eastAsia="Times New Roman" w:hAnsi="Soberana Sans Light" w:cs="Arial"/>
                <w:b/>
                <w:bCs/>
                <w:color w:val="E26B0A"/>
                <w:sz w:val="16"/>
                <w:szCs w:val="16"/>
                <w:lang w:val="es-MX" w:eastAsia="es-MX"/>
              </w:rPr>
              <w:t> </w:t>
            </w:r>
          </w:p>
        </w:tc>
        <w:tc>
          <w:tcPr>
            <w:tcW w:w="1860" w:type="dxa"/>
            <w:tcBorders>
              <w:top w:val="single" w:sz="12" w:space="0" w:color="808080"/>
              <w:left w:val="nil"/>
              <w:bottom w:val="nil"/>
              <w:right w:val="nil"/>
            </w:tcBorders>
            <w:shd w:val="clear" w:color="auto" w:fill="auto"/>
            <w:noWrap/>
            <w:vAlign w:val="center"/>
          </w:tcPr>
          <w:p w:rsidR="00F353A2" w:rsidRPr="00F353A2" w:rsidRDefault="00F353A2" w:rsidP="00F353A2">
            <w:pPr>
              <w:spacing w:after="0" w:line="240" w:lineRule="auto"/>
              <w:jc w:val="right"/>
              <w:rPr>
                <w:rFonts w:ascii="Soberana Sans Light" w:eastAsia="Times New Roman" w:hAnsi="Soberana Sans Light" w:cs="Arial"/>
                <w:b/>
                <w:bCs/>
                <w:color w:val="E26B0A"/>
                <w:sz w:val="16"/>
                <w:szCs w:val="16"/>
                <w:lang w:val="es-MX" w:eastAsia="es-MX"/>
              </w:rPr>
            </w:pPr>
          </w:p>
        </w:tc>
        <w:tc>
          <w:tcPr>
            <w:tcW w:w="1860" w:type="dxa"/>
            <w:tcBorders>
              <w:top w:val="single" w:sz="12" w:space="0" w:color="808080"/>
              <w:left w:val="nil"/>
              <w:bottom w:val="nil"/>
              <w:right w:val="nil"/>
            </w:tcBorders>
            <w:shd w:val="clear" w:color="auto" w:fill="auto"/>
            <w:noWrap/>
            <w:vAlign w:val="center"/>
          </w:tcPr>
          <w:p w:rsidR="00F353A2" w:rsidRPr="00F353A2" w:rsidRDefault="00F353A2" w:rsidP="00F353A2">
            <w:pPr>
              <w:spacing w:after="0" w:line="240" w:lineRule="auto"/>
              <w:jc w:val="right"/>
              <w:rPr>
                <w:rFonts w:ascii="Soberana Sans Light" w:eastAsia="Times New Roman" w:hAnsi="Soberana Sans Light" w:cs="Arial"/>
                <w:b/>
                <w:bCs/>
                <w:color w:val="E26B0A"/>
                <w:sz w:val="16"/>
                <w:szCs w:val="16"/>
                <w:lang w:val="es-MX" w:eastAsia="es-MX"/>
              </w:rPr>
            </w:pPr>
          </w:p>
        </w:tc>
        <w:tc>
          <w:tcPr>
            <w:tcW w:w="1743" w:type="dxa"/>
            <w:tcBorders>
              <w:top w:val="single" w:sz="12" w:space="0" w:color="808080"/>
              <w:left w:val="nil"/>
              <w:bottom w:val="nil"/>
              <w:right w:val="nil"/>
            </w:tcBorders>
            <w:shd w:val="clear" w:color="auto" w:fill="auto"/>
            <w:noWrap/>
            <w:vAlign w:val="center"/>
          </w:tcPr>
          <w:p w:rsidR="00F353A2" w:rsidRPr="00F353A2" w:rsidRDefault="00F353A2" w:rsidP="00F353A2">
            <w:pPr>
              <w:spacing w:after="0" w:line="240" w:lineRule="auto"/>
              <w:jc w:val="right"/>
              <w:rPr>
                <w:rFonts w:ascii="Soberana Sans Light" w:eastAsia="Times New Roman" w:hAnsi="Soberana Sans Light" w:cs="Arial"/>
                <w:b/>
                <w:bCs/>
                <w:color w:val="E26B0A"/>
                <w:sz w:val="16"/>
                <w:szCs w:val="16"/>
                <w:lang w:val="es-MX" w:eastAsia="es-MX"/>
              </w:rPr>
            </w:pPr>
          </w:p>
        </w:tc>
        <w:tc>
          <w:tcPr>
            <w:tcW w:w="1681" w:type="dxa"/>
            <w:tcBorders>
              <w:top w:val="single" w:sz="12" w:space="0" w:color="808080"/>
              <w:left w:val="nil"/>
              <w:bottom w:val="nil"/>
              <w:right w:val="nil"/>
            </w:tcBorders>
            <w:shd w:val="clear" w:color="auto" w:fill="auto"/>
            <w:noWrap/>
            <w:vAlign w:val="center"/>
          </w:tcPr>
          <w:p w:rsidR="00F353A2" w:rsidRPr="00F353A2" w:rsidRDefault="00F353A2" w:rsidP="00F353A2">
            <w:pPr>
              <w:spacing w:after="0" w:line="240" w:lineRule="auto"/>
              <w:jc w:val="right"/>
              <w:rPr>
                <w:rFonts w:ascii="Soberana Sans Light" w:eastAsia="Times New Roman" w:hAnsi="Soberana Sans Light" w:cs="Arial"/>
                <w:b/>
                <w:bCs/>
                <w:color w:val="E26B0A"/>
                <w:sz w:val="16"/>
                <w:szCs w:val="16"/>
                <w:lang w:val="es-MX" w:eastAsia="es-MX"/>
              </w:rPr>
            </w:pPr>
          </w:p>
        </w:tc>
      </w:tr>
    </w:tbl>
    <w:p w:rsidR="00297378" w:rsidRDefault="00297378" w:rsidP="002C6D54">
      <w:pPr>
        <w:pStyle w:val="TEXTONORMAL"/>
      </w:pPr>
      <w:r w:rsidRPr="007A20B9">
        <w:lastRenderedPageBreak/>
        <w:t>Respecto de la información del Poder Legislativo, en particular la Cámara de Sena</w:t>
      </w:r>
      <w:bookmarkStart w:id="0" w:name="_GoBack"/>
      <w:bookmarkEnd w:id="0"/>
      <w:r w:rsidRPr="007A20B9">
        <w:t xml:space="preserve">dores informa que, la diferencia de un importe de 2,107.5 miles de pesos corresponde al anticipo y los pagos por indemnización y convenio por ocupación para su adquisición, en </w:t>
      </w:r>
      <w:proofErr w:type="spellStart"/>
      <w:r w:rsidRPr="007A20B9">
        <w:t>co</w:t>
      </w:r>
      <w:proofErr w:type="spellEnd"/>
      <w:r w:rsidRPr="007A20B9">
        <w:t>-propiedad con la Cámara de Diputados, en donde se instalará la estación de transmisión del Canal Legislativo.</w:t>
      </w:r>
    </w:p>
    <w:p w:rsidR="007A20B9" w:rsidRDefault="007A20B9" w:rsidP="007A20B9">
      <w:pPr>
        <w:pStyle w:val="TEXTONORMAL"/>
        <w:ind w:left="708"/>
      </w:pPr>
    </w:p>
    <w:p w:rsidR="007A20B9" w:rsidRPr="002C6D54" w:rsidRDefault="007A20B9" w:rsidP="007A20B9">
      <w:pPr>
        <w:pStyle w:val="VIETAROMBO"/>
      </w:pPr>
      <w:r w:rsidRPr="002C6D54">
        <w:t>Bienes Muebles</w:t>
      </w:r>
    </w:p>
    <w:p w:rsidR="00297378" w:rsidRDefault="00297378" w:rsidP="002C6D54">
      <w:pPr>
        <w:pStyle w:val="TEXTONORMAL"/>
      </w:pPr>
      <w:r>
        <w:t xml:space="preserve">Se presenta la información consolidada de los entes públicos del Poder Legislativo que integra el rubro de Bienes Muebles: </w:t>
      </w:r>
    </w:p>
    <w:tbl>
      <w:tblPr>
        <w:tblW w:w="7616" w:type="dxa"/>
        <w:jc w:val="center"/>
        <w:tblCellMar>
          <w:left w:w="70" w:type="dxa"/>
          <w:right w:w="70" w:type="dxa"/>
        </w:tblCellMar>
        <w:tblLook w:val="04A0" w:firstRow="1" w:lastRow="0" w:firstColumn="1" w:lastColumn="0" w:noHBand="0" w:noVBand="1"/>
      </w:tblPr>
      <w:tblGrid>
        <w:gridCol w:w="3690"/>
        <w:gridCol w:w="1963"/>
        <w:gridCol w:w="1963"/>
      </w:tblGrid>
      <w:tr w:rsidR="00F353A2" w:rsidRPr="00F353A2" w:rsidTr="00337B1D">
        <w:trPr>
          <w:trHeight w:val="70"/>
          <w:jc w:val="center"/>
        </w:trPr>
        <w:tc>
          <w:tcPr>
            <w:tcW w:w="7616" w:type="dxa"/>
            <w:gridSpan w:val="3"/>
            <w:tcBorders>
              <w:top w:val="nil"/>
              <w:left w:val="nil"/>
              <w:bottom w:val="single" w:sz="12" w:space="0" w:color="808080"/>
              <w:right w:val="nil"/>
            </w:tcBorders>
            <w:shd w:val="clear" w:color="auto" w:fill="auto"/>
            <w:noWrap/>
            <w:vAlign w:val="center"/>
            <w:hideMark/>
          </w:tcPr>
          <w:p w:rsidR="00F353A2" w:rsidRPr="00F353A2" w:rsidRDefault="00F353A2" w:rsidP="00F353A2">
            <w:pPr>
              <w:spacing w:after="0" w:line="240" w:lineRule="auto"/>
              <w:jc w:val="center"/>
              <w:rPr>
                <w:rFonts w:ascii="Montserrat" w:eastAsia="Times New Roman" w:hAnsi="Montserrat" w:cs="Arial"/>
                <w:sz w:val="16"/>
                <w:szCs w:val="16"/>
                <w:lang w:val="es-MX" w:eastAsia="es-MX"/>
              </w:rPr>
            </w:pPr>
            <w:r w:rsidRPr="00F353A2">
              <w:rPr>
                <w:rFonts w:ascii="Montserrat" w:eastAsia="Times New Roman" w:hAnsi="Montserrat" w:cs="Arial"/>
                <w:sz w:val="16"/>
                <w:szCs w:val="16"/>
                <w:lang w:val="es-MX" w:eastAsia="es-MX"/>
              </w:rPr>
              <w:t>(Pesos)</w:t>
            </w:r>
          </w:p>
        </w:tc>
      </w:tr>
      <w:tr w:rsidR="00F353A2" w:rsidRPr="00F353A2" w:rsidTr="00337B1D">
        <w:trPr>
          <w:trHeight w:val="15"/>
          <w:jc w:val="center"/>
        </w:trPr>
        <w:tc>
          <w:tcPr>
            <w:tcW w:w="7616" w:type="dxa"/>
            <w:gridSpan w:val="3"/>
            <w:tcBorders>
              <w:top w:val="single" w:sz="12" w:space="0" w:color="808080"/>
              <w:left w:val="nil"/>
              <w:bottom w:val="nil"/>
              <w:right w:val="nil"/>
            </w:tcBorders>
            <w:shd w:val="clear" w:color="auto" w:fill="auto"/>
            <w:vAlign w:val="center"/>
            <w:hideMark/>
          </w:tcPr>
          <w:p w:rsidR="00F353A2" w:rsidRPr="00F353A2" w:rsidRDefault="00F353A2" w:rsidP="00D36914">
            <w:pPr>
              <w:spacing w:after="0" w:line="240" w:lineRule="auto"/>
              <w:rPr>
                <w:rFonts w:ascii="Montserrat" w:eastAsia="Times New Roman" w:hAnsi="Montserrat" w:cs="Arial"/>
                <w:b/>
                <w:bCs/>
                <w:color w:val="000000"/>
                <w:sz w:val="10"/>
                <w:szCs w:val="10"/>
                <w:lang w:val="es-MX" w:eastAsia="es-MX"/>
              </w:rPr>
            </w:pPr>
          </w:p>
        </w:tc>
      </w:tr>
      <w:tr w:rsidR="00F353A2" w:rsidRPr="00F353A2" w:rsidTr="00337B1D">
        <w:trPr>
          <w:trHeight w:val="255"/>
          <w:jc w:val="center"/>
        </w:trPr>
        <w:tc>
          <w:tcPr>
            <w:tcW w:w="3690" w:type="dxa"/>
            <w:tcBorders>
              <w:top w:val="nil"/>
              <w:left w:val="nil"/>
              <w:bottom w:val="nil"/>
              <w:right w:val="single" w:sz="8" w:space="0" w:color="FFFFFF"/>
            </w:tcBorders>
            <w:shd w:val="clear" w:color="000000" w:fill="D4C19C"/>
            <w:vAlign w:val="center"/>
            <w:hideMark/>
          </w:tcPr>
          <w:p w:rsidR="00F353A2" w:rsidRPr="00F353A2" w:rsidRDefault="00F353A2" w:rsidP="00F353A2">
            <w:pPr>
              <w:spacing w:after="0" w:line="240" w:lineRule="auto"/>
              <w:jc w:val="center"/>
              <w:rPr>
                <w:rFonts w:ascii="Montserrat" w:eastAsia="Times New Roman" w:hAnsi="Montserrat" w:cs="Arial"/>
                <w:b/>
                <w:bCs/>
                <w:color w:val="FFFFFF"/>
                <w:sz w:val="16"/>
                <w:szCs w:val="16"/>
                <w:lang w:val="es-MX" w:eastAsia="es-MX"/>
              </w:rPr>
            </w:pPr>
            <w:r w:rsidRPr="00F353A2">
              <w:rPr>
                <w:rFonts w:ascii="Montserrat" w:eastAsia="Times New Roman" w:hAnsi="Montserrat" w:cs="Arial"/>
                <w:b/>
                <w:bCs/>
                <w:color w:val="FFFFFF"/>
                <w:sz w:val="16"/>
                <w:szCs w:val="16"/>
                <w:lang w:val="es-MX" w:eastAsia="es-MX"/>
              </w:rPr>
              <w:t>Concepto</w:t>
            </w:r>
          </w:p>
        </w:tc>
        <w:tc>
          <w:tcPr>
            <w:tcW w:w="1963" w:type="dxa"/>
            <w:tcBorders>
              <w:top w:val="nil"/>
              <w:left w:val="nil"/>
              <w:bottom w:val="nil"/>
              <w:right w:val="single" w:sz="8" w:space="0" w:color="FFFFFF"/>
            </w:tcBorders>
            <w:shd w:val="clear" w:color="000000" w:fill="D4C19C"/>
            <w:vAlign w:val="center"/>
            <w:hideMark/>
          </w:tcPr>
          <w:p w:rsidR="00F353A2" w:rsidRPr="00F353A2" w:rsidRDefault="00F353A2" w:rsidP="00F353A2">
            <w:pPr>
              <w:spacing w:after="0" w:line="240" w:lineRule="auto"/>
              <w:jc w:val="center"/>
              <w:rPr>
                <w:rFonts w:ascii="Montserrat" w:eastAsia="Times New Roman" w:hAnsi="Montserrat" w:cs="Arial"/>
                <w:b/>
                <w:bCs/>
                <w:color w:val="FFFFFF"/>
                <w:sz w:val="16"/>
                <w:szCs w:val="16"/>
                <w:lang w:val="es-MX" w:eastAsia="es-MX"/>
              </w:rPr>
            </w:pPr>
            <w:r w:rsidRPr="00F353A2">
              <w:rPr>
                <w:rFonts w:ascii="Montserrat" w:eastAsia="Times New Roman" w:hAnsi="Montserrat" w:cs="Arial"/>
                <w:b/>
                <w:bCs/>
                <w:color w:val="FFFFFF"/>
                <w:sz w:val="16"/>
                <w:szCs w:val="16"/>
                <w:lang w:val="es-MX" w:eastAsia="es-MX"/>
              </w:rPr>
              <w:t>2018</w:t>
            </w:r>
          </w:p>
        </w:tc>
        <w:tc>
          <w:tcPr>
            <w:tcW w:w="1963" w:type="dxa"/>
            <w:tcBorders>
              <w:top w:val="nil"/>
              <w:left w:val="nil"/>
              <w:bottom w:val="nil"/>
              <w:right w:val="single" w:sz="8" w:space="0" w:color="FFFFFF"/>
            </w:tcBorders>
            <w:shd w:val="clear" w:color="000000" w:fill="D4C19C"/>
            <w:vAlign w:val="center"/>
            <w:hideMark/>
          </w:tcPr>
          <w:p w:rsidR="00F353A2" w:rsidRPr="00F353A2" w:rsidRDefault="00F353A2" w:rsidP="00F353A2">
            <w:pPr>
              <w:spacing w:after="0" w:line="240" w:lineRule="auto"/>
              <w:jc w:val="center"/>
              <w:rPr>
                <w:rFonts w:ascii="Montserrat" w:eastAsia="Times New Roman" w:hAnsi="Montserrat" w:cs="Arial"/>
                <w:b/>
                <w:bCs/>
                <w:color w:val="FFFFFF"/>
                <w:sz w:val="16"/>
                <w:szCs w:val="16"/>
                <w:lang w:val="es-MX" w:eastAsia="es-MX"/>
              </w:rPr>
            </w:pPr>
            <w:r w:rsidRPr="00F353A2">
              <w:rPr>
                <w:rFonts w:ascii="Montserrat" w:eastAsia="Times New Roman" w:hAnsi="Montserrat" w:cs="Arial"/>
                <w:b/>
                <w:bCs/>
                <w:color w:val="FFFFFF"/>
                <w:sz w:val="16"/>
                <w:szCs w:val="16"/>
                <w:lang w:val="es-MX" w:eastAsia="es-MX"/>
              </w:rPr>
              <w:t>2017</w:t>
            </w:r>
          </w:p>
        </w:tc>
      </w:tr>
      <w:tr w:rsidR="00F353A2" w:rsidRPr="00F353A2" w:rsidTr="00D36914">
        <w:trPr>
          <w:trHeight w:val="53"/>
          <w:jc w:val="center"/>
        </w:trPr>
        <w:tc>
          <w:tcPr>
            <w:tcW w:w="7616" w:type="dxa"/>
            <w:gridSpan w:val="3"/>
            <w:tcBorders>
              <w:top w:val="nil"/>
              <w:left w:val="nil"/>
              <w:bottom w:val="double" w:sz="6" w:space="0" w:color="808080"/>
              <w:right w:val="nil"/>
            </w:tcBorders>
            <w:shd w:val="clear" w:color="auto" w:fill="auto"/>
            <w:vAlign w:val="center"/>
            <w:hideMark/>
          </w:tcPr>
          <w:p w:rsidR="00F353A2" w:rsidRPr="00F353A2" w:rsidRDefault="00F353A2" w:rsidP="00F353A2">
            <w:pPr>
              <w:spacing w:after="0" w:line="240" w:lineRule="auto"/>
              <w:jc w:val="center"/>
              <w:rPr>
                <w:rFonts w:ascii="Montserrat" w:eastAsia="Times New Roman" w:hAnsi="Montserrat" w:cs="Arial"/>
                <w:b/>
                <w:bCs/>
                <w:color w:val="000000"/>
                <w:sz w:val="4"/>
                <w:szCs w:val="4"/>
                <w:lang w:val="es-MX" w:eastAsia="es-MX"/>
              </w:rPr>
            </w:pPr>
            <w:r w:rsidRPr="00F353A2">
              <w:rPr>
                <w:rFonts w:ascii="Montserrat" w:eastAsia="Times New Roman" w:hAnsi="Montserrat" w:cs="Arial"/>
                <w:b/>
                <w:bCs/>
                <w:color w:val="000000"/>
                <w:sz w:val="4"/>
                <w:szCs w:val="4"/>
                <w:lang w:val="es-MX" w:eastAsia="es-MX"/>
              </w:rPr>
              <w:t> </w:t>
            </w:r>
          </w:p>
        </w:tc>
      </w:tr>
      <w:tr w:rsidR="00F353A2" w:rsidRPr="00F353A2" w:rsidTr="00337B1D">
        <w:trPr>
          <w:trHeight w:val="270"/>
          <w:jc w:val="center"/>
        </w:trPr>
        <w:tc>
          <w:tcPr>
            <w:tcW w:w="3690" w:type="dxa"/>
            <w:tcBorders>
              <w:top w:val="nil"/>
              <w:left w:val="nil"/>
              <w:bottom w:val="nil"/>
              <w:right w:val="nil"/>
            </w:tcBorders>
            <w:shd w:val="clear" w:color="000000" w:fill="F2F2F2"/>
            <w:noWrap/>
            <w:vAlign w:val="center"/>
            <w:hideMark/>
          </w:tcPr>
          <w:p w:rsidR="00F353A2" w:rsidRPr="00F353A2" w:rsidRDefault="00F353A2" w:rsidP="00F353A2">
            <w:pPr>
              <w:spacing w:after="0" w:line="240" w:lineRule="auto"/>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Cámara de Diputados</w:t>
            </w:r>
          </w:p>
        </w:tc>
        <w:tc>
          <w:tcPr>
            <w:tcW w:w="1963" w:type="dxa"/>
            <w:tcBorders>
              <w:top w:val="nil"/>
              <w:left w:val="nil"/>
              <w:bottom w:val="nil"/>
              <w:right w:val="nil"/>
            </w:tcBorders>
            <w:shd w:val="clear" w:color="000000" w:fill="F2F2F2"/>
            <w:vAlign w:val="center"/>
            <w:hideMark/>
          </w:tcPr>
          <w:p w:rsidR="00F353A2" w:rsidRPr="00F353A2" w:rsidRDefault="00F353A2" w:rsidP="00F353A2">
            <w:pPr>
              <w:spacing w:after="0" w:line="240" w:lineRule="auto"/>
              <w:jc w:val="right"/>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983,223,503</w:t>
            </w:r>
          </w:p>
        </w:tc>
        <w:tc>
          <w:tcPr>
            <w:tcW w:w="1963" w:type="dxa"/>
            <w:tcBorders>
              <w:top w:val="nil"/>
              <w:left w:val="nil"/>
              <w:bottom w:val="nil"/>
              <w:right w:val="nil"/>
            </w:tcBorders>
            <w:shd w:val="clear" w:color="000000" w:fill="F2F2F2"/>
            <w:vAlign w:val="center"/>
            <w:hideMark/>
          </w:tcPr>
          <w:p w:rsidR="00F353A2" w:rsidRPr="00F353A2" w:rsidRDefault="00F353A2" w:rsidP="00F353A2">
            <w:pPr>
              <w:spacing w:after="0" w:line="240" w:lineRule="auto"/>
              <w:jc w:val="right"/>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890,329,600</w:t>
            </w:r>
          </w:p>
        </w:tc>
      </w:tr>
      <w:tr w:rsidR="00F353A2" w:rsidRPr="00F353A2" w:rsidTr="00337B1D">
        <w:trPr>
          <w:trHeight w:val="255"/>
          <w:jc w:val="center"/>
        </w:trPr>
        <w:tc>
          <w:tcPr>
            <w:tcW w:w="3690" w:type="dxa"/>
            <w:tcBorders>
              <w:top w:val="nil"/>
              <w:left w:val="nil"/>
              <w:bottom w:val="nil"/>
              <w:right w:val="nil"/>
            </w:tcBorders>
            <w:shd w:val="clear" w:color="000000" w:fill="F2F2F2"/>
            <w:noWrap/>
            <w:vAlign w:val="center"/>
            <w:hideMark/>
          </w:tcPr>
          <w:p w:rsidR="00F353A2" w:rsidRPr="00F353A2" w:rsidRDefault="00F353A2" w:rsidP="00F353A2">
            <w:pPr>
              <w:spacing w:after="0" w:line="240" w:lineRule="auto"/>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Cámara de Senadores</w:t>
            </w:r>
          </w:p>
        </w:tc>
        <w:tc>
          <w:tcPr>
            <w:tcW w:w="1963" w:type="dxa"/>
            <w:tcBorders>
              <w:top w:val="nil"/>
              <w:left w:val="nil"/>
              <w:bottom w:val="nil"/>
              <w:right w:val="nil"/>
            </w:tcBorders>
            <w:shd w:val="clear" w:color="000000" w:fill="F2F2F2"/>
            <w:vAlign w:val="center"/>
            <w:hideMark/>
          </w:tcPr>
          <w:p w:rsidR="00F353A2" w:rsidRPr="00F353A2" w:rsidRDefault="00F353A2" w:rsidP="00F353A2">
            <w:pPr>
              <w:spacing w:after="0" w:line="240" w:lineRule="auto"/>
              <w:jc w:val="right"/>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1,273,582,191</w:t>
            </w:r>
          </w:p>
        </w:tc>
        <w:tc>
          <w:tcPr>
            <w:tcW w:w="1963" w:type="dxa"/>
            <w:tcBorders>
              <w:top w:val="nil"/>
              <w:left w:val="nil"/>
              <w:bottom w:val="nil"/>
              <w:right w:val="nil"/>
            </w:tcBorders>
            <w:shd w:val="clear" w:color="000000" w:fill="F2F2F2"/>
            <w:vAlign w:val="center"/>
            <w:hideMark/>
          </w:tcPr>
          <w:p w:rsidR="00F353A2" w:rsidRPr="00F353A2" w:rsidRDefault="00F353A2" w:rsidP="00F353A2">
            <w:pPr>
              <w:spacing w:after="0" w:line="240" w:lineRule="auto"/>
              <w:jc w:val="right"/>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440,539,238</w:t>
            </w:r>
          </w:p>
        </w:tc>
      </w:tr>
      <w:tr w:rsidR="00F353A2" w:rsidRPr="00F353A2" w:rsidTr="00337B1D">
        <w:trPr>
          <w:trHeight w:val="255"/>
          <w:jc w:val="center"/>
        </w:trPr>
        <w:tc>
          <w:tcPr>
            <w:tcW w:w="3690" w:type="dxa"/>
            <w:tcBorders>
              <w:top w:val="nil"/>
              <w:left w:val="nil"/>
              <w:bottom w:val="nil"/>
              <w:right w:val="nil"/>
            </w:tcBorders>
            <w:shd w:val="clear" w:color="000000" w:fill="F2F2F2"/>
            <w:noWrap/>
            <w:vAlign w:val="center"/>
            <w:hideMark/>
          </w:tcPr>
          <w:p w:rsidR="00F353A2" w:rsidRPr="00F353A2" w:rsidRDefault="00F353A2" w:rsidP="00F353A2">
            <w:pPr>
              <w:spacing w:after="0" w:line="240" w:lineRule="auto"/>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Auditoría Superior de la Federación</w:t>
            </w:r>
          </w:p>
        </w:tc>
        <w:tc>
          <w:tcPr>
            <w:tcW w:w="1963" w:type="dxa"/>
            <w:tcBorders>
              <w:top w:val="nil"/>
              <w:left w:val="nil"/>
              <w:bottom w:val="nil"/>
              <w:right w:val="nil"/>
            </w:tcBorders>
            <w:shd w:val="clear" w:color="000000" w:fill="F2F2F2"/>
            <w:vAlign w:val="center"/>
            <w:hideMark/>
          </w:tcPr>
          <w:p w:rsidR="00F353A2" w:rsidRPr="00F353A2" w:rsidRDefault="00F353A2" w:rsidP="00F353A2">
            <w:pPr>
              <w:spacing w:after="0" w:line="240" w:lineRule="auto"/>
              <w:jc w:val="right"/>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446,612,283</w:t>
            </w:r>
          </w:p>
        </w:tc>
        <w:tc>
          <w:tcPr>
            <w:tcW w:w="1963" w:type="dxa"/>
            <w:tcBorders>
              <w:top w:val="nil"/>
              <w:left w:val="nil"/>
              <w:bottom w:val="nil"/>
              <w:right w:val="nil"/>
            </w:tcBorders>
            <w:shd w:val="clear" w:color="000000" w:fill="F2F2F2"/>
            <w:vAlign w:val="center"/>
            <w:hideMark/>
          </w:tcPr>
          <w:p w:rsidR="00F353A2" w:rsidRPr="00F353A2" w:rsidRDefault="00F353A2" w:rsidP="00F353A2">
            <w:pPr>
              <w:spacing w:after="0" w:line="240" w:lineRule="auto"/>
              <w:jc w:val="right"/>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399,622,660</w:t>
            </w:r>
          </w:p>
        </w:tc>
      </w:tr>
      <w:tr w:rsidR="00F353A2" w:rsidRPr="00F353A2" w:rsidTr="00337B1D">
        <w:trPr>
          <w:trHeight w:val="270"/>
          <w:jc w:val="center"/>
        </w:trPr>
        <w:tc>
          <w:tcPr>
            <w:tcW w:w="3690" w:type="dxa"/>
            <w:tcBorders>
              <w:top w:val="nil"/>
              <w:left w:val="nil"/>
              <w:bottom w:val="nil"/>
              <w:right w:val="nil"/>
            </w:tcBorders>
            <w:shd w:val="clear" w:color="000000" w:fill="F2F2F2"/>
            <w:noWrap/>
            <w:vAlign w:val="center"/>
            <w:hideMark/>
          </w:tcPr>
          <w:p w:rsidR="00F353A2" w:rsidRPr="00F353A2" w:rsidRDefault="00F353A2" w:rsidP="00F353A2">
            <w:pPr>
              <w:spacing w:after="0" w:line="240" w:lineRule="auto"/>
              <w:jc w:val="right"/>
              <w:rPr>
                <w:rFonts w:ascii="Montserrat" w:eastAsia="Times New Roman" w:hAnsi="Montserrat" w:cs="Arial"/>
                <w:b/>
                <w:bCs/>
                <w:color w:val="000000"/>
                <w:sz w:val="15"/>
                <w:szCs w:val="15"/>
                <w:lang w:val="es-MX" w:eastAsia="es-MX"/>
              </w:rPr>
            </w:pPr>
            <w:r w:rsidRPr="00F353A2">
              <w:rPr>
                <w:rFonts w:ascii="Montserrat" w:eastAsia="Times New Roman" w:hAnsi="Montserrat" w:cs="Arial"/>
                <w:b/>
                <w:bCs/>
                <w:color w:val="000000"/>
                <w:sz w:val="15"/>
                <w:szCs w:val="15"/>
                <w:lang w:val="es-MX" w:eastAsia="es-MX"/>
              </w:rPr>
              <w:t>Suma de Bienes Muebles</w:t>
            </w:r>
          </w:p>
        </w:tc>
        <w:tc>
          <w:tcPr>
            <w:tcW w:w="1963" w:type="dxa"/>
            <w:tcBorders>
              <w:top w:val="nil"/>
              <w:left w:val="nil"/>
              <w:bottom w:val="nil"/>
              <w:right w:val="nil"/>
            </w:tcBorders>
            <w:shd w:val="clear" w:color="000000" w:fill="F2F2F2"/>
            <w:vAlign w:val="center"/>
            <w:hideMark/>
          </w:tcPr>
          <w:p w:rsidR="00F353A2" w:rsidRPr="000B1893" w:rsidRDefault="00F353A2" w:rsidP="00F353A2">
            <w:pPr>
              <w:spacing w:after="0" w:line="240" w:lineRule="auto"/>
              <w:jc w:val="right"/>
              <w:rPr>
                <w:rFonts w:ascii="Montserrat" w:eastAsia="Times New Roman" w:hAnsi="Montserrat" w:cs="Arial"/>
                <w:b/>
                <w:color w:val="000000"/>
                <w:sz w:val="15"/>
                <w:szCs w:val="15"/>
                <w:lang w:val="es-MX" w:eastAsia="es-MX"/>
              </w:rPr>
            </w:pPr>
            <w:r w:rsidRPr="000B1893">
              <w:rPr>
                <w:rFonts w:ascii="Montserrat" w:eastAsia="Times New Roman" w:hAnsi="Montserrat" w:cs="Arial"/>
                <w:b/>
                <w:color w:val="000000"/>
                <w:sz w:val="15"/>
                <w:szCs w:val="15"/>
                <w:lang w:val="es-MX" w:eastAsia="es-MX"/>
              </w:rPr>
              <w:t>2,703,417,977</w:t>
            </w:r>
          </w:p>
        </w:tc>
        <w:tc>
          <w:tcPr>
            <w:tcW w:w="1963" w:type="dxa"/>
            <w:tcBorders>
              <w:top w:val="nil"/>
              <w:left w:val="nil"/>
              <w:bottom w:val="nil"/>
              <w:right w:val="nil"/>
            </w:tcBorders>
            <w:shd w:val="clear" w:color="000000" w:fill="F2F2F2"/>
            <w:vAlign w:val="center"/>
            <w:hideMark/>
          </w:tcPr>
          <w:p w:rsidR="00F353A2" w:rsidRPr="000B1893" w:rsidRDefault="00F353A2" w:rsidP="00F353A2">
            <w:pPr>
              <w:spacing w:after="0" w:line="240" w:lineRule="auto"/>
              <w:jc w:val="right"/>
              <w:rPr>
                <w:rFonts w:ascii="Montserrat" w:eastAsia="Times New Roman" w:hAnsi="Montserrat" w:cs="Arial"/>
                <w:b/>
                <w:color w:val="000000"/>
                <w:sz w:val="15"/>
                <w:szCs w:val="15"/>
                <w:lang w:val="es-MX" w:eastAsia="es-MX"/>
              </w:rPr>
            </w:pPr>
            <w:r w:rsidRPr="000B1893">
              <w:rPr>
                <w:rFonts w:ascii="Montserrat" w:eastAsia="Times New Roman" w:hAnsi="Montserrat" w:cs="Arial"/>
                <w:b/>
                <w:color w:val="000000"/>
                <w:sz w:val="15"/>
                <w:szCs w:val="15"/>
                <w:lang w:val="es-MX" w:eastAsia="es-MX"/>
              </w:rPr>
              <w:t>1,730,491,498</w:t>
            </w:r>
          </w:p>
        </w:tc>
      </w:tr>
      <w:tr w:rsidR="00F353A2" w:rsidRPr="00F353A2" w:rsidTr="00337B1D">
        <w:trPr>
          <w:trHeight w:val="270"/>
          <w:jc w:val="center"/>
        </w:trPr>
        <w:tc>
          <w:tcPr>
            <w:tcW w:w="3690" w:type="dxa"/>
            <w:tcBorders>
              <w:top w:val="single" w:sz="12" w:space="0" w:color="808080"/>
              <w:left w:val="nil"/>
              <w:bottom w:val="nil"/>
              <w:right w:val="nil"/>
            </w:tcBorders>
            <w:shd w:val="clear" w:color="auto" w:fill="auto"/>
            <w:noWrap/>
            <w:vAlign w:val="center"/>
          </w:tcPr>
          <w:p w:rsidR="00F353A2" w:rsidRPr="00F353A2" w:rsidRDefault="00F353A2" w:rsidP="00F353A2">
            <w:pPr>
              <w:spacing w:after="0" w:line="240" w:lineRule="auto"/>
              <w:jc w:val="right"/>
              <w:rPr>
                <w:rFonts w:ascii="Soberana Sans Light" w:eastAsia="Times New Roman" w:hAnsi="Soberana Sans Light" w:cs="Arial"/>
                <w:b/>
                <w:bCs/>
                <w:color w:val="E26B0A"/>
                <w:sz w:val="16"/>
                <w:szCs w:val="16"/>
                <w:lang w:val="es-MX" w:eastAsia="es-MX"/>
              </w:rPr>
            </w:pPr>
          </w:p>
        </w:tc>
        <w:tc>
          <w:tcPr>
            <w:tcW w:w="1963" w:type="dxa"/>
            <w:tcBorders>
              <w:top w:val="single" w:sz="12" w:space="0" w:color="808080"/>
              <w:left w:val="nil"/>
              <w:bottom w:val="nil"/>
              <w:right w:val="nil"/>
            </w:tcBorders>
            <w:shd w:val="clear" w:color="auto" w:fill="auto"/>
            <w:noWrap/>
            <w:vAlign w:val="center"/>
          </w:tcPr>
          <w:p w:rsidR="00F353A2" w:rsidRPr="00F353A2" w:rsidRDefault="00F353A2" w:rsidP="00F353A2">
            <w:pPr>
              <w:spacing w:after="0" w:line="240" w:lineRule="auto"/>
              <w:jc w:val="right"/>
              <w:rPr>
                <w:rFonts w:ascii="Soberana Sans Light" w:eastAsia="Times New Roman" w:hAnsi="Soberana Sans Light" w:cs="Arial"/>
                <w:b/>
                <w:bCs/>
                <w:color w:val="E26B0A"/>
                <w:sz w:val="16"/>
                <w:szCs w:val="16"/>
                <w:lang w:val="es-MX" w:eastAsia="es-MX"/>
              </w:rPr>
            </w:pPr>
          </w:p>
        </w:tc>
        <w:tc>
          <w:tcPr>
            <w:tcW w:w="1963" w:type="dxa"/>
            <w:tcBorders>
              <w:top w:val="single" w:sz="12" w:space="0" w:color="808080"/>
              <w:left w:val="nil"/>
              <w:bottom w:val="nil"/>
              <w:right w:val="nil"/>
            </w:tcBorders>
            <w:shd w:val="clear" w:color="auto" w:fill="auto"/>
            <w:noWrap/>
            <w:vAlign w:val="center"/>
          </w:tcPr>
          <w:p w:rsidR="00F353A2" w:rsidRPr="00F353A2" w:rsidRDefault="00F353A2" w:rsidP="00F353A2">
            <w:pPr>
              <w:spacing w:after="0" w:line="240" w:lineRule="auto"/>
              <w:jc w:val="right"/>
              <w:rPr>
                <w:rFonts w:ascii="Soberana Sans Light" w:eastAsia="Times New Roman" w:hAnsi="Soberana Sans Light" w:cs="Arial"/>
                <w:b/>
                <w:bCs/>
                <w:color w:val="E26B0A"/>
                <w:sz w:val="16"/>
                <w:szCs w:val="16"/>
                <w:lang w:val="es-MX" w:eastAsia="es-MX"/>
              </w:rPr>
            </w:pPr>
          </w:p>
        </w:tc>
      </w:tr>
    </w:tbl>
    <w:p w:rsidR="007A20B9" w:rsidRDefault="007A20B9" w:rsidP="002C6D54">
      <w:pPr>
        <w:pStyle w:val="TEXTONORMAL"/>
      </w:pPr>
      <w:r>
        <w:t>De acuerdo a la relación de Bienes Muebles que cada ente presenta, se muestra el producto de la conciliación contable-física que reportan en sus notas a los estados financieros al 31 de diciembre de 2018:</w:t>
      </w:r>
    </w:p>
    <w:tbl>
      <w:tblPr>
        <w:tblW w:w="10915" w:type="dxa"/>
        <w:jc w:val="center"/>
        <w:tblCellMar>
          <w:left w:w="70" w:type="dxa"/>
          <w:right w:w="70" w:type="dxa"/>
        </w:tblCellMar>
        <w:tblLook w:val="04A0" w:firstRow="1" w:lastRow="0" w:firstColumn="1" w:lastColumn="0" w:noHBand="0" w:noVBand="1"/>
      </w:tblPr>
      <w:tblGrid>
        <w:gridCol w:w="3762"/>
        <w:gridCol w:w="1888"/>
        <w:gridCol w:w="1797"/>
        <w:gridCol w:w="1809"/>
        <w:gridCol w:w="1659"/>
      </w:tblGrid>
      <w:tr w:rsidR="00F353A2" w:rsidRPr="00F353A2" w:rsidTr="00337B1D">
        <w:trPr>
          <w:trHeight w:val="270"/>
          <w:jc w:val="center"/>
        </w:trPr>
        <w:tc>
          <w:tcPr>
            <w:tcW w:w="10915" w:type="dxa"/>
            <w:gridSpan w:val="5"/>
            <w:tcBorders>
              <w:top w:val="nil"/>
              <w:left w:val="nil"/>
              <w:bottom w:val="nil"/>
              <w:right w:val="nil"/>
            </w:tcBorders>
            <w:shd w:val="clear" w:color="auto" w:fill="auto"/>
            <w:noWrap/>
            <w:vAlign w:val="center"/>
            <w:hideMark/>
          </w:tcPr>
          <w:p w:rsidR="00F353A2" w:rsidRPr="00F353A2" w:rsidRDefault="00F353A2" w:rsidP="00F353A2">
            <w:pPr>
              <w:spacing w:after="0" w:line="240" w:lineRule="auto"/>
              <w:jc w:val="center"/>
              <w:rPr>
                <w:rFonts w:ascii="Montserrat" w:eastAsia="Times New Roman" w:hAnsi="Montserrat" w:cs="Arial"/>
                <w:sz w:val="16"/>
                <w:szCs w:val="16"/>
                <w:lang w:val="es-MX" w:eastAsia="es-MX"/>
              </w:rPr>
            </w:pPr>
            <w:r w:rsidRPr="00F353A2">
              <w:rPr>
                <w:rFonts w:ascii="Montserrat" w:eastAsia="Times New Roman" w:hAnsi="Montserrat" w:cs="Arial"/>
                <w:sz w:val="16"/>
                <w:szCs w:val="16"/>
                <w:lang w:val="es-MX" w:eastAsia="es-MX"/>
              </w:rPr>
              <w:t>(Pesos)</w:t>
            </w:r>
          </w:p>
        </w:tc>
      </w:tr>
      <w:tr w:rsidR="00F353A2" w:rsidRPr="00F353A2" w:rsidTr="00337B1D">
        <w:trPr>
          <w:trHeight w:val="15"/>
          <w:jc w:val="center"/>
        </w:trPr>
        <w:tc>
          <w:tcPr>
            <w:tcW w:w="7447" w:type="dxa"/>
            <w:gridSpan w:val="3"/>
            <w:tcBorders>
              <w:top w:val="single" w:sz="12" w:space="0" w:color="808080"/>
              <w:left w:val="nil"/>
              <w:bottom w:val="nil"/>
              <w:right w:val="nil"/>
            </w:tcBorders>
            <w:shd w:val="clear" w:color="auto" w:fill="auto"/>
            <w:vAlign w:val="center"/>
            <w:hideMark/>
          </w:tcPr>
          <w:p w:rsidR="00F353A2" w:rsidRPr="00F353A2" w:rsidRDefault="00F353A2" w:rsidP="00D36914">
            <w:pPr>
              <w:spacing w:after="0" w:line="240" w:lineRule="auto"/>
              <w:rPr>
                <w:rFonts w:ascii="Montserrat" w:eastAsia="Times New Roman" w:hAnsi="Montserrat" w:cs="Arial"/>
                <w:b/>
                <w:bCs/>
                <w:color w:val="000000"/>
                <w:sz w:val="10"/>
                <w:szCs w:val="10"/>
                <w:lang w:val="es-MX" w:eastAsia="es-MX"/>
              </w:rPr>
            </w:pPr>
          </w:p>
        </w:tc>
        <w:tc>
          <w:tcPr>
            <w:tcW w:w="3468" w:type="dxa"/>
            <w:gridSpan w:val="2"/>
            <w:tcBorders>
              <w:top w:val="single" w:sz="12" w:space="0" w:color="808080"/>
              <w:left w:val="nil"/>
              <w:bottom w:val="nil"/>
              <w:right w:val="nil"/>
            </w:tcBorders>
            <w:shd w:val="clear" w:color="auto" w:fill="auto"/>
            <w:vAlign w:val="center"/>
            <w:hideMark/>
          </w:tcPr>
          <w:p w:rsidR="00F353A2" w:rsidRPr="00F353A2" w:rsidRDefault="00F353A2" w:rsidP="00F353A2">
            <w:pPr>
              <w:spacing w:after="0" w:line="240" w:lineRule="auto"/>
              <w:jc w:val="center"/>
              <w:rPr>
                <w:rFonts w:ascii="Montserrat" w:eastAsia="Times New Roman" w:hAnsi="Montserrat" w:cs="Arial"/>
                <w:b/>
                <w:bCs/>
                <w:color w:val="000000"/>
                <w:sz w:val="10"/>
                <w:szCs w:val="10"/>
                <w:lang w:val="es-MX" w:eastAsia="es-MX"/>
              </w:rPr>
            </w:pPr>
          </w:p>
        </w:tc>
      </w:tr>
      <w:tr w:rsidR="00F353A2" w:rsidRPr="00F353A2" w:rsidTr="00337B1D">
        <w:trPr>
          <w:trHeight w:val="255"/>
          <w:jc w:val="center"/>
        </w:trPr>
        <w:tc>
          <w:tcPr>
            <w:tcW w:w="3762" w:type="dxa"/>
            <w:tcBorders>
              <w:top w:val="nil"/>
              <w:left w:val="nil"/>
              <w:bottom w:val="nil"/>
              <w:right w:val="single" w:sz="8" w:space="0" w:color="FFFFFF"/>
            </w:tcBorders>
            <w:shd w:val="clear" w:color="000000" w:fill="D4C19C"/>
            <w:vAlign w:val="center"/>
            <w:hideMark/>
          </w:tcPr>
          <w:p w:rsidR="00F353A2" w:rsidRPr="00F353A2" w:rsidRDefault="00F353A2" w:rsidP="00F353A2">
            <w:pPr>
              <w:spacing w:after="0" w:line="240" w:lineRule="auto"/>
              <w:jc w:val="center"/>
              <w:rPr>
                <w:rFonts w:ascii="Montserrat" w:eastAsia="Times New Roman" w:hAnsi="Montserrat" w:cs="Arial"/>
                <w:b/>
                <w:bCs/>
                <w:color w:val="FFFFFF"/>
                <w:sz w:val="16"/>
                <w:szCs w:val="16"/>
                <w:lang w:val="es-MX" w:eastAsia="es-MX"/>
              </w:rPr>
            </w:pPr>
            <w:r w:rsidRPr="00F353A2">
              <w:rPr>
                <w:rFonts w:ascii="Montserrat" w:eastAsia="Times New Roman" w:hAnsi="Montserrat" w:cs="Arial"/>
                <w:b/>
                <w:bCs/>
                <w:color w:val="FFFFFF"/>
                <w:sz w:val="16"/>
                <w:szCs w:val="16"/>
                <w:lang w:val="es-MX" w:eastAsia="es-MX"/>
              </w:rPr>
              <w:t>Concepto</w:t>
            </w:r>
          </w:p>
        </w:tc>
        <w:tc>
          <w:tcPr>
            <w:tcW w:w="1888" w:type="dxa"/>
            <w:tcBorders>
              <w:top w:val="nil"/>
              <w:left w:val="nil"/>
              <w:bottom w:val="nil"/>
              <w:right w:val="single" w:sz="8" w:space="0" w:color="FFFFFF"/>
            </w:tcBorders>
            <w:shd w:val="clear" w:color="000000" w:fill="D4C19C"/>
            <w:vAlign w:val="center"/>
            <w:hideMark/>
          </w:tcPr>
          <w:p w:rsidR="00F353A2" w:rsidRPr="00F353A2" w:rsidRDefault="00F353A2" w:rsidP="00F353A2">
            <w:pPr>
              <w:spacing w:after="0" w:line="240" w:lineRule="auto"/>
              <w:jc w:val="center"/>
              <w:rPr>
                <w:rFonts w:ascii="Montserrat" w:eastAsia="Times New Roman" w:hAnsi="Montserrat" w:cs="Arial"/>
                <w:b/>
                <w:bCs/>
                <w:color w:val="FFFFFF"/>
                <w:sz w:val="16"/>
                <w:szCs w:val="16"/>
                <w:lang w:val="es-MX" w:eastAsia="es-MX"/>
              </w:rPr>
            </w:pPr>
            <w:r w:rsidRPr="00F353A2">
              <w:rPr>
                <w:rFonts w:ascii="Montserrat" w:eastAsia="Times New Roman" w:hAnsi="Montserrat" w:cs="Arial"/>
                <w:b/>
                <w:bCs/>
                <w:color w:val="FFFFFF"/>
                <w:sz w:val="16"/>
                <w:szCs w:val="16"/>
                <w:lang w:val="es-MX" w:eastAsia="es-MX"/>
              </w:rPr>
              <w:t>2018</w:t>
            </w:r>
          </w:p>
        </w:tc>
        <w:tc>
          <w:tcPr>
            <w:tcW w:w="1797" w:type="dxa"/>
            <w:tcBorders>
              <w:top w:val="nil"/>
              <w:left w:val="nil"/>
              <w:bottom w:val="nil"/>
              <w:right w:val="single" w:sz="8" w:space="0" w:color="FFFFFF"/>
            </w:tcBorders>
            <w:shd w:val="clear" w:color="000000" w:fill="D4C19C"/>
            <w:vAlign w:val="center"/>
            <w:hideMark/>
          </w:tcPr>
          <w:p w:rsidR="00F353A2" w:rsidRPr="00F353A2" w:rsidRDefault="00F353A2" w:rsidP="00F353A2">
            <w:pPr>
              <w:spacing w:after="0" w:line="240" w:lineRule="auto"/>
              <w:jc w:val="center"/>
              <w:rPr>
                <w:rFonts w:ascii="Montserrat" w:eastAsia="Times New Roman" w:hAnsi="Montserrat" w:cs="Arial"/>
                <w:b/>
                <w:bCs/>
                <w:color w:val="FFFFFF"/>
                <w:sz w:val="16"/>
                <w:szCs w:val="16"/>
                <w:lang w:val="es-MX" w:eastAsia="es-MX"/>
              </w:rPr>
            </w:pPr>
            <w:r w:rsidRPr="00F353A2">
              <w:rPr>
                <w:rFonts w:ascii="Montserrat" w:eastAsia="Times New Roman" w:hAnsi="Montserrat" w:cs="Arial"/>
                <w:b/>
                <w:bCs/>
                <w:color w:val="FFFFFF"/>
                <w:sz w:val="16"/>
                <w:szCs w:val="16"/>
                <w:lang w:val="es-MX" w:eastAsia="es-MX"/>
              </w:rPr>
              <w:t>CDI</w:t>
            </w:r>
          </w:p>
        </w:tc>
        <w:tc>
          <w:tcPr>
            <w:tcW w:w="1809" w:type="dxa"/>
            <w:tcBorders>
              <w:top w:val="nil"/>
              <w:left w:val="nil"/>
              <w:bottom w:val="nil"/>
              <w:right w:val="single" w:sz="8" w:space="0" w:color="FFFFFF"/>
            </w:tcBorders>
            <w:shd w:val="clear" w:color="000000" w:fill="D4C19C"/>
            <w:vAlign w:val="center"/>
            <w:hideMark/>
          </w:tcPr>
          <w:p w:rsidR="00F353A2" w:rsidRPr="00F353A2" w:rsidRDefault="00F353A2" w:rsidP="00F353A2">
            <w:pPr>
              <w:spacing w:after="0" w:line="240" w:lineRule="auto"/>
              <w:jc w:val="center"/>
              <w:rPr>
                <w:rFonts w:ascii="Montserrat" w:eastAsia="Times New Roman" w:hAnsi="Montserrat" w:cs="Arial"/>
                <w:b/>
                <w:bCs/>
                <w:color w:val="FFFFFF"/>
                <w:sz w:val="16"/>
                <w:szCs w:val="16"/>
                <w:lang w:val="es-MX" w:eastAsia="es-MX"/>
              </w:rPr>
            </w:pPr>
            <w:r w:rsidRPr="00F353A2">
              <w:rPr>
                <w:rFonts w:ascii="Montserrat" w:eastAsia="Times New Roman" w:hAnsi="Montserrat" w:cs="Arial"/>
                <w:b/>
                <w:bCs/>
                <w:color w:val="FFFFFF"/>
                <w:sz w:val="16"/>
                <w:szCs w:val="16"/>
                <w:lang w:val="es-MX" w:eastAsia="es-MX"/>
              </w:rPr>
              <w:t>CSE</w:t>
            </w:r>
          </w:p>
        </w:tc>
        <w:tc>
          <w:tcPr>
            <w:tcW w:w="1659" w:type="dxa"/>
            <w:tcBorders>
              <w:top w:val="nil"/>
              <w:left w:val="nil"/>
              <w:bottom w:val="nil"/>
              <w:right w:val="single" w:sz="8" w:space="0" w:color="FFFFFF"/>
            </w:tcBorders>
            <w:shd w:val="clear" w:color="000000" w:fill="D4C19C"/>
            <w:vAlign w:val="center"/>
            <w:hideMark/>
          </w:tcPr>
          <w:p w:rsidR="00F353A2" w:rsidRPr="00F353A2" w:rsidRDefault="00F353A2" w:rsidP="00F353A2">
            <w:pPr>
              <w:spacing w:after="0" w:line="240" w:lineRule="auto"/>
              <w:jc w:val="center"/>
              <w:rPr>
                <w:rFonts w:ascii="Montserrat" w:eastAsia="Times New Roman" w:hAnsi="Montserrat" w:cs="Arial"/>
                <w:b/>
                <w:bCs/>
                <w:color w:val="FFFFFF"/>
                <w:sz w:val="16"/>
                <w:szCs w:val="16"/>
                <w:lang w:val="es-MX" w:eastAsia="es-MX"/>
              </w:rPr>
            </w:pPr>
            <w:r w:rsidRPr="00F353A2">
              <w:rPr>
                <w:rFonts w:ascii="Montserrat" w:eastAsia="Times New Roman" w:hAnsi="Montserrat" w:cs="Arial"/>
                <w:b/>
                <w:bCs/>
                <w:color w:val="FFFFFF"/>
                <w:sz w:val="16"/>
                <w:szCs w:val="16"/>
                <w:lang w:val="es-MX" w:eastAsia="es-MX"/>
              </w:rPr>
              <w:t>ASF</w:t>
            </w:r>
          </w:p>
        </w:tc>
      </w:tr>
      <w:tr w:rsidR="00F353A2" w:rsidRPr="00F353A2" w:rsidTr="00D36914">
        <w:trPr>
          <w:trHeight w:val="53"/>
          <w:jc w:val="center"/>
        </w:trPr>
        <w:tc>
          <w:tcPr>
            <w:tcW w:w="7447" w:type="dxa"/>
            <w:gridSpan w:val="3"/>
            <w:tcBorders>
              <w:top w:val="nil"/>
              <w:left w:val="nil"/>
              <w:bottom w:val="double" w:sz="6" w:space="0" w:color="808080"/>
              <w:right w:val="nil"/>
            </w:tcBorders>
            <w:shd w:val="clear" w:color="auto" w:fill="auto"/>
            <w:vAlign w:val="center"/>
            <w:hideMark/>
          </w:tcPr>
          <w:p w:rsidR="00F353A2" w:rsidRPr="00F353A2" w:rsidRDefault="00F353A2" w:rsidP="00F353A2">
            <w:pPr>
              <w:spacing w:after="0" w:line="240" w:lineRule="auto"/>
              <w:jc w:val="center"/>
              <w:rPr>
                <w:rFonts w:ascii="Montserrat" w:eastAsia="Times New Roman" w:hAnsi="Montserrat" w:cs="Arial"/>
                <w:b/>
                <w:bCs/>
                <w:color w:val="000000"/>
                <w:sz w:val="4"/>
                <w:szCs w:val="4"/>
                <w:lang w:val="es-MX" w:eastAsia="es-MX"/>
              </w:rPr>
            </w:pPr>
            <w:r w:rsidRPr="00F353A2">
              <w:rPr>
                <w:rFonts w:ascii="Montserrat" w:eastAsia="Times New Roman" w:hAnsi="Montserrat" w:cs="Arial"/>
                <w:b/>
                <w:bCs/>
                <w:color w:val="000000"/>
                <w:sz w:val="4"/>
                <w:szCs w:val="4"/>
                <w:lang w:val="es-MX" w:eastAsia="es-MX"/>
              </w:rPr>
              <w:t> </w:t>
            </w:r>
          </w:p>
        </w:tc>
        <w:tc>
          <w:tcPr>
            <w:tcW w:w="3468" w:type="dxa"/>
            <w:gridSpan w:val="2"/>
            <w:tcBorders>
              <w:top w:val="nil"/>
              <w:left w:val="nil"/>
              <w:bottom w:val="double" w:sz="6" w:space="0" w:color="808080"/>
              <w:right w:val="nil"/>
            </w:tcBorders>
            <w:shd w:val="clear" w:color="auto" w:fill="auto"/>
            <w:vAlign w:val="center"/>
            <w:hideMark/>
          </w:tcPr>
          <w:p w:rsidR="00F353A2" w:rsidRPr="00F353A2" w:rsidRDefault="00F353A2" w:rsidP="00F353A2">
            <w:pPr>
              <w:spacing w:after="0" w:line="240" w:lineRule="auto"/>
              <w:jc w:val="center"/>
              <w:rPr>
                <w:rFonts w:ascii="Montserrat" w:eastAsia="Times New Roman" w:hAnsi="Montserrat" w:cs="Arial"/>
                <w:b/>
                <w:bCs/>
                <w:color w:val="000000"/>
                <w:sz w:val="4"/>
                <w:szCs w:val="4"/>
                <w:lang w:val="es-MX" w:eastAsia="es-MX"/>
              </w:rPr>
            </w:pPr>
            <w:r w:rsidRPr="00F353A2">
              <w:rPr>
                <w:rFonts w:ascii="Montserrat" w:eastAsia="Times New Roman" w:hAnsi="Montserrat" w:cs="Arial"/>
                <w:b/>
                <w:bCs/>
                <w:color w:val="000000"/>
                <w:sz w:val="4"/>
                <w:szCs w:val="4"/>
                <w:lang w:val="es-MX" w:eastAsia="es-MX"/>
              </w:rPr>
              <w:t> </w:t>
            </w:r>
          </w:p>
        </w:tc>
      </w:tr>
      <w:tr w:rsidR="00F353A2" w:rsidRPr="00F353A2" w:rsidTr="00337B1D">
        <w:trPr>
          <w:trHeight w:val="270"/>
          <w:jc w:val="center"/>
        </w:trPr>
        <w:tc>
          <w:tcPr>
            <w:tcW w:w="3762" w:type="dxa"/>
            <w:tcBorders>
              <w:top w:val="nil"/>
              <w:left w:val="nil"/>
              <w:bottom w:val="nil"/>
              <w:right w:val="nil"/>
            </w:tcBorders>
            <w:shd w:val="clear" w:color="000000" w:fill="F2F2F2"/>
            <w:noWrap/>
            <w:vAlign w:val="center"/>
            <w:hideMark/>
          </w:tcPr>
          <w:p w:rsidR="00F353A2" w:rsidRPr="00F353A2" w:rsidRDefault="00F353A2" w:rsidP="00F353A2">
            <w:pPr>
              <w:spacing w:after="0" w:line="240" w:lineRule="auto"/>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Mobiliario y Equipo de Administración</w:t>
            </w:r>
          </w:p>
        </w:tc>
        <w:tc>
          <w:tcPr>
            <w:tcW w:w="1888"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1,513,144,376</w:t>
            </w:r>
          </w:p>
        </w:tc>
        <w:tc>
          <w:tcPr>
            <w:tcW w:w="1797"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496,378,200</w:t>
            </w:r>
          </w:p>
        </w:tc>
        <w:tc>
          <w:tcPr>
            <w:tcW w:w="1809" w:type="dxa"/>
            <w:tcBorders>
              <w:top w:val="nil"/>
              <w:left w:val="nil"/>
              <w:bottom w:val="nil"/>
              <w:right w:val="nil"/>
            </w:tcBorders>
            <w:shd w:val="clear" w:color="000000" w:fill="F2F2F2"/>
            <w:noWrap/>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654,538,752</w:t>
            </w:r>
          </w:p>
        </w:tc>
        <w:tc>
          <w:tcPr>
            <w:tcW w:w="1659"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362,227,424</w:t>
            </w:r>
          </w:p>
        </w:tc>
      </w:tr>
      <w:tr w:rsidR="00F353A2" w:rsidRPr="00F353A2" w:rsidTr="00337B1D">
        <w:trPr>
          <w:trHeight w:val="255"/>
          <w:jc w:val="center"/>
        </w:trPr>
        <w:tc>
          <w:tcPr>
            <w:tcW w:w="3762" w:type="dxa"/>
            <w:tcBorders>
              <w:top w:val="nil"/>
              <w:left w:val="nil"/>
              <w:bottom w:val="nil"/>
              <w:right w:val="nil"/>
            </w:tcBorders>
            <w:shd w:val="clear" w:color="000000" w:fill="F2F2F2"/>
            <w:noWrap/>
            <w:vAlign w:val="center"/>
            <w:hideMark/>
          </w:tcPr>
          <w:p w:rsidR="00F353A2" w:rsidRPr="00F353A2" w:rsidRDefault="00F353A2" w:rsidP="00F353A2">
            <w:pPr>
              <w:spacing w:after="0" w:line="240" w:lineRule="auto"/>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Mobiliario y Equipo Educacional y Recreativo</w:t>
            </w:r>
          </w:p>
        </w:tc>
        <w:tc>
          <w:tcPr>
            <w:tcW w:w="1888"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333,792,161</w:t>
            </w:r>
          </w:p>
        </w:tc>
        <w:tc>
          <w:tcPr>
            <w:tcW w:w="1797"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54,324,070</w:t>
            </w:r>
          </w:p>
        </w:tc>
        <w:tc>
          <w:tcPr>
            <w:tcW w:w="1809" w:type="dxa"/>
            <w:tcBorders>
              <w:top w:val="nil"/>
              <w:left w:val="nil"/>
              <w:bottom w:val="nil"/>
              <w:right w:val="nil"/>
            </w:tcBorders>
            <w:shd w:val="clear" w:color="000000" w:fill="F2F2F2"/>
            <w:noWrap/>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269,795,194</w:t>
            </w:r>
          </w:p>
        </w:tc>
        <w:tc>
          <w:tcPr>
            <w:tcW w:w="1659"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9,672,897</w:t>
            </w:r>
          </w:p>
        </w:tc>
      </w:tr>
      <w:tr w:rsidR="00F353A2" w:rsidRPr="00F353A2" w:rsidTr="00337B1D">
        <w:trPr>
          <w:trHeight w:val="255"/>
          <w:jc w:val="center"/>
        </w:trPr>
        <w:tc>
          <w:tcPr>
            <w:tcW w:w="3762" w:type="dxa"/>
            <w:tcBorders>
              <w:top w:val="nil"/>
              <w:left w:val="nil"/>
              <w:bottom w:val="nil"/>
              <w:right w:val="nil"/>
            </w:tcBorders>
            <w:shd w:val="clear" w:color="000000" w:fill="F2F2F2"/>
            <w:noWrap/>
            <w:vAlign w:val="center"/>
            <w:hideMark/>
          </w:tcPr>
          <w:p w:rsidR="00F353A2" w:rsidRPr="00F353A2" w:rsidRDefault="00F353A2" w:rsidP="00F353A2">
            <w:pPr>
              <w:spacing w:after="0" w:line="240" w:lineRule="auto"/>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Equipo e Instrumental Médico y de Laboratorio</w:t>
            </w:r>
          </w:p>
        </w:tc>
        <w:tc>
          <w:tcPr>
            <w:tcW w:w="1888"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14,952,203</w:t>
            </w:r>
          </w:p>
        </w:tc>
        <w:tc>
          <w:tcPr>
            <w:tcW w:w="1797"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3,568,095</w:t>
            </w:r>
          </w:p>
        </w:tc>
        <w:tc>
          <w:tcPr>
            <w:tcW w:w="1809" w:type="dxa"/>
            <w:tcBorders>
              <w:top w:val="nil"/>
              <w:left w:val="nil"/>
              <w:bottom w:val="nil"/>
              <w:right w:val="nil"/>
            </w:tcBorders>
            <w:shd w:val="clear" w:color="000000" w:fill="F2F2F2"/>
            <w:noWrap/>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10,395,323</w:t>
            </w:r>
          </w:p>
        </w:tc>
        <w:tc>
          <w:tcPr>
            <w:tcW w:w="1659"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988,785</w:t>
            </w:r>
          </w:p>
        </w:tc>
      </w:tr>
      <w:tr w:rsidR="00F353A2" w:rsidRPr="00F353A2" w:rsidTr="00337B1D">
        <w:trPr>
          <w:trHeight w:val="255"/>
          <w:jc w:val="center"/>
        </w:trPr>
        <w:tc>
          <w:tcPr>
            <w:tcW w:w="3762" w:type="dxa"/>
            <w:tcBorders>
              <w:top w:val="nil"/>
              <w:left w:val="nil"/>
              <w:bottom w:val="nil"/>
              <w:right w:val="nil"/>
            </w:tcBorders>
            <w:shd w:val="clear" w:color="000000" w:fill="F2F2F2"/>
            <w:noWrap/>
            <w:vAlign w:val="center"/>
            <w:hideMark/>
          </w:tcPr>
          <w:p w:rsidR="00F353A2" w:rsidRPr="00F353A2" w:rsidRDefault="00F353A2" w:rsidP="00F353A2">
            <w:pPr>
              <w:spacing w:after="0" w:line="240" w:lineRule="auto"/>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Vehículos y Equipo de Transporte</w:t>
            </w:r>
          </w:p>
        </w:tc>
        <w:tc>
          <w:tcPr>
            <w:tcW w:w="1888"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97,444,186</w:t>
            </w:r>
          </w:p>
        </w:tc>
        <w:tc>
          <w:tcPr>
            <w:tcW w:w="1797"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40,070,345</w:t>
            </w:r>
          </w:p>
        </w:tc>
        <w:tc>
          <w:tcPr>
            <w:tcW w:w="1809" w:type="dxa"/>
            <w:tcBorders>
              <w:top w:val="nil"/>
              <w:left w:val="nil"/>
              <w:bottom w:val="nil"/>
              <w:right w:val="nil"/>
            </w:tcBorders>
            <w:shd w:val="clear" w:color="000000" w:fill="F2F2F2"/>
            <w:noWrap/>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42,728,328</w:t>
            </w:r>
          </w:p>
        </w:tc>
        <w:tc>
          <w:tcPr>
            <w:tcW w:w="1659"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14,645,513</w:t>
            </w:r>
          </w:p>
        </w:tc>
      </w:tr>
      <w:tr w:rsidR="00F353A2" w:rsidRPr="00F353A2" w:rsidTr="00337B1D">
        <w:trPr>
          <w:trHeight w:val="255"/>
          <w:jc w:val="center"/>
        </w:trPr>
        <w:tc>
          <w:tcPr>
            <w:tcW w:w="3762" w:type="dxa"/>
            <w:tcBorders>
              <w:top w:val="nil"/>
              <w:left w:val="nil"/>
              <w:bottom w:val="nil"/>
              <w:right w:val="nil"/>
            </w:tcBorders>
            <w:shd w:val="clear" w:color="000000" w:fill="F2F2F2"/>
            <w:noWrap/>
            <w:vAlign w:val="center"/>
            <w:hideMark/>
          </w:tcPr>
          <w:p w:rsidR="00F353A2" w:rsidRPr="00F353A2" w:rsidRDefault="00F353A2" w:rsidP="00F353A2">
            <w:pPr>
              <w:spacing w:after="0" w:line="240" w:lineRule="auto"/>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Equipo de Defensa y Seguridad</w:t>
            </w:r>
          </w:p>
        </w:tc>
        <w:tc>
          <w:tcPr>
            <w:tcW w:w="1888"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0</w:t>
            </w:r>
          </w:p>
        </w:tc>
        <w:tc>
          <w:tcPr>
            <w:tcW w:w="1797"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0</w:t>
            </w:r>
          </w:p>
        </w:tc>
        <w:tc>
          <w:tcPr>
            <w:tcW w:w="1809" w:type="dxa"/>
            <w:tcBorders>
              <w:top w:val="nil"/>
              <w:left w:val="nil"/>
              <w:bottom w:val="nil"/>
              <w:right w:val="nil"/>
            </w:tcBorders>
            <w:shd w:val="clear" w:color="000000" w:fill="F2F2F2"/>
            <w:noWrap/>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0</w:t>
            </w:r>
          </w:p>
        </w:tc>
        <w:tc>
          <w:tcPr>
            <w:tcW w:w="1659"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0</w:t>
            </w:r>
          </w:p>
        </w:tc>
      </w:tr>
      <w:tr w:rsidR="00F353A2" w:rsidRPr="00F353A2" w:rsidTr="00337B1D">
        <w:trPr>
          <w:trHeight w:val="255"/>
          <w:jc w:val="center"/>
        </w:trPr>
        <w:tc>
          <w:tcPr>
            <w:tcW w:w="3762" w:type="dxa"/>
            <w:tcBorders>
              <w:top w:val="nil"/>
              <w:left w:val="nil"/>
              <w:bottom w:val="nil"/>
              <w:right w:val="nil"/>
            </w:tcBorders>
            <w:shd w:val="clear" w:color="000000" w:fill="F2F2F2"/>
            <w:noWrap/>
            <w:vAlign w:val="center"/>
            <w:hideMark/>
          </w:tcPr>
          <w:p w:rsidR="00F353A2" w:rsidRPr="00F353A2" w:rsidRDefault="00F353A2" w:rsidP="00F353A2">
            <w:pPr>
              <w:spacing w:after="0" w:line="240" w:lineRule="auto"/>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Maquinaria, Otros Equipos y Herramientas</w:t>
            </w:r>
          </w:p>
        </w:tc>
        <w:tc>
          <w:tcPr>
            <w:tcW w:w="1888"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624,151,842</w:t>
            </w:r>
          </w:p>
        </w:tc>
        <w:tc>
          <w:tcPr>
            <w:tcW w:w="1797"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290,690,836</w:t>
            </w:r>
          </w:p>
        </w:tc>
        <w:tc>
          <w:tcPr>
            <w:tcW w:w="1809" w:type="dxa"/>
            <w:tcBorders>
              <w:top w:val="nil"/>
              <w:left w:val="nil"/>
              <w:bottom w:val="nil"/>
              <w:right w:val="nil"/>
            </w:tcBorders>
            <w:shd w:val="clear" w:color="000000" w:fill="F2F2F2"/>
            <w:noWrap/>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277,370,842</w:t>
            </w:r>
          </w:p>
        </w:tc>
        <w:tc>
          <w:tcPr>
            <w:tcW w:w="1659"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56,090,164</w:t>
            </w:r>
          </w:p>
        </w:tc>
      </w:tr>
      <w:tr w:rsidR="00F353A2" w:rsidRPr="00F353A2" w:rsidTr="00337B1D">
        <w:trPr>
          <w:trHeight w:val="255"/>
          <w:jc w:val="center"/>
        </w:trPr>
        <w:tc>
          <w:tcPr>
            <w:tcW w:w="3762" w:type="dxa"/>
            <w:tcBorders>
              <w:top w:val="nil"/>
              <w:left w:val="nil"/>
              <w:bottom w:val="nil"/>
              <w:right w:val="nil"/>
            </w:tcBorders>
            <w:shd w:val="clear" w:color="000000" w:fill="F2F2F2"/>
            <w:noWrap/>
            <w:vAlign w:val="center"/>
            <w:hideMark/>
          </w:tcPr>
          <w:p w:rsidR="00F353A2" w:rsidRPr="00F353A2" w:rsidRDefault="00F353A2" w:rsidP="00F353A2">
            <w:pPr>
              <w:spacing w:after="0" w:line="240" w:lineRule="auto"/>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Colecciones, Obras de Arte y Objetos Valiosos</w:t>
            </w:r>
          </w:p>
        </w:tc>
        <w:tc>
          <w:tcPr>
            <w:tcW w:w="1888"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119,543,885</w:t>
            </w:r>
          </w:p>
        </w:tc>
        <w:tc>
          <w:tcPr>
            <w:tcW w:w="1797"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97,802,633</w:t>
            </w:r>
          </w:p>
        </w:tc>
        <w:tc>
          <w:tcPr>
            <w:tcW w:w="1809" w:type="dxa"/>
            <w:tcBorders>
              <w:top w:val="nil"/>
              <w:left w:val="nil"/>
              <w:bottom w:val="nil"/>
              <w:right w:val="nil"/>
            </w:tcBorders>
            <w:shd w:val="clear" w:color="000000" w:fill="F2F2F2"/>
            <w:noWrap/>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18,753,752</w:t>
            </w:r>
          </w:p>
        </w:tc>
        <w:tc>
          <w:tcPr>
            <w:tcW w:w="1659"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2,987,500</w:t>
            </w:r>
          </w:p>
        </w:tc>
      </w:tr>
      <w:tr w:rsidR="00F353A2" w:rsidRPr="00F353A2" w:rsidTr="00337B1D">
        <w:trPr>
          <w:trHeight w:val="255"/>
          <w:jc w:val="center"/>
        </w:trPr>
        <w:tc>
          <w:tcPr>
            <w:tcW w:w="3762" w:type="dxa"/>
            <w:tcBorders>
              <w:top w:val="nil"/>
              <w:left w:val="nil"/>
              <w:bottom w:val="nil"/>
              <w:right w:val="nil"/>
            </w:tcBorders>
            <w:shd w:val="clear" w:color="000000" w:fill="F2F2F2"/>
            <w:noWrap/>
            <w:vAlign w:val="center"/>
            <w:hideMark/>
          </w:tcPr>
          <w:p w:rsidR="00F353A2" w:rsidRPr="00F353A2" w:rsidRDefault="00F353A2" w:rsidP="00F353A2">
            <w:pPr>
              <w:spacing w:after="0" w:line="240" w:lineRule="auto"/>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Activos Biológicos</w:t>
            </w:r>
          </w:p>
        </w:tc>
        <w:tc>
          <w:tcPr>
            <w:tcW w:w="1888"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389,324</w:t>
            </w:r>
          </w:p>
        </w:tc>
        <w:tc>
          <w:tcPr>
            <w:tcW w:w="1797"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389,324</w:t>
            </w:r>
          </w:p>
        </w:tc>
        <w:tc>
          <w:tcPr>
            <w:tcW w:w="1809" w:type="dxa"/>
            <w:tcBorders>
              <w:top w:val="nil"/>
              <w:left w:val="nil"/>
              <w:bottom w:val="nil"/>
              <w:right w:val="nil"/>
            </w:tcBorders>
            <w:shd w:val="clear" w:color="000000" w:fill="F2F2F2"/>
            <w:noWrap/>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0</w:t>
            </w:r>
          </w:p>
        </w:tc>
        <w:tc>
          <w:tcPr>
            <w:tcW w:w="1659"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0</w:t>
            </w:r>
          </w:p>
        </w:tc>
      </w:tr>
      <w:tr w:rsidR="00F353A2" w:rsidRPr="00F353A2" w:rsidTr="00337B1D">
        <w:trPr>
          <w:trHeight w:val="255"/>
          <w:jc w:val="center"/>
        </w:trPr>
        <w:tc>
          <w:tcPr>
            <w:tcW w:w="3762" w:type="dxa"/>
            <w:tcBorders>
              <w:top w:val="nil"/>
              <w:left w:val="nil"/>
              <w:bottom w:val="nil"/>
              <w:right w:val="nil"/>
            </w:tcBorders>
            <w:shd w:val="clear" w:color="000000" w:fill="F2F2F2"/>
            <w:noWrap/>
            <w:vAlign w:val="center"/>
            <w:hideMark/>
          </w:tcPr>
          <w:p w:rsidR="00F353A2" w:rsidRPr="00F353A2" w:rsidRDefault="00F353A2" w:rsidP="007A20B9">
            <w:pPr>
              <w:spacing w:after="0" w:line="240" w:lineRule="auto"/>
              <w:jc w:val="right"/>
              <w:rPr>
                <w:rFonts w:ascii="Montserrat" w:eastAsia="Times New Roman" w:hAnsi="Montserrat" w:cs="Arial"/>
                <w:b/>
                <w:bCs/>
                <w:color w:val="000000"/>
                <w:sz w:val="15"/>
                <w:szCs w:val="15"/>
                <w:lang w:val="es-MX" w:eastAsia="es-MX"/>
              </w:rPr>
            </w:pPr>
            <w:r w:rsidRPr="00F353A2">
              <w:rPr>
                <w:rFonts w:ascii="Montserrat" w:eastAsia="Times New Roman" w:hAnsi="Montserrat" w:cs="Arial"/>
                <w:b/>
                <w:bCs/>
                <w:color w:val="000000"/>
                <w:sz w:val="15"/>
                <w:szCs w:val="15"/>
                <w:lang w:val="es-MX" w:eastAsia="es-MX"/>
              </w:rPr>
              <w:t>Suma de Bienes Muebles</w:t>
            </w:r>
          </w:p>
        </w:tc>
        <w:tc>
          <w:tcPr>
            <w:tcW w:w="1888"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b/>
                <w:bCs/>
                <w:sz w:val="15"/>
                <w:szCs w:val="15"/>
                <w:lang w:val="es-MX" w:eastAsia="es-MX"/>
              </w:rPr>
            </w:pPr>
            <w:r w:rsidRPr="007A20B9">
              <w:rPr>
                <w:rFonts w:ascii="Montserrat" w:eastAsia="Times New Roman" w:hAnsi="Montserrat" w:cs="Arial"/>
                <w:b/>
                <w:bCs/>
                <w:sz w:val="15"/>
                <w:szCs w:val="15"/>
                <w:lang w:val="es-MX" w:eastAsia="es-MX"/>
              </w:rPr>
              <w:t>2,703,417,977</w:t>
            </w:r>
          </w:p>
        </w:tc>
        <w:tc>
          <w:tcPr>
            <w:tcW w:w="1797"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b/>
                <w:bCs/>
                <w:sz w:val="15"/>
                <w:szCs w:val="15"/>
                <w:lang w:val="es-MX" w:eastAsia="es-MX"/>
              </w:rPr>
            </w:pPr>
            <w:r w:rsidRPr="007A20B9">
              <w:rPr>
                <w:rFonts w:ascii="Montserrat" w:eastAsia="Times New Roman" w:hAnsi="Montserrat" w:cs="Arial"/>
                <w:b/>
                <w:bCs/>
                <w:sz w:val="15"/>
                <w:szCs w:val="15"/>
                <w:lang w:val="es-MX" w:eastAsia="es-MX"/>
              </w:rPr>
              <w:t>983,223,503</w:t>
            </w:r>
          </w:p>
        </w:tc>
        <w:tc>
          <w:tcPr>
            <w:tcW w:w="1809" w:type="dxa"/>
            <w:tcBorders>
              <w:top w:val="nil"/>
              <w:left w:val="nil"/>
              <w:bottom w:val="nil"/>
              <w:right w:val="nil"/>
            </w:tcBorders>
            <w:shd w:val="clear" w:color="000000" w:fill="F2F2F2"/>
            <w:noWrap/>
            <w:vAlign w:val="center"/>
            <w:hideMark/>
          </w:tcPr>
          <w:p w:rsidR="00F353A2" w:rsidRPr="007A20B9" w:rsidRDefault="00F353A2" w:rsidP="00F353A2">
            <w:pPr>
              <w:spacing w:after="0" w:line="240" w:lineRule="auto"/>
              <w:jc w:val="right"/>
              <w:rPr>
                <w:rFonts w:ascii="Montserrat" w:eastAsia="Times New Roman" w:hAnsi="Montserrat" w:cs="Arial"/>
                <w:b/>
                <w:bCs/>
                <w:sz w:val="15"/>
                <w:szCs w:val="15"/>
                <w:lang w:val="es-MX" w:eastAsia="es-MX"/>
              </w:rPr>
            </w:pPr>
            <w:r w:rsidRPr="007A20B9">
              <w:rPr>
                <w:rFonts w:ascii="Montserrat" w:eastAsia="Times New Roman" w:hAnsi="Montserrat" w:cs="Arial"/>
                <w:b/>
                <w:bCs/>
                <w:sz w:val="15"/>
                <w:szCs w:val="15"/>
                <w:lang w:val="es-MX" w:eastAsia="es-MX"/>
              </w:rPr>
              <w:t>1,273,582,191</w:t>
            </w:r>
          </w:p>
        </w:tc>
        <w:tc>
          <w:tcPr>
            <w:tcW w:w="1659"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b/>
                <w:bCs/>
                <w:sz w:val="15"/>
                <w:szCs w:val="15"/>
                <w:lang w:val="es-MX" w:eastAsia="es-MX"/>
              </w:rPr>
            </w:pPr>
            <w:r w:rsidRPr="007A20B9">
              <w:rPr>
                <w:rFonts w:ascii="Montserrat" w:eastAsia="Times New Roman" w:hAnsi="Montserrat" w:cs="Arial"/>
                <w:b/>
                <w:bCs/>
                <w:sz w:val="15"/>
                <w:szCs w:val="15"/>
                <w:lang w:val="es-MX" w:eastAsia="es-MX"/>
              </w:rPr>
              <w:t>446,612,283</w:t>
            </w:r>
          </w:p>
        </w:tc>
      </w:tr>
      <w:tr w:rsidR="00F353A2" w:rsidRPr="00F353A2" w:rsidTr="00337B1D">
        <w:trPr>
          <w:trHeight w:val="255"/>
          <w:jc w:val="center"/>
        </w:trPr>
        <w:tc>
          <w:tcPr>
            <w:tcW w:w="3762" w:type="dxa"/>
            <w:tcBorders>
              <w:top w:val="nil"/>
              <w:left w:val="nil"/>
              <w:bottom w:val="nil"/>
              <w:right w:val="nil"/>
            </w:tcBorders>
            <w:shd w:val="clear" w:color="000000" w:fill="F2F2F2"/>
            <w:noWrap/>
            <w:vAlign w:val="center"/>
            <w:hideMark/>
          </w:tcPr>
          <w:p w:rsidR="00F353A2" w:rsidRPr="00F353A2" w:rsidRDefault="00F353A2" w:rsidP="00F353A2">
            <w:pPr>
              <w:spacing w:after="0" w:line="240" w:lineRule="auto"/>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Valor relación de bienes</w:t>
            </w:r>
          </w:p>
        </w:tc>
        <w:tc>
          <w:tcPr>
            <w:tcW w:w="1888"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2,645,429,379</w:t>
            </w:r>
          </w:p>
        </w:tc>
        <w:tc>
          <w:tcPr>
            <w:tcW w:w="1797" w:type="dxa"/>
            <w:tcBorders>
              <w:top w:val="nil"/>
              <w:left w:val="nil"/>
              <w:bottom w:val="nil"/>
              <w:right w:val="nil"/>
            </w:tcBorders>
            <w:shd w:val="clear" w:color="000000" w:fill="F2F2F2"/>
            <w:vAlign w:val="center"/>
            <w:hideMark/>
          </w:tcPr>
          <w:p w:rsidR="00F353A2" w:rsidRPr="007A20B9" w:rsidRDefault="00F353A2" w:rsidP="003620C7">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983,223,50</w:t>
            </w:r>
            <w:r w:rsidR="003620C7">
              <w:rPr>
                <w:rFonts w:ascii="Montserrat" w:eastAsia="Times New Roman" w:hAnsi="Montserrat" w:cs="Arial"/>
                <w:sz w:val="15"/>
                <w:szCs w:val="15"/>
                <w:lang w:val="es-MX" w:eastAsia="es-MX"/>
              </w:rPr>
              <w:t>3</w:t>
            </w:r>
          </w:p>
        </w:tc>
        <w:tc>
          <w:tcPr>
            <w:tcW w:w="1809" w:type="dxa"/>
            <w:tcBorders>
              <w:top w:val="nil"/>
              <w:left w:val="nil"/>
              <w:bottom w:val="nil"/>
              <w:right w:val="nil"/>
            </w:tcBorders>
            <w:shd w:val="clear" w:color="000000" w:fill="F2F2F2"/>
            <w:noWrap/>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1,215,593,593</w:t>
            </w:r>
          </w:p>
        </w:tc>
        <w:tc>
          <w:tcPr>
            <w:tcW w:w="1659"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sz w:val="15"/>
                <w:szCs w:val="15"/>
                <w:lang w:val="es-MX" w:eastAsia="es-MX"/>
              </w:rPr>
            </w:pPr>
            <w:r w:rsidRPr="007A20B9">
              <w:rPr>
                <w:rFonts w:ascii="Montserrat" w:eastAsia="Times New Roman" w:hAnsi="Montserrat" w:cs="Arial"/>
                <w:sz w:val="15"/>
                <w:szCs w:val="15"/>
                <w:lang w:val="es-MX" w:eastAsia="es-MX"/>
              </w:rPr>
              <w:t>446,612,283</w:t>
            </w:r>
          </w:p>
        </w:tc>
      </w:tr>
      <w:tr w:rsidR="00F353A2" w:rsidRPr="00F353A2" w:rsidTr="00337B1D">
        <w:trPr>
          <w:trHeight w:val="270"/>
          <w:jc w:val="center"/>
        </w:trPr>
        <w:tc>
          <w:tcPr>
            <w:tcW w:w="3762" w:type="dxa"/>
            <w:tcBorders>
              <w:top w:val="nil"/>
              <w:left w:val="nil"/>
              <w:bottom w:val="nil"/>
              <w:right w:val="nil"/>
            </w:tcBorders>
            <w:shd w:val="clear" w:color="000000" w:fill="F2F2F2"/>
            <w:noWrap/>
            <w:vAlign w:val="center"/>
            <w:hideMark/>
          </w:tcPr>
          <w:p w:rsidR="00F353A2" w:rsidRPr="00F353A2" w:rsidRDefault="00F353A2" w:rsidP="00F353A2">
            <w:pPr>
              <w:spacing w:after="0" w:line="240" w:lineRule="auto"/>
              <w:jc w:val="right"/>
              <w:rPr>
                <w:rFonts w:ascii="Montserrat" w:eastAsia="Times New Roman" w:hAnsi="Montserrat" w:cs="Arial"/>
                <w:b/>
                <w:bCs/>
                <w:color w:val="000000"/>
                <w:sz w:val="15"/>
                <w:szCs w:val="15"/>
                <w:lang w:val="es-MX" w:eastAsia="es-MX"/>
              </w:rPr>
            </w:pPr>
            <w:r w:rsidRPr="00F353A2">
              <w:rPr>
                <w:rFonts w:ascii="Montserrat" w:eastAsia="Times New Roman" w:hAnsi="Montserrat" w:cs="Arial"/>
                <w:b/>
                <w:bCs/>
                <w:color w:val="000000"/>
                <w:sz w:val="15"/>
                <w:szCs w:val="15"/>
                <w:lang w:val="es-MX" w:eastAsia="es-MX"/>
              </w:rPr>
              <w:t>Diferencia</w:t>
            </w:r>
          </w:p>
        </w:tc>
        <w:tc>
          <w:tcPr>
            <w:tcW w:w="1888"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b/>
                <w:bCs/>
                <w:sz w:val="15"/>
                <w:szCs w:val="15"/>
                <w:lang w:val="es-MX" w:eastAsia="es-MX"/>
              </w:rPr>
            </w:pPr>
            <w:r w:rsidRPr="007A20B9">
              <w:rPr>
                <w:rFonts w:ascii="Montserrat" w:eastAsia="Times New Roman" w:hAnsi="Montserrat" w:cs="Arial"/>
                <w:b/>
                <w:bCs/>
                <w:sz w:val="15"/>
                <w:szCs w:val="15"/>
                <w:lang w:val="es-MX" w:eastAsia="es-MX"/>
              </w:rPr>
              <w:t>57,988,598</w:t>
            </w:r>
          </w:p>
        </w:tc>
        <w:tc>
          <w:tcPr>
            <w:tcW w:w="1797" w:type="dxa"/>
            <w:tcBorders>
              <w:top w:val="nil"/>
              <w:left w:val="nil"/>
              <w:bottom w:val="nil"/>
              <w:right w:val="nil"/>
            </w:tcBorders>
            <w:shd w:val="clear" w:color="000000" w:fill="F2F2F2"/>
            <w:vAlign w:val="center"/>
            <w:hideMark/>
          </w:tcPr>
          <w:p w:rsidR="00F353A2" w:rsidRPr="007A20B9" w:rsidRDefault="003620C7" w:rsidP="00F353A2">
            <w:pPr>
              <w:spacing w:after="0" w:line="240" w:lineRule="auto"/>
              <w:jc w:val="right"/>
              <w:rPr>
                <w:rFonts w:ascii="Montserrat" w:eastAsia="Times New Roman" w:hAnsi="Montserrat" w:cs="Arial"/>
                <w:b/>
                <w:bCs/>
                <w:sz w:val="15"/>
                <w:szCs w:val="15"/>
                <w:lang w:val="es-MX" w:eastAsia="es-MX"/>
              </w:rPr>
            </w:pPr>
            <w:r>
              <w:rPr>
                <w:rFonts w:ascii="Montserrat" w:eastAsia="Times New Roman" w:hAnsi="Montserrat" w:cs="Arial"/>
                <w:b/>
                <w:bCs/>
                <w:sz w:val="15"/>
                <w:szCs w:val="15"/>
                <w:lang w:val="es-MX" w:eastAsia="es-MX"/>
              </w:rPr>
              <w:t>0</w:t>
            </w:r>
          </w:p>
        </w:tc>
        <w:tc>
          <w:tcPr>
            <w:tcW w:w="1809" w:type="dxa"/>
            <w:tcBorders>
              <w:top w:val="nil"/>
              <w:left w:val="nil"/>
              <w:bottom w:val="nil"/>
              <w:right w:val="nil"/>
            </w:tcBorders>
            <w:shd w:val="clear" w:color="000000" w:fill="F2F2F2"/>
            <w:noWrap/>
            <w:vAlign w:val="center"/>
            <w:hideMark/>
          </w:tcPr>
          <w:p w:rsidR="00F353A2" w:rsidRPr="007A20B9" w:rsidRDefault="00F353A2" w:rsidP="00F353A2">
            <w:pPr>
              <w:spacing w:after="0" w:line="240" w:lineRule="auto"/>
              <w:jc w:val="right"/>
              <w:rPr>
                <w:rFonts w:ascii="Montserrat" w:eastAsia="Times New Roman" w:hAnsi="Montserrat" w:cs="Arial"/>
                <w:b/>
                <w:bCs/>
                <w:sz w:val="15"/>
                <w:szCs w:val="15"/>
                <w:lang w:val="es-MX" w:eastAsia="es-MX"/>
              </w:rPr>
            </w:pPr>
            <w:r w:rsidRPr="007A20B9">
              <w:rPr>
                <w:rFonts w:ascii="Montserrat" w:eastAsia="Times New Roman" w:hAnsi="Montserrat" w:cs="Arial"/>
                <w:b/>
                <w:bCs/>
                <w:sz w:val="15"/>
                <w:szCs w:val="15"/>
                <w:lang w:val="es-MX" w:eastAsia="es-MX"/>
              </w:rPr>
              <w:t>57,988,598</w:t>
            </w:r>
          </w:p>
        </w:tc>
        <w:tc>
          <w:tcPr>
            <w:tcW w:w="1659" w:type="dxa"/>
            <w:tcBorders>
              <w:top w:val="nil"/>
              <w:left w:val="nil"/>
              <w:bottom w:val="nil"/>
              <w:right w:val="nil"/>
            </w:tcBorders>
            <w:shd w:val="clear" w:color="000000" w:fill="F2F2F2"/>
            <w:vAlign w:val="center"/>
            <w:hideMark/>
          </w:tcPr>
          <w:p w:rsidR="00F353A2" w:rsidRPr="007A20B9" w:rsidRDefault="00F353A2" w:rsidP="00F353A2">
            <w:pPr>
              <w:spacing w:after="0" w:line="240" w:lineRule="auto"/>
              <w:jc w:val="right"/>
              <w:rPr>
                <w:rFonts w:ascii="Montserrat" w:eastAsia="Times New Roman" w:hAnsi="Montserrat" w:cs="Arial"/>
                <w:b/>
                <w:bCs/>
                <w:sz w:val="15"/>
                <w:szCs w:val="15"/>
                <w:lang w:val="es-MX" w:eastAsia="es-MX"/>
              </w:rPr>
            </w:pPr>
            <w:r w:rsidRPr="007A20B9">
              <w:rPr>
                <w:rFonts w:ascii="Montserrat" w:eastAsia="Times New Roman" w:hAnsi="Montserrat" w:cs="Arial"/>
                <w:b/>
                <w:bCs/>
                <w:sz w:val="15"/>
                <w:szCs w:val="15"/>
                <w:lang w:val="es-MX" w:eastAsia="es-MX"/>
              </w:rPr>
              <w:t>0</w:t>
            </w:r>
          </w:p>
        </w:tc>
      </w:tr>
      <w:tr w:rsidR="00F353A2" w:rsidRPr="00F353A2" w:rsidTr="00337B1D">
        <w:trPr>
          <w:trHeight w:val="270"/>
          <w:jc w:val="center"/>
        </w:trPr>
        <w:tc>
          <w:tcPr>
            <w:tcW w:w="3762" w:type="dxa"/>
            <w:tcBorders>
              <w:top w:val="single" w:sz="12" w:space="0" w:color="808080"/>
              <w:left w:val="nil"/>
              <w:bottom w:val="nil"/>
              <w:right w:val="nil"/>
            </w:tcBorders>
            <w:shd w:val="clear" w:color="auto" w:fill="auto"/>
            <w:noWrap/>
            <w:vAlign w:val="center"/>
          </w:tcPr>
          <w:p w:rsidR="00F353A2" w:rsidRPr="00F353A2" w:rsidRDefault="00F353A2" w:rsidP="00F353A2">
            <w:pPr>
              <w:spacing w:after="0" w:line="240" w:lineRule="auto"/>
              <w:jc w:val="right"/>
              <w:rPr>
                <w:rFonts w:ascii="Soberana Sans Light" w:eastAsia="Times New Roman" w:hAnsi="Soberana Sans Light" w:cs="Arial"/>
                <w:b/>
                <w:bCs/>
                <w:color w:val="E26B0A"/>
                <w:sz w:val="16"/>
                <w:szCs w:val="16"/>
                <w:lang w:val="es-MX" w:eastAsia="es-MX"/>
              </w:rPr>
            </w:pPr>
          </w:p>
        </w:tc>
        <w:tc>
          <w:tcPr>
            <w:tcW w:w="1888" w:type="dxa"/>
            <w:tcBorders>
              <w:top w:val="single" w:sz="12" w:space="0" w:color="808080"/>
              <w:left w:val="nil"/>
              <w:bottom w:val="nil"/>
              <w:right w:val="nil"/>
            </w:tcBorders>
            <w:shd w:val="clear" w:color="auto" w:fill="auto"/>
            <w:noWrap/>
            <w:vAlign w:val="center"/>
          </w:tcPr>
          <w:p w:rsidR="00F353A2" w:rsidRPr="00F353A2" w:rsidRDefault="00F353A2" w:rsidP="00F353A2">
            <w:pPr>
              <w:spacing w:after="0" w:line="240" w:lineRule="auto"/>
              <w:jc w:val="right"/>
              <w:rPr>
                <w:rFonts w:ascii="Soberana Sans Light" w:eastAsia="Times New Roman" w:hAnsi="Soberana Sans Light" w:cs="Arial"/>
                <w:b/>
                <w:bCs/>
                <w:color w:val="E26B0A"/>
                <w:sz w:val="16"/>
                <w:szCs w:val="16"/>
                <w:lang w:val="es-MX" w:eastAsia="es-MX"/>
              </w:rPr>
            </w:pPr>
          </w:p>
        </w:tc>
        <w:tc>
          <w:tcPr>
            <w:tcW w:w="1797" w:type="dxa"/>
            <w:tcBorders>
              <w:top w:val="single" w:sz="12" w:space="0" w:color="808080"/>
              <w:left w:val="nil"/>
              <w:bottom w:val="nil"/>
              <w:right w:val="nil"/>
            </w:tcBorders>
            <w:shd w:val="clear" w:color="auto" w:fill="auto"/>
            <w:noWrap/>
            <w:vAlign w:val="center"/>
          </w:tcPr>
          <w:p w:rsidR="00F353A2" w:rsidRPr="00F353A2" w:rsidRDefault="00F353A2" w:rsidP="00F353A2">
            <w:pPr>
              <w:spacing w:after="0" w:line="240" w:lineRule="auto"/>
              <w:jc w:val="right"/>
              <w:rPr>
                <w:rFonts w:ascii="Soberana Sans Light" w:eastAsia="Times New Roman" w:hAnsi="Soberana Sans Light" w:cs="Arial"/>
                <w:b/>
                <w:bCs/>
                <w:color w:val="E26B0A"/>
                <w:sz w:val="16"/>
                <w:szCs w:val="16"/>
                <w:lang w:val="es-MX" w:eastAsia="es-MX"/>
              </w:rPr>
            </w:pPr>
          </w:p>
        </w:tc>
        <w:tc>
          <w:tcPr>
            <w:tcW w:w="1809" w:type="dxa"/>
            <w:tcBorders>
              <w:top w:val="single" w:sz="12" w:space="0" w:color="808080"/>
              <w:left w:val="nil"/>
              <w:bottom w:val="nil"/>
              <w:right w:val="nil"/>
            </w:tcBorders>
            <w:shd w:val="clear" w:color="auto" w:fill="auto"/>
            <w:noWrap/>
            <w:vAlign w:val="center"/>
          </w:tcPr>
          <w:p w:rsidR="00F353A2" w:rsidRPr="00F353A2" w:rsidRDefault="00F353A2" w:rsidP="00F353A2">
            <w:pPr>
              <w:spacing w:after="0" w:line="240" w:lineRule="auto"/>
              <w:jc w:val="right"/>
              <w:rPr>
                <w:rFonts w:ascii="Soberana Sans Light" w:eastAsia="Times New Roman" w:hAnsi="Soberana Sans Light" w:cs="Arial"/>
                <w:b/>
                <w:bCs/>
                <w:color w:val="E26B0A"/>
                <w:sz w:val="16"/>
                <w:szCs w:val="16"/>
                <w:lang w:val="es-MX" w:eastAsia="es-MX"/>
              </w:rPr>
            </w:pPr>
          </w:p>
        </w:tc>
        <w:tc>
          <w:tcPr>
            <w:tcW w:w="1659" w:type="dxa"/>
            <w:tcBorders>
              <w:top w:val="single" w:sz="12" w:space="0" w:color="808080"/>
              <w:left w:val="nil"/>
              <w:bottom w:val="nil"/>
              <w:right w:val="nil"/>
            </w:tcBorders>
            <w:shd w:val="clear" w:color="auto" w:fill="auto"/>
            <w:noWrap/>
            <w:vAlign w:val="center"/>
          </w:tcPr>
          <w:p w:rsidR="00F353A2" w:rsidRPr="00F353A2" w:rsidRDefault="00F353A2" w:rsidP="00F353A2">
            <w:pPr>
              <w:spacing w:after="0" w:line="240" w:lineRule="auto"/>
              <w:jc w:val="right"/>
              <w:rPr>
                <w:rFonts w:ascii="Soberana Sans Light" w:eastAsia="Times New Roman" w:hAnsi="Soberana Sans Light" w:cs="Arial"/>
                <w:b/>
                <w:bCs/>
                <w:color w:val="E26B0A"/>
                <w:sz w:val="16"/>
                <w:szCs w:val="16"/>
                <w:lang w:val="es-MX" w:eastAsia="es-MX"/>
              </w:rPr>
            </w:pPr>
          </w:p>
        </w:tc>
      </w:tr>
    </w:tbl>
    <w:p w:rsidR="00297378" w:rsidRDefault="00297378" w:rsidP="002C6D54">
      <w:pPr>
        <w:pStyle w:val="TEXTONORMAL"/>
      </w:pPr>
      <w:r w:rsidRPr="003620C7">
        <w:t xml:space="preserve">Respecto de la información del Poder Legislativo, en particular la Cámara de Senadores informa que, existe una diferencia </w:t>
      </w:r>
      <w:r w:rsidR="003620C7" w:rsidRPr="003620C7">
        <w:t>de los registros contables contra el inventario físico de los bienes muebles por $57</w:t>
      </w:r>
      <w:proofErr w:type="gramStart"/>
      <w:r w:rsidR="003620C7" w:rsidRPr="003620C7">
        <w:t>,988,598</w:t>
      </w:r>
      <w:r w:rsidR="003620C7">
        <w:t>.00</w:t>
      </w:r>
      <w:proofErr w:type="gramEnd"/>
      <w:r w:rsidR="004D069F">
        <w:t xml:space="preserve"> pesos</w:t>
      </w:r>
      <w:r w:rsidR="003620C7">
        <w:t>.</w:t>
      </w:r>
    </w:p>
    <w:p w:rsidR="00A80DC6" w:rsidRDefault="00A80DC6" w:rsidP="00297378">
      <w:pPr>
        <w:pStyle w:val="TEXTONORMAL"/>
      </w:pPr>
    </w:p>
    <w:p w:rsidR="00D36914" w:rsidRDefault="00D36914" w:rsidP="00297378">
      <w:pPr>
        <w:pStyle w:val="TEXTONORMAL"/>
      </w:pPr>
    </w:p>
    <w:p w:rsidR="007A20B9" w:rsidRPr="002C6D54" w:rsidRDefault="003620C7" w:rsidP="003620C7">
      <w:pPr>
        <w:pStyle w:val="VIETAROMBO"/>
      </w:pPr>
      <w:r w:rsidRPr="002C6D54">
        <w:lastRenderedPageBreak/>
        <w:t>Activos Intangibles</w:t>
      </w:r>
    </w:p>
    <w:p w:rsidR="00297378" w:rsidRDefault="00297378" w:rsidP="002C6D54">
      <w:pPr>
        <w:pStyle w:val="TEXTONORMAL"/>
      </w:pPr>
      <w:r>
        <w:t xml:space="preserve">Se presenta la información consolidada de los entes públicos del Poder Legislativo que integra el rubro de Activos Intangibles: </w:t>
      </w:r>
    </w:p>
    <w:tbl>
      <w:tblPr>
        <w:tblW w:w="7616" w:type="dxa"/>
        <w:jc w:val="center"/>
        <w:tblCellMar>
          <w:left w:w="70" w:type="dxa"/>
          <w:right w:w="70" w:type="dxa"/>
        </w:tblCellMar>
        <w:tblLook w:val="04A0" w:firstRow="1" w:lastRow="0" w:firstColumn="1" w:lastColumn="0" w:noHBand="0" w:noVBand="1"/>
      </w:tblPr>
      <w:tblGrid>
        <w:gridCol w:w="3884"/>
        <w:gridCol w:w="1866"/>
        <w:gridCol w:w="1866"/>
      </w:tblGrid>
      <w:tr w:rsidR="00F353A2" w:rsidRPr="00F353A2" w:rsidTr="00337B1D">
        <w:trPr>
          <w:trHeight w:val="270"/>
          <w:jc w:val="center"/>
        </w:trPr>
        <w:tc>
          <w:tcPr>
            <w:tcW w:w="7616" w:type="dxa"/>
            <w:gridSpan w:val="3"/>
            <w:tcBorders>
              <w:top w:val="nil"/>
              <w:left w:val="nil"/>
              <w:bottom w:val="single" w:sz="12" w:space="0" w:color="808080"/>
              <w:right w:val="nil"/>
            </w:tcBorders>
            <w:shd w:val="clear" w:color="auto" w:fill="auto"/>
            <w:noWrap/>
            <w:vAlign w:val="center"/>
            <w:hideMark/>
          </w:tcPr>
          <w:p w:rsidR="00F353A2" w:rsidRPr="00F353A2" w:rsidRDefault="00F353A2" w:rsidP="00F353A2">
            <w:pPr>
              <w:spacing w:after="0" w:line="240" w:lineRule="auto"/>
              <w:jc w:val="center"/>
              <w:rPr>
                <w:rFonts w:ascii="Montserrat" w:eastAsia="Times New Roman" w:hAnsi="Montserrat" w:cs="Arial"/>
                <w:sz w:val="16"/>
                <w:szCs w:val="16"/>
                <w:lang w:val="es-MX" w:eastAsia="es-MX"/>
              </w:rPr>
            </w:pPr>
            <w:r w:rsidRPr="00F353A2">
              <w:rPr>
                <w:rFonts w:ascii="Montserrat" w:eastAsia="Times New Roman" w:hAnsi="Montserrat" w:cs="Arial"/>
                <w:sz w:val="16"/>
                <w:szCs w:val="16"/>
                <w:lang w:val="es-MX" w:eastAsia="es-MX"/>
              </w:rPr>
              <w:t>(Pesos)</w:t>
            </w:r>
          </w:p>
        </w:tc>
      </w:tr>
      <w:tr w:rsidR="00F353A2" w:rsidRPr="00F353A2" w:rsidTr="00337B1D">
        <w:trPr>
          <w:trHeight w:val="15"/>
          <w:jc w:val="center"/>
        </w:trPr>
        <w:tc>
          <w:tcPr>
            <w:tcW w:w="7616" w:type="dxa"/>
            <w:gridSpan w:val="3"/>
            <w:tcBorders>
              <w:top w:val="single" w:sz="12" w:space="0" w:color="808080"/>
              <w:left w:val="nil"/>
              <w:bottom w:val="nil"/>
              <w:right w:val="nil"/>
            </w:tcBorders>
            <w:shd w:val="clear" w:color="auto" w:fill="auto"/>
            <w:vAlign w:val="center"/>
            <w:hideMark/>
          </w:tcPr>
          <w:p w:rsidR="00F353A2" w:rsidRPr="00F353A2" w:rsidRDefault="00F353A2" w:rsidP="00D36914">
            <w:pPr>
              <w:spacing w:after="0" w:line="240" w:lineRule="auto"/>
              <w:rPr>
                <w:rFonts w:ascii="Montserrat" w:eastAsia="Times New Roman" w:hAnsi="Montserrat" w:cs="Arial"/>
                <w:b/>
                <w:bCs/>
                <w:color w:val="000000"/>
                <w:sz w:val="10"/>
                <w:szCs w:val="10"/>
                <w:lang w:val="es-MX" w:eastAsia="es-MX"/>
              </w:rPr>
            </w:pPr>
          </w:p>
        </w:tc>
      </w:tr>
      <w:tr w:rsidR="00F353A2" w:rsidRPr="00F353A2" w:rsidTr="00337B1D">
        <w:trPr>
          <w:trHeight w:val="255"/>
          <w:jc w:val="center"/>
        </w:trPr>
        <w:tc>
          <w:tcPr>
            <w:tcW w:w="3884" w:type="dxa"/>
            <w:tcBorders>
              <w:top w:val="nil"/>
              <w:left w:val="nil"/>
              <w:bottom w:val="nil"/>
              <w:right w:val="single" w:sz="8" w:space="0" w:color="FFFFFF"/>
            </w:tcBorders>
            <w:shd w:val="clear" w:color="000000" w:fill="D4C19C"/>
            <w:vAlign w:val="center"/>
            <w:hideMark/>
          </w:tcPr>
          <w:p w:rsidR="00F353A2" w:rsidRPr="00F353A2" w:rsidRDefault="00F353A2" w:rsidP="00F353A2">
            <w:pPr>
              <w:spacing w:after="0" w:line="240" w:lineRule="auto"/>
              <w:jc w:val="center"/>
              <w:rPr>
                <w:rFonts w:ascii="Montserrat" w:eastAsia="Times New Roman" w:hAnsi="Montserrat" w:cs="Arial"/>
                <w:b/>
                <w:bCs/>
                <w:color w:val="FFFFFF"/>
                <w:sz w:val="16"/>
                <w:szCs w:val="16"/>
                <w:lang w:val="es-MX" w:eastAsia="es-MX"/>
              </w:rPr>
            </w:pPr>
            <w:r w:rsidRPr="00F353A2">
              <w:rPr>
                <w:rFonts w:ascii="Montserrat" w:eastAsia="Times New Roman" w:hAnsi="Montserrat" w:cs="Arial"/>
                <w:b/>
                <w:bCs/>
                <w:color w:val="FFFFFF"/>
                <w:sz w:val="16"/>
                <w:szCs w:val="16"/>
                <w:lang w:val="es-MX" w:eastAsia="es-MX"/>
              </w:rPr>
              <w:t>Concepto</w:t>
            </w:r>
          </w:p>
        </w:tc>
        <w:tc>
          <w:tcPr>
            <w:tcW w:w="1866" w:type="dxa"/>
            <w:tcBorders>
              <w:top w:val="nil"/>
              <w:left w:val="nil"/>
              <w:bottom w:val="nil"/>
              <w:right w:val="single" w:sz="8" w:space="0" w:color="FFFFFF"/>
            </w:tcBorders>
            <w:shd w:val="clear" w:color="000000" w:fill="D4C19C"/>
            <w:vAlign w:val="center"/>
            <w:hideMark/>
          </w:tcPr>
          <w:p w:rsidR="00F353A2" w:rsidRPr="00F353A2" w:rsidRDefault="00F353A2" w:rsidP="00F353A2">
            <w:pPr>
              <w:spacing w:after="0" w:line="240" w:lineRule="auto"/>
              <w:jc w:val="center"/>
              <w:rPr>
                <w:rFonts w:ascii="Montserrat" w:eastAsia="Times New Roman" w:hAnsi="Montserrat" w:cs="Arial"/>
                <w:b/>
                <w:bCs/>
                <w:color w:val="FFFFFF"/>
                <w:sz w:val="16"/>
                <w:szCs w:val="16"/>
                <w:lang w:val="es-MX" w:eastAsia="es-MX"/>
              </w:rPr>
            </w:pPr>
            <w:r w:rsidRPr="00F353A2">
              <w:rPr>
                <w:rFonts w:ascii="Montserrat" w:eastAsia="Times New Roman" w:hAnsi="Montserrat" w:cs="Arial"/>
                <w:b/>
                <w:bCs/>
                <w:color w:val="FFFFFF"/>
                <w:sz w:val="16"/>
                <w:szCs w:val="16"/>
                <w:lang w:val="es-MX" w:eastAsia="es-MX"/>
              </w:rPr>
              <w:t>2018</w:t>
            </w:r>
          </w:p>
        </w:tc>
        <w:tc>
          <w:tcPr>
            <w:tcW w:w="1866" w:type="dxa"/>
            <w:tcBorders>
              <w:top w:val="nil"/>
              <w:left w:val="nil"/>
              <w:bottom w:val="nil"/>
              <w:right w:val="single" w:sz="8" w:space="0" w:color="FFFFFF"/>
            </w:tcBorders>
            <w:shd w:val="clear" w:color="000000" w:fill="D4C19C"/>
            <w:vAlign w:val="center"/>
            <w:hideMark/>
          </w:tcPr>
          <w:p w:rsidR="00F353A2" w:rsidRPr="00F353A2" w:rsidRDefault="00F353A2" w:rsidP="00F353A2">
            <w:pPr>
              <w:spacing w:after="0" w:line="240" w:lineRule="auto"/>
              <w:jc w:val="center"/>
              <w:rPr>
                <w:rFonts w:ascii="Montserrat" w:eastAsia="Times New Roman" w:hAnsi="Montserrat" w:cs="Arial"/>
                <w:b/>
                <w:bCs/>
                <w:color w:val="FFFFFF"/>
                <w:sz w:val="16"/>
                <w:szCs w:val="16"/>
                <w:lang w:val="es-MX" w:eastAsia="es-MX"/>
              </w:rPr>
            </w:pPr>
            <w:r w:rsidRPr="00F353A2">
              <w:rPr>
                <w:rFonts w:ascii="Montserrat" w:eastAsia="Times New Roman" w:hAnsi="Montserrat" w:cs="Arial"/>
                <w:b/>
                <w:bCs/>
                <w:color w:val="FFFFFF"/>
                <w:sz w:val="16"/>
                <w:szCs w:val="16"/>
                <w:lang w:val="es-MX" w:eastAsia="es-MX"/>
              </w:rPr>
              <w:t>2017</w:t>
            </w:r>
          </w:p>
        </w:tc>
      </w:tr>
      <w:tr w:rsidR="00F353A2" w:rsidRPr="00F353A2" w:rsidTr="00D36914">
        <w:trPr>
          <w:trHeight w:val="53"/>
          <w:jc w:val="center"/>
        </w:trPr>
        <w:tc>
          <w:tcPr>
            <w:tcW w:w="7616" w:type="dxa"/>
            <w:gridSpan w:val="3"/>
            <w:tcBorders>
              <w:top w:val="nil"/>
              <w:left w:val="nil"/>
              <w:bottom w:val="double" w:sz="6" w:space="0" w:color="808080"/>
              <w:right w:val="nil"/>
            </w:tcBorders>
            <w:shd w:val="clear" w:color="auto" w:fill="auto"/>
            <w:vAlign w:val="center"/>
            <w:hideMark/>
          </w:tcPr>
          <w:p w:rsidR="00F353A2" w:rsidRPr="00F353A2" w:rsidRDefault="00F353A2" w:rsidP="00F353A2">
            <w:pPr>
              <w:spacing w:after="0" w:line="240" w:lineRule="auto"/>
              <w:jc w:val="center"/>
              <w:rPr>
                <w:rFonts w:ascii="Montserrat" w:eastAsia="Times New Roman" w:hAnsi="Montserrat" w:cs="Arial"/>
                <w:b/>
                <w:bCs/>
                <w:color w:val="000000"/>
                <w:sz w:val="4"/>
                <w:szCs w:val="4"/>
                <w:lang w:val="es-MX" w:eastAsia="es-MX"/>
              </w:rPr>
            </w:pPr>
            <w:r w:rsidRPr="00F353A2">
              <w:rPr>
                <w:rFonts w:ascii="Montserrat" w:eastAsia="Times New Roman" w:hAnsi="Montserrat" w:cs="Arial"/>
                <w:b/>
                <w:bCs/>
                <w:color w:val="000000"/>
                <w:sz w:val="4"/>
                <w:szCs w:val="4"/>
                <w:lang w:val="es-MX" w:eastAsia="es-MX"/>
              </w:rPr>
              <w:t> </w:t>
            </w:r>
          </w:p>
        </w:tc>
      </w:tr>
      <w:tr w:rsidR="00F353A2" w:rsidRPr="00F353A2" w:rsidTr="00337B1D">
        <w:trPr>
          <w:trHeight w:val="270"/>
          <w:jc w:val="center"/>
        </w:trPr>
        <w:tc>
          <w:tcPr>
            <w:tcW w:w="3884" w:type="dxa"/>
            <w:tcBorders>
              <w:top w:val="nil"/>
              <w:left w:val="nil"/>
              <w:bottom w:val="nil"/>
              <w:right w:val="nil"/>
            </w:tcBorders>
            <w:shd w:val="clear" w:color="000000" w:fill="F2F2F2"/>
            <w:noWrap/>
            <w:vAlign w:val="center"/>
            <w:hideMark/>
          </w:tcPr>
          <w:p w:rsidR="00F353A2" w:rsidRPr="00F353A2" w:rsidRDefault="00F353A2" w:rsidP="00F353A2">
            <w:pPr>
              <w:spacing w:after="0" w:line="240" w:lineRule="auto"/>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Cámara de Diputados</w:t>
            </w:r>
          </w:p>
        </w:tc>
        <w:tc>
          <w:tcPr>
            <w:tcW w:w="1866" w:type="dxa"/>
            <w:tcBorders>
              <w:top w:val="nil"/>
              <w:left w:val="nil"/>
              <w:bottom w:val="nil"/>
              <w:right w:val="nil"/>
            </w:tcBorders>
            <w:shd w:val="clear" w:color="000000" w:fill="F2F2F2"/>
            <w:vAlign w:val="center"/>
            <w:hideMark/>
          </w:tcPr>
          <w:p w:rsidR="00F353A2" w:rsidRPr="00F353A2" w:rsidRDefault="00F353A2" w:rsidP="00F353A2">
            <w:pPr>
              <w:spacing w:after="0" w:line="240" w:lineRule="auto"/>
              <w:jc w:val="right"/>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19,795,951</w:t>
            </w:r>
          </w:p>
        </w:tc>
        <w:tc>
          <w:tcPr>
            <w:tcW w:w="1866" w:type="dxa"/>
            <w:tcBorders>
              <w:top w:val="nil"/>
              <w:left w:val="nil"/>
              <w:bottom w:val="nil"/>
              <w:right w:val="nil"/>
            </w:tcBorders>
            <w:shd w:val="clear" w:color="000000" w:fill="F2F2F2"/>
            <w:vAlign w:val="center"/>
            <w:hideMark/>
          </w:tcPr>
          <w:p w:rsidR="00F353A2" w:rsidRPr="00F353A2" w:rsidRDefault="00F353A2" w:rsidP="00F353A2">
            <w:pPr>
              <w:spacing w:after="0" w:line="240" w:lineRule="auto"/>
              <w:jc w:val="right"/>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19,557,705</w:t>
            </w:r>
          </w:p>
        </w:tc>
      </w:tr>
      <w:tr w:rsidR="00F353A2" w:rsidRPr="00F353A2" w:rsidTr="00337B1D">
        <w:trPr>
          <w:trHeight w:val="255"/>
          <w:jc w:val="center"/>
        </w:trPr>
        <w:tc>
          <w:tcPr>
            <w:tcW w:w="3884" w:type="dxa"/>
            <w:tcBorders>
              <w:top w:val="nil"/>
              <w:left w:val="nil"/>
              <w:bottom w:val="nil"/>
              <w:right w:val="nil"/>
            </w:tcBorders>
            <w:shd w:val="clear" w:color="000000" w:fill="F2F2F2"/>
            <w:noWrap/>
            <w:vAlign w:val="center"/>
            <w:hideMark/>
          </w:tcPr>
          <w:p w:rsidR="00F353A2" w:rsidRPr="00F353A2" w:rsidRDefault="00F353A2" w:rsidP="00F353A2">
            <w:pPr>
              <w:spacing w:after="0" w:line="240" w:lineRule="auto"/>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Cámara de Senadores</w:t>
            </w:r>
          </w:p>
        </w:tc>
        <w:tc>
          <w:tcPr>
            <w:tcW w:w="1866" w:type="dxa"/>
            <w:tcBorders>
              <w:top w:val="nil"/>
              <w:left w:val="nil"/>
              <w:bottom w:val="nil"/>
              <w:right w:val="nil"/>
            </w:tcBorders>
            <w:shd w:val="clear" w:color="000000" w:fill="F2F2F2"/>
            <w:vAlign w:val="center"/>
            <w:hideMark/>
          </w:tcPr>
          <w:p w:rsidR="00F353A2" w:rsidRPr="00F353A2" w:rsidRDefault="00F353A2" w:rsidP="00F353A2">
            <w:pPr>
              <w:spacing w:after="0" w:line="240" w:lineRule="auto"/>
              <w:jc w:val="right"/>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50,134,007</w:t>
            </w:r>
          </w:p>
        </w:tc>
        <w:tc>
          <w:tcPr>
            <w:tcW w:w="1866" w:type="dxa"/>
            <w:tcBorders>
              <w:top w:val="nil"/>
              <w:left w:val="nil"/>
              <w:bottom w:val="nil"/>
              <w:right w:val="nil"/>
            </w:tcBorders>
            <w:shd w:val="clear" w:color="000000" w:fill="F2F2F2"/>
            <w:vAlign w:val="center"/>
            <w:hideMark/>
          </w:tcPr>
          <w:p w:rsidR="00F353A2" w:rsidRPr="00F353A2" w:rsidRDefault="00F353A2" w:rsidP="00F353A2">
            <w:pPr>
              <w:spacing w:after="0" w:line="240" w:lineRule="auto"/>
              <w:jc w:val="right"/>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14,157,744</w:t>
            </w:r>
          </w:p>
        </w:tc>
      </w:tr>
      <w:tr w:rsidR="00F353A2" w:rsidRPr="00F353A2" w:rsidTr="00337B1D">
        <w:trPr>
          <w:trHeight w:val="255"/>
          <w:jc w:val="center"/>
        </w:trPr>
        <w:tc>
          <w:tcPr>
            <w:tcW w:w="3884" w:type="dxa"/>
            <w:tcBorders>
              <w:top w:val="nil"/>
              <w:left w:val="nil"/>
              <w:bottom w:val="nil"/>
              <w:right w:val="nil"/>
            </w:tcBorders>
            <w:shd w:val="clear" w:color="000000" w:fill="F2F2F2"/>
            <w:noWrap/>
            <w:vAlign w:val="center"/>
            <w:hideMark/>
          </w:tcPr>
          <w:p w:rsidR="00F353A2" w:rsidRPr="00F353A2" w:rsidRDefault="00F353A2" w:rsidP="00F353A2">
            <w:pPr>
              <w:spacing w:after="0" w:line="240" w:lineRule="auto"/>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Auditoría Superior de la Federación</w:t>
            </w:r>
          </w:p>
        </w:tc>
        <w:tc>
          <w:tcPr>
            <w:tcW w:w="1866" w:type="dxa"/>
            <w:tcBorders>
              <w:top w:val="nil"/>
              <w:left w:val="nil"/>
              <w:bottom w:val="nil"/>
              <w:right w:val="nil"/>
            </w:tcBorders>
            <w:shd w:val="clear" w:color="000000" w:fill="F2F2F2"/>
            <w:vAlign w:val="center"/>
            <w:hideMark/>
          </w:tcPr>
          <w:p w:rsidR="00F353A2" w:rsidRPr="00F353A2" w:rsidRDefault="00F353A2" w:rsidP="00F353A2">
            <w:pPr>
              <w:spacing w:after="0" w:line="240" w:lineRule="auto"/>
              <w:jc w:val="right"/>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0</w:t>
            </w:r>
          </w:p>
        </w:tc>
        <w:tc>
          <w:tcPr>
            <w:tcW w:w="1866" w:type="dxa"/>
            <w:tcBorders>
              <w:top w:val="nil"/>
              <w:left w:val="nil"/>
              <w:bottom w:val="nil"/>
              <w:right w:val="nil"/>
            </w:tcBorders>
            <w:shd w:val="clear" w:color="000000" w:fill="F2F2F2"/>
            <w:vAlign w:val="center"/>
            <w:hideMark/>
          </w:tcPr>
          <w:p w:rsidR="00F353A2" w:rsidRPr="00F353A2" w:rsidRDefault="00F353A2" w:rsidP="00F353A2">
            <w:pPr>
              <w:spacing w:after="0" w:line="240" w:lineRule="auto"/>
              <w:jc w:val="right"/>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0</w:t>
            </w:r>
          </w:p>
        </w:tc>
      </w:tr>
      <w:tr w:rsidR="00F353A2" w:rsidRPr="00F353A2" w:rsidTr="00337B1D">
        <w:trPr>
          <w:trHeight w:val="270"/>
          <w:jc w:val="center"/>
        </w:trPr>
        <w:tc>
          <w:tcPr>
            <w:tcW w:w="3884" w:type="dxa"/>
            <w:tcBorders>
              <w:top w:val="nil"/>
              <w:left w:val="nil"/>
              <w:bottom w:val="nil"/>
              <w:right w:val="nil"/>
            </w:tcBorders>
            <w:shd w:val="clear" w:color="000000" w:fill="F2F2F2"/>
            <w:noWrap/>
            <w:vAlign w:val="center"/>
            <w:hideMark/>
          </w:tcPr>
          <w:p w:rsidR="00F353A2" w:rsidRPr="00F353A2" w:rsidRDefault="00F353A2" w:rsidP="00F353A2">
            <w:pPr>
              <w:spacing w:after="0" w:line="240" w:lineRule="auto"/>
              <w:jc w:val="right"/>
              <w:rPr>
                <w:rFonts w:ascii="Montserrat" w:eastAsia="Times New Roman" w:hAnsi="Montserrat" w:cs="Arial"/>
                <w:b/>
                <w:bCs/>
                <w:color w:val="000000"/>
                <w:sz w:val="15"/>
                <w:szCs w:val="15"/>
                <w:lang w:val="es-MX" w:eastAsia="es-MX"/>
              </w:rPr>
            </w:pPr>
            <w:r w:rsidRPr="00F353A2">
              <w:rPr>
                <w:rFonts w:ascii="Montserrat" w:eastAsia="Times New Roman" w:hAnsi="Montserrat" w:cs="Arial"/>
                <w:b/>
                <w:bCs/>
                <w:color w:val="000000"/>
                <w:sz w:val="15"/>
                <w:szCs w:val="15"/>
                <w:lang w:val="es-MX" w:eastAsia="es-MX"/>
              </w:rPr>
              <w:t>Suma de Activos Intangibles</w:t>
            </w:r>
          </w:p>
        </w:tc>
        <w:tc>
          <w:tcPr>
            <w:tcW w:w="1866" w:type="dxa"/>
            <w:tcBorders>
              <w:top w:val="nil"/>
              <w:left w:val="nil"/>
              <w:bottom w:val="nil"/>
              <w:right w:val="nil"/>
            </w:tcBorders>
            <w:shd w:val="clear" w:color="000000" w:fill="F2F2F2"/>
            <w:vAlign w:val="center"/>
            <w:hideMark/>
          </w:tcPr>
          <w:p w:rsidR="00F353A2" w:rsidRPr="000B1893" w:rsidRDefault="00F353A2" w:rsidP="00F353A2">
            <w:pPr>
              <w:spacing w:after="0" w:line="240" w:lineRule="auto"/>
              <w:jc w:val="right"/>
              <w:rPr>
                <w:rFonts w:ascii="Montserrat" w:eastAsia="Times New Roman" w:hAnsi="Montserrat" w:cs="Arial"/>
                <w:b/>
                <w:color w:val="000000"/>
                <w:sz w:val="15"/>
                <w:szCs w:val="15"/>
                <w:lang w:val="es-MX" w:eastAsia="es-MX"/>
              </w:rPr>
            </w:pPr>
            <w:r w:rsidRPr="000B1893">
              <w:rPr>
                <w:rFonts w:ascii="Montserrat" w:eastAsia="Times New Roman" w:hAnsi="Montserrat" w:cs="Arial"/>
                <w:b/>
                <w:color w:val="000000"/>
                <w:sz w:val="15"/>
                <w:szCs w:val="15"/>
                <w:lang w:val="es-MX" w:eastAsia="es-MX"/>
              </w:rPr>
              <w:t>69,929,958</w:t>
            </w:r>
          </w:p>
        </w:tc>
        <w:tc>
          <w:tcPr>
            <w:tcW w:w="1866" w:type="dxa"/>
            <w:tcBorders>
              <w:top w:val="nil"/>
              <w:left w:val="nil"/>
              <w:bottom w:val="nil"/>
              <w:right w:val="nil"/>
            </w:tcBorders>
            <w:shd w:val="clear" w:color="000000" w:fill="F2F2F2"/>
            <w:vAlign w:val="center"/>
            <w:hideMark/>
          </w:tcPr>
          <w:p w:rsidR="00F353A2" w:rsidRPr="000B1893" w:rsidRDefault="00F353A2" w:rsidP="00F353A2">
            <w:pPr>
              <w:spacing w:after="0" w:line="240" w:lineRule="auto"/>
              <w:jc w:val="right"/>
              <w:rPr>
                <w:rFonts w:ascii="Montserrat" w:eastAsia="Times New Roman" w:hAnsi="Montserrat" w:cs="Arial"/>
                <w:b/>
                <w:color w:val="000000"/>
                <w:sz w:val="15"/>
                <w:szCs w:val="15"/>
                <w:lang w:val="es-MX" w:eastAsia="es-MX"/>
              </w:rPr>
            </w:pPr>
            <w:r w:rsidRPr="000B1893">
              <w:rPr>
                <w:rFonts w:ascii="Montserrat" w:eastAsia="Times New Roman" w:hAnsi="Montserrat" w:cs="Arial"/>
                <w:b/>
                <w:color w:val="000000"/>
                <w:sz w:val="15"/>
                <w:szCs w:val="15"/>
                <w:lang w:val="es-MX" w:eastAsia="es-MX"/>
              </w:rPr>
              <w:t>33,715,449</w:t>
            </w:r>
          </w:p>
        </w:tc>
      </w:tr>
      <w:tr w:rsidR="00F353A2" w:rsidRPr="00F353A2" w:rsidTr="00337B1D">
        <w:trPr>
          <w:trHeight w:val="270"/>
          <w:jc w:val="center"/>
        </w:trPr>
        <w:tc>
          <w:tcPr>
            <w:tcW w:w="3884" w:type="dxa"/>
            <w:tcBorders>
              <w:top w:val="single" w:sz="12" w:space="0" w:color="808080"/>
              <w:left w:val="nil"/>
              <w:bottom w:val="nil"/>
              <w:right w:val="nil"/>
            </w:tcBorders>
            <w:shd w:val="clear" w:color="auto" w:fill="auto"/>
            <w:noWrap/>
            <w:vAlign w:val="center"/>
          </w:tcPr>
          <w:p w:rsidR="00F353A2" w:rsidRPr="00F353A2" w:rsidRDefault="00F353A2" w:rsidP="00F353A2">
            <w:pPr>
              <w:spacing w:after="0" w:line="240" w:lineRule="auto"/>
              <w:jc w:val="right"/>
              <w:rPr>
                <w:rFonts w:ascii="Soberana Sans Light" w:eastAsia="Times New Roman" w:hAnsi="Soberana Sans Light" w:cs="Arial"/>
                <w:b/>
                <w:bCs/>
                <w:color w:val="E26B0A"/>
                <w:sz w:val="16"/>
                <w:szCs w:val="16"/>
                <w:lang w:val="es-MX" w:eastAsia="es-MX"/>
              </w:rPr>
            </w:pPr>
          </w:p>
        </w:tc>
        <w:tc>
          <w:tcPr>
            <w:tcW w:w="1866" w:type="dxa"/>
            <w:tcBorders>
              <w:top w:val="single" w:sz="12" w:space="0" w:color="808080"/>
              <w:left w:val="nil"/>
              <w:bottom w:val="nil"/>
              <w:right w:val="nil"/>
            </w:tcBorders>
            <w:shd w:val="clear" w:color="auto" w:fill="auto"/>
            <w:noWrap/>
            <w:vAlign w:val="center"/>
          </w:tcPr>
          <w:p w:rsidR="00F353A2" w:rsidRPr="00F353A2" w:rsidRDefault="00F353A2" w:rsidP="00F353A2">
            <w:pPr>
              <w:spacing w:after="0" w:line="240" w:lineRule="auto"/>
              <w:jc w:val="right"/>
              <w:rPr>
                <w:rFonts w:ascii="Soberana Sans Light" w:eastAsia="Times New Roman" w:hAnsi="Soberana Sans Light" w:cs="Arial"/>
                <w:b/>
                <w:bCs/>
                <w:color w:val="E26B0A"/>
                <w:sz w:val="16"/>
                <w:szCs w:val="16"/>
                <w:lang w:val="es-MX" w:eastAsia="es-MX"/>
              </w:rPr>
            </w:pPr>
          </w:p>
        </w:tc>
        <w:tc>
          <w:tcPr>
            <w:tcW w:w="1866" w:type="dxa"/>
            <w:tcBorders>
              <w:top w:val="single" w:sz="12" w:space="0" w:color="808080"/>
              <w:left w:val="nil"/>
              <w:bottom w:val="nil"/>
              <w:right w:val="nil"/>
            </w:tcBorders>
            <w:shd w:val="clear" w:color="auto" w:fill="auto"/>
            <w:noWrap/>
            <w:vAlign w:val="center"/>
          </w:tcPr>
          <w:p w:rsidR="00F353A2" w:rsidRPr="00F353A2" w:rsidRDefault="00F353A2" w:rsidP="00F353A2">
            <w:pPr>
              <w:spacing w:after="0" w:line="240" w:lineRule="auto"/>
              <w:jc w:val="right"/>
              <w:rPr>
                <w:rFonts w:ascii="Soberana Sans Light" w:eastAsia="Times New Roman" w:hAnsi="Soberana Sans Light" w:cs="Arial"/>
                <w:b/>
                <w:bCs/>
                <w:color w:val="E26B0A"/>
                <w:sz w:val="16"/>
                <w:szCs w:val="16"/>
                <w:lang w:val="es-MX" w:eastAsia="es-MX"/>
              </w:rPr>
            </w:pPr>
          </w:p>
        </w:tc>
      </w:tr>
    </w:tbl>
    <w:p w:rsidR="00297378" w:rsidRPr="002C6D54" w:rsidRDefault="00297378" w:rsidP="00297378">
      <w:pPr>
        <w:pStyle w:val="VIETAFLECHA"/>
      </w:pPr>
      <w:r w:rsidRPr="002C6D54">
        <w:t>Activos Diferidos</w:t>
      </w:r>
    </w:p>
    <w:p w:rsidR="00297378" w:rsidRDefault="00297378" w:rsidP="002C6D54">
      <w:pPr>
        <w:pStyle w:val="TEXTONORMAL"/>
      </w:pPr>
      <w:r>
        <w:t>El Poder Legislativo no reporta información en el rubro de Activos Diferidos.</w:t>
      </w:r>
    </w:p>
    <w:p w:rsidR="00A12E78" w:rsidRDefault="00A12E78" w:rsidP="00297378">
      <w:pPr>
        <w:pStyle w:val="TEXTONORMAL"/>
      </w:pPr>
    </w:p>
    <w:p w:rsidR="00F353A2" w:rsidRPr="002C6D54" w:rsidRDefault="00297378" w:rsidP="003620C7">
      <w:pPr>
        <w:pStyle w:val="VIETAFLECHA"/>
      </w:pPr>
      <w:r w:rsidRPr="002C6D54">
        <w:t>Estimaciones y Deterioros</w:t>
      </w:r>
    </w:p>
    <w:p w:rsidR="00297378" w:rsidRPr="002C6D54" w:rsidRDefault="00297378" w:rsidP="003620C7">
      <w:pPr>
        <w:pStyle w:val="VIETAROMBO"/>
      </w:pPr>
      <w:r w:rsidRPr="002C6D54">
        <w:t>Depreciación, Deterioro y Amortización Acumulada de Bienes</w:t>
      </w:r>
    </w:p>
    <w:p w:rsidR="00D36914" w:rsidRDefault="00297378" w:rsidP="002C6D54">
      <w:pPr>
        <w:pStyle w:val="TEXTONORMAL"/>
      </w:pPr>
      <w:r>
        <w:t>Se presenta la información consolidada de los entes públicos del Poder Legislativo que integra el rub</w:t>
      </w:r>
      <w:r w:rsidR="002C6D54">
        <w:t xml:space="preserve">ro de Depreciación, Deterioro y </w:t>
      </w:r>
      <w:r>
        <w:t>Amortización Acumulada de Bienes:</w:t>
      </w:r>
    </w:p>
    <w:tbl>
      <w:tblPr>
        <w:tblW w:w="7617" w:type="dxa"/>
        <w:jc w:val="center"/>
        <w:tblCellMar>
          <w:left w:w="70" w:type="dxa"/>
          <w:right w:w="70" w:type="dxa"/>
        </w:tblCellMar>
        <w:tblLook w:val="04A0" w:firstRow="1" w:lastRow="0" w:firstColumn="1" w:lastColumn="0" w:noHBand="0" w:noVBand="1"/>
      </w:tblPr>
      <w:tblGrid>
        <w:gridCol w:w="4037"/>
        <w:gridCol w:w="1860"/>
        <w:gridCol w:w="1720"/>
      </w:tblGrid>
      <w:tr w:rsidR="00F353A2" w:rsidRPr="00F353A2" w:rsidTr="00337B1D">
        <w:trPr>
          <w:trHeight w:val="270"/>
          <w:jc w:val="center"/>
        </w:trPr>
        <w:tc>
          <w:tcPr>
            <w:tcW w:w="7617" w:type="dxa"/>
            <w:gridSpan w:val="3"/>
            <w:tcBorders>
              <w:top w:val="nil"/>
              <w:left w:val="nil"/>
              <w:bottom w:val="single" w:sz="12" w:space="0" w:color="808080"/>
              <w:right w:val="nil"/>
            </w:tcBorders>
            <w:shd w:val="clear" w:color="auto" w:fill="auto"/>
            <w:noWrap/>
            <w:vAlign w:val="center"/>
            <w:hideMark/>
          </w:tcPr>
          <w:p w:rsidR="00F353A2" w:rsidRPr="00F353A2" w:rsidRDefault="00F353A2" w:rsidP="00F353A2">
            <w:pPr>
              <w:spacing w:after="0" w:line="240" w:lineRule="auto"/>
              <w:jc w:val="center"/>
              <w:rPr>
                <w:rFonts w:ascii="Montserrat" w:eastAsia="Times New Roman" w:hAnsi="Montserrat" w:cs="Arial"/>
                <w:sz w:val="16"/>
                <w:szCs w:val="16"/>
                <w:lang w:val="es-MX" w:eastAsia="es-MX"/>
              </w:rPr>
            </w:pPr>
            <w:r w:rsidRPr="00F353A2">
              <w:rPr>
                <w:rFonts w:ascii="Montserrat" w:eastAsia="Times New Roman" w:hAnsi="Montserrat" w:cs="Arial"/>
                <w:sz w:val="16"/>
                <w:szCs w:val="16"/>
                <w:lang w:val="es-MX" w:eastAsia="es-MX"/>
              </w:rPr>
              <w:t>(Pesos)</w:t>
            </w:r>
          </w:p>
        </w:tc>
      </w:tr>
      <w:tr w:rsidR="00F353A2" w:rsidRPr="00F353A2" w:rsidTr="00337B1D">
        <w:trPr>
          <w:trHeight w:val="15"/>
          <w:jc w:val="center"/>
        </w:trPr>
        <w:tc>
          <w:tcPr>
            <w:tcW w:w="7617" w:type="dxa"/>
            <w:gridSpan w:val="3"/>
            <w:tcBorders>
              <w:top w:val="single" w:sz="12" w:space="0" w:color="808080"/>
              <w:left w:val="nil"/>
              <w:bottom w:val="nil"/>
              <w:right w:val="nil"/>
            </w:tcBorders>
            <w:shd w:val="clear" w:color="auto" w:fill="auto"/>
            <w:vAlign w:val="center"/>
            <w:hideMark/>
          </w:tcPr>
          <w:p w:rsidR="00F353A2" w:rsidRPr="00F353A2" w:rsidRDefault="00F353A2" w:rsidP="00D36914">
            <w:pPr>
              <w:spacing w:after="0" w:line="240" w:lineRule="auto"/>
              <w:rPr>
                <w:rFonts w:ascii="Montserrat" w:eastAsia="Times New Roman" w:hAnsi="Montserrat" w:cs="Arial"/>
                <w:b/>
                <w:bCs/>
                <w:color w:val="000000"/>
                <w:sz w:val="10"/>
                <w:szCs w:val="10"/>
                <w:lang w:val="es-MX" w:eastAsia="es-MX"/>
              </w:rPr>
            </w:pPr>
          </w:p>
        </w:tc>
      </w:tr>
      <w:tr w:rsidR="00F353A2" w:rsidRPr="00F353A2" w:rsidTr="00337B1D">
        <w:trPr>
          <w:trHeight w:val="270"/>
          <w:jc w:val="center"/>
        </w:trPr>
        <w:tc>
          <w:tcPr>
            <w:tcW w:w="4037" w:type="dxa"/>
            <w:tcBorders>
              <w:top w:val="nil"/>
              <w:left w:val="nil"/>
              <w:bottom w:val="nil"/>
              <w:right w:val="single" w:sz="8" w:space="0" w:color="FFFFFF"/>
            </w:tcBorders>
            <w:shd w:val="clear" w:color="000000" w:fill="D4C19C"/>
            <w:vAlign w:val="center"/>
            <w:hideMark/>
          </w:tcPr>
          <w:p w:rsidR="00F353A2" w:rsidRPr="00F353A2" w:rsidRDefault="00F353A2" w:rsidP="00F353A2">
            <w:pPr>
              <w:spacing w:after="0" w:line="240" w:lineRule="auto"/>
              <w:jc w:val="center"/>
              <w:rPr>
                <w:rFonts w:ascii="Montserrat" w:eastAsia="Times New Roman" w:hAnsi="Montserrat" w:cs="Arial"/>
                <w:b/>
                <w:bCs/>
                <w:color w:val="FFFFFF"/>
                <w:sz w:val="16"/>
                <w:szCs w:val="16"/>
                <w:lang w:val="es-MX" w:eastAsia="es-MX"/>
              </w:rPr>
            </w:pPr>
            <w:r w:rsidRPr="00F353A2">
              <w:rPr>
                <w:rFonts w:ascii="Montserrat" w:eastAsia="Times New Roman" w:hAnsi="Montserrat" w:cs="Arial"/>
                <w:b/>
                <w:bCs/>
                <w:color w:val="FFFFFF"/>
                <w:sz w:val="16"/>
                <w:szCs w:val="16"/>
                <w:lang w:val="es-MX" w:eastAsia="es-MX"/>
              </w:rPr>
              <w:t>Concepto</w:t>
            </w:r>
          </w:p>
        </w:tc>
        <w:tc>
          <w:tcPr>
            <w:tcW w:w="1860" w:type="dxa"/>
            <w:tcBorders>
              <w:top w:val="nil"/>
              <w:left w:val="nil"/>
              <w:bottom w:val="nil"/>
              <w:right w:val="single" w:sz="8" w:space="0" w:color="FFFFFF"/>
            </w:tcBorders>
            <w:shd w:val="clear" w:color="000000" w:fill="D4C19C"/>
            <w:vAlign w:val="center"/>
            <w:hideMark/>
          </w:tcPr>
          <w:p w:rsidR="00F353A2" w:rsidRPr="00F353A2" w:rsidRDefault="00F353A2" w:rsidP="00F353A2">
            <w:pPr>
              <w:spacing w:after="0" w:line="240" w:lineRule="auto"/>
              <w:jc w:val="center"/>
              <w:rPr>
                <w:rFonts w:ascii="Montserrat" w:eastAsia="Times New Roman" w:hAnsi="Montserrat" w:cs="Arial"/>
                <w:b/>
                <w:bCs/>
                <w:color w:val="FFFFFF"/>
                <w:sz w:val="16"/>
                <w:szCs w:val="16"/>
                <w:lang w:val="es-MX" w:eastAsia="es-MX"/>
              </w:rPr>
            </w:pPr>
            <w:r w:rsidRPr="00F353A2">
              <w:rPr>
                <w:rFonts w:ascii="Montserrat" w:eastAsia="Times New Roman" w:hAnsi="Montserrat" w:cs="Arial"/>
                <w:b/>
                <w:bCs/>
                <w:color w:val="FFFFFF"/>
                <w:sz w:val="16"/>
                <w:szCs w:val="16"/>
                <w:lang w:val="es-MX" w:eastAsia="es-MX"/>
              </w:rPr>
              <w:t>2018</w:t>
            </w:r>
          </w:p>
        </w:tc>
        <w:tc>
          <w:tcPr>
            <w:tcW w:w="1720" w:type="dxa"/>
            <w:tcBorders>
              <w:top w:val="nil"/>
              <w:left w:val="nil"/>
              <w:bottom w:val="nil"/>
              <w:right w:val="single" w:sz="8" w:space="0" w:color="FFFFFF"/>
            </w:tcBorders>
            <w:shd w:val="clear" w:color="000000" w:fill="D4C19C"/>
            <w:vAlign w:val="center"/>
            <w:hideMark/>
          </w:tcPr>
          <w:p w:rsidR="00F353A2" w:rsidRPr="00F353A2" w:rsidRDefault="00F353A2" w:rsidP="00F353A2">
            <w:pPr>
              <w:spacing w:after="0" w:line="240" w:lineRule="auto"/>
              <w:jc w:val="center"/>
              <w:rPr>
                <w:rFonts w:ascii="Montserrat" w:eastAsia="Times New Roman" w:hAnsi="Montserrat" w:cs="Arial"/>
                <w:b/>
                <w:bCs/>
                <w:color w:val="FFFFFF"/>
                <w:sz w:val="16"/>
                <w:szCs w:val="16"/>
                <w:lang w:val="es-MX" w:eastAsia="es-MX"/>
              </w:rPr>
            </w:pPr>
            <w:r w:rsidRPr="00F353A2">
              <w:rPr>
                <w:rFonts w:ascii="Montserrat" w:eastAsia="Times New Roman" w:hAnsi="Montserrat" w:cs="Arial"/>
                <w:b/>
                <w:bCs/>
                <w:color w:val="FFFFFF"/>
                <w:sz w:val="16"/>
                <w:szCs w:val="16"/>
                <w:lang w:val="es-MX" w:eastAsia="es-MX"/>
              </w:rPr>
              <w:t>2017</w:t>
            </w:r>
          </w:p>
        </w:tc>
      </w:tr>
      <w:tr w:rsidR="00F353A2" w:rsidRPr="00F353A2" w:rsidTr="00D36914">
        <w:trPr>
          <w:trHeight w:val="53"/>
          <w:jc w:val="center"/>
        </w:trPr>
        <w:tc>
          <w:tcPr>
            <w:tcW w:w="7617" w:type="dxa"/>
            <w:gridSpan w:val="3"/>
            <w:tcBorders>
              <w:top w:val="nil"/>
              <w:left w:val="nil"/>
              <w:bottom w:val="double" w:sz="6" w:space="0" w:color="808080"/>
              <w:right w:val="nil"/>
            </w:tcBorders>
            <w:shd w:val="clear" w:color="auto" w:fill="auto"/>
            <w:vAlign w:val="center"/>
            <w:hideMark/>
          </w:tcPr>
          <w:p w:rsidR="00F353A2" w:rsidRPr="00F353A2" w:rsidRDefault="00F353A2" w:rsidP="00F353A2">
            <w:pPr>
              <w:spacing w:after="0" w:line="240" w:lineRule="auto"/>
              <w:jc w:val="center"/>
              <w:rPr>
                <w:rFonts w:ascii="Montserrat" w:eastAsia="Times New Roman" w:hAnsi="Montserrat" w:cs="Arial"/>
                <w:b/>
                <w:bCs/>
                <w:color w:val="000000"/>
                <w:sz w:val="4"/>
                <w:szCs w:val="4"/>
                <w:lang w:val="es-MX" w:eastAsia="es-MX"/>
              </w:rPr>
            </w:pPr>
            <w:r w:rsidRPr="00F353A2">
              <w:rPr>
                <w:rFonts w:ascii="Montserrat" w:eastAsia="Times New Roman" w:hAnsi="Montserrat" w:cs="Arial"/>
                <w:b/>
                <w:bCs/>
                <w:color w:val="000000"/>
                <w:sz w:val="4"/>
                <w:szCs w:val="4"/>
                <w:lang w:val="es-MX" w:eastAsia="es-MX"/>
              </w:rPr>
              <w:t> </w:t>
            </w:r>
          </w:p>
        </w:tc>
      </w:tr>
      <w:tr w:rsidR="00F353A2" w:rsidRPr="00F353A2" w:rsidTr="00337B1D">
        <w:trPr>
          <w:trHeight w:val="270"/>
          <w:jc w:val="center"/>
        </w:trPr>
        <w:tc>
          <w:tcPr>
            <w:tcW w:w="4037" w:type="dxa"/>
            <w:tcBorders>
              <w:top w:val="nil"/>
              <w:left w:val="nil"/>
              <w:bottom w:val="nil"/>
              <w:right w:val="nil"/>
            </w:tcBorders>
            <w:shd w:val="clear" w:color="000000" w:fill="F2F2F2"/>
            <w:noWrap/>
            <w:vAlign w:val="center"/>
            <w:hideMark/>
          </w:tcPr>
          <w:p w:rsidR="00F353A2" w:rsidRPr="00F353A2" w:rsidRDefault="00F353A2" w:rsidP="00F353A2">
            <w:pPr>
              <w:spacing w:after="0" w:line="240" w:lineRule="auto"/>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Cámara de Diputados</w:t>
            </w:r>
          </w:p>
        </w:tc>
        <w:tc>
          <w:tcPr>
            <w:tcW w:w="1860" w:type="dxa"/>
            <w:tcBorders>
              <w:top w:val="nil"/>
              <w:left w:val="nil"/>
              <w:bottom w:val="nil"/>
              <w:right w:val="nil"/>
            </w:tcBorders>
            <w:shd w:val="clear" w:color="000000" w:fill="F2F2F2"/>
            <w:vAlign w:val="center"/>
            <w:hideMark/>
          </w:tcPr>
          <w:p w:rsidR="00F353A2" w:rsidRPr="00F353A2" w:rsidRDefault="00F353A2" w:rsidP="00F353A2">
            <w:pPr>
              <w:spacing w:after="0" w:line="240" w:lineRule="auto"/>
              <w:jc w:val="right"/>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-1,397,927,951</w:t>
            </w:r>
          </w:p>
        </w:tc>
        <w:tc>
          <w:tcPr>
            <w:tcW w:w="1720" w:type="dxa"/>
            <w:tcBorders>
              <w:top w:val="nil"/>
              <w:left w:val="nil"/>
              <w:bottom w:val="nil"/>
              <w:right w:val="nil"/>
            </w:tcBorders>
            <w:shd w:val="clear" w:color="000000" w:fill="F2F2F2"/>
            <w:vAlign w:val="center"/>
            <w:hideMark/>
          </w:tcPr>
          <w:p w:rsidR="00F353A2" w:rsidRPr="00F353A2" w:rsidRDefault="00F353A2" w:rsidP="00F353A2">
            <w:pPr>
              <w:spacing w:after="0" w:line="240" w:lineRule="auto"/>
              <w:jc w:val="right"/>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-1,345,932,620</w:t>
            </w:r>
          </w:p>
        </w:tc>
      </w:tr>
      <w:tr w:rsidR="00F353A2" w:rsidRPr="00F353A2" w:rsidTr="00337B1D">
        <w:trPr>
          <w:trHeight w:val="255"/>
          <w:jc w:val="center"/>
        </w:trPr>
        <w:tc>
          <w:tcPr>
            <w:tcW w:w="4037" w:type="dxa"/>
            <w:tcBorders>
              <w:top w:val="nil"/>
              <w:left w:val="nil"/>
              <w:bottom w:val="nil"/>
              <w:right w:val="nil"/>
            </w:tcBorders>
            <w:shd w:val="clear" w:color="000000" w:fill="F2F2F2"/>
            <w:noWrap/>
            <w:vAlign w:val="center"/>
            <w:hideMark/>
          </w:tcPr>
          <w:p w:rsidR="00F353A2" w:rsidRPr="00F353A2" w:rsidRDefault="00F353A2" w:rsidP="00F353A2">
            <w:pPr>
              <w:spacing w:after="0" w:line="240" w:lineRule="auto"/>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Cámara de Senadores</w:t>
            </w:r>
          </w:p>
        </w:tc>
        <w:tc>
          <w:tcPr>
            <w:tcW w:w="1860" w:type="dxa"/>
            <w:tcBorders>
              <w:top w:val="nil"/>
              <w:left w:val="nil"/>
              <w:bottom w:val="nil"/>
              <w:right w:val="nil"/>
            </w:tcBorders>
            <w:shd w:val="clear" w:color="000000" w:fill="F2F2F2"/>
            <w:vAlign w:val="center"/>
            <w:hideMark/>
          </w:tcPr>
          <w:p w:rsidR="00F353A2" w:rsidRPr="00F353A2" w:rsidRDefault="00F353A2" w:rsidP="00F353A2">
            <w:pPr>
              <w:spacing w:after="0" w:line="240" w:lineRule="auto"/>
              <w:jc w:val="right"/>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-586,029,980</w:t>
            </w:r>
          </w:p>
        </w:tc>
        <w:tc>
          <w:tcPr>
            <w:tcW w:w="1720" w:type="dxa"/>
            <w:tcBorders>
              <w:top w:val="nil"/>
              <w:left w:val="nil"/>
              <w:bottom w:val="nil"/>
              <w:right w:val="nil"/>
            </w:tcBorders>
            <w:shd w:val="clear" w:color="000000" w:fill="F2F2F2"/>
            <w:vAlign w:val="center"/>
            <w:hideMark/>
          </w:tcPr>
          <w:p w:rsidR="00F353A2" w:rsidRPr="00F353A2" w:rsidRDefault="00F353A2" w:rsidP="00F353A2">
            <w:pPr>
              <w:spacing w:after="0" w:line="240" w:lineRule="auto"/>
              <w:jc w:val="right"/>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-534,048,063</w:t>
            </w:r>
          </w:p>
        </w:tc>
      </w:tr>
      <w:tr w:rsidR="00F353A2" w:rsidRPr="00F353A2" w:rsidTr="00337B1D">
        <w:trPr>
          <w:trHeight w:val="255"/>
          <w:jc w:val="center"/>
        </w:trPr>
        <w:tc>
          <w:tcPr>
            <w:tcW w:w="4037" w:type="dxa"/>
            <w:tcBorders>
              <w:top w:val="nil"/>
              <w:left w:val="nil"/>
              <w:bottom w:val="nil"/>
              <w:right w:val="nil"/>
            </w:tcBorders>
            <w:shd w:val="clear" w:color="000000" w:fill="F2F2F2"/>
            <w:noWrap/>
            <w:vAlign w:val="center"/>
            <w:hideMark/>
          </w:tcPr>
          <w:p w:rsidR="00F353A2" w:rsidRPr="00F353A2" w:rsidRDefault="00F353A2" w:rsidP="00F353A2">
            <w:pPr>
              <w:spacing w:after="0" w:line="240" w:lineRule="auto"/>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Auditoría Superior de la Federación</w:t>
            </w:r>
          </w:p>
        </w:tc>
        <w:tc>
          <w:tcPr>
            <w:tcW w:w="1860" w:type="dxa"/>
            <w:tcBorders>
              <w:top w:val="nil"/>
              <w:left w:val="nil"/>
              <w:bottom w:val="nil"/>
              <w:right w:val="nil"/>
            </w:tcBorders>
            <w:shd w:val="clear" w:color="000000" w:fill="F2F2F2"/>
            <w:vAlign w:val="center"/>
            <w:hideMark/>
          </w:tcPr>
          <w:p w:rsidR="00F353A2" w:rsidRPr="00F353A2" w:rsidRDefault="00F353A2" w:rsidP="00F353A2">
            <w:pPr>
              <w:spacing w:after="0" w:line="240" w:lineRule="auto"/>
              <w:jc w:val="right"/>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-385,245,663</w:t>
            </w:r>
          </w:p>
        </w:tc>
        <w:tc>
          <w:tcPr>
            <w:tcW w:w="1720" w:type="dxa"/>
            <w:tcBorders>
              <w:top w:val="nil"/>
              <w:left w:val="nil"/>
              <w:bottom w:val="nil"/>
              <w:right w:val="nil"/>
            </w:tcBorders>
            <w:shd w:val="clear" w:color="000000" w:fill="F2F2F2"/>
            <w:vAlign w:val="center"/>
            <w:hideMark/>
          </w:tcPr>
          <w:p w:rsidR="00F353A2" w:rsidRPr="00F353A2" w:rsidRDefault="00F353A2" w:rsidP="00F353A2">
            <w:pPr>
              <w:spacing w:after="0" w:line="240" w:lineRule="auto"/>
              <w:jc w:val="right"/>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-331,271,061</w:t>
            </w:r>
          </w:p>
        </w:tc>
      </w:tr>
      <w:tr w:rsidR="00F353A2" w:rsidRPr="00F353A2" w:rsidTr="00337B1D">
        <w:trPr>
          <w:trHeight w:val="270"/>
          <w:jc w:val="center"/>
        </w:trPr>
        <w:tc>
          <w:tcPr>
            <w:tcW w:w="4037" w:type="dxa"/>
            <w:tcBorders>
              <w:top w:val="nil"/>
              <w:left w:val="nil"/>
              <w:bottom w:val="nil"/>
              <w:right w:val="nil"/>
            </w:tcBorders>
            <w:shd w:val="clear" w:color="000000" w:fill="F2F2F2"/>
            <w:noWrap/>
            <w:vAlign w:val="center"/>
            <w:hideMark/>
          </w:tcPr>
          <w:p w:rsidR="00F353A2" w:rsidRPr="00F353A2" w:rsidRDefault="00F353A2" w:rsidP="00F353A2">
            <w:pPr>
              <w:spacing w:after="0" w:line="240" w:lineRule="auto"/>
              <w:jc w:val="right"/>
              <w:rPr>
                <w:rFonts w:ascii="Montserrat" w:eastAsia="Times New Roman" w:hAnsi="Montserrat" w:cs="Arial"/>
                <w:b/>
                <w:bCs/>
                <w:color w:val="000000"/>
                <w:sz w:val="15"/>
                <w:szCs w:val="15"/>
                <w:lang w:val="es-MX" w:eastAsia="es-MX"/>
              </w:rPr>
            </w:pPr>
            <w:r w:rsidRPr="00F353A2">
              <w:rPr>
                <w:rFonts w:ascii="Montserrat" w:eastAsia="Times New Roman" w:hAnsi="Montserrat" w:cs="Arial"/>
                <w:b/>
                <w:bCs/>
                <w:color w:val="000000"/>
                <w:sz w:val="15"/>
                <w:szCs w:val="15"/>
                <w:lang w:val="es-MX" w:eastAsia="es-MX"/>
              </w:rPr>
              <w:t>Suma de Depreciación, Deterioro y Amortización Acumulada de Bienes</w:t>
            </w:r>
          </w:p>
        </w:tc>
        <w:tc>
          <w:tcPr>
            <w:tcW w:w="1860" w:type="dxa"/>
            <w:tcBorders>
              <w:top w:val="nil"/>
              <w:left w:val="nil"/>
              <w:bottom w:val="nil"/>
              <w:right w:val="nil"/>
            </w:tcBorders>
            <w:shd w:val="clear" w:color="000000" w:fill="F2F2F2"/>
            <w:vAlign w:val="center"/>
            <w:hideMark/>
          </w:tcPr>
          <w:p w:rsidR="00F353A2" w:rsidRPr="000B1893" w:rsidRDefault="00F353A2" w:rsidP="00F353A2">
            <w:pPr>
              <w:spacing w:after="0" w:line="240" w:lineRule="auto"/>
              <w:jc w:val="right"/>
              <w:rPr>
                <w:rFonts w:ascii="Montserrat" w:eastAsia="Times New Roman" w:hAnsi="Montserrat" w:cs="Arial"/>
                <w:b/>
                <w:color w:val="000000"/>
                <w:sz w:val="15"/>
                <w:szCs w:val="15"/>
                <w:lang w:val="es-MX" w:eastAsia="es-MX"/>
              </w:rPr>
            </w:pPr>
            <w:r w:rsidRPr="000B1893">
              <w:rPr>
                <w:rFonts w:ascii="Montserrat" w:eastAsia="Times New Roman" w:hAnsi="Montserrat" w:cs="Arial"/>
                <w:b/>
                <w:color w:val="000000"/>
                <w:sz w:val="15"/>
                <w:szCs w:val="15"/>
                <w:lang w:val="es-MX" w:eastAsia="es-MX"/>
              </w:rPr>
              <w:t>-2,369,203,594</w:t>
            </w:r>
          </w:p>
        </w:tc>
        <w:tc>
          <w:tcPr>
            <w:tcW w:w="1720" w:type="dxa"/>
            <w:tcBorders>
              <w:top w:val="nil"/>
              <w:left w:val="nil"/>
              <w:bottom w:val="nil"/>
              <w:right w:val="nil"/>
            </w:tcBorders>
            <w:shd w:val="clear" w:color="000000" w:fill="F2F2F2"/>
            <w:vAlign w:val="center"/>
            <w:hideMark/>
          </w:tcPr>
          <w:p w:rsidR="00F353A2" w:rsidRPr="000B1893" w:rsidRDefault="00F353A2" w:rsidP="00F353A2">
            <w:pPr>
              <w:spacing w:after="0" w:line="240" w:lineRule="auto"/>
              <w:jc w:val="right"/>
              <w:rPr>
                <w:rFonts w:ascii="Montserrat" w:eastAsia="Times New Roman" w:hAnsi="Montserrat" w:cs="Arial"/>
                <w:b/>
                <w:color w:val="000000"/>
                <w:sz w:val="15"/>
                <w:szCs w:val="15"/>
                <w:lang w:val="es-MX" w:eastAsia="es-MX"/>
              </w:rPr>
            </w:pPr>
            <w:r w:rsidRPr="000B1893">
              <w:rPr>
                <w:rFonts w:ascii="Montserrat" w:eastAsia="Times New Roman" w:hAnsi="Montserrat" w:cs="Arial"/>
                <w:b/>
                <w:color w:val="000000"/>
                <w:sz w:val="15"/>
                <w:szCs w:val="15"/>
                <w:lang w:val="es-MX" w:eastAsia="es-MX"/>
              </w:rPr>
              <w:t>-2,211,251,744</w:t>
            </w:r>
          </w:p>
        </w:tc>
      </w:tr>
      <w:tr w:rsidR="00F353A2" w:rsidRPr="00F353A2" w:rsidTr="00337B1D">
        <w:trPr>
          <w:trHeight w:val="270"/>
          <w:jc w:val="center"/>
        </w:trPr>
        <w:tc>
          <w:tcPr>
            <w:tcW w:w="4037" w:type="dxa"/>
            <w:tcBorders>
              <w:top w:val="single" w:sz="12" w:space="0" w:color="808080"/>
              <w:left w:val="nil"/>
              <w:bottom w:val="nil"/>
              <w:right w:val="nil"/>
            </w:tcBorders>
            <w:shd w:val="clear" w:color="auto" w:fill="auto"/>
            <w:noWrap/>
            <w:vAlign w:val="center"/>
          </w:tcPr>
          <w:p w:rsidR="00F353A2" w:rsidRPr="00F353A2" w:rsidRDefault="00F353A2" w:rsidP="00F353A2">
            <w:pPr>
              <w:spacing w:after="0" w:line="240" w:lineRule="auto"/>
              <w:jc w:val="right"/>
              <w:rPr>
                <w:rFonts w:ascii="Soberana Sans Light" w:eastAsia="Times New Roman" w:hAnsi="Soberana Sans Light" w:cs="Arial"/>
                <w:b/>
                <w:bCs/>
                <w:color w:val="E26B0A"/>
                <w:sz w:val="16"/>
                <w:szCs w:val="16"/>
                <w:lang w:val="es-MX" w:eastAsia="es-MX"/>
              </w:rPr>
            </w:pPr>
          </w:p>
        </w:tc>
        <w:tc>
          <w:tcPr>
            <w:tcW w:w="1860" w:type="dxa"/>
            <w:tcBorders>
              <w:top w:val="single" w:sz="12" w:space="0" w:color="808080"/>
              <w:left w:val="nil"/>
              <w:bottom w:val="nil"/>
              <w:right w:val="nil"/>
            </w:tcBorders>
            <w:shd w:val="clear" w:color="auto" w:fill="auto"/>
            <w:noWrap/>
            <w:vAlign w:val="center"/>
          </w:tcPr>
          <w:p w:rsidR="00F353A2" w:rsidRPr="00F353A2" w:rsidRDefault="00F353A2" w:rsidP="00F353A2">
            <w:pPr>
              <w:spacing w:after="0" w:line="240" w:lineRule="auto"/>
              <w:jc w:val="right"/>
              <w:rPr>
                <w:rFonts w:ascii="Soberana Sans Light" w:eastAsia="Times New Roman" w:hAnsi="Soberana Sans Light" w:cs="Arial"/>
                <w:b/>
                <w:bCs/>
                <w:color w:val="E26B0A"/>
                <w:sz w:val="16"/>
                <w:szCs w:val="16"/>
                <w:lang w:val="es-MX" w:eastAsia="es-MX"/>
              </w:rPr>
            </w:pPr>
          </w:p>
        </w:tc>
        <w:tc>
          <w:tcPr>
            <w:tcW w:w="1720" w:type="dxa"/>
            <w:tcBorders>
              <w:top w:val="single" w:sz="12" w:space="0" w:color="808080"/>
              <w:left w:val="nil"/>
              <w:bottom w:val="nil"/>
              <w:right w:val="nil"/>
            </w:tcBorders>
            <w:shd w:val="clear" w:color="auto" w:fill="auto"/>
            <w:noWrap/>
            <w:vAlign w:val="center"/>
          </w:tcPr>
          <w:p w:rsidR="00F353A2" w:rsidRPr="00F353A2" w:rsidRDefault="00F353A2" w:rsidP="00F353A2">
            <w:pPr>
              <w:spacing w:after="0" w:line="240" w:lineRule="auto"/>
              <w:jc w:val="right"/>
              <w:rPr>
                <w:rFonts w:ascii="Soberana Sans Light" w:eastAsia="Times New Roman" w:hAnsi="Soberana Sans Light" w:cs="Arial"/>
                <w:b/>
                <w:bCs/>
                <w:color w:val="E26B0A"/>
                <w:sz w:val="16"/>
                <w:szCs w:val="16"/>
                <w:lang w:val="es-MX" w:eastAsia="es-MX"/>
              </w:rPr>
            </w:pPr>
          </w:p>
        </w:tc>
      </w:tr>
    </w:tbl>
    <w:p w:rsidR="00297378" w:rsidRDefault="00297378" w:rsidP="00297378">
      <w:pPr>
        <w:pStyle w:val="TEXTONORMAL"/>
      </w:pPr>
    </w:p>
    <w:p w:rsidR="00297378" w:rsidRPr="002C6D54" w:rsidRDefault="00297378" w:rsidP="003620C7">
      <w:pPr>
        <w:pStyle w:val="VIETAROMBO"/>
      </w:pPr>
      <w:r w:rsidRPr="002C6D54">
        <w:t>Estimación por Pérdida o Deterioro de Activos no Circulantes</w:t>
      </w:r>
    </w:p>
    <w:p w:rsidR="00297378" w:rsidRDefault="00297378" w:rsidP="002C6D54">
      <w:pPr>
        <w:pStyle w:val="TEXTONORMAL"/>
      </w:pPr>
      <w:r>
        <w:t>El Poder Legislativo no reporta información en el rubro de Estimación por Pérdida o Deterioro de Activos no Circulantes.</w:t>
      </w:r>
    </w:p>
    <w:p w:rsidR="00A46E56" w:rsidRDefault="00A46E56" w:rsidP="00A80DC6">
      <w:pPr>
        <w:pStyle w:val="TEXTONORMAL"/>
        <w:ind w:firstLine="357"/>
      </w:pPr>
    </w:p>
    <w:p w:rsidR="00297378" w:rsidRPr="002C6D54" w:rsidRDefault="00297378" w:rsidP="00297378">
      <w:pPr>
        <w:pStyle w:val="VIETAFLECHA"/>
      </w:pPr>
      <w:r w:rsidRPr="002C6D54">
        <w:t>Otros Activos No Circulantes</w:t>
      </w:r>
    </w:p>
    <w:p w:rsidR="00297378" w:rsidRDefault="00297378" w:rsidP="002C6D54">
      <w:pPr>
        <w:pStyle w:val="TEXTONORMAL"/>
      </w:pPr>
      <w:r>
        <w:t>El Poder Legislativo no reporta información en el rubro de Otros Activos No Circulantes.</w:t>
      </w:r>
    </w:p>
    <w:p w:rsidR="00297378" w:rsidRDefault="00297378" w:rsidP="00297378">
      <w:pPr>
        <w:pStyle w:val="TEXTONORMAL"/>
      </w:pPr>
      <w:r w:rsidRPr="00A80DC6">
        <w:rPr>
          <w:b/>
        </w:rPr>
        <w:lastRenderedPageBreak/>
        <w:t>Pasivo</w:t>
      </w:r>
    </w:p>
    <w:p w:rsidR="00297378" w:rsidRDefault="00297378" w:rsidP="00A80DC6">
      <w:pPr>
        <w:pStyle w:val="TEXTONORMAL"/>
      </w:pPr>
      <w:r>
        <w:t>Se presenta la información consolidada de los entes públicos del Poder Legislativo que integra el género de Pasivo:</w:t>
      </w:r>
    </w:p>
    <w:tbl>
      <w:tblPr>
        <w:tblW w:w="7616" w:type="dxa"/>
        <w:jc w:val="center"/>
        <w:tblCellMar>
          <w:left w:w="70" w:type="dxa"/>
          <w:right w:w="70" w:type="dxa"/>
        </w:tblCellMar>
        <w:tblLook w:val="04A0" w:firstRow="1" w:lastRow="0" w:firstColumn="1" w:lastColumn="0" w:noHBand="0" w:noVBand="1"/>
      </w:tblPr>
      <w:tblGrid>
        <w:gridCol w:w="3690"/>
        <w:gridCol w:w="1963"/>
        <w:gridCol w:w="1963"/>
      </w:tblGrid>
      <w:tr w:rsidR="00F353A2" w:rsidRPr="00F353A2" w:rsidTr="00337B1D">
        <w:trPr>
          <w:trHeight w:val="270"/>
          <w:jc w:val="center"/>
        </w:trPr>
        <w:tc>
          <w:tcPr>
            <w:tcW w:w="7616" w:type="dxa"/>
            <w:gridSpan w:val="3"/>
            <w:tcBorders>
              <w:top w:val="nil"/>
              <w:left w:val="nil"/>
              <w:bottom w:val="single" w:sz="12" w:space="0" w:color="808080"/>
              <w:right w:val="nil"/>
            </w:tcBorders>
            <w:shd w:val="clear" w:color="auto" w:fill="auto"/>
            <w:noWrap/>
            <w:vAlign w:val="center"/>
            <w:hideMark/>
          </w:tcPr>
          <w:p w:rsidR="00F353A2" w:rsidRPr="00F353A2" w:rsidRDefault="00F353A2" w:rsidP="00F353A2">
            <w:pPr>
              <w:spacing w:after="0" w:line="240" w:lineRule="auto"/>
              <w:jc w:val="center"/>
              <w:rPr>
                <w:rFonts w:ascii="Montserrat" w:eastAsia="Times New Roman" w:hAnsi="Montserrat" w:cs="Arial"/>
                <w:sz w:val="16"/>
                <w:szCs w:val="16"/>
                <w:lang w:val="es-MX" w:eastAsia="es-MX"/>
              </w:rPr>
            </w:pPr>
            <w:r w:rsidRPr="00F353A2">
              <w:rPr>
                <w:rFonts w:ascii="Montserrat" w:eastAsia="Times New Roman" w:hAnsi="Montserrat" w:cs="Arial"/>
                <w:sz w:val="16"/>
                <w:szCs w:val="16"/>
                <w:lang w:val="es-MX" w:eastAsia="es-MX"/>
              </w:rPr>
              <w:t>(Pesos)</w:t>
            </w:r>
          </w:p>
        </w:tc>
      </w:tr>
      <w:tr w:rsidR="00F353A2" w:rsidRPr="00F353A2" w:rsidTr="00337B1D">
        <w:trPr>
          <w:trHeight w:val="15"/>
          <w:jc w:val="center"/>
        </w:trPr>
        <w:tc>
          <w:tcPr>
            <w:tcW w:w="7616" w:type="dxa"/>
            <w:gridSpan w:val="3"/>
            <w:tcBorders>
              <w:top w:val="single" w:sz="12" w:space="0" w:color="808080"/>
              <w:left w:val="nil"/>
              <w:bottom w:val="nil"/>
              <w:right w:val="nil"/>
            </w:tcBorders>
            <w:shd w:val="clear" w:color="auto" w:fill="auto"/>
            <w:vAlign w:val="center"/>
            <w:hideMark/>
          </w:tcPr>
          <w:p w:rsidR="00F353A2" w:rsidRPr="00F353A2" w:rsidRDefault="00F353A2" w:rsidP="00D36914">
            <w:pPr>
              <w:spacing w:after="0" w:line="240" w:lineRule="auto"/>
              <w:rPr>
                <w:rFonts w:ascii="Montserrat" w:eastAsia="Times New Roman" w:hAnsi="Montserrat" w:cs="Arial"/>
                <w:b/>
                <w:bCs/>
                <w:color w:val="000000"/>
                <w:sz w:val="10"/>
                <w:szCs w:val="10"/>
                <w:lang w:val="es-MX" w:eastAsia="es-MX"/>
              </w:rPr>
            </w:pPr>
          </w:p>
        </w:tc>
      </w:tr>
      <w:tr w:rsidR="00F353A2" w:rsidRPr="00F353A2" w:rsidTr="00337B1D">
        <w:trPr>
          <w:trHeight w:val="255"/>
          <w:jc w:val="center"/>
        </w:trPr>
        <w:tc>
          <w:tcPr>
            <w:tcW w:w="3690" w:type="dxa"/>
            <w:tcBorders>
              <w:top w:val="nil"/>
              <w:left w:val="nil"/>
              <w:bottom w:val="nil"/>
              <w:right w:val="single" w:sz="8" w:space="0" w:color="FFFFFF"/>
            </w:tcBorders>
            <w:shd w:val="clear" w:color="000000" w:fill="D4C19C"/>
            <w:vAlign w:val="center"/>
            <w:hideMark/>
          </w:tcPr>
          <w:p w:rsidR="00F353A2" w:rsidRPr="00F353A2" w:rsidRDefault="00F353A2" w:rsidP="00F353A2">
            <w:pPr>
              <w:spacing w:after="0" w:line="240" w:lineRule="auto"/>
              <w:jc w:val="center"/>
              <w:rPr>
                <w:rFonts w:ascii="Montserrat" w:eastAsia="Times New Roman" w:hAnsi="Montserrat" w:cs="Arial"/>
                <w:b/>
                <w:bCs/>
                <w:color w:val="FFFFFF"/>
                <w:sz w:val="16"/>
                <w:szCs w:val="16"/>
                <w:lang w:val="es-MX" w:eastAsia="es-MX"/>
              </w:rPr>
            </w:pPr>
            <w:r w:rsidRPr="00F353A2">
              <w:rPr>
                <w:rFonts w:ascii="Montserrat" w:eastAsia="Times New Roman" w:hAnsi="Montserrat" w:cs="Arial"/>
                <w:b/>
                <w:bCs/>
                <w:color w:val="FFFFFF"/>
                <w:sz w:val="16"/>
                <w:szCs w:val="16"/>
                <w:lang w:val="es-MX" w:eastAsia="es-MX"/>
              </w:rPr>
              <w:t>Concepto</w:t>
            </w:r>
          </w:p>
        </w:tc>
        <w:tc>
          <w:tcPr>
            <w:tcW w:w="1963" w:type="dxa"/>
            <w:tcBorders>
              <w:top w:val="nil"/>
              <w:left w:val="nil"/>
              <w:bottom w:val="nil"/>
              <w:right w:val="single" w:sz="8" w:space="0" w:color="FFFFFF"/>
            </w:tcBorders>
            <w:shd w:val="clear" w:color="000000" w:fill="D4C19C"/>
            <w:vAlign w:val="center"/>
            <w:hideMark/>
          </w:tcPr>
          <w:p w:rsidR="00F353A2" w:rsidRPr="00F353A2" w:rsidRDefault="00F353A2" w:rsidP="00F353A2">
            <w:pPr>
              <w:spacing w:after="0" w:line="240" w:lineRule="auto"/>
              <w:jc w:val="center"/>
              <w:rPr>
                <w:rFonts w:ascii="Montserrat" w:eastAsia="Times New Roman" w:hAnsi="Montserrat" w:cs="Arial"/>
                <w:b/>
                <w:bCs/>
                <w:color w:val="FFFFFF"/>
                <w:sz w:val="16"/>
                <w:szCs w:val="16"/>
                <w:lang w:val="es-MX" w:eastAsia="es-MX"/>
              </w:rPr>
            </w:pPr>
            <w:r w:rsidRPr="00F353A2">
              <w:rPr>
                <w:rFonts w:ascii="Montserrat" w:eastAsia="Times New Roman" w:hAnsi="Montserrat" w:cs="Arial"/>
                <w:b/>
                <w:bCs/>
                <w:color w:val="FFFFFF"/>
                <w:sz w:val="16"/>
                <w:szCs w:val="16"/>
                <w:lang w:val="es-MX" w:eastAsia="es-MX"/>
              </w:rPr>
              <w:t>2018</w:t>
            </w:r>
          </w:p>
        </w:tc>
        <w:tc>
          <w:tcPr>
            <w:tcW w:w="1963" w:type="dxa"/>
            <w:tcBorders>
              <w:top w:val="nil"/>
              <w:left w:val="nil"/>
              <w:bottom w:val="nil"/>
              <w:right w:val="single" w:sz="8" w:space="0" w:color="FFFFFF"/>
            </w:tcBorders>
            <w:shd w:val="clear" w:color="000000" w:fill="D4C19C"/>
            <w:vAlign w:val="center"/>
            <w:hideMark/>
          </w:tcPr>
          <w:p w:rsidR="00F353A2" w:rsidRPr="00F353A2" w:rsidRDefault="00F353A2" w:rsidP="00F353A2">
            <w:pPr>
              <w:spacing w:after="0" w:line="240" w:lineRule="auto"/>
              <w:jc w:val="center"/>
              <w:rPr>
                <w:rFonts w:ascii="Montserrat" w:eastAsia="Times New Roman" w:hAnsi="Montserrat" w:cs="Arial"/>
                <w:b/>
                <w:bCs/>
                <w:color w:val="FFFFFF"/>
                <w:sz w:val="16"/>
                <w:szCs w:val="16"/>
                <w:lang w:val="es-MX" w:eastAsia="es-MX"/>
              </w:rPr>
            </w:pPr>
            <w:r w:rsidRPr="00F353A2">
              <w:rPr>
                <w:rFonts w:ascii="Montserrat" w:eastAsia="Times New Roman" w:hAnsi="Montserrat" w:cs="Arial"/>
                <w:b/>
                <w:bCs/>
                <w:color w:val="FFFFFF"/>
                <w:sz w:val="16"/>
                <w:szCs w:val="16"/>
                <w:lang w:val="es-MX" w:eastAsia="es-MX"/>
              </w:rPr>
              <w:t>2017</w:t>
            </w:r>
          </w:p>
        </w:tc>
      </w:tr>
      <w:tr w:rsidR="00F353A2" w:rsidRPr="00F353A2" w:rsidTr="00D36914">
        <w:trPr>
          <w:trHeight w:val="53"/>
          <w:jc w:val="center"/>
        </w:trPr>
        <w:tc>
          <w:tcPr>
            <w:tcW w:w="7616" w:type="dxa"/>
            <w:gridSpan w:val="3"/>
            <w:tcBorders>
              <w:top w:val="nil"/>
              <w:left w:val="nil"/>
              <w:bottom w:val="double" w:sz="6" w:space="0" w:color="808080"/>
              <w:right w:val="nil"/>
            </w:tcBorders>
            <w:shd w:val="clear" w:color="auto" w:fill="auto"/>
            <w:vAlign w:val="center"/>
            <w:hideMark/>
          </w:tcPr>
          <w:p w:rsidR="00F353A2" w:rsidRPr="00F353A2" w:rsidRDefault="00F353A2" w:rsidP="00F353A2">
            <w:pPr>
              <w:spacing w:after="0" w:line="240" w:lineRule="auto"/>
              <w:jc w:val="center"/>
              <w:rPr>
                <w:rFonts w:ascii="Montserrat" w:eastAsia="Times New Roman" w:hAnsi="Montserrat" w:cs="Arial"/>
                <w:b/>
                <w:bCs/>
                <w:color w:val="000000"/>
                <w:sz w:val="4"/>
                <w:szCs w:val="4"/>
                <w:lang w:val="es-MX" w:eastAsia="es-MX"/>
              </w:rPr>
            </w:pPr>
            <w:r w:rsidRPr="00F353A2">
              <w:rPr>
                <w:rFonts w:ascii="Montserrat" w:eastAsia="Times New Roman" w:hAnsi="Montserrat" w:cs="Arial"/>
                <w:b/>
                <w:bCs/>
                <w:color w:val="000000"/>
                <w:sz w:val="4"/>
                <w:szCs w:val="4"/>
                <w:lang w:val="es-MX" w:eastAsia="es-MX"/>
              </w:rPr>
              <w:t> </w:t>
            </w:r>
          </w:p>
        </w:tc>
      </w:tr>
      <w:tr w:rsidR="00F353A2" w:rsidRPr="00F353A2" w:rsidTr="00337B1D">
        <w:trPr>
          <w:trHeight w:val="270"/>
          <w:jc w:val="center"/>
        </w:trPr>
        <w:tc>
          <w:tcPr>
            <w:tcW w:w="3690" w:type="dxa"/>
            <w:tcBorders>
              <w:top w:val="nil"/>
              <w:left w:val="nil"/>
              <w:bottom w:val="nil"/>
              <w:right w:val="nil"/>
            </w:tcBorders>
            <w:shd w:val="clear" w:color="000000" w:fill="F2F2F2"/>
            <w:noWrap/>
            <w:vAlign w:val="center"/>
            <w:hideMark/>
          </w:tcPr>
          <w:p w:rsidR="00F353A2" w:rsidRPr="00F353A2" w:rsidRDefault="00F353A2" w:rsidP="00F353A2">
            <w:pPr>
              <w:spacing w:after="0" w:line="240" w:lineRule="auto"/>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Cámara de Diputados</w:t>
            </w:r>
          </w:p>
        </w:tc>
        <w:tc>
          <w:tcPr>
            <w:tcW w:w="1963" w:type="dxa"/>
            <w:tcBorders>
              <w:top w:val="nil"/>
              <w:left w:val="nil"/>
              <w:bottom w:val="nil"/>
              <w:right w:val="nil"/>
            </w:tcBorders>
            <w:shd w:val="clear" w:color="000000" w:fill="F2F2F2"/>
            <w:vAlign w:val="center"/>
            <w:hideMark/>
          </w:tcPr>
          <w:p w:rsidR="00F353A2" w:rsidRPr="00F353A2" w:rsidRDefault="00F353A2" w:rsidP="00F353A2">
            <w:pPr>
              <w:spacing w:after="0" w:line="240" w:lineRule="auto"/>
              <w:jc w:val="right"/>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1,277,544,554</w:t>
            </w:r>
          </w:p>
        </w:tc>
        <w:tc>
          <w:tcPr>
            <w:tcW w:w="1963" w:type="dxa"/>
            <w:tcBorders>
              <w:top w:val="nil"/>
              <w:left w:val="nil"/>
              <w:bottom w:val="nil"/>
              <w:right w:val="nil"/>
            </w:tcBorders>
            <w:shd w:val="clear" w:color="000000" w:fill="F2F2F2"/>
            <w:vAlign w:val="center"/>
            <w:hideMark/>
          </w:tcPr>
          <w:p w:rsidR="00F353A2" w:rsidRPr="00F353A2" w:rsidRDefault="00F353A2" w:rsidP="00F353A2">
            <w:pPr>
              <w:spacing w:after="0" w:line="240" w:lineRule="auto"/>
              <w:jc w:val="right"/>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465,319,862</w:t>
            </w:r>
          </w:p>
        </w:tc>
      </w:tr>
      <w:tr w:rsidR="00F353A2" w:rsidRPr="00F353A2" w:rsidTr="00337B1D">
        <w:trPr>
          <w:trHeight w:val="255"/>
          <w:jc w:val="center"/>
        </w:trPr>
        <w:tc>
          <w:tcPr>
            <w:tcW w:w="3690" w:type="dxa"/>
            <w:tcBorders>
              <w:top w:val="nil"/>
              <w:left w:val="nil"/>
              <w:bottom w:val="nil"/>
              <w:right w:val="nil"/>
            </w:tcBorders>
            <w:shd w:val="clear" w:color="000000" w:fill="F2F2F2"/>
            <w:noWrap/>
            <w:vAlign w:val="center"/>
            <w:hideMark/>
          </w:tcPr>
          <w:p w:rsidR="00F353A2" w:rsidRPr="00F353A2" w:rsidRDefault="00F353A2" w:rsidP="00F353A2">
            <w:pPr>
              <w:spacing w:after="0" w:line="240" w:lineRule="auto"/>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Cámara de Senadores</w:t>
            </w:r>
          </w:p>
        </w:tc>
        <w:tc>
          <w:tcPr>
            <w:tcW w:w="1963" w:type="dxa"/>
            <w:tcBorders>
              <w:top w:val="nil"/>
              <w:left w:val="nil"/>
              <w:bottom w:val="nil"/>
              <w:right w:val="nil"/>
            </w:tcBorders>
            <w:shd w:val="clear" w:color="000000" w:fill="F2F2F2"/>
            <w:vAlign w:val="center"/>
            <w:hideMark/>
          </w:tcPr>
          <w:p w:rsidR="00F353A2" w:rsidRPr="00F353A2" w:rsidRDefault="00F353A2" w:rsidP="00F353A2">
            <w:pPr>
              <w:spacing w:after="0" w:line="240" w:lineRule="auto"/>
              <w:jc w:val="right"/>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585,301,188</w:t>
            </w:r>
          </w:p>
        </w:tc>
        <w:tc>
          <w:tcPr>
            <w:tcW w:w="1963" w:type="dxa"/>
            <w:tcBorders>
              <w:top w:val="nil"/>
              <w:left w:val="nil"/>
              <w:bottom w:val="nil"/>
              <w:right w:val="nil"/>
            </w:tcBorders>
            <w:shd w:val="clear" w:color="000000" w:fill="F2F2F2"/>
            <w:vAlign w:val="center"/>
            <w:hideMark/>
          </w:tcPr>
          <w:p w:rsidR="00F353A2" w:rsidRPr="00F353A2" w:rsidRDefault="00F353A2" w:rsidP="00F353A2">
            <w:pPr>
              <w:spacing w:after="0" w:line="240" w:lineRule="auto"/>
              <w:jc w:val="right"/>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348,334,079</w:t>
            </w:r>
          </w:p>
        </w:tc>
      </w:tr>
      <w:tr w:rsidR="00F353A2" w:rsidRPr="00F353A2" w:rsidTr="00337B1D">
        <w:trPr>
          <w:trHeight w:val="255"/>
          <w:jc w:val="center"/>
        </w:trPr>
        <w:tc>
          <w:tcPr>
            <w:tcW w:w="3690" w:type="dxa"/>
            <w:tcBorders>
              <w:top w:val="nil"/>
              <w:left w:val="nil"/>
              <w:bottom w:val="nil"/>
              <w:right w:val="nil"/>
            </w:tcBorders>
            <w:shd w:val="clear" w:color="000000" w:fill="F2F2F2"/>
            <w:noWrap/>
            <w:vAlign w:val="center"/>
            <w:hideMark/>
          </w:tcPr>
          <w:p w:rsidR="00F353A2" w:rsidRPr="00F353A2" w:rsidRDefault="00F353A2" w:rsidP="00F353A2">
            <w:pPr>
              <w:spacing w:after="0" w:line="240" w:lineRule="auto"/>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Auditoría Superior de la Federación</w:t>
            </w:r>
          </w:p>
        </w:tc>
        <w:tc>
          <w:tcPr>
            <w:tcW w:w="1963" w:type="dxa"/>
            <w:tcBorders>
              <w:top w:val="nil"/>
              <w:left w:val="nil"/>
              <w:bottom w:val="nil"/>
              <w:right w:val="nil"/>
            </w:tcBorders>
            <w:shd w:val="clear" w:color="000000" w:fill="F2F2F2"/>
            <w:vAlign w:val="center"/>
            <w:hideMark/>
          </w:tcPr>
          <w:p w:rsidR="00F353A2" w:rsidRPr="00F353A2" w:rsidRDefault="00F353A2" w:rsidP="00F353A2">
            <w:pPr>
              <w:spacing w:after="0" w:line="240" w:lineRule="auto"/>
              <w:jc w:val="right"/>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515,324,128</w:t>
            </w:r>
          </w:p>
        </w:tc>
        <w:tc>
          <w:tcPr>
            <w:tcW w:w="1963" w:type="dxa"/>
            <w:tcBorders>
              <w:top w:val="nil"/>
              <w:left w:val="nil"/>
              <w:bottom w:val="nil"/>
              <w:right w:val="nil"/>
            </w:tcBorders>
            <w:shd w:val="clear" w:color="000000" w:fill="F2F2F2"/>
            <w:vAlign w:val="center"/>
            <w:hideMark/>
          </w:tcPr>
          <w:p w:rsidR="00F353A2" w:rsidRPr="00F353A2" w:rsidRDefault="00F353A2" w:rsidP="00F353A2">
            <w:pPr>
              <w:spacing w:after="0" w:line="240" w:lineRule="auto"/>
              <w:jc w:val="right"/>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504,579,306</w:t>
            </w:r>
          </w:p>
        </w:tc>
      </w:tr>
      <w:tr w:rsidR="00F353A2" w:rsidRPr="00F353A2" w:rsidTr="00337B1D">
        <w:trPr>
          <w:trHeight w:val="270"/>
          <w:jc w:val="center"/>
        </w:trPr>
        <w:tc>
          <w:tcPr>
            <w:tcW w:w="3690" w:type="dxa"/>
            <w:tcBorders>
              <w:top w:val="nil"/>
              <w:left w:val="nil"/>
              <w:bottom w:val="nil"/>
              <w:right w:val="nil"/>
            </w:tcBorders>
            <w:shd w:val="clear" w:color="000000" w:fill="F2F2F2"/>
            <w:noWrap/>
            <w:vAlign w:val="center"/>
            <w:hideMark/>
          </w:tcPr>
          <w:p w:rsidR="00F353A2" w:rsidRPr="00F353A2" w:rsidRDefault="00F353A2" w:rsidP="00F353A2">
            <w:pPr>
              <w:spacing w:after="0" w:line="240" w:lineRule="auto"/>
              <w:jc w:val="right"/>
              <w:rPr>
                <w:rFonts w:ascii="Montserrat" w:eastAsia="Times New Roman" w:hAnsi="Montserrat" w:cs="Arial"/>
                <w:b/>
                <w:bCs/>
                <w:color w:val="000000"/>
                <w:sz w:val="15"/>
                <w:szCs w:val="15"/>
                <w:lang w:val="es-MX" w:eastAsia="es-MX"/>
              </w:rPr>
            </w:pPr>
            <w:r w:rsidRPr="00F353A2">
              <w:rPr>
                <w:rFonts w:ascii="Montserrat" w:eastAsia="Times New Roman" w:hAnsi="Montserrat" w:cs="Arial"/>
                <w:b/>
                <w:bCs/>
                <w:color w:val="000000"/>
                <w:sz w:val="15"/>
                <w:szCs w:val="15"/>
                <w:lang w:val="es-MX" w:eastAsia="es-MX"/>
              </w:rPr>
              <w:t>Suma del Pasivo Total</w:t>
            </w:r>
          </w:p>
        </w:tc>
        <w:tc>
          <w:tcPr>
            <w:tcW w:w="1963" w:type="dxa"/>
            <w:tcBorders>
              <w:top w:val="nil"/>
              <w:left w:val="nil"/>
              <w:bottom w:val="nil"/>
              <w:right w:val="nil"/>
            </w:tcBorders>
            <w:shd w:val="clear" w:color="000000" w:fill="F2F2F2"/>
            <w:vAlign w:val="center"/>
            <w:hideMark/>
          </w:tcPr>
          <w:p w:rsidR="00F353A2" w:rsidRPr="000B1893" w:rsidRDefault="00F353A2" w:rsidP="00F353A2">
            <w:pPr>
              <w:spacing w:after="0" w:line="240" w:lineRule="auto"/>
              <w:jc w:val="right"/>
              <w:rPr>
                <w:rFonts w:ascii="Montserrat" w:eastAsia="Times New Roman" w:hAnsi="Montserrat" w:cs="Arial"/>
                <w:b/>
                <w:color w:val="000000"/>
                <w:sz w:val="15"/>
                <w:szCs w:val="15"/>
                <w:lang w:val="es-MX" w:eastAsia="es-MX"/>
              </w:rPr>
            </w:pPr>
            <w:r w:rsidRPr="000B1893">
              <w:rPr>
                <w:rFonts w:ascii="Montserrat" w:eastAsia="Times New Roman" w:hAnsi="Montserrat" w:cs="Arial"/>
                <w:b/>
                <w:color w:val="000000"/>
                <w:sz w:val="15"/>
                <w:szCs w:val="15"/>
                <w:lang w:val="es-MX" w:eastAsia="es-MX"/>
              </w:rPr>
              <w:t>2,378,169,870</w:t>
            </w:r>
          </w:p>
        </w:tc>
        <w:tc>
          <w:tcPr>
            <w:tcW w:w="1963" w:type="dxa"/>
            <w:tcBorders>
              <w:top w:val="nil"/>
              <w:left w:val="nil"/>
              <w:bottom w:val="nil"/>
              <w:right w:val="nil"/>
            </w:tcBorders>
            <w:shd w:val="clear" w:color="000000" w:fill="F2F2F2"/>
            <w:vAlign w:val="center"/>
            <w:hideMark/>
          </w:tcPr>
          <w:p w:rsidR="00F353A2" w:rsidRPr="000B1893" w:rsidRDefault="00F353A2" w:rsidP="00F353A2">
            <w:pPr>
              <w:spacing w:after="0" w:line="240" w:lineRule="auto"/>
              <w:jc w:val="right"/>
              <w:rPr>
                <w:rFonts w:ascii="Montserrat" w:eastAsia="Times New Roman" w:hAnsi="Montserrat" w:cs="Arial"/>
                <w:b/>
                <w:color w:val="000000"/>
                <w:sz w:val="15"/>
                <w:szCs w:val="15"/>
                <w:lang w:val="es-MX" w:eastAsia="es-MX"/>
              </w:rPr>
            </w:pPr>
            <w:r w:rsidRPr="000B1893">
              <w:rPr>
                <w:rFonts w:ascii="Montserrat" w:eastAsia="Times New Roman" w:hAnsi="Montserrat" w:cs="Arial"/>
                <w:b/>
                <w:color w:val="000000"/>
                <w:sz w:val="15"/>
                <w:szCs w:val="15"/>
                <w:lang w:val="es-MX" w:eastAsia="es-MX"/>
              </w:rPr>
              <w:t>1,318,233,247</w:t>
            </w:r>
          </w:p>
        </w:tc>
      </w:tr>
      <w:tr w:rsidR="00F353A2" w:rsidRPr="00F353A2" w:rsidTr="00337B1D">
        <w:trPr>
          <w:trHeight w:val="285"/>
          <w:jc w:val="center"/>
        </w:trPr>
        <w:tc>
          <w:tcPr>
            <w:tcW w:w="3690" w:type="dxa"/>
            <w:tcBorders>
              <w:top w:val="single" w:sz="12" w:space="0" w:color="808080"/>
              <w:left w:val="nil"/>
              <w:bottom w:val="nil"/>
              <w:right w:val="nil"/>
            </w:tcBorders>
            <w:shd w:val="clear" w:color="auto" w:fill="auto"/>
            <w:noWrap/>
            <w:vAlign w:val="center"/>
          </w:tcPr>
          <w:p w:rsidR="00F353A2" w:rsidRPr="00F353A2" w:rsidRDefault="00F353A2" w:rsidP="00F353A2">
            <w:pPr>
              <w:spacing w:after="0" w:line="240" w:lineRule="auto"/>
              <w:jc w:val="right"/>
              <w:rPr>
                <w:rFonts w:ascii="Soberana Sans Light" w:eastAsia="Times New Roman" w:hAnsi="Soberana Sans Light" w:cs="Arial"/>
                <w:b/>
                <w:bCs/>
                <w:color w:val="E26B0A"/>
                <w:sz w:val="16"/>
                <w:szCs w:val="16"/>
                <w:lang w:val="es-MX" w:eastAsia="es-MX"/>
              </w:rPr>
            </w:pPr>
          </w:p>
        </w:tc>
        <w:tc>
          <w:tcPr>
            <w:tcW w:w="1963" w:type="dxa"/>
            <w:tcBorders>
              <w:top w:val="single" w:sz="12" w:space="0" w:color="808080"/>
              <w:left w:val="nil"/>
              <w:bottom w:val="nil"/>
              <w:right w:val="nil"/>
            </w:tcBorders>
            <w:shd w:val="clear" w:color="auto" w:fill="auto"/>
            <w:noWrap/>
            <w:vAlign w:val="center"/>
          </w:tcPr>
          <w:p w:rsidR="00F353A2" w:rsidRPr="00F353A2" w:rsidRDefault="00F353A2" w:rsidP="00F353A2">
            <w:pPr>
              <w:spacing w:after="0" w:line="240" w:lineRule="auto"/>
              <w:jc w:val="right"/>
              <w:rPr>
                <w:rFonts w:ascii="Soberana Sans Light" w:eastAsia="Times New Roman" w:hAnsi="Soberana Sans Light" w:cs="Arial"/>
                <w:b/>
                <w:bCs/>
                <w:color w:val="E26B0A"/>
                <w:sz w:val="16"/>
                <w:szCs w:val="16"/>
                <w:lang w:val="es-MX" w:eastAsia="es-MX"/>
              </w:rPr>
            </w:pPr>
          </w:p>
        </w:tc>
        <w:tc>
          <w:tcPr>
            <w:tcW w:w="1963" w:type="dxa"/>
            <w:tcBorders>
              <w:top w:val="single" w:sz="12" w:space="0" w:color="808080"/>
              <w:left w:val="nil"/>
              <w:bottom w:val="nil"/>
              <w:right w:val="nil"/>
            </w:tcBorders>
            <w:shd w:val="clear" w:color="auto" w:fill="auto"/>
            <w:noWrap/>
            <w:vAlign w:val="center"/>
          </w:tcPr>
          <w:p w:rsidR="00F353A2" w:rsidRPr="00F353A2" w:rsidRDefault="00F353A2" w:rsidP="00F353A2">
            <w:pPr>
              <w:spacing w:after="0" w:line="240" w:lineRule="auto"/>
              <w:jc w:val="right"/>
              <w:rPr>
                <w:rFonts w:ascii="Soberana Sans Light" w:eastAsia="Times New Roman" w:hAnsi="Soberana Sans Light" w:cs="Arial"/>
                <w:b/>
                <w:bCs/>
                <w:color w:val="E26B0A"/>
                <w:sz w:val="16"/>
                <w:szCs w:val="16"/>
                <w:lang w:val="es-MX" w:eastAsia="es-MX"/>
              </w:rPr>
            </w:pPr>
          </w:p>
        </w:tc>
      </w:tr>
    </w:tbl>
    <w:p w:rsidR="00297378" w:rsidRPr="002C6D54" w:rsidRDefault="00297378" w:rsidP="00297378">
      <w:pPr>
        <w:pStyle w:val="VIETAFLECHA"/>
      </w:pPr>
      <w:r w:rsidRPr="002C6D54">
        <w:t>Pasivo Circulante</w:t>
      </w:r>
    </w:p>
    <w:p w:rsidR="00297378" w:rsidRDefault="00297378" w:rsidP="002C6D54">
      <w:pPr>
        <w:pStyle w:val="TEXTONORMAL"/>
      </w:pPr>
      <w:r>
        <w:t xml:space="preserve">Se presenta la información consolidada de los entes públicos del Poder Legislativo que integra el grupo de Pasivo Circulante: </w:t>
      </w:r>
    </w:p>
    <w:tbl>
      <w:tblPr>
        <w:tblW w:w="7616" w:type="dxa"/>
        <w:jc w:val="center"/>
        <w:tblCellMar>
          <w:left w:w="70" w:type="dxa"/>
          <w:right w:w="70" w:type="dxa"/>
        </w:tblCellMar>
        <w:tblLook w:val="04A0" w:firstRow="1" w:lastRow="0" w:firstColumn="1" w:lastColumn="0" w:noHBand="0" w:noVBand="1"/>
      </w:tblPr>
      <w:tblGrid>
        <w:gridCol w:w="3690"/>
        <w:gridCol w:w="1963"/>
        <w:gridCol w:w="1963"/>
      </w:tblGrid>
      <w:tr w:rsidR="00F353A2" w:rsidRPr="00F353A2" w:rsidTr="00337B1D">
        <w:trPr>
          <w:trHeight w:val="270"/>
          <w:jc w:val="center"/>
        </w:trPr>
        <w:tc>
          <w:tcPr>
            <w:tcW w:w="7616" w:type="dxa"/>
            <w:gridSpan w:val="3"/>
            <w:tcBorders>
              <w:top w:val="nil"/>
              <w:left w:val="nil"/>
              <w:bottom w:val="single" w:sz="12" w:space="0" w:color="808080"/>
              <w:right w:val="nil"/>
            </w:tcBorders>
            <w:shd w:val="clear" w:color="auto" w:fill="auto"/>
            <w:noWrap/>
            <w:vAlign w:val="center"/>
            <w:hideMark/>
          </w:tcPr>
          <w:p w:rsidR="00F353A2" w:rsidRPr="00F353A2" w:rsidRDefault="00F353A2" w:rsidP="00F353A2">
            <w:pPr>
              <w:spacing w:after="0" w:line="240" w:lineRule="auto"/>
              <w:jc w:val="center"/>
              <w:rPr>
                <w:rFonts w:ascii="Montserrat" w:eastAsia="Times New Roman" w:hAnsi="Montserrat" w:cs="Arial"/>
                <w:sz w:val="16"/>
                <w:szCs w:val="16"/>
                <w:lang w:val="es-MX" w:eastAsia="es-MX"/>
              </w:rPr>
            </w:pPr>
            <w:r w:rsidRPr="00F353A2">
              <w:rPr>
                <w:rFonts w:ascii="Montserrat" w:eastAsia="Times New Roman" w:hAnsi="Montserrat" w:cs="Arial"/>
                <w:sz w:val="16"/>
                <w:szCs w:val="16"/>
                <w:lang w:val="es-MX" w:eastAsia="es-MX"/>
              </w:rPr>
              <w:t>(Pesos)</w:t>
            </w:r>
          </w:p>
        </w:tc>
      </w:tr>
      <w:tr w:rsidR="00F353A2" w:rsidRPr="00F353A2" w:rsidTr="00337B1D">
        <w:trPr>
          <w:trHeight w:val="15"/>
          <w:jc w:val="center"/>
        </w:trPr>
        <w:tc>
          <w:tcPr>
            <w:tcW w:w="7616" w:type="dxa"/>
            <w:gridSpan w:val="3"/>
            <w:tcBorders>
              <w:top w:val="single" w:sz="12" w:space="0" w:color="808080"/>
              <w:left w:val="nil"/>
              <w:bottom w:val="nil"/>
              <w:right w:val="nil"/>
            </w:tcBorders>
            <w:shd w:val="clear" w:color="auto" w:fill="auto"/>
            <w:vAlign w:val="center"/>
            <w:hideMark/>
          </w:tcPr>
          <w:p w:rsidR="00F353A2" w:rsidRPr="00F353A2" w:rsidRDefault="00F353A2" w:rsidP="00F353A2">
            <w:pPr>
              <w:spacing w:after="0" w:line="240" w:lineRule="auto"/>
              <w:jc w:val="center"/>
              <w:rPr>
                <w:rFonts w:ascii="Montserrat" w:eastAsia="Times New Roman" w:hAnsi="Montserrat" w:cs="Arial"/>
                <w:b/>
                <w:bCs/>
                <w:color w:val="000000"/>
                <w:sz w:val="10"/>
                <w:szCs w:val="10"/>
                <w:lang w:val="es-MX" w:eastAsia="es-MX"/>
              </w:rPr>
            </w:pPr>
          </w:p>
        </w:tc>
      </w:tr>
      <w:tr w:rsidR="00F353A2" w:rsidRPr="00F353A2" w:rsidTr="00337B1D">
        <w:trPr>
          <w:trHeight w:val="255"/>
          <w:jc w:val="center"/>
        </w:trPr>
        <w:tc>
          <w:tcPr>
            <w:tcW w:w="3690" w:type="dxa"/>
            <w:tcBorders>
              <w:top w:val="nil"/>
              <w:left w:val="nil"/>
              <w:bottom w:val="nil"/>
              <w:right w:val="single" w:sz="8" w:space="0" w:color="FFFFFF"/>
            </w:tcBorders>
            <w:shd w:val="clear" w:color="000000" w:fill="D4C19C"/>
            <w:vAlign w:val="center"/>
            <w:hideMark/>
          </w:tcPr>
          <w:p w:rsidR="00F353A2" w:rsidRPr="00F353A2" w:rsidRDefault="00F353A2" w:rsidP="00F353A2">
            <w:pPr>
              <w:spacing w:after="0" w:line="240" w:lineRule="auto"/>
              <w:jc w:val="center"/>
              <w:rPr>
                <w:rFonts w:ascii="Montserrat" w:eastAsia="Times New Roman" w:hAnsi="Montserrat" w:cs="Arial"/>
                <w:b/>
                <w:bCs/>
                <w:color w:val="FFFFFF"/>
                <w:sz w:val="16"/>
                <w:szCs w:val="16"/>
                <w:lang w:val="es-MX" w:eastAsia="es-MX"/>
              </w:rPr>
            </w:pPr>
            <w:r w:rsidRPr="00F353A2">
              <w:rPr>
                <w:rFonts w:ascii="Montserrat" w:eastAsia="Times New Roman" w:hAnsi="Montserrat" w:cs="Arial"/>
                <w:b/>
                <w:bCs/>
                <w:color w:val="FFFFFF"/>
                <w:sz w:val="16"/>
                <w:szCs w:val="16"/>
                <w:lang w:val="es-MX" w:eastAsia="es-MX"/>
              </w:rPr>
              <w:t>Concepto</w:t>
            </w:r>
          </w:p>
        </w:tc>
        <w:tc>
          <w:tcPr>
            <w:tcW w:w="1963" w:type="dxa"/>
            <w:tcBorders>
              <w:top w:val="nil"/>
              <w:left w:val="nil"/>
              <w:bottom w:val="nil"/>
              <w:right w:val="single" w:sz="8" w:space="0" w:color="FFFFFF"/>
            </w:tcBorders>
            <w:shd w:val="clear" w:color="000000" w:fill="D4C19C"/>
            <w:vAlign w:val="center"/>
            <w:hideMark/>
          </w:tcPr>
          <w:p w:rsidR="00F353A2" w:rsidRPr="00F353A2" w:rsidRDefault="00F353A2" w:rsidP="00F353A2">
            <w:pPr>
              <w:spacing w:after="0" w:line="240" w:lineRule="auto"/>
              <w:jc w:val="center"/>
              <w:rPr>
                <w:rFonts w:ascii="Montserrat" w:eastAsia="Times New Roman" w:hAnsi="Montserrat" w:cs="Arial"/>
                <w:b/>
                <w:bCs/>
                <w:color w:val="FFFFFF"/>
                <w:sz w:val="16"/>
                <w:szCs w:val="16"/>
                <w:lang w:val="es-MX" w:eastAsia="es-MX"/>
              </w:rPr>
            </w:pPr>
            <w:r w:rsidRPr="00F353A2">
              <w:rPr>
                <w:rFonts w:ascii="Montserrat" w:eastAsia="Times New Roman" w:hAnsi="Montserrat" w:cs="Arial"/>
                <w:b/>
                <w:bCs/>
                <w:color w:val="FFFFFF"/>
                <w:sz w:val="16"/>
                <w:szCs w:val="16"/>
                <w:lang w:val="es-MX" w:eastAsia="es-MX"/>
              </w:rPr>
              <w:t>2018</w:t>
            </w:r>
          </w:p>
        </w:tc>
        <w:tc>
          <w:tcPr>
            <w:tcW w:w="1963" w:type="dxa"/>
            <w:tcBorders>
              <w:top w:val="nil"/>
              <w:left w:val="nil"/>
              <w:bottom w:val="nil"/>
              <w:right w:val="single" w:sz="8" w:space="0" w:color="FFFFFF"/>
            </w:tcBorders>
            <w:shd w:val="clear" w:color="000000" w:fill="D4C19C"/>
            <w:vAlign w:val="center"/>
            <w:hideMark/>
          </w:tcPr>
          <w:p w:rsidR="00F353A2" w:rsidRPr="00F353A2" w:rsidRDefault="00F353A2" w:rsidP="00F353A2">
            <w:pPr>
              <w:spacing w:after="0" w:line="240" w:lineRule="auto"/>
              <w:jc w:val="center"/>
              <w:rPr>
                <w:rFonts w:ascii="Montserrat" w:eastAsia="Times New Roman" w:hAnsi="Montserrat" w:cs="Arial"/>
                <w:b/>
                <w:bCs/>
                <w:color w:val="FFFFFF"/>
                <w:sz w:val="16"/>
                <w:szCs w:val="16"/>
                <w:lang w:val="es-MX" w:eastAsia="es-MX"/>
              </w:rPr>
            </w:pPr>
            <w:r w:rsidRPr="00F353A2">
              <w:rPr>
                <w:rFonts w:ascii="Montserrat" w:eastAsia="Times New Roman" w:hAnsi="Montserrat" w:cs="Arial"/>
                <w:b/>
                <w:bCs/>
                <w:color w:val="FFFFFF"/>
                <w:sz w:val="16"/>
                <w:szCs w:val="16"/>
                <w:lang w:val="es-MX" w:eastAsia="es-MX"/>
              </w:rPr>
              <w:t>2017</w:t>
            </w:r>
          </w:p>
        </w:tc>
      </w:tr>
      <w:tr w:rsidR="00F353A2" w:rsidRPr="00F353A2" w:rsidTr="00D36914">
        <w:trPr>
          <w:trHeight w:val="53"/>
          <w:jc w:val="center"/>
        </w:trPr>
        <w:tc>
          <w:tcPr>
            <w:tcW w:w="7616" w:type="dxa"/>
            <w:gridSpan w:val="3"/>
            <w:tcBorders>
              <w:top w:val="nil"/>
              <w:left w:val="nil"/>
              <w:bottom w:val="double" w:sz="6" w:space="0" w:color="808080"/>
              <w:right w:val="nil"/>
            </w:tcBorders>
            <w:shd w:val="clear" w:color="auto" w:fill="auto"/>
            <w:vAlign w:val="center"/>
            <w:hideMark/>
          </w:tcPr>
          <w:p w:rsidR="00F353A2" w:rsidRPr="00F353A2" w:rsidRDefault="00F353A2" w:rsidP="00F353A2">
            <w:pPr>
              <w:spacing w:after="0" w:line="240" w:lineRule="auto"/>
              <w:jc w:val="center"/>
              <w:rPr>
                <w:rFonts w:ascii="Montserrat" w:eastAsia="Times New Roman" w:hAnsi="Montserrat" w:cs="Arial"/>
                <w:b/>
                <w:bCs/>
                <w:color w:val="000000"/>
                <w:sz w:val="4"/>
                <w:szCs w:val="4"/>
                <w:lang w:val="es-MX" w:eastAsia="es-MX"/>
              </w:rPr>
            </w:pPr>
            <w:r w:rsidRPr="00F353A2">
              <w:rPr>
                <w:rFonts w:ascii="Montserrat" w:eastAsia="Times New Roman" w:hAnsi="Montserrat" w:cs="Arial"/>
                <w:b/>
                <w:bCs/>
                <w:color w:val="000000"/>
                <w:sz w:val="4"/>
                <w:szCs w:val="4"/>
                <w:lang w:val="es-MX" w:eastAsia="es-MX"/>
              </w:rPr>
              <w:t> </w:t>
            </w:r>
          </w:p>
        </w:tc>
      </w:tr>
      <w:tr w:rsidR="00F353A2" w:rsidRPr="00F353A2" w:rsidTr="00337B1D">
        <w:trPr>
          <w:trHeight w:val="270"/>
          <w:jc w:val="center"/>
        </w:trPr>
        <w:tc>
          <w:tcPr>
            <w:tcW w:w="3690" w:type="dxa"/>
            <w:tcBorders>
              <w:top w:val="nil"/>
              <w:left w:val="nil"/>
              <w:bottom w:val="nil"/>
              <w:right w:val="nil"/>
            </w:tcBorders>
            <w:shd w:val="clear" w:color="000000" w:fill="F2F2F2"/>
            <w:noWrap/>
            <w:vAlign w:val="center"/>
            <w:hideMark/>
          </w:tcPr>
          <w:p w:rsidR="00F353A2" w:rsidRPr="00F353A2" w:rsidRDefault="00F353A2" w:rsidP="00F353A2">
            <w:pPr>
              <w:spacing w:after="0" w:line="240" w:lineRule="auto"/>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Cámara de Diputados</w:t>
            </w:r>
          </w:p>
        </w:tc>
        <w:tc>
          <w:tcPr>
            <w:tcW w:w="1963" w:type="dxa"/>
            <w:tcBorders>
              <w:top w:val="nil"/>
              <w:left w:val="nil"/>
              <w:bottom w:val="nil"/>
              <w:right w:val="nil"/>
            </w:tcBorders>
            <w:shd w:val="clear" w:color="000000" w:fill="F2F2F2"/>
            <w:vAlign w:val="center"/>
            <w:hideMark/>
          </w:tcPr>
          <w:p w:rsidR="00F353A2" w:rsidRPr="00F353A2" w:rsidRDefault="00F353A2" w:rsidP="00F353A2">
            <w:pPr>
              <w:spacing w:after="0" w:line="240" w:lineRule="auto"/>
              <w:jc w:val="right"/>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1,277,544,554</w:t>
            </w:r>
          </w:p>
        </w:tc>
        <w:tc>
          <w:tcPr>
            <w:tcW w:w="1963" w:type="dxa"/>
            <w:tcBorders>
              <w:top w:val="nil"/>
              <w:left w:val="nil"/>
              <w:bottom w:val="nil"/>
              <w:right w:val="nil"/>
            </w:tcBorders>
            <w:shd w:val="clear" w:color="000000" w:fill="F2F2F2"/>
            <w:vAlign w:val="center"/>
            <w:hideMark/>
          </w:tcPr>
          <w:p w:rsidR="00F353A2" w:rsidRPr="00F353A2" w:rsidRDefault="00F353A2" w:rsidP="00F353A2">
            <w:pPr>
              <w:spacing w:after="0" w:line="240" w:lineRule="auto"/>
              <w:jc w:val="right"/>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465,319,862</w:t>
            </w:r>
          </w:p>
        </w:tc>
      </w:tr>
      <w:tr w:rsidR="00F353A2" w:rsidRPr="00F353A2" w:rsidTr="00337B1D">
        <w:trPr>
          <w:trHeight w:val="255"/>
          <w:jc w:val="center"/>
        </w:trPr>
        <w:tc>
          <w:tcPr>
            <w:tcW w:w="3690" w:type="dxa"/>
            <w:tcBorders>
              <w:top w:val="nil"/>
              <w:left w:val="nil"/>
              <w:bottom w:val="nil"/>
              <w:right w:val="nil"/>
            </w:tcBorders>
            <w:shd w:val="clear" w:color="000000" w:fill="F2F2F2"/>
            <w:noWrap/>
            <w:vAlign w:val="center"/>
            <w:hideMark/>
          </w:tcPr>
          <w:p w:rsidR="00F353A2" w:rsidRPr="00F353A2" w:rsidRDefault="00F353A2" w:rsidP="00F353A2">
            <w:pPr>
              <w:spacing w:after="0" w:line="240" w:lineRule="auto"/>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Cámara de Senadores</w:t>
            </w:r>
          </w:p>
        </w:tc>
        <w:tc>
          <w:tcPr>
            <w:tcW w:w="1963" w:type="dxa"/>
            <w:tcBorders>
              <w:top w:val="nil"/>
              <w:left w:val="nil"/>
              <w:bottom w:val="nil"/>
              <w:right w:val="nil"/>
            </w:tcBorders>
            <w:shd w:val="clear" w:color="000000" w:fill="F2F2F2"/>
            <w:vAlign w:val="center"/>
            <w:hideMark/>
          </w:tcPr>
          <w:p w:rsidR="00F353A2" w:rsidRPr="00F353A2" w:rsidRDefault="00F353A2" w:rsidP="00F353A2">
            <w:pPr>
              <w:spacing w:after="0" w:line="240" w:lineRule="auto"/>
              <w:jc w:val="right"/>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585,301,188</w:t>
            </w:r>
          </w:p>
        </w:tc>
        <w:tc>
          <w:tcPr>
            <w:tcW w:w="1963" w:type="dxa"/>
            <w:tcBorders>
              <w:top w:val="nil"/>
              <w:left w:val="nil"/>
              <w:bottom w:val="nil"/>
              <w:right w:val="nil"/>
            </w:tcBorders>
            <w:shd w:val="clear" w:color="000000" w:fill="F2F2F2"/>
            <w:vAlign w:val="center"/>
            <w:hideMark/>
          </w:tcPr>
          <w:p w:rsidR="00F353A2" w:rsidRPr="00F353A2" w:rsidRDefault="00F353A2" w:rsidP="00F353A2">
            <w:pPr>
              <w:spacing w:after="0" w:line="240" w:lineRule="auto"/>
              <w:jc w:val="right"/>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348,334,079</w:t>
            </w:r>
          </w:p>
        </w:tc>
      </w:tr>
      <w:tr w:rsidR="00F353A2" w:rsidRPr="00F353A2" w:rsidTr="00337B1D">
        <w:trPr>
          <w:trHeight w:val="255"/>
          <w:jc w:val="center"/>
        </w:trPr>
        <w:tc>
          <w:tcPr>
            <w:tcW w:w="3690" w:type="dxa"/>
            <w:tcBorders>
              <w:top w:val="nil"/>
              <w:left w:val="nil"/>
              <w:bottom w:val="nil"/>
              <w:right w:val="nil"/>
            </w:tcBorders>
            <w:shd w:val="clear" w:color="000000" w:fill="F2F2F2"/>
            <w:noWrap/>
            <w:vAlign w:val="center"/>
            <w:hideMark/>
          </w:tcPr>
          <w:p w:rsidR="00F353A2" w:rsidRPr="00F353A2" w:rsidRDefault="00F353A2" w:rsidP="00F353A2">
            <w:pPr>
              <w:spacing w:after="0" w:line="240" w:lineRule="auto"/>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Auditoría Superior de la Federación</w:t>
            </w:r>
          </w:p>
        </w:tc>
        <w:tc>
          <w:tcPr>
            <w:tcW w:w="1963" w:type="dxa"/>
            <w:tcBorders>
              <w:top w:val="nil"/>
              <w:left w:val="nil"/>
              <w:bottom w:val="nil"/>
              <w:right w:val="nil"/>
            </w:tcBorders>
            <w:shd w:val="clear" w:color="000000" w:fill="F2F2F2"/>
            <w:vAlign w:val="center"/>
            <w:hideMark/>
          </w:tcPr>
          <w:p w:rsidR="00F353A2" w:rsidRPr="00F353A2" w:rsidRDefault="00F353A2" w:rsidP="00F353A2">
            <w:pPr>
              <w:spacing w:after="0" w:line="240" w:lineRule="auto"/>
              <w:jc w:val="right"/>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515,324,128</w:t>
            </w:r>
          </w:p>
        </w:tc>
        <w:tc>
          <w:tcPr>
            <w:tcW w:w="1963" w:type="dxa"/>
            <w:tcBorders>
              <w:top w:val="nil"/>
              <w:left w:val="nil"/>
              <w:bottom w:val="nil"/>
              <w:right w:val="nil"/>
            </w:tcBorders>
            <w:shd w:val="clear" w:color="000000" w:fill="F2F2F2"/>
            <w:vAlign w:val="center"/>
            <w:hideMark/>
          </w:tcPr>
          <w:p w:rsidR="00F353A2" w:rsidRPr="00F353A2" w:rsidRDefault="00F353A2" w:rsidP="00F353A2">
            <w:pPr>
              <w:spacing w:after="0" w:line="240" w:lineRule="auto"/>
              <w:jc w:val="right"/>
              <w:rPr>
                <w:rFonts w:ascii="Montserrat" w:eastAsia="Times New Roman" w:hAnsi="Montserrat" w:cs="Arial"/>
                <w:color w:val="000000"/>
                <w:sz w:val="15"/>
                <w:szCs w:val="15"/>
                <w:lang w:val="es-MX" w:eastAsia="es-MX"/>
              </w:rPr>
            </w:pPr>
            <w:r w:rsidRPr="00F353A2">
              <w:rPr>
                <w:rFonts w:ascii="Montserrat" w:eastAsia="Times New Roman" w:hAnsi="Montserrat" w:cs="Arial"/>
                <w:color w:val="000000"/>
                <w:sz w:val="15"/>
                <w:szCs w:val="15"/>
                <w:lang w:val="es-MX" w:eastAsia="es-MX"/>
              </w:rPr>
              <w:t>504,579,306</w:t>
            </w:r>
          </w:p>
        </w:tc>
      </w:tr>
      <w:tr w:rsidR="00F353A2" w:rsidRPr="00F353A2" w:rsidTr="00337B1D">
        <w:trPr>
          <w:trHeight w:val="270"/>
          <w:jc w:val="center"/>
        </w:trPr>
        <w:tc>
          <w:tcPr>
            <w:tcW w:w="3690" w:type="dxa"/>
            <w:tcBorders>
              <w:top w:val="nil"/>
              <w:left w:val="nil"/>
              <w:bottom w:val="nil"/>
              <w:right w:val="nil"/>
            </w:tcBorders>
            <w:shd w:val="clear" w:color="000000" w:fill="F2F2F2"/>
            <w:noWrap/>
            <w:vAlign w:val="center"/>
            <w:hideMark/>
          </w:tcPr>
          <w:p w:rsidR="00F353A2" w:rsidRPr="00F353A2" w:rsidRDefault="00F353A2" w:rsidP="00F353A2">
            <w:pPr>
              <w:spacing w:after="0" w:line="240" w:lineRule="auto"/>
              <w:jc w:val="right"/>
              <w:rPr>
                <w:rFonts w:ascii="Montserrat" w:eastAsia="Times New Roman" w:hAnsi="Montserrat" w:cs="Arial"/>
                <w:b/>
                <w:bCs/>
                <w:color w:val="000000"/>
                <w:sz w:val="15"/>
                <w:szCs w:val="15"/>
                <w:lang w:val="es-MX" w:eastAsia="es-MX"/>
              </w:rPr>
            </w:pPr>
            <w:r w:rsidRPr="00F353A2">
              <w:rPr>
                <w:rFonts w:ascii="Montserrat" w:eastAsia="Times New Roman" w:hAnsi="Montserrat" w:cs="Arial"/>
                <w:b/>
                <w:bCs/>
                <w:color w:val="000000"/>
                <w:sz w:val="15"/>
                <w:szCs w:val="15"/>
                <w:lang w:val="es-MX" w:eastAsia="es-MX"/>
              </w:rPr>
              <w:t>Suma del Pasivo Circulante</w:t>
            </w:r>
          </w:p>
        </w:tc>
        <w:tc>
          <w:tcPr>
            <w:tcW w:w="1963" w:type="dxa"/>
            <w:tcBorders>
              <w:top w:val="nil"/>
              <w:left w:val="nil"/>
              <w:bottom w:val="nil"/>
              <w:right w:val="nil"/>
            </w:tcBorders>
            <w:shd w:val="clear" w:color="000000" w:fill="F2F2F2"/>
            <w:vAlign w:val="center"/>
            <w:hideMark/>
          </w:tcPr>
          <w:p w:rsidR="00F353A2" w:rsidRPr="000B1893" w:rsidRDefault="00F353A2" w:rsidP="00F353A2">
            <w:pPr>
              <w:spacing w:after="0" w:line="240" w:lineRule="auto"/>
              <w:jc w:val="right"/>
              <w:rPr>
                <w:rFonts w:ascii="Montserrat" w:eastAsia="Times New Roman" w:hAnsi="Montserrat" w:cs="Arial"/>
                <w:b/>
                <w:color w:val="000000"/>
                <w:sz w:val="15"/>
                <w:szCs w:val="15"/>
                <w:lang w:val="es-MX" w:eastAsia="es-MX"/>
              </w:rPr>
            </w:pPr>
            <w:r w:rsidRPr="000B1893">
              <w:rPr>
                <w:rFonts w:ascii="Montserrat" w:eastAsia="Times New Roman" w:hAnsi="Montserrat" w:cs="Arial"/>
                <w:b/>
                <w:color w:val="000000"/>
                <w:sz w:val="15"/>
                <w:szCs w:val="15"/>
                <w:lang w:val="es-MX" w:eastAsia="es-MX"/>
              </w:rPr>
              <w:t>2,378,169,870</w:t>
            </w:r>
          </w:p>
        </w:tc>
        <w:tc>
          <w:tcPr>
            <w:tcW w:w="1963" w:type="dxa"/>
            <w:tcBorders>
              <w:top w:val="nil"/>
              <w:left w:val="nil"/>
              <w:bottom w:val="nil"/>
              <w:right w:val="nil"/>
            </w:tcBorders>
            <w:shd w:val="clear" w:color="000000" w:fill="F2F2F2"/>
            <w:vAlign w:val="center"/>
            <w:hideMark/>
          </w:tcPr>
          <w:p w:rsidR="00F353A2" w:rsidRPr="000B1893" w:rsidRDefault="00F353A2" w:rsidP="00F353A2">
            <w:pPr>
              <w:spacing w:after="0" w:line="240" w:lineRule="auto"/>
              <w:jc w:val="right"/>
              <w:rPr>
                <w:rFonts w:ascii="Montserrat" w:eastAsia="Times New Roman" w:hAnsi="Montserrat" w:cs="Arial"/>
                <w:b/>
                <w:color w:val="000000"/>
                <w:sz w:val="15"/>
                <w:szCs w:val="15"/>
                <w:lang w:val="es-MX" w:eastAsia="es-MX"/>
              </w:rPr>
            </w:pPr>
            <w:r w:rsidRPr="000B1893">
              <w:rPr>
                <w:rFonts w:ascii="Montserrat" w:eastAsia="Times New Roman" w:hAnsi="Montserrat" w:cs="Arial"/>
                <w:b/>
                <w:color w:val="000000"/>
                <w:sz w:val="15"/>
                <w:szCs w:val="15"/>
                <w:lang w:val="es-MX" w:eastAsia="es-MX"/>
              </w:rPr>
              <w:t>1,318,233,247</w:t>
            </w:r>
          </w:p>
        </w:tc>
      </w:tr>
      <w:tr w:rsidR="00F353A2" w:rsidRPr="00F353A2" w:rsidTr="00337B1D">
        <w:trPr>
          <w:trHeight w:val="270"/>
          <w:jc w:val="center"/>
        </w:trPr>
        <w:tc>
          <w:tcPr>
            <w:tcW w:w="3690" w:type="dxa"/>
            <w:tcBorders>
              <w:top w:val="single" w:sz="12" w:space="0" w:color="808080"/>
              <w:left w:val="nil"/>
              <w:bottom w:val="nil"/>
              <w:right w:val="nil"/>
            </w:tcBorders>
            <w:shd w:val="clear" w:color="auto" w:fill="auto"/>
            <w:noWrap/>
            <w:vAlign w:val="center"/>
          </w:tcPr>
          <w:p w:rsidR="00F353A2" w:rsidRPr="00F353A2" w:rsidRDefault="00F353A2" w:rsidP="00F353A2">
            <w:pPr>
              <w:spacing w:after="0" w:line="240" w:lineRule="auto"/>
              <w:jc w:val="right"/>
              <w:rPr>
                <w:rFonts w:ascii="Soberana Sans Light" w:eastAsia="Times New Roman" w:hAnsi="Soberana Sans Light" w:cs="Arial"/>
                <w:b/>
                <w:bCs/>
                <w:color w:val="E26B0A"/>
                <w:sz w:val="16"/>
                <w:szCs w:val="16"/>
                <w:lang w:val="es-MX" w:eastAsia="es-MX"/>
              </w:rPr>
            </w:pPr>
          </w:p>
        </w:tc>
        <w:tc>
          <w:tcPr>
            <w:tcW w:w="1963" w:type="dxa"/>
            <w:tcBorders>
              <w:top w:val="single" w:sz="12" w:space="0" w:color="808080"/>
              <w:left w:val="nil"/>
              <w:bottom w:val="nil"/>
              <w:right w:val="nil"/>
            </w:tcBorders>
            <w:shd w:val="clear" w:color="auto" w:fill="auto"/>
            <w:noWrap/>
            <w:vAlign w:val="center"/>
          </w:tcPr>
          <w:p w:rsidR="00F353A2" w:rsidRPr="00F353A2" w:rsidRDefault="00F353A2" w:rsidP="00F353A2">
            <w:pPr>
              <w:spacing w:after="0" w:line="240" w:lineRule="auto"/>
              <w:jc w:val="right"/>
              <w:rPr>
                <w:rFonts w:ascii="Soberana Sans Light" w:eastAsia="Times New Roman" w:hAnsi="Soberana Sans Light" w:cs="Arial"/>
                <w:b/>
                <w:bCs/>
                <w:color w:val="E26B0A"/>
                <w:sz w:val="16"/>
                <w:szCs w:val="16"/>
                <w:lang w:val="es-MX" w:eastAsia="es-MX"/>
              </w:rPr>
            </w:pPr>
          </w:p>
        </w:tc>
        <w:tc>
          <w:tcPr>
            <w:tcW w:w="1963" w:type="dxa"/>
            <w:tcBorders>
              <w:top w:val="single" w:sz="12" w:space="0" w:color="808080"/>
              <w:left w:val="nil"/>
              <w:bottom w:val="nil"/>
              <w:right w:val="nil"/>
            </w:tcBorders>
            <w:shd w:val="clear" w:color="auto" w:fill="auto"/>
            <w:noWrap/>
            <w:vAlign w:val="center"/>
          </w:tcPr>
          <w:p w:rsidR="00F353A2" w:rsidRPr="00F353A2" w:rsidRDefault="00F353A2" w:rsidP="00F353A2">
            <w:pPr>
              <w:spacing w:after="0" w:line="240" w:lineRule="auto"/>
              <w:jc w:val="right"/>
              <w:rPr>
                <w:rFonts w:ascii="Soberana Sans Light" w:eastAsia="Times New Roman" w:hAnsi="Soberana Sans Light" w:cs="Arial"/>
                <w:b/>
                <w:bCs/>
                <w:color w:val="E26B0A"/>
                <w:sz w:val="16"/>
                <w:szCs w:val="16"/>
                <w:lang w:val="es-MX" w:eastAsia="es-MX"/>
              </w:rPr>
            </w:pPr>
          </w:p>
        </w:tc>
      </w:tr>
    </w:tbl>
    <w:p w:rsidR="00297378" w:rsidRPr="002C6D54" w:rsidRDefault="00297378" w:rsidP="00297378">
      <w:pPr>
        <w:pStyle w:val="VIETAFLECHA"/>
      </w:pPr>
      <w:r w:rsidRPr="002C6D54">
        <w:t>Pasivo No Circulante</w:t>
      </w:r>
    </w:p>
    <w:p w:rsidR="00297378" w:rsidRDefault="00297378" w:rsidP="002C6D54">
      <w:pPr>
        <w:pStyle w:val="TEXTONORMAL"/>
      </w:pPr>
      <w:r>
        <w:t>El Poder Legislativo no reporta información en el grupo de Pasivo No Circulante.</w:t>
      </w:r>
    </w:p>
    <w:p w:rsidR="00297378" w:rsidRDefault="00297378" w:rsidP="00297378">
      <w:pPr>
        <w:pStyle w:val="TEXTONORMAL"/>
      </w:pPr>
      <w:r>
        <w:t xml:space="preserve"> </w:t>
      </w:r>
    </w:p>
    <w:p w:rsidR="00297378" w:rsidRPr="00A80DC6" w:rsidRDefault="002C6D54" w:rsidP="00297378">
      <w:pPr>
        <w:pStyle w:val="TEXTONORMAL"/>
        <w:rPr>
          <w:b/>
        </w:rPr>
      </w:pPr>
      <w:r w:rsidRPr="00A80DC6">
        <w:rPr>
          <w:b/>
        </w:rPr>
        <w:t>NOTAS AL ESTADO DE ACTIVIDADES</w:t>
      </w:r>
    </w:p>
    <w:p w:rsidR="00297378" w:rsidRPr="002C6D54" w:rsidRDefault="00297378" w:rsidP="00297378">
      <w:pPr>
        <w:pStyle w:val="VIETAFLECHA"/>
      </w:pPr>
      <w:r w:rsidRPr="002C6D54">
        <w:t>Ingresos de Gestión</w:t>
      </w:r>
    </w:p>
    <w:p w:rsidR="00297378" w:rsidRDefault="00297378" w:rsidP="002C6D54">
      <w:pPr>
        <w:pStyle w:val="TEXTONORMAL"/>
      </w:pPr>
      <w:r>
        <w:t xml:space="preserve">El Poder Legislativo no reporta información en el grupo de ingresos de gestión. </w:t>
      </w:r>
    </w:p>
    <w:p w:rsidR="00A80DC6" w:rsidRDefault="00A80DC6" w:rsidP="00A80DC6">
      <w:pPr>
        <w:pStyle w:val="TEXTONORMAL"/>
        <w:ind w:firstLine="357"/>
      </w:pPr>
    </w:p>
    <w:p w:rsidR="00297378" w:rsidRPr="002C6D54" w:rsidRDefault="00297378" w:rsidP="00297378">
      <w:pPr>
        <w:pStyle w:val="VIETAFLECHA"/>
      </w:pPr>
      <w:r w:rsidRPr="002C6D54">
        <w:t>Participaciones, Aportaciones, Transferencias, Asignaciones, Subsidios y Otras Ayudas</w:t>
      </w:r>
    </w:p>
    <w:p w:rsidR="00297378" w:rsidRDefault="00297378" w:rsidP="002C6D54">
      <w:pPr>
        <w:pStyle w:val="TEXTONORMAL"/>
      </w:pPr>
      <w:r>
        <w:t>Se presenta la información consolidada de los entes públicos del Poder Legislativo que integra el grupo de Participaciones, Aportaciones, Transferencias, Asignaciones, Subsidios y Otras Ayudas:</w:t>
      </w:r>
    </w:p>
    <w:p w:rsidR="002C6D54" w:rsidRDefault="002C6D54" w:rsidP="002C6D54">
      <w:pPr>
        <w:pStyle w:val="TEXTONORMAL"/>
      </w:pPr>
    </w:p>
    <w:tbl>
      <w:tblPr>
        <w:tblW w:w="7649" w:type="dxa"/>
        <w:jc w:val="center"/>
        <w:tblCellMar>
          <w:left w:w="70" w:type="dxa"/>
          <w:right w:w="70" w:type="dxa"/>
        </w:tblCellMar>
        <w:tblLook w:val="04A0" w:firstRow="1" w:lastRow="0" w:firstColumn="1" w:lastColumn="0" w:noHBand="0" w:noVBand="1"/>
      </w:tblPr>
      <w:tblGrid>
        <w:gridCol w:w="5105"/>
        <w:gridCol w:w="1272"/>
        <w:gridCol w:w="1272"/>
      </w:tblGrid>
      <w:tr w:rsidR="00F75AE6" w:rsidRPr="00F75AE6" w:rsidTr="00337B1D">
        <w:trPr>
          <w:trHeight w:val="270"/>
          <w:jc w:val="center"/>
        </w:trPr>
        <w:tc>
          <w:tcPr>
            <w:tcW w:w="7649" w:type="dxa"/>
            <w:gridSpan w:val="3"/>
            <w:tcBorders>
              <w:top w:val="nil"/>
              <w:left w:val="nil"/>
              <w:bottom w:val="single" w:sz="12" w:space="0" w:color="808080"/>
              <w:right w:val="nil"/>
            </w:tcBorders>
            <w:shd w:val="clear" w:color="auto" w:fill="auto"/>
            <w:noWrap/>
            <w:vAlign w:val="center"/>
            <w:hideMark/>
          </w:tcPr>
          <w:p w:rsidR="00F75AE6" w:rsidRPr="00F75AE6" w:rsidRDefault="00F75AE6" w:rsidP="00F75AE6">
            <w:pPr>
              <w:spacing w:after="0" w:line="240" w:lineRule="auto"/>
              <w:jc w:val="center"/>
              <w:rPr>
                <w:rFonts w:ascii="Montserrat" w:eastAsia="Times New Roman" w:hAnsi="Montserrat" w:cs="Arial"/>
                <w:sz w:val="16"/>
                <w:szCs w:val="16"/>
                <w:lang w:val="es-MX" w:eastAsia="es-MX"/>
              </w:rPr>
            </w:pPr>
            <w:r w:rsidRPr="00F75AE6">
              <w:rPr>
                <w:rFonts w:ascii="Montserrat" w:eastAsia="Times New Roman" w:hAnsi="Montserrat" w:cs="Arial"/>
                <w:sz w:val="16"/>
                <w:szCs w:val="16"/>
                <w:lang w:val="es-MX" w:eastAsia="es-MX"/>
              </w:rPr>
              <w:lastRenderedPageBreak/>
              <w:t>(Pesos)</w:t>
            </w:r>
          </w:p>
        </w:tc>
      </w:tr>
      <w:tr w:rsidR="00F75AE6" w:rsidRPr="00F75AE6" w:rsidTr="00337B1D">
        <w:trPr>
          <w:trHeight w:val="15"/>
          <w:jc w:val="center"/>
        </w:trPr>
        <w:tc>
          <w:tcPr>
            <w:tcW w:w="7649" w:type="dxa"/>
            <w:gridSpan w:val="3"/>
            <w:tcBorders>
              <w:top w:val="single" w:sz="12" w:space="0" w:color="808080"/>
              <w:left w:val="nil"/>
              <w:bottom w:val="nil"/>
              <w:right w:val="nil"/>
            </w:tcBorders>
            <w:shd w:val="clear" w:color="auto" w:fill="auto"/>
            <w:vAlign w:val="center"/>
            <w:hideMark/>
          </w:tcPr>
          <w:p w:rsidR="00F75AE6" w:rsidRPr="00F75AE6" w:rsidRDefault="00F75AE6" w:rsidP="00D36914">
            <w:pPr>
              <w:spacing w:after="0" w:line="240" w:lineRule="auto"/>
              <w:rPr>
                <w:rFonts w:ascii="Montserrat" w:eastAsia="Times New Roman" w:hAnsi="Montserrat" w:cs="Arial"/>
                <w:b/>
                <w:bCs/>
                <w:color w:val="000000"/>
                <w:sz w:val="10"/>
                <w:szCs w:val="10"/>
                <w:lang w:val="es-MX" w:eastAsia="es-MX"/>
              </w:rPr>
            </w:pPr>
          </w:p>
        </w:tc>
      </w:tr>
      <w:tr w:rsidR="00F75AE6" w:rsidRPr="00F75AE6" w:rsidTr="00337B1D">
        <w:trPr>
          <w:trHeight w:val="255"/>
          <w:jc w:val="center"/>
        </w:trPr>
        <w:tc>
          <w:tcPr>
            <w:tcW w:w="5105" w:type="dxa"/>
            <w:tcBorders>
              <w:top w:val="nil"/>
              <w:left w:val="nil"/>
              <w:bottom w:val="nil"/>
              <w:right w:val="single" w:sz="8" w:space="0" w:color="FFFFFF"/>
            </w:tcBorders>
            <w:shd w:val="clear" w:color="000000" w:fill="D4C19C"/>
            <w:vAlign w:val="center"/>
            <w:hideMark/>
          </w:tcPr>
          <w:p w:rsidR="00F75AE6" w:rsidRPr="00F75AE6" w:rsidRDefault="00F75AE6" w:rsidP="00F75AE6">
            <w:pPr>
              <w:spacing w:after="0" w:line="240" w:lineRule="auto"/>
              <w:jc w:val="center"/>
              <w:rPr>
                <w:rFonts w:ascii="Montserrat" w:eastAsia="Times New Roman" w:hAnsi="Montserrat" w:cs="Arial"/>
                <w:b/>
                <w:bCs/>
                <w:color w:val="FFFFFF"/>
                <w:sz w:val="16"/>
                <w:szCs w:val="16"/>
                <w:lang w:val="es-MX" w:eastAsia="es-MX"/>
              </w:rPr>
            </w:pPr>
            <w:r w:rsidRPr="00F75AE6">
              <w:rPr>
                <w:rFonts w:ascii="Montserrat" w:eastAsia="Times New Roman" w:hAnsi="Montserrat" w:cs="Arial"/>
                <w:b/>
                <w:bCs/>
                <w:color w:val="FFFFFF"/>
                <w:sz w:val="16"/>
                <w:szCs w:val="16"/>
                <w:lang w:val="es-MX" w:eastAsia="es-MX"/>
              </w:rPr>
              <w:t>Concepto</w:t>
            </w:r>
          </w:p>
        </w:tc>
        <w:tc>
          <w:tcPr>
            <w:tcW w:w="1272" w:type="dxa"/>
            <w:tcBorders>
              <w:top w:val="nil"/>
              <w:left w:val="nil"/>
              <w:bottom w:val="nil"/>
              <w:right w:val="single" w:sz="8" w:space="0" w:color="FFFFFF"/>
            </w:tcBorders>
            <w:shd w:val="clear" w:color="000000" w:fill="D4C19C"/>
            <w:vAlign w:val="center"/>
            <w:hideMark/>
          </w:tcPr>
          <w:p w:rsidR="00F75AE6" w:rsidRPr="00F75AE6" w:rsidRDefault="00F75AE6" w:rsidP="00F75AE6">
            <w:pPr>
              <w:spacing w:after="0" w:line="240" w:lineRule="auto"/>
              <w:jc w:val="center"/>
              <w:rPr>
                <w:rFonts w:ascii="Montserrat" w:eastAsia="Times New Roman" w:hAnsi="Montserrat" w:cs="Arial"/>
                <w:b/>
                <w:bCs/>
                <w:color w:val="FFFFFF"/>
                <w:sz w:val="16"/>
                <w:szCs w:val="16"/>
                <w:lang w:val="es-MX" w:eastAsia="es-MX"/>
              </w:rPr>
            </w:pPr>
            <w:r w:rsidRPr="00F75AE6">
              <w:rPr>
                <w:rFonts w:ascii="Montserrat" w:eastAsia="Times New Roman" w:hAnsi="Montserrat" w:cs="Arial"/>
                <w:b/>
                <w:bCs/>
                <w:color w:val="FFFFFF"/>
                <w:sz w:val="16"/>
                <w:szCs w:val="16"/>
                <w:lang w:val="es-MX" w:eastAsia="es-MX"/>
              </w:rPr>
              <w:t>2018</w:t>
            </w:r>
          </w:p>
        </w:tc>
        <w:tc>
          <w:tcPr>
            <w:tcW w:w="1272" w:type="dxa"/>
            <w:tcBorders>
              <w:top w:val="nil"/>
              <w:left w:val="nil"/>
              <w:bottom w:val="nil"/>
              <w:right w:val="single" w:sz="8" w:space="0" w:color="FFFFFF"/>
            </w:tcBorders>
            <w:shd w:val="clear" w:color="000000" w:fill="D4C19C"/>
            <w:vAlign w:val="center"/>
            <w:hideMark/>
          </w:tcPr>
          <w:p w:rsidR="00F75AE6" w:rsidRPr="00F75AE6" w:rsidRDefault="00F75AE6" w:rsidP="00F75AE6">
            <w:pPr>
              <w:spacing w:after="0" w:line="240" w:lineRule="auto"/>
              <w:jc w:val="center"/>
              <w:rPr>
                <w:rFonts w:ascii="Montserrat" w:eastAsia="Times New Roman" w:hAnsi="Montserrat" w:cs="Arial"/>
                <w:b/>
                <w:bCs/>
                <w:color w:val="FFFFFF"/>
                <w:sz w:val="16"/>
                <w:szCs w:val="16"/>
                <w:lang w:val="es-MX" w:eastAsia="es-MX"/>
              </w:rPr>
            </w:pPr>
            <w:r w:rsidRPr="00F75AE6">
              <w:rPr>
                <w:rFonts w:ascii="Montserrat" w:eastAsia="Times New Roman" w:hAnsi="Montserrat" w:cs="Arial"/>
                <w:b/>
                <w:bCs/>
                <w:color w:val="FFFFFF"/>
                <w:sz w:val="16"/>
                <w:szCs w:val="16"/>
                <w:lang w:val="es-MX" w:eastAsia="es-MX"/>
              </w:rPr>
              <w:t>2017</w:t>
            </w:r>
          </w:p>
        </w:tc>
      </w:tr>
      <w:tr w:rsidR="00F75AE6" w:rsidRPr="00F75AE6" w:rsidTr="00D36914">
        <w:trPr>
          <w:trHeight w:val="53"/>
          <w:jc w:val="center"/>
        </w:trPr>
        <w:tc>
          <w:tcPr>
            <w:tcW w:w="7649" w:type="dxa"/>
            <w:gridSpan w:val="3"/>
            <w:tcBorders>
              <w:top w:val="nil"/>
              <w:left w:val="nil"/>
              <w:bottom w:val="double" w:sz="6" w:space="0" w:color="808080"/>
              <w:right w:val="nil"/>
            </w:tcBorders>
            <w:shd w:val="clear" w:color="auto" w:fill="auto"/>
            <w:vAlign w:val="center"/>
            <w:hideMark/>
          </w:tcPr>
          <w:p w:rsidR="00F75AE6" w:rsidRPr="00F75AE6" w:rsidRDefault="00F75AE6" w:rsidP="00F75AE6">
            <w:pPr>
              <w:spacing w:after="0" w:line="240" w:lineRule="auto"/>
              <w:jc w:val="center"/>
              <w:rPr>
                <w:rFonts w:ascii="Montserrat" w:eastAsia="Times New Roman" w:hAnsi="Montserrat" w:cs="Arial"/>
                <w:b/>
                <w:bCs/>
                <w:color w:val="000000"/>
                <w:sz w:val="4"/>
                <w:szCs w:val="4"/>
                <w:lang w:val="es-MX" w:eastAsia="es-MX"/>
              </w:rPr>
            </w:pPr>
            <w:r w:rsidRPr="00F75AE6">
              <w:rPr>
                <w:rFonts w:ascii="Montserrat" w:eastAsia="Times New Roman" w:hAnsi="Montserrat" w:cs="Arial"/>
                <w:b/>
                <w:bCs/>
                <w:color w:val="000000"/>
                <w:sz w:val="4"/>
                <w:szCs w:val="4"/>
                <w:lang w:val="es-MX" w:eastAsia="es-MX"/>
              </w:rPr>
              <w:t> </w:t>
            </w:r>
          </w:p>
        </w:tc>
      </w:tr>
      <w:tr w:rsidR="00F75AE6" w:rsidRPr="00F75AE6" w:rsidTr="00337B1D">
        <w:trPr>
          <w:trHeight w:val="270"/>
          <w:jc w:val="center"/>
        </w:trPr>
        <w:tc>
          <w:tcPr>
            <w:tcW w:w="5105"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Cámara de Diputados</w:t>
            </w:r>
          </w:p>
        </w:tc>
        <w:tc>
          <w:tcPr>
            <w:tcW w:w="1272"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8,439,435,153</w:t>
            </w:r>
          </w:p>
        </w:tc>
        <w:tc>
          <w:tcPr>
            <w:tcW w:w="1272"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7,709,432,185</w:t>
            </w:r>
          </w:p>
        </w:tc>
      </w:tr>
      <w:tr w:rsidR="00F75AE6" w:rsidRPr="00F75AE6" w:rsidTr="00337B1D">
        <w:trPr>
          <w:trHeight w:val="255"/>
          <w:jc w:val="center"/>
        </w:trPr>
        <w:tc>
          <w:tcPr>
            <w:tcW w:w="5105"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Cámara de Senadores</w:t>
            </w:r>
          </w:p>
        </w:tc>
        <w:tc>
          <w:tcPr>
            <w:tcW w:w="1272"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4,622,557,516</w:t>
            </w:r>
          </w:p>
        </w:tc>
        <w:tc>
          <w:tcPr>
            <w:tcW w:w="1272"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4,541,972,587</w:t>
            </w:r>
          </w:p>
        </w:tc>
      </w:tr>
      <w:tr w:rsidR="00F75AE6" w:rsidRPr="00F75AE6" w:rsidTr="00337B1D">
        <w:trPr>
          <w:trHeight w:val="255"/>
          <w:jc w:val="center"/>
        </w:trPr>
        <w:tc>
          <w:tcPr>
            <w:tcW w:w="5105"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Auditoría Superior de la Federación</w:t>
            </w:r>
          </w:p>
        </w:tc>
        <w:tc>
          <w:tcPr>
            <w:tcW w:w="1272"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2,340,502,501</w:t>
            </w:r>
          </w:p>
        </w:tc>
        <w:tc>
          <w:tcPr>
            <w:tcW w:w="1272"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2,494,674,599</w:t>
            </w:r>
          </w:p>
        </w:tc>
      </w:tr>
      <w:tr w:rsidR="00F75AE6" w:rsidRPr="00F75AE6" w:rsidTr="00337B1D">
        <w:trPr>
          <w:trHeight w:val="270"/>
          <w:jc w:val="center"/>
        </w:trPr>
        <w:tc>
          <w:tcPr>
            <w:tcW w:w="5105"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jc w:val="right"/>
              <w:rPr>
                <w:rFonts w:ascii="Montserrat" w:eastAsia="Times New Roman" w:hAnsi="Montserrat" w:cs="Arial"/>
                <w:b/>
                <w:bCs/>
                <w:color w:val="000000"/>
                <w:sz w:val="15"/>
                <w:szCs w:val="15"/>
                <w:lang w:val="es-MX" w:eastAsia="es-MX"/>
              </w:rPr>
            </w:pPr>
            <w:r w:rsidRPr="00F75AE6">
              <w:rPr>
                <w:rFonts w:ascii="Montserrat" w:eastAsia="Times New Roman" w:hAnsi="Montserrat" w:cs="Arial"/>
                <w:b/>
                <w:bCs/>
                <w:color w:val="000000"/>
                <w:sz w:val="15"/>
                <w:szCs w:val="15"/>
                <w:lang w:val="es-MX" w:eastAsia="es-MX"/>
              </w:rPr>
              <w:t>Suma de Participaciones, Aportaciones, Transferencias, Asignaciones, Subsidios y Otras Ayudas</w:t>
            </w:r>
          </w:p>
        </w:tc>
        <w:tc>
          <w:tcPr>
            <w:tcW w:w="1272"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b/>
                <w:color w:val="000000"/>
                <w:sz w:val="15"/>
                <w:szCs w:val="15"/>
                <w:lang w:val="es-MX" w:eastAsia="es-MX"/>
              </w:rPr>
            </w:pPr>
            <w:r w:rsidRPr="00F75AE6">
              <w:rPr>
                <w:rFonts w:ascii="Montserrat" w:eastAsia="Times New Roman" w:hAnsi="Montserrat" w:cs="Arial"/>
                <w:b/>
                <w:color w:val="000000"/>
                <w:sz w:val="15"/>
                <w:szCs w:val="15"/>
                <w:lang w:val="es-MX" w:eastAsia="es-MX"/>
              </w:rPr>
              <w:t>15,402,495,170</w:t>
            </w:r>
          </w:p>
        </w:tc>
        <w:tc>
          <w:tcPr>
            <w:tcW w:w="1272"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b/>
                <w:color w:val="000000"/>
                <w:sz w:val="15"/>
                <w:szCs w:val="15"/>
                <w:lang w:val="es-MX" w:eastAsia="es-MX"/>
              </w:rPr>
            </w:pPr>
            <w:r w:rsidRPr="00F75AE6">
              <w:rPr>
                <w:rFonts w:ascii="Montserrat" w:eastAsia="Times New Roman" w:hAnsi="Montserrat" w:cs="Arial"/>
                <w:b/>
                <w:color w:val="000000"/>
                <w:sz w:val="15"/>
                <w:szCs w:val="15"/>
                <w:lang w:val="es-MX" w:eastAsia="es-MX"/>
              </w:rPr>
              <w:t>14,746,079,371</w:t>
            </w:r>
          </w:p>
        </w:tc>
      </w:tr>
      <w:tr w:rsidR="00F75AE6" w:rsidRPr="00F75AE6" w:rsidTr="00337B1D">
        <w:trPr>
          <w:trHeight w:val="270"/>
          <w:jc w:val="center"/>
        </w:trPr>
        <w:tc>
          <w:tcPr>
            <w:tcW w:w="5105" w:type="dxa"/>
            <w:tcBorders>
              <w:top w:val="single" w:sz="12" w:space="0" w:color="808080"/>
              <w:left w:val="nil"/>
              <w:bottom w:val="nil"/>
              <w:right w:val="nil"/>
            </w:tcBorders>
            <w:shd w:val="clear" w:color="auto" w:fill="auto"/>
            <w:noWrap/>
            <w:vAlign w:val="center"/>
          </w:tcPr>
          <w:p w:rsidR="00F75AE6" w:rsidRPr="00F75AE6" w:rsidRDefault="00F75AE6" w:rsidP="00F75AE6">
            <w:pPr>
              <w:spacing w:after="0" w:line="240" w:lineRule="auto"/>
              <w:jc w:val="right"/>
              <w:rPr>
                <w:rFonts w:ascii="Soberana Sans Light" w:eastAsia="Times New Roman" w:hAnsi="Soberana Sans Light" w:cs="Arial"/>
                <w:b/>
                <w:bCs/>
                <w:color w:val="E26B0A"/>
                <w:sz w:val="16"/>
                <w:szCs w:val="16"/>
                <w:lang w:val="es-MX" w:eastAsia="es-MX"/>
              </w:rPr>
            </w:pPr>
          </w:p>
        </w:tc>
        <w:tc>
          <w:tcPr>
            <w:tcW w:w="1272" w:type="dxa"/>
            <w:tcBorders>
              <w:top w:val="single" w:sz="12" w:space="0" w:color="808080"/>
              <w:left w:val="nil"/>
              <w:bottom w:val="nil"/>
              <w:right w:val="nil"/>
            </w:tcBorders>
            <w:shd w:val="clear" w:color="auto" w:fill="auto"/>
            <w:noWrap/>
            <w:vAlign w:val="center"/>
          </w:tcPr>
          <w:p w:rsidR="00F75AE6" w:rsidRPr="00F75AE6" w:rsidRDefault="00F75AE6" w:rsidP="00F75AE6">
            <w:pPr>
              <w:spacing w:after="0" w:line="240" w:lineRule="auto"/>
              <w:jc w:val="right"/>
              <w:rPr>
                <w:rFonts w:ascii="Soberana Sans Light" w:eastAsia="Times New Roman" w:hAnsi="Soberana Sans Light" w:cs="Arial"/>
                <w:b/>
                <w:bCs/>
                <w:color w:val="E26B0A"/>
                <w:sz w:val="16"/>
                <w:szCs w:val="16"/>
                <w:lang w:val="es-MX" w:eastAsia="es-MX"/>
              </w:rPr>
            </w:pPr>
          </w:p>
        </w:tc>
        <w:tc>
          <w:tcPr>
            <w:tcW w:w="1272" w:type="dxa"/>
            <w:tcBorders>
              <w:top w:val="single" w:sz="12" w:space="0" w:color="808080"/>
              <w:left w:val="nil"/>
              <w:bottom w:val="nil"/>
              <w:right w:val="nil"/>
            </w:tcBorders>
            <w:shd w:val="clear" w:color="auto" w:fill="auto"/>
            <w:noWrap/>
            <w:vAlign w:val="center"/>
          </w:tcPr>
          <w:p w:rsidR="00F75AE6" w:rsidRPr="00F75AE6" w:rsidRDefault="00F75AE6" w:rsidP="00F75AE6">
            <w:pPr>
              <w:spacing w:after="0" w:line="240" w:lineRule="auto"/>
              <w:jc w:val="right"/>
              <w:rPr>
                <w:rFonts w:ascii="Soberana Sans Light" w:eastAsia="Times New Roman" w:hAnsi="Soberana Sans Light" w:cs="Arial"/>
                <w:b/>
                <w:bCs/>
                <w:color w:val="E26B0A"/>
                <w:sz w:val="16"/>
                <w:szCs w:val="16"/>
                <w:lang w:val="es-MX" w:eastAsia="es-MX"/>
              </w:rPr>
            </w:pPr>
          </w:p>
        </w:tc>
      </w:tr>
    </w:tbl>
    <w:p w:rsidR="00337B1D" w:rsidRDefault="00337B1D" w:rsidP="00337B1D">
      <w:pPr>
        <w:pStyle w:val="VIETAFLECHA"/>
        <w:numPr>
          <w:ilvl w:val="0"/>
          <w:numId w:val="0"/>
        </w:numPr>
        <w:ind w:left="357"/>
        <w:rPr>
          <w:b/>
        </w:rPr>
      </w:pPr>
    </w:p>
    <w:p w:rsidR="00297378" w:rsidRPr="002C6D54" w:rsidRDefault="00297378" w:rsidP="00297378">
      <w:pPr>
        <w:pStyle w:val="VIETAFLECHA"/>
      </w:pPr>
      <w:r w:rsidRPr="002C6D54">
        <w:t>Otros Ingresos y Beneficios</w:t>
      </w:r>
    </w:p>
    <w:p w:rsidR="00297378" w:rsidRDefault="00297378" w:rsidP="002C6D54">
      <w:pPr>
        <w:pStyle w:val="TEXTONORMAL"/>
      </w:pPr>
      <w:r>
        <w:t>Se presenta la información consolidada de los entes públicos del Poder Legislativo que integra el grupo de Otros Ingresos y Beneficios:</w:t>
      </w:r>
    </w:p>
    <w:tbl>
      <w:tblPr>
        <w:tblW w:w="7616" w:type="dxa"/>
        <w:jc w:val="center"/>
        <w:tblCellMar>
          <w:left w:w="70" w:type="dxa"/>
          <w:right w:w="70" w:type="dxa"/>
        </w:tblCellMar>
        <w:tblLook w:val="04A0" w:firstRow="1" w:lastRow="0" w:firstColumn="1" w:lastColumn="0" w:noHBand="0" w:noVBand="1"/>
      </w:tblPr>
      <w:tblGrid>
        <w:gridCol w:w="3862"/>
        <w:gridCol w:w="1877"/>
        <w:gridCol w:w="1877"/>
      </w:tblGrid>
      <w:tr w:rsidR="00F75AE6" w:rsidRPr="00F75AE6" w:rsidTr="00337B1D">
        <w:trPr>
          <w:trHeight w:val="270"/>
          <w:jc w:val="center"/>
        </w:trPr>
        <w:tc>
          <w:tcPr>
            <w:tcW w:w="7616" w:type="dxa"/>
            <w:gridSpan w:val="3"/>
            <w:tcBorders>
              <w:top w:val="nil"/>
              <w:left w:val="nil"/>
              <w:bottom w:val="single" w:sz="12" w:space="0" w:color="808080"/>
              <w:right w:val="nil"/>
            </w:tcBorders>
            <w:shd w:val="clear" w:color="auto" w:fill="auto"/>
            <w:noWrap/>
            <w:vAlign w:val="center"/>
            <w:hideMark/>
          </w:tcPr>
          <w:p w:rsidR="00F75AE6" w:rsidRPr="00F75AE6" w:rsidRDefault="00F75AE6" w:rsidP="00F75AE6">
            <w:pPr>
              <w:spacing w:after="0" w:line="240" w:lineRule="auto"/>
              <w:jc w:val="center"/>
              <w:rPr>
                <w:rFonts w:ascii="Montserrat" w:eastAsia="Times New Roman" w:hAnsi="Montserrat" w:cs="Arial"/>
                <w:sz w:val="16"/>
                <w:szCs w:val="16"/>
                <w:lang w:val="es-MX" w:eastAsia="es-MX"/>
              </w:rPr>
            </w:pPr>
            <w:r w:rsidRPr="00F75AE6">
              <w:rPr>
                <w:rFonts w:ascii="Montserrat" w:eastAsia="Times New Roman" w:hAnsi="Montserrat" w:cs="Arial"/>
                <w:sz w:val="16"/>
                <w:szCs w:val="16"/>
                <w:lang w:val="es-MX" w:eastAsia="es-MX"/>
              </w:rPr>
              <w:t>(Pesos)</w:t>
            </w:r>
          </w:p>
        </w:tc>
      </w:tr>
      <w:tr w:rsidR="00F75AE6" w:rsidRPr="00F75AE6" w:rsidTr="00337B1D">
        <w:trPr>
          <w:trHeight w:val="15"/>
          <w:jc w:val="center"/>
        </w:trPr>
        <w:tc>
          <w:tcPr>
            <w:tcW w:w="7616" w:type="dxa"/>
            <w:gridSpan w:val="3"/>
            <w:tcBorders>
              <w:top w:val="single" w:sz="12" w:space="0" w:color="808080"/>
              <w:left w:val="nil"/>
              <w:bottom w:val="nil"/>
              <w:right w:val="nil"/>
            </w:tcBorders>
            <w:shd w:val="clear" w:color="auto" w:fill="auto"/>
            <w:vAlign w:val="center"/>
            <w:hideMark/>
          </w:tcPr>
          <w:p w:rsidR="00F75AE6" w:rsidRPr="00F75AE6" w:rsidRDefault="00F75AE6" w:rsidP="00F75AE6">
            <w:pPr>
              <w:spacing w:after="0" w:line="240" w:lineRule="auto"/>
              <w:jc w:val="center"/>
              <w:rPr>
                <w:rFonts w:ascii="Montserrat" w:eastAsia="Times New Roman" w:hAnsi="Montserrat" w:cs="Arial"/>
                <w:b/>
                <w:bCs/>
                <w:color w:val="000000"/>
                <w:sz w:val="10"/>
                <w:szCs w:val="10"/>
                <w:lang w:val="es-MX" w:eastAsia="es-MX"/>
              </w:rPr>
            </w:pPr>
          </w:p>
        </w:tc>
      </w:tr>
      <w:tr w:rsidR="00F75AE6" w:rsidRPr="00F75AE6" w:rsidTr="00337B1D">
        <w:trPr>
          <w:trHeight w:val="255"/>
          <w:jc w:val="center"/>
        </w:trPr>
        <w:tc>
          <w:tcPr>
            <w:tcW w:w="3862" w:type="dxa"/>
            <w:tcBorders>
              <w:top w:val="nil"/>
              <w:left w:val="nil"/>
              <w:bottom w:val="nil"/>
              <w:right w:val="single" w:sz="8" w:space="0" w:color="FFFFFF"/>
            </w:tcBorders>
            <w:shd w:val="clear" w:color="000000" w:fill="D4C19C"/>
            <w:vAlign w:val="center"/>
            <w:hideMark/>
          </w:tcPr>
          <w:p w:rsidR="00F75AE6" w:rsidRPr="00F75AE6" w:rsidRDefault="00F75AE6" w:rsidP="00F75AE6">
            <w:pPr>
              <w:spacing w:after="0" w:line="240" w:lineRule="auto"/>
              <w:jc w:val="center"/>
              <w:rPr>
                <w:rFonts w:ascii="Montserrat" w:eastAsia="Times New Roman" w:hAnsi="Montserrat" w:cs="Arial"/>
                <w:b/>
                <w:bCs/>
                <w:color w:val="FFFFFF"/>
                <w:sz w:val="16"/>
                <w:szCs w:val="16"/>
                <w:lang w:val="es-MX" w:eastAsia="es-MX"/>
              </w:rPr>
            </w:pPr>
            <w:r w:rsidRPr="00F75AE6">
              <w:rPr>
                <w:rFonts w:ascii="Montserrat" w:eastAsia="Times New Roman" w:hAnsi="Montserrat" w:cs="Arial"/>
                <w:b/>
                <w:bCs/>
                <w:color w:val="FFFFFF"/>
                <w:sz w:val="16"/>
                <w:szCs w:val="16"/>
                <w:lang w:val="es-MX" w:eastAsia="es-MX"/>
              </w:rPr>
              <w:t>Concepto</w:t>
            </w:r>
          </w:p>
        </w:tc>
        <w:tc>
          <w:tcPr>
            <w:tcW w:w="1877" w:type="dxa"/>
            <w:tcBorders>
              <w:top w:val="nil"/>
              <w:left w:val="nil"/>
              <w:bottom w:val="nil"/>
              <w:right w:val="single" w:sz="8" w:space="0" w:color="FFFFFF"/>
            </w:tcBorders>
            <w:shd w:val="clear" w:color="000000" w:fill="D4C19C"/>
            <w:vAlign w:val="center"/>
            <w:hideMark/>
          </w:tcPr>
          <w:p w:rsidR="00F75AE6" w:rsidRPr="00F75AE6" w:rsidRDefault="00F75AE6" w:rsidP="00F75AE6">
            <w:pPr>
              <w:spacing w:after="0" w:line="240" w:lineRule="auto"/>
              <w:jc w:val="center"/>
              <w:rPr>
                <w:rFonts w:ascii="Montserrat" w:eastAsia="Times New Roman" w:hAnsi="Montserrat" w:cs="Arial"/>
                <w:b/>
                <w:bCs/>
                <w:color w:val="FFFFFF"/>
                <w:sz w:val="16"/>
                <w:szCs w:val="16"/>
                <w:lang w:val="es-MX" w:eastAsia="es-MX"/>
              </w:rPr>
            </w:pPr>
            <w:r w:rsidRPr="00F75AE6">
              <w:rPr>
                <w:rFonts w:ascii="Montserrat" w:eastAsia="Times New Roman" w:hAnsi="Montserrat" w:cs="Arial"/>
                <w:b/>
                <w:bCs/>
                <w:color w:val="FFFFFF"/>
                <w:sz w:val="16"/>
                <w:szCs w:val="16"/>
                <w:lang w:val="es-MX" w:eastAsia="es-MX"/>
              </w:rPr>
              <w:t>2018</w:t>
            </w:r>
          </w:p>
        </w:tc>
        <w:tc>
          <w:tcPr>
            <w:tcW w:w="1877" w:type="dxa"/>
            <w:tcBorders>
              <w:top w:val="nil"/>
              <w:left w:val="nil"/>
              <w:bottom w:val="nil"/>
              <w:right w:val="single" w:sz="8" w:space="0" w:color="FFFFFF"/>
            </w:tcBorders>
            <w:shd w:val="clear" w:color="000000" w:fill="D4C19C"/>
            <w:vAlign w:val="center"/>
            <w:hideMark/>
          </w:tcPr>
          <w:p w:rsidR="00F75AE6" w:rsidRPr="00F75AE6" w:rsidRDefault="00F75AE6" w:rsidP="00F75AE6">
            <w:pPr>
              <w:spacing w:after="0" w:line="240" w:lineRule="auto"/>
              <w:jc w:val="center"/>
              <w:rPr>
                <w:rFonts w:ascii="Montserrat" w:eastAsia="Times New Roman" w:hAnsi="Montserrat" w:cs="Arial"/>
                <w:b/>
                <w:bCs/>
                <w:color w:val="FFFFFF"/>
                <w:sz w:val="16"/>
                <w:szCs w:val="16"/>
                <w:lang w:val="es-MX" w:eastAsia="es-MX"/>
              </w:rPr>
            </w:pPr>
            <w:r w:rsidRPr="00F75AE6">
              <w:rPr>
                <w:rFonts w:ascii="Montserrat" w:eastAsia="Times New Roman" w:hAnsi="Montserrat" w:cs="Arial"/>
                <w:b/>
                <w:bCs/>
                <w:color w:val="FFFFFF"/>
                <w:sz w:val="16"/>
                <w:szCs w:val="16"/>
                <w:lang w:val="es-MX" w:eastAsia="es-MX"/>
              </w:rPr>
              <w:t>2017</w:t>
            </w:r>
          </w:p>
        </w:tc>
      </w:tr>
      <w:tr w:rsidR="00F75AE6" w:rsidRPr="00F75AE6" w:rsidTr="00D36914">
        <w:trPr>
          <w:trHeight w:val="53"/>
          <w:jc w:val="center"/>
        </w:trPr>
        <w:tc>
          <w:tcPr>
            <w:tcW w:w="7616" w:type="dxa"/>
            <w:gridSpan w:val="3"/>
            <w:tcBorders>
              <w:top w:val="nil"/>
              <w:left w:val="nil"/>
              <w:bottom w:val="double" w:sz="6" w:space="0" w:color="808080"/>
              <w:right w:val="nil"/>
            </w:tcBorders>
            <w:shd w:val="clear" w:color="auto" w:fill="auto"/>
            <w:vAlign w:val="center"/>
            <w:hideMark/>
          </w:tcPr>
          <w:p w:rsidR="00F75AE6" w:rsidRPr="00F75AE6" w:rsidRDefault="00F75AE6" w:rsidP="00F75AE6">
            <w:pPr>
              <w:spacing w:after="0" w:line="240" w:lineRule="auto"/>
              <w:jc w:val="center"/>
              <w:rPr>
                <w:rFonts w:ascii="Montserrat" w:eastAsia="Times New Roman" w:hAnsi="Montserrat" w:cs="Arial"/>
                <w:b/>
                <w:bCs/>
                <w:color w:val="000000"/>
                <w:sz w:val="4"/>
                <w:szCs w:val="4"/>
                <w:lang w:val="es-MX" w:eastAsia="es-MX"/>
              </w:rPr>
            </w:pPr>
            <w:r w:rsidRPr="00F75AE6">
              <w:rPr>
                <w:rFonts w:ascii="Montserrat" w:eastAsia="Times New Roman" w:hAnsi="Montserrat" w:cs="Arial"/>
                <w:b/>
                <w:bCs/>
                <w:color w:val="000000"/>
                <w:sz w:val="4"/>
                <w:szCs w:val="4"/>
                <w:lang w:val="es-MX" w:eastAsia="es-MX"/>
              </w:rPr>
              <w:t> </w:t>
            </w:r>
          </w:p>
        </w:tc>
      </w:tr>
      <w:tr w:rsidR="00F75AE6" w:rsidRPr="00F75AE6" w:rsidTr="00337B1D">
        <w:trPr>
          <w:trHeight w:val="270"/>
          <w:jc w:val="center"/>
        </w:trPr>
        <w:tc>
          <w:tcPr>
            <w:tcW w:w="3862"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Cámara de Diputados</w:t>
            </w:r>
          </w:p>
        </w:tc>
        <w:tc>
          <w:tcPr>
            <w:tcW w:w="1877"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125,870,007</w:t>
            </w:r>
          </w:p>
        </w:tc>
        <w:tc>
          <w:tcPr>
            <w:tcW w:w="1877"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105,618,452</w:t>
            </w:r>
          </w:p>
        </w:tc>
      </w:tr>
      <w:tr w:rsidR="00F75AE6" w:rsidRPr="00F75AE6" w:rsidTr="00337B1D">
        <w:trPr>
          <w:trHeight w:val="255"/>
          <w:jc w:val="center"/>
        </w:trPr>
        <w:tc>
          <w:tcPr>
            <w:tcW w:w="3862"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Cámara de Senadores</w:t>
            </w:r>
          </w:p>
        </w:tc>
        <w:tc>
          <w:tcPr>
            <w:tcW w:w="1877"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59,910,231</w:t>
            </w:r>
          </w:p>
        </w:tc>
        <w:tc>
          <w:tcPr>
            <w:tcW w:w="1877"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56,486,060</w:t>
            </w:r>
          </w:p>
        </w:tc>
      </w:tr>
      <w:tr w:rsidR="00F75AE6" w:rsidRPr="00F75AE6" w:rsidTr="00337B1D">
        <w:trPr>
          <w:trHeight w:val="255"/>
          <w:jc w:val="center"/>
        </w:trPr>
        <w:tc>
          <w:tcPr>
            <w:tcW w:w="3862"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Auditoría Superior de la Federación</w:t>
            </w:r>
          </w:p>
        </w:tc>
        <w:tc>
          <w:tcPr>
            <w:tcW w:w="1877"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10,525,630</w:t>
            </w:r>
          </w:p>
        </w:tc>
        <w:tc>
          <w:tcPr>
            <w:tcW w:w="1877"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38,112,061</w:t>
            </w:r>
          </w:p>
        </w:tc>
      </w:tr>
      <w:tr w:rsidR="00F75AE6" w:rsidRPr="00F75AE6" w:rsidTr="00337B1D">
        <w:trPr>
          <w:trHeight w:val="270"/>
          <w:jc w:val="center"/>
        </w:trPr>
        <w:tc>
          <w:tcPr>
            <w:tcW w:w="3862"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jc w:val="right"/>
              <w:rPr>
                <w:rFonts w:ascii="Montserrat" w:eastAsia="Times New Roman" w:hAnsi="Montserrat" w:cs="Arial"/>
                <w:b/>
                <w:bCs/>
                <w:color w:val="000000"/>
                <w:sz w:val="15"/>
                <w:szCs w:val="15"/>
                <w:lang w:val="es-MX" w:eastAsia="es-MX"/>
              </w:rPr>
            </w:pPr>
            <w:r w:rsidRPr="00F75AE6">
              <w:rPr>
                <w:rFonts w:ascii="Montserrat" w:eastAsia="Times New Roman" w:hAnsi="Montserrat" w:cs="Arial"/>
                <w:b/>
                <w:bCs/>
                <w:color w:val="000000"/>
                <w:sz w:val="15"/>
                <w:szCs w:val="15"/>
                <w:lang w:val="es-MX" w:eastAsia="es-MX"/>
              </w:rPr>
              <w:t>Suma de Otros Ingresos y Beneficios</w:t>
            </w:r>
          </w:p>
        </w:tc>
        <w:tc>
          <w:tcPr>
            <w:tcW w:w="1877"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b/>
                <w:color w:val="000000"/>
                <w:sz w:val="15"/>
                <w:szCs w:val="15"/>
                <w:lang w:val="es-MX" w:eastAsia="es-MX"/>
              </w:rPr>
            </w:pPr>
            <w:r w:rsidRPr="00F75AE6">
              <w:rPr>
                <w:rFonts w:ascii="Montserrat" w:eastAsia="Times New Roman" w:hAnsi="Montserrat" w:cs="Arial"/>
                <w:b/>
                <w:color w:val="000000"/>
                <w:sz w:val="15"/>
                <w:szCs w:val="15"/>
                <w:lang w:val="es-MX" w:eastAsia="es-MX"/>
              </w:rPr>
              <w:t>196,305,868</w:t>
            </w:r>
          </w:p>
        </w:tc>
        <w:tc>
          <w:tcPr>
            <w:tcW w:w="1877"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b/>
                <w:color w:val="000000"/>
                <w:sz w:val="15"/>
                <w:szCs w:val="15"/>
                <w:lang w:val="es-MX" w:eastAsia="es-MX"/>
              </w:rPr>
            </w:pPr>
            <w:r w:rsidRPr="00F75AE6">
              <w:rPr>
                <w:rFonts w:ascii="Montserrat" w:eastAsia="Times New Roman" w:hAnsi="Montserrat" w:cs="Arial"/>
                <w:b/>
                <w:color w:val="000000"/>
                <w:sz w:val="15"/>
                <w:szCs w:val="15"/>
                <w:lang w:val="es-MX" w:eastAsia="es-MX"/>
              </w:rPr>
              <w:t>200,216,573</w:t>
            </w:r>
          </w:p>
        </w:tc>
      </w:tr>
      <w:tr w:rsidR="00F75AE6" w:rsidRPr="00F75AE6" w:rsidTr="00337B1D">
        <w:trPr>
          <w:trHeight w:val="285"/>
          <w:jc w:val="center"/>
        </w:trPr>
        <w:tc>
          <w:tcPr>
            <w:tcW w:w="3862" w:type="dxa"/>
            <w:tcBorders>
              <w:top w:val="single" w:sz="12" w:space="0" w:color="808080"/>
              <w:left w:val="nil"/>
              <w:bottom w:val="nil"/>
              <w:right w:val="nil"/>
            </w:tcBorders>
            <w:shd w:val="clear" w:color="auto" w:fill="auto"/>
            <w:noWrap/>
            <w:vAlign w:val="center"/>
          </w:tcPr>
          <w:p w:rsidR="00F75AE6" w:rsidRPr="00F75AE6" w:rsidRDefault="00F75AE6" w:rsidP="00F75AE6">
            <w:pPr>
              <w:spacing w:after="0" w:line="240" w:lineRule="auto"/>
              <w:jc w:val="right"/>
              <w:rPr>
                <w:rFonts w:ascii="Soberana Sans Light" w:eastAsia="Times New Roman" w:hAnsi="Soberana Sans Light" w:cs="Arial"/>
                <w:b/>
                <w:bCs/>
                <w:color w:val="E26B0A"/>
                <w:sz w:val="16"/>
                <w:szCs w:val="16"/>
                <w:lang w:val="es-MX" w:eastAsia="es-MX"/>
              </w:rPr>
            </w:pPr>
          </w:p>
        </w:tc>
        <w:tc>
          <w:tcPr>
            <w:tcW w:w="1877" w:type="dxa"/>
            <w:tcBorders>
              <w:top w:val="single" w:sz="12" w:space="0" w:color="808080"/>
              <w:left w:val="nil"/>
              <w:bottom w:val="nil"/>
              <w:right w:val="nil"/>
            </w:tcBorders>
            <w:shd w:val="clear" w:color="auto" w:fill="auto"/>
            <w:noWrap/>
            <w:vAlign w:val="center"/>
          </w:tcPr>
          <w:p w:rsidR="00F75AE6" w:rsidRPr="00F75AE6" w:rsidRDefault="00F75AE6" w:rsidP="00F75AE6">
            <w:pPr>
              <w:spacing w:after="0" w:line="240" w:lineRule="auto"/>
              <w:jc w:val="right"/>
              <w:rPr>
                <w:rFonts w:ascii="Soberana Sans Light" w:eastAsia="Times New Roman" w:hAnsi="Soberana Sans Light" w:cs="Arial"/>
                <w:b/>
                <w:bCs/>
                <w:color w:val="E26B0A"/>
                <w:sz w:val="16"/>
                <w:szCs w:val="16"/>
                <w:lang w:val="es-MX" w:eastAsia="es-MX"/>
              </w:rPr>
            </w:pPr>
          </w:p>
        </w:tc>
        <w:tc>
          <w:tcPr>
            <w:tcW w:w="1877" w:type="dxa"/>
            <w:tcBorders>
              <w:top w:val="single" w:sz="12" w:space="0" w:color="808080"/>
              <w:left w:val="nil"/>
              <w:bottom w:val="nil"/>
              <w:right w:val="nil"/>
            </w:tcBorders>
            <w:shd w:val="clear" w:color="auto" w:fill="auto"/>
            <w:noWrap/>
            <w:vAlign w:val="center"/>
          </w:tcPr>
          <w:p w:rsidR="00F75AE6" w:rsidRPr="00F75AE6" w:rsidRDefault="00F75AE6" w:rsidP="00F75AE6">
            <w:pPr>
              <w:spacing w:after="0" w:line="240" w:lineRule="auto"/>
              <w:jc w:val="right"/>
              <w:rPr>
                <w:rFonts w:ascii="Soberana Sans Light" w:eastAsia="Times New Roman" w:hAnsi="Soberana Sans Light" w:cs="Arial"/>
                <w:b/>
                <w:bCs/>
                <w:color w:val="E26B0A"/>
                <w:sz w:val="16"/>
                <w:szCs w:val="16"/>
                <w:lang w:val="es-MX" w:eastAsia="es-MX"/>
              </w:rPr>
            </w:pPr>
          </w:p>
        </w:tc>
      </w:tr>
    </w:tbl>
    <w:p w:rsidR="00337B1D" w:rsidRDefault="00337B1D" w:rsidP="00337B1D">
      <w:pPr>
        <w:pStyle w:val="VIETAFLECHA"/>
        <w:numPr>
          <w:ilvl w:val="0"/>
          <w:numId w:val="0"/>
        </w:numPr>
        <w:ind w:left="357"/>
        <w:rPr>
          <w:b/>
        </w:rPr>
      </w:pPr>
    </w:p>
    <w:p w:rsidR="00297378" w:rsidRPr="002C6D54" w:rsidRDefault="00297378" w:rsidP="00297378">
      <w:pPr>
        <w:pStyle w:val="VIETAFLECHA"/>
      </w:pPr>
      <w:r w:rsidRPr="002C6D54">
        <w:t>Gastos y Otras Pérdidas</w:t>
      </w:r>
    </w:p>
    <w:p w:rsidR="00297378" w:rsidRDefault="00297378" w:rsidP="002C6D54">
      <w:pPr>
        <w:pStyle w:val="TEXTONORMAL"/>
      </w:pPr>
      <w:r>
        <w:t>Se presenta la información consolidada de los entes públicos del Poder Legislativo que integra el género de Gastos y Otras Pérdidas:</w:t>
      </w:r>
    </w:p>
    <w:tbl>
      <w:tblPr>
        <w:tblW w:w="7616" w:type="dxa"/>
        <w:jc w:val="center"/>
        <w:tblCellMar>
          <w:left w:w="70" w:type="dxa"/>
          <w:right w:w="70" w:type="dxa"/>
        </w:tblCellMar>
        <w:tblLook w:val="04A0" w:firstRow="1" w:lastRow="0" w:firstColumn="1" w:lastColumn="0" w:noHBand="0" w:noVBand="1"/>
      </w:tblPr>
      <w:tblGrid>
        <w:gridCol w:w="3614"/>
        <w:gridCol w:w="2001"/>
        <w:gridCol w:w="2001"/>
      </w:tblGrid>
      <w:tr w:rsidR="00F75AE6" w:rsidRPr="00F75AE6" w:rsidTr="00337B1D">
        <w:trPr>
          <w:trHeight w:val="270"/>
          <w:jc w:val="center"/>
        </w:trPr>
        <w:tc>
          <w:tcPr>
            <w:tcW w:w="7616" w:type="dxa"/>
            <w:gridSpan w:val="3"/>
            <w:tcBorders>
              <w:top w:val="nil"/>
              <w:left w:val="nil"/>
              <w:bottom w:val="single" w:sz="12" w:space="0" w:color="808080"/>
              <w:right w:val="nil"/>
            </w:tcBorders>
            <w:shd w:val="clear" w:color="auto" w:fill="auto"/>
            <w:noWrap/>
            <w:vAlign w:val="center"/>
            <w:hideMark/>
          </w:tcPr>
          <w:p w:rsidR="00F75AE6" w:rsidRPr="00F75AE6" w:rsidRDefault="00F75AE6" w:rsidP="00F75AE6">
            <w:pPr>
              <w:spacing w:after="0" w:line="240" w:lineRule="auto"/>
              <w:jc w:val="center"/>
              <w:rPr>
                <w:rFonts w:ascii="Montserrat" w:eastAsia="Times New Roman" w:hAnsi="Montserrat" w:cs="Arial"/>
                <w:sz w:val="16"/>
                <w:szCs w:val="16"/>
                <w:lang w:val="es-MX" w:eastAsia="es-MX"/>
              </w:rPr>
            </w:pPr>
            <w:r w:rsidRPr="00F75AE6">
              <w:rPr>
                <w:rFonts w:ascii="Montserrat" w:eastAsia="Times New Roman" w:hAnsi="Montserrat" w:cs="Arial"/>
                <w:sz w:val="16"/>
                <w:szCs w:val="16"/>
                <w:lang w:val="es-MX" w:eastAsia="es-MX"/>
              </w:rPr>
              <w:t>(Pesos)</w:t>
            </w:r>
          </w:p>
        </w:tc>
      </w:tr>
      <w:tr w:rsidR="00F75AE6" w:rsidRPr="00F75AE6" w:rsidTr="00337B1D">
        <w:trPr>
          <w:trHeight w:val="15"/>
          <w:jc w:val="center"/>
        </w:trPr>
        <w:tc>
          <w:tcPr>
            <w:tcW w:w="7616" w:type="dxa"/>
            <w:gridSpan w:val="3"/>
            <w:tcBorders>
              <w:top w:val="single" w:sz="12" w:space="0" w:color="808080"/>
              <w:left w:val="nil"/>
              <w:bottom w:val="nil"/>
              <w:right w:val="nil"/>
            </w:tcBorders>
            <w:shd w:val="clear" w:color="auto" w:fill="auto"/>
            <w:vAlign w:val="center"/>
            <w:hideMark/>
          </w:tcPr>
          <w:p w:rsidR="00F75AE6" w:rsidRPr="00F75AE6" w:rsidRDefault="00F75AE6" w:rsidP="00D36914">
            <w:pPr>
              <w:spacing w:after="0" w:line="240" w:lineRule="auto"/>
              <w:rPr>
                <w:rFonts w:ascii="Montserrat" w:eastAsia="Times New Roman" w:hAnsi="Montserrat" w:cs="Arial"/>
                <w:b/>
                <w:bCs/>
                <w:color w:val="000000"/>
                <w:sz w:val="10"/>
                <w:szCs w:val="10"/>
                <w:lang w:val="es-MX" w:eastAsia="es-MX"/>
              </w:rPr>
            </w:pPr>
          </w:p>
        </w:tc>
      </w:tr>
      <w:tr w:rsidR="00F75AE6" w:rsidRPr="00F75AE6" w:rsidTr="00337B1D">
        <w:trPr>
          <w:trHeight w:val="255"/>
          <w:jc w:val="center"/>
        </w:trPr>
        <w:tc>
          <w:tcPr>
            <w:tcW w:w="3614" w:type="dxa"/>
            <w:tcBorders>
              <w:top w:val="nil"/>
              <w:left w:val="nil"/>
              <w:bottom w:val="nil"/>
              <w:right w:val="single" w:sz="8" w:space="0" w:color="FFFFFF"/>
            </w:tcBorders>
            <w:shd w:val="clear" w:color="000000" w:fill="D4C19C"/>
            <w:vAlign w:val="center"/>
            <w:hideMark/>
          </w:tcPr>
          <w:p w:rsidR="00F75AE6" w:rsidRPr="00F75AE6" w:rsidRDefault="00F75AE6" w:rsidP="00F75AE6">
            <w:pPr>
              <w:spacing w:after="0" w:line="240" w:lineRule="auto"/>
              <w:jc w:val="center"/>
              <w:rPr>
                <w:rFonts w:ascii="Montserrat" w:eastAsia="Times New Roman" w:hAnsi="Montserrat" w:cs="Arial"/>
                <w:b/>
                <w:bCs/>
                <w:color w:val="FFFFFF"/>
                <w:sz w:val="16"/>
                <w:szCs w:val="16"/>
                <w:lang w:val="es-MX" w:eastAsia="es-MX"/>
              </w:rPr>
            </w:pPr>
            <w:r w:rsidRPr="00F75AE6">
              <w:rPr>
                <w:rFonts w:ascii="Montserrat" w:eastAsia="Times New Roman" w:hAnsi="Montserrat" w:cs="Arial"/>
                <w:b/>
                <w:bCs/>
                <w:color w:val="FFFFFF"/>
                <w:sz w:val="16"/>
                <w:szCs w:val="16"/>
                <w:lang w:val="es-MX" w:eastAsia="es-MX"/>
              </w:rPr>
              <w:t>Concepto</w:t>
            </w:r>
          </w:p>
        </w:tc>
        <w:tc>
          <w:tcPr>
            <w:tcW w:w="2001" w:type="dxa"/>
            <w:tcBorders>
              <w:top w:val="nil"/>
              <w:left w:val="nil"/>
              <w:bottom w:val="nil"/>
              <w:right w:val="single" w:sz="8" w:space="0" w:color="FFFFFF"/>
            </w:tcBorders>
            <w:shd w:val="clear" w:color="000000" w:fill="D4C19C"/>
            <w:vAlign w:val="center"/>
            <w:hideMark/>
          </w:tcPr>
          <w:p w:rsidR="00F75AE6" w:rsidRPr="00F75AE6" w:rsidRDefault="00F75AE6" w:rsidP="00F75AE6">
            <w:pPr>
              <w:spacing w:after="0" w:line="240" w:lineRule="auto"/>
              <w:jc w:val="center"/>
              <w:rPr>
                <w:rFonts w:ascii="Montserrat" w:eastAsia="Times New Roman" w:hAnsi="Montserrat" w:cs="Arial"/>
                <w:b/>
                <w:bCs/>
                <w:color w:val="FFFFFF"/>
                <w:sz w:val="16"/>
                <w:szCs w:val="16"/>
                <w:lang w:val="es-MX" w:eastAsia="es-MX"/>
              </w:rPr>
            </w:pPr>
            <w:r w:rsidRPr="00F75AE6">
              <w:rPr>
                <w:rFonts w:ascii="Montserrat" w:eastAsia="Times New Roman" w:hAnsi="Montserrat" w:cs="Arial"/>
                <w:b/>
                <w:bCs/>
                <w:color w:val="FFFFFF"/>
                <w:sz w:val="16"/>
                <w:szCs w:val="16"/>
                <w:lang w:val="es-MX" w:eastAsia="es-MX"/>
              </w:rPr>
              <w:t>2018</w:t>
            </w:r>
          </w:p>
        </w:tc>
        <w:tc>
          <w:tcPr>
            <w:tcW w:w="2001" w:type="dxa"/>
            <w:tcBorders>
              <w:top w:val="nil"/>
              <w:left w:val="nil"/>
              <w:bottom w:val="nil"/>
              <w:right w:val="single" w:sz="8" w:space="0" w:color="FFFFFF"/>
            </w:tcBorders>
            <w:shd w:val="clear" w:color="000000" w:fill="D4C19C"/>
            <w:vAlign w:val="center"/>
            <w:hideMark/>
          </w:tcPr>
          <w:p w:rsidR="00F75AE6" w:rsidRPr="00F75AE6" w:rsidRDefault="00F75AE6" w:rsidP="00F75AE6">
            <w:pPr>
              <w:spacing w:after="0" w:line="240" w:lineRule="auto"/>
              <w:jc w:val="center"/>
              <w:rPr>
                <w:rFonts w:ascii="Montserrat" w:eastAsia="Times New Roman" w:hAnsi="Montserrat" w:cs="Arial"/>
                <w:b/>
                <w:bCs/>
                <w:color w:val="FFFFFF"/>
                <w:sz w:val="16"/>
                <w:szCs w:val="16"/>
                <w:lang w:val="es-MX" w:eastAsia="es-MX"/>
              </w:rPr>
            </w:pPr>
            <w:r w:rsidRPr="00F75AE6">
              <w:rPr>
                <w:rFonts w:ascii="Montserrat" w:eastAsia="Times New Roman" w:hAnsi="Montserrat" w:cs="Arial"/>
                <w:b/>
                <w:bCs/>
                <w:color w:val="FFFFFF"/>
                <w:sz w:val="16"/>
                <w:szCs w:val="16"/>
                <w:lang w:val="es-MX" w:eastAsia="es-MX"/>
              </w:rPr>
              <w:t>2017</w:t>
            </w:r>
          </w:p>
        </w:tc>
      </w:tr>
      <w:tr w:rsidR="00F75AE6" w:rsidRPr="00F75AE6" w:rsidTr="00D36914">
        <w:trPr>
          <w:trHeight w:val="53"/>
          <w:jc w:val="center"/>
        </w:trPr>
        <w:tc>
          <w:tcPr>
            <w:tcW w:w="7616" w:type="dxa"/>
            <w:gridSpan w:val="3"/>
            <w:tcBorders>
              <w:top w:val="nil"/>
              <w:left w:val="nil"/>
              <w:bottom w:val="double" w:sz="6" w:space="0" w:color="808080"/>
              <w:right w:val="nil"/>
            </w:tcBorders>
            <w:shd w:val="clear" w:color="auto" w:fill="auto"/>
            <w:vAlign w:val="center"/>
            <w:hideMark/>
          </w:tcPr>
          <w:p w:rsidR="00F75AE6" w:rsidRPr="00F75AE6" w:rsidRDefault="00F75AE6" w:rsidP="00F75AE6">
            <w:pPr>
              <w:spacing w:after="0" w:line="240" w:lineRule="auto"/>
              <w:jc w:val="center"/>
              <w:rPr>
                <w:rFonts w:ascii="Montserrat" w:eastAsia="Times New Roman" w:hAnsi="Montserrat" w:cs="Arial"/>
                <w:b/>
                <w:bCs/>
                <w:color w:val="000000"/>
                <w:sz w:val="4"/>
                <w:szCs w:val="4"/>
                <w:lang w:val="es-MX" w:eastAsia="es-MX"/>
              </w:rPr>
            </w:pPr>
            <w:r w:rsidRPr="00F75AE6">
              <w:rPr>
                <w:rFonts w:ascii="Montserrat" w:eastAsia="Times New Roman" w:hAnsi="Montserrat" w:cs="Arial"/>
                <w:b/>
                <w:bCs/>
                <w:color w:val="000000"/>
                <w:sz w:val="4"/>
                <w:szCs w:val="4"/>
                <w:lang w:val="es-MX" w:eastAsia="es-MX"/>
              </w:rPr>
              <w:t> </w:t>
            </w:r>
          </w:p>
        </w:tc>
      </w:tr>
      <w:tr w:rsidR="00A46E56" w:rsidRPr="00F75AE6" w:rsidTr="00337B1D">
        <w:trPr>
          <w:trHeight w:val="270"/>
          <w:jc w:val="center"/>
        </w:trPr>
        <w:tc>
          <w:tcPr>
            <w:tcW w:w="3614" w:type="dxa"/>
            <w:tcBorders>
              <w:top w:val="nil"/>
              <w:left w:val="nil"/>
              <w:bottom w:val="nil"/>
              <w:right w:val="nil"/>
            </w:tcBorders>
            <w:shd w:val="clear" w:color="000000" w:fill="F2F2F2"/>
            <w:noWrap/>
            <w:vAlign w:val="center"/>
            <w:hideMark/>
          </w:tcPr>
          <w:p w:rsidR="00A46E56" w:rsidRPr="00F75AE6" w:rsidRDefault="00A46E56" w:rsidP="00F75AE6">
            <w:pPr>
              <w:spacing w:after="0" w:line="240" w:lineRule="auto"/>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Cámara de Diputados</w:t>
            </w:r>
          </w:p>
        </w:tc>
        <w:tc>
          <w:tcPr>
            <w:tcW w:w="2001" w:type="dxa"/>
            <w:tcBorders>
              <w:top w:val="nil"/>
              <w:left w:val="nil"/>
              <w:bottom w:val="nil"/>
              <w:right w:val="nil"/>
            </w:tcBorders>
            <w:shd w:val="clear" w:color="000000" w:fill="F2F2F2"/>
            <w:vAlign w:val="center"/>
            <w:hideMark/>
          </w:tcPr>
          <w:p w:rsidR="00A46E56" w:rsidRPr="00F75AE6" w:rsidRDefault="00A46E5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8,289,906,075</w:t>
            </w:r>
          </w:p>
        </w:tc>
        <w:tc>
          <w:tcPr>
            <w:tcW w:w="2001" w:type="dxa"/>
            <w:tcBorders>
              <w:top w:val="nil"/>
              <w:left w:val="nil"/>
              <w:bottom w:val="nil"/>
              <w:right w:val="nil"/>
            </w:tcBorders>
            <w:shd w:val="clear" w:color="000000" w:fill="F2F2F2"/>
            <w:vAlign w:val="center"/>
            <w:hideMark/>
          </w:tcPr>
          <w:p w:rsidR="00A46E56" w:rsidRPr="00F75AE6" w:rsidRDefault="00A46E5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7,751,326,086</w:t>
            </w:r>
          </w:p>
        </w:tc>
      </w:tr>
      <w:tr w:rsidR="00A46E56" w:rsidRPr="00F75AE6" w:rsidTr="00337B1D">
        <w:trPr>
          <w:trHeight w:val="255"/>
          <w:jc w:val="center"/>
        </w:trPr>
        <w:tc>
          <w:tcPr>
            <w:tcW w:w="3614" w:type="dxa"/>
            <w:tcBorders>
              <w:top w:val="nil"/>
              <w:left w:val="nil"/>
              <w:bottom w:val="nil"/>
              <w:right w:val="nil"/>
            </w:tcBorders>
            <w:shd w:val="clear" w:color="000000" w:fill="F2F2F2"/>
            <w:noWrap/>
            <w:vAlign w:val="center"/>
            <w:hideMark/>
          </w:tcPr>
          <w:p w:rsidR="00A46E56" w:rsidRPr="00F75AE6" w:rsidRDefault="00A46E56" w:rsidP="00F75AE6">
            <w:pPr>
              <w:spacing w:after="0" w:line="240" w:lineRule="auto"/>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Cámara de Senadores</w:t>
            </w:r>
          </w:p>
        </w:tc>
        <w:tc>
          <w:tcPr>
            <w:tcW w:w="2001" w:type="dxa"/>
            <w:tcBorders>
              <w:top w:val="nil"/>
              <w:left w:val="nil"/>
              <w:bottom w:val="nil"/>
              <w:right w:val="nil"/>
            </w:tcBorders>
            <w:shd w:val="clear" w:color="000000" w:fill="F2F2F2"/>
            <w:vAlign w:val="center"/>
            <w:hideMark/>
          </w:tcPr>
          <w:p w:rsidR="00A46E56" w:rsidRPr="00F75AE6" w:rsidRDefault="00A46E5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4,633,540,495</w:t>
            </w:r>
          </w:p>
        </w:tc>
        <w:tc>
          <w:tcPr>
            <w:tcW w:w="2001" w:type="dxa"/>
            <w:tcBorders>
              <w:top w:val="nil"/>
              <w:left w:val="nil"/>
              <w:bottom w:val="nil"/>
              <w:right w:val="nil"/>
            </w:tcBorders>
            <w:shd w:val="clear" w:color="000000" w:fill="F2F2F2"/>
            <w:vAlign w:val="center"/>
            <w:hideMark/>
          </w:tcPr>
          <w:p w:rsidR="00A46E56" w:rsidRPr="00F75AE6" w:rsidRDefault="00A46E5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4,538,442,416</w:t>
            </w:r>
          </w:p>
        </w:tc>
      </w:tr>
      <w:tr w:rsidR="00A46E56" w:rsidRPr="00F75AE6" w:rsidTr="00337B1D">
        <w:trPr>
          <w:trHeight w:val="255"/>
          <w:jc w:val="center"/>
        </w:trPr>
        <w:tc>
          <w:tcPr>
            <w:tcW w:w="3614" w:type="dxa"/>
            <w:tcBorders>
              <w:top w:val="nil"/>
              <w:left w:val="nil"/>
              <w:bottom w:val="nil"/>
              <w:right w:val="nil"/>
            </w:tcBorders>
            <w:shd w:val="clear" w:color="000000" w:fill="F2F2F2"/>
            <w:noWrap/>
            <w:vAlign w:val="center"/>
            <w:hideMark/>
          </w:tcPr>
          <w:p w:rsidR="00A46E56" w:rsidRPr="00F75AE6" w:rsidRDefault="00A46E56" w:rsidP="00F75AE6">
            <w:pPr>
              <w:spacing w:after="0" w:line="240" w:lineRule="auto"/>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Auditoría Superior de la Federación</w:t>
            </w:r>
          </w:p>
        </w:tc>
        <w:tc>
          <w:tcPr>
            <w:tcW w:w="2001" w:type="dxa"/>
            <w:tcBorders>
              <w:top w:val="nil"/>
              <w:left w:val="nil"/>
              <w:bottom w:val="nil"/>
              <w:right w:val="nil"/>
            </w:tcBorders>
            <w:shd w:val="clear" w:color="000000" w:fill="F2F2F2"/>
            <w:vAlign w:val="center"/>
            <w:hideMark/>
          </w:tcPr>
          <w:p w:rsidR="00A46E56" w:rsidRPr="00F75AE6" w:rsidRDefault="00A46E5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2,343,743,985</w:t>
            </w:r>
          </w:p>
        </w:tc>
        <w:tc>
          <w:tcPr>
            <w:tcW w:w="2001" w:type="dxa"/>
            <w:tcBorders>
              <w:top w:val="nil"/>
              <w:left w:val="nil"/>
              <w:bottom w:val="nil"/>
              <w:right w:val="nil"/>
            </w:tcBorders>
            <w:shd w:val="clear" w:color="000000" w:fill="F2F2F2"/>
            <w:vAlign w:val="center"/>
            <w:hideMark/>
          </w:tcPr>
          <w:p w:rsidR="00A46E56" w:rsidRPr="00F75AE6" w:rsidRDefault="00A46E5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2,183,658,331</w:t>
            </w:r>
          </w:p>
        </w:tc>
      </w:tr>
      <w:tr w:rsidR="00A46E56" w:rsidRPr="00F75AE6" w:rsidTr="00337B1D">
        <w:trPr>
          <w:trHeight w:val="270"/>
          <w:jc w:val="center"/>
        </w:trPr>
        <w:tc>
          <w:tcPr>
            <w:tcW w:w="3614" w:type="dxa"/>
            <w:tcBorders>
              <w:top w:val="nil"/>
              <w:left w:val="nil"/>
              <w:bottom w:val="nil"/>
              <w:right w:val="nil"/>
            </w:tcBorders>
            <w:shd w:val="clear" w:color="000000" w:fill="F2F2F2"/>
            <w:noWrap/>
            <w:vAlign w:val="center"/>
            <w:hideMark/>
          </w:tcPr>
          <w:p w:rsidR="00A46E56" w:rsidRPr="00F75AE6" w:rsidRDefault="00A46E56" w:rsidP="000B1893">
            <w:pPr>
              <w:spacing w:after="0" w:line="240" w:lineRule="auto"/>
              <w:jc w:val="right"/>
              <w:rPr>
                <w:rFonts w:ascii="Montserrat" w:eastAsia="Times New Roman" w:hAnsi="Montserrat" w:cs="Arial"/>
                <w:b/>
                <w:bCs/>
                <w:color w:val="000000"/>
                <w:sz w:val="15"/>
                <w:szCs w:val="15"/>
                <w:lang w:val="es-MX" w:eastAsia="es-MX"/>
              </w:rPr>
            </w:pPr>
            <w:r w:rsidRPr="00F75AE6">
              <w:rPr>
                <w:rFonts w:ascii="Montserrat" w:eastAsia="Times New Roman" w:hAnsi="Montserrat" w:cs="Arial"/>
                <w:b/>
                <w:bCs/>
                <w:color w:val="000000"/>
                <w:sz w:val="15"/>
                <w:szCs w:val="15"/>
                <w:lang w:val="es-MX" w:eastAsia="es-MX"/>
              </w:rPr>
              <w:t>Suma de Gastos y Otras Pérdidas</w:t>
            </w:r>
          </w:p>
        </w:tc>
        <w:tc>
          <w:tcPr>
            <w:tcW w:w="2001" w:type="dxa"/>
            <w:tcBorders>
              <w:top w:val="nil"/>
              <w:left w:val="nil"/>
              <w:bottom w:val="nil"/>
              <w:right w:val="nil"/>
            </w:tcBorders>
            <w:shd w:val="clear" w:color="000000" w:fill="F2F2F2"/>
            <w:vAlign w:val="center"/>
          </w:tcPr>
          <w:p w:rsidR="00A46E56" w:rsidRPr="00F75AE6" w:rsidRDefault="00A46E56" w:rsidP="000B1893">
            <w:pPr>
              <w:spacing w:after="0" w:line="240" w:lineRule="auto"/>
              <w:jc w:val="right"/>
              <w:rPr>
                <w:rFonts w:ascii="Montserrat" w:eastAsia="Times New Roman" w:hAnsi="Montserrat" w:cs="Arial"/>
                <w:b/>
                <w:color w:val="000000"/>
                <w:sz w:val="15"/>
                <w:szCs w:val="15"/>
                <w:lang w:val="es-MX" w:eastAsia="es-MX"/>
              </w:rPr>
            </w:pPr>
            <w:r w:rsidRPr="00F75AE6">
              <w:rPr>
                <w:rFonts w:ascii="Montserrat" w:eastAsia="Times New Roman" w:hAnsi="Montserrat" w:cs="Arial"/>
                <w:b/>
                <w:color w:val="000000"/>
                <w:sz w:val="15"/>
                <w:szCs w:val="15"/>
                <w:lang w:val="es-MX" w:eastAsia="es-MX"/>
              </w:rPr>
              <w:t>15,267,190,555</w:t>
            </w:r>
          </w:p>
        </w:tc>
        <w:tc>
          <w:tcPr>
            <w:tcW w:w="2001" w:type="dxa"/>
            <w:tcBorders>
              <w:top w:val="nil"/>
              <w:left w:val="nil"/>
              <w:bottom w:val="nil"/>
              <w:right w:val="nil"/>
            </w:tcBorders>
            <w:shd w:val="clear" w:color="000000" w:fill="F2F2F2"/>
            <w:vAlign w:val="center"/>
          </w:tcPr>
          <w:p w:rsidR="00A46E56" w:rsidRPr="00F75AE6" w:rsidRDefault="00A46E56" w:rsidP="000B1893">
            <w:pPr>
              <w:spacing w:after="0" w:line="240" w:lineRule="auto"/>
              <w:jc w:val="right"/>
              <w:rPr>
                <w:rFonts w:ascii="Montserrat" w:eastAsia="Times New Roman" w:hAnsi="Montserrat" w:cs="Arial"/>
                <w:b/>
                <w:color w:val="000000"/>
                <w:sz w:val="15"/>
                <w:szCs w:val="15"/>
                <w:lang w:val="es-MX" w:eastAsia="es-MX"/>
              </w:rPr>
            </w:pPr>
            <w:r w:rsidRPr="00F75AE6">
              <w:rPr>
                <w:rFonts w:ascii="Montserrat" w:eastAsia="Times New Roman" w:hAnsi="Montserrat" w:cs="Arial"/>
                <w:b/>
                <w:color w:val="000000"/>
                <w:sz w:val="15"/>
                <w:szCs w:val="15"/>
                <w:lang w:val="es-MX" w:eastAsia="es-MX"/>
              </w:rPr>
              <w:t>14,473,426,833</w:t>
            </w:r>
          </w:p>
        </w:tc>
      </w:tr>
      <w:tr w:rsidR="00A46E56" w:rsidRPr="00F75AE6" w:rsidTr="00337B1D">
        <w:trPr>
          <w:trHeight w:val="270"/>
          <w:jc w:val="center"/>
        </w:trPr>
        <w:tc>
          <w:tcPr>
            <w:tcW w:w="3614" w:type="dxa"/>
            <w:tcBorders>
              <w:top w:val="single" w:sz="12" w:space="0" w:color="808080"/>
              <w:left w:val="nil"/>
              <w:bottom w:val="nil"/>
              <w:right w:val="nil"/>
            </w:tcBorders>
            <w:shd w:val="clear" w:color="auto" w:fill="auto"/>
            <w:noWrap/>
            <w:vAlign w:val="center"/>
          </w:tcPr>
          <w:p w:rsidR="00A46E56" w:rsidRPr="00F75AE6" w:rsidRDefault="00A46E56" w:rsidP="000B1893">
            <w:pPr>
              <w:spacing w:after="0" w:line="240" w:lineRule="auto"/>
              <w:jc w:val="right"/>
              <w:rPr>
                <w:rFonts w:ascii="Soberana Sans Light" w:eastAsia="Times New Roman" w:hAnsi="Soberana Sans Light" w:cs="Arial"/>
                <w:b/>
                <w:bCs/>
                <w:color w:val="E26B0A"/>
                <w:sz w:val="16"/>
                <w:szCs w:val="16"/>
                <w:lang w:val="es-MX" w:eastAsia="es-MX"/>
              </w:rPr>
            </w:pPr>
          </w:p>
        </w:tc>
        <w:tc>
          <w:tcPr>
            <w:tcW w:w="2001" w:type="dxa"/>
            <w:tcBorders>
              <w:top w:val="single" w:sz="12" w:space="0" w:color="808080"/>
              <w:left w:val="nil"/>
              <w:bottom w:val="nil"/>
              <w:right w:val="nil"/>
            </w:tcBorders>
            <w:shd w:val="clear" w:color="auto" w:fill="auto"/>
            <w:noWrap/>
            <w:vAlign w:val="center"/>
          </w:tcPr>
          <w:p w:rsidR="00A46E56" w:rsidRPr="00F75AE6" w:rsidRDefault="00A46E56" w:rsidP="000B1893">
            <w:pPr>
              <w:spacing w:after="0" w:line="240" w:lineRule="auto"/>
              <w:jc w:val="right"/>
              <w:rPr>
                <w:rFonts w:ascii="Soberana Sans Light" w:eastAsia="Times New Roman" w:hAnsi="Soberana Sans Light" w:cs="Arial"/>
                <w:b/>
                <w:bCs/>
                <w:color w:val="E26B0A"/>
                <w:sz w:val="16"/>
                <w:szCs w:val="16"/>
                <w:lang w:val="es-MX" w:eastAsia="es-MX"/>
              </w:rPr>
            </w:pPr>
          </w:p>
        </w:tc>
        <w:tc>
          <w:tcPr>
            <w:tcW w:w="2001" w:type="dxa"/>
            <w:tcBorders>
              <w:top w:val="single" w:sz="12" w:space="0" w:color="808080"/>
              <w:left w:val="nil"/>
              <w:bottom w:val="nil"/>
              <w:right w:val="nil"/>
            </w:tcBorders>
            <w:shd w:val="clear" w:color="auto" w:fill="auto"/>
            <w:noWrap/>
            <w:vAlign w:val="center"/>
          </w:tcPr>
          <w:p w:rsidR="00A46E56" w:rsidRPr="00F75AE6" w:rsidRDefault="00A46E56" w:rsidP="000B1893">
            <w:pPr>
              <w:spacing w:after="0" w:line="240" w:lineRule="auto"/>
              <w:jc w:val="right"/>
              <w:rPr>
                <w:rFonts w:ascii="Soberana Sans Light" w:eastAsia="Times New Roman" w:hAnsi="Soberana Sans Light" w:cs="Arial"/>
                <w:b/>
                <w:bCs/>
                <w:color w:val="E26B0A"/>
                <w:sz w:val="16"/>
                <w:szCs w:val="16"/>
                <w:lang w:val="es-MX" w:eastAsia="es-MX"/>
              </w:rPr>
            </w:pPr>
          </w:p>
        </w:tc>
      </w:tr>
    </w:tbl>
    <w:p w:rsidR="00A46E56" w:rsidRDefault="00A46E56" w:rsidP="00297378">
      <w:pPr>
        <w:pStyle w:val="TEXTONORMAL"/>
        <w:rPr>
          <w:b/>
        </w:rPr>
      </w:pPr>
    </w:p>
    <w:p w:rsidR="00297378" w:rsidRPr="00A80DC6" w:rsidRDefault="002C6D54" w:rsidP="00297378">
      <w:pPr>
        <w:pStyle w:val="TEXTONORMAL"/>
        <w:rPr>
          <w:b/>
        </w:rPr>
      </w:pPr>
      <w:r w:rsidRPr="00A80DC6">
        <w:rPr>
          <w:b/>
        </w:rPr>
        <w:t>NOTAS AL ESTADO DE VARIACIÓN DE LA HACIENDA PÚBLICA/PATRIMONIO</w:t>
      </w:r>
    </w:p>
    <w:p w:rsidR="00297378" w:rsidRDefault="00297378" w:rsidP="00A46E56">
      <w:pPr>
        <w:pStyle w:val="TEXTONORMAL"/>
      </w:pPr>
      <w:r>
        <w:t>Este Estado muestra el monto de la Hacienda Pública/Patri</w:t>
      </w:r>
      <w:r w:rsidR="00A46E56">
        <w:t>monio al 31 de diciembre de 2018 y de 2017</w:t>
      </w:r>
      <w:r>
        <w:t xml:space="preserve"> y se conforma como sigue:</w:t>
      </w:r>
    </w:p>
    <w:tbl>
      <w:tblPr>
        <w:tblW w:w="7616" w:type="dxa"/>
        <w:jc w:val="center"/>
        <w:tblCellMar>
          <w:left w:w="70" w:type="dxa"/>
          <w:right w:w="70" w:type="dxa"/>
        </w:tblCellMar>
        <w:tblLook w:val="04A0" w:firstRow="1" w:lastRow="0" w:firstColumn="1" w:lastColumn="0" w:noHBand="0" w:noVBand="1"/>
      </w:tblPr>
      <w:tblGrid>
        <w:gridCol w:w="3964"/>
        <w:gridCol w:w="1826"/>
        <w:gridCol w:w="1826"/>
      </w:tblGrid>
      <w:tr w:rsidR="00F75AE6" w:rsidRPr="00F75AE6" w:rsidTr="00337B1D">
        <w:trPr>
          <w:trHeight w:val="270"/>
          <w:jc w:val="center"/>
        </w:trPr>
        <w:tc>
          <w:tcPr>
            <w:tcW w:w="7616" w:type="dxa"/>
            <w:gridSpan w:val="3"/>
            <w:tcBorders>
              <w:top w:val="nil"/>
              <w:left w:val="nil"/>
              <w:bottom w:val="single" w:sz="12" w:space="0" w:color="808080"/>
              <w:right w:val="nil"/>
            </w:tcBorders>
            <w:shd w:val="clear" w:color="auto" w:fill="auto"/>
            <w:noWrap/>
            <w:vAlign w:val="center"/>
            <w:hideMark/>
          </w:tcPr>
          <w:p w:rsidR="00F75AE6" w:rsidRPr="00F75AE6" w:rsidRDefault="00F75AE6" w:rsidP="00F75AE6">
            <w:pPr>
              <w:spacing w:after="0" w:line="240" w:lineRule="auto"/>
              <w:jc w:val="center"/>
              <w:rPr>
                <w:rFonts w:ascii="Montserrat" w:eastAsia="Times New Roman" w:hAnsi="Montserrat" w:cs="Arial"/>
                <w:sz w:val="16"/>
                <w:szCs w:val="16"/>
                <w:lang w:val="es-MX" w:eastAsia="es-MX"/>
              </w:rPr>
            </w:pPr>
            <w:r w:rsidRPr="00F75AE6">
              <w:rPr>
                <w:rFonts w:ascii="Montserrat" w:eastAsia="Times New Roman" w:hAnsi="Montserrat" w:cs="Arial"/>
                <w:sz w:val="16"/>
                <w:szCs w:val="16"/>
                <w:lang w:val="es-MX" w:eastAsia="es-MX"/>
              </w:rPr>
              <w:lastRenderedPageBreak/>
              <w:t>(Pesos)</w:t>
            </w:r>
          </w:p>
        </w:tc>
      </w:tr>
      <w:tr w:rsidR="00F75AE6" w:rsidRPr="00F75AE6" w:rsidTr="00337B1D">
        <w:trPr>
          <w:trHeight w:val="15"/>
          <w:jc w:val="center"/>
        </w:trPr>
        <w:tc>
          <w:tcPr>
            <w:tcW w:w="7616" w:type="dxa"/>
            <w:gridSpan w:val="3"/>
            <w:tcBorders>
              <w:top w:val="single" w:sz="12" w:space="0" w:color="808080"/>
              <w:left w:val="nil"/>
              <w:bottom w:val="nil"/>
              <w:right w:val="nil"/>
            </w:tcBorders>
            <w:shd w:val="clear" w:color="auto" w:fill="auto"/>
            <w:vAlign w:val="center"/>
            <w:hideMark/>
          </w:tcPr>
          <w:p w:rsidR="00F75AE6" w:rsidRPr="00F75AE6" w:rsidRDefault="00F75AE6" w:rsidP="00D36914">
            <w:pPr>
              <w:spacing w:after="0" w:line="240" w:lineRule="auto"/>
              <w:rPr>
                <w:rFonts w:ascii="Montserrat" w:eastAsia="Times New Roman" w:hAnsi="Montserrat" w:cs="Arial"/>
                <w:b/>
                <w:bCs/>
                <w:color w:val="000000"/>
                <w:sz w:val="10"/>
                <w:szCs w:val="10"/>
                <w:lang w:val="es-MX" w:eastAsia="es-MX"/>
              </w:rPr>
            </w:pPr>
          </w:p>
        </w:tc>
      </w:tr>
      <w:tr w:rsidR="00F75AE6" w:rsidRPr="00F75AE6" w:rsidTr="00337B1D">
        <w:trPr>
          <w:trHeight w:val="255"/>
          <w:jc w:val="center"/>
        </w:trPr>
        <w:tc>
          <w:tcPr>
            <w:tcW w:w="3964" w:type="dxa"/>
            <w:tcBorders>
              <w:top w:val="nil"/>
              <w:left w:val="nil"/>
              <w:bottom w:val="nil"/>
              <w:right w:val="single" w:sz="8" w:space="0" w:color="FFFFFF"/>
            </w:tcBorders>
            <w:shd w:val="clear" w:color="000000" w:fill="D4C19C"/>
            <w:vAlign w:val="center"/>
            <w:hideMark/>
          </w:tcPr>
          <w:p w:rsidR="00F75AE6" w:rsidRPr="00F75AE6" w:rsidRDefault="00F75AE6" w:rsidP="00F75AE6">
            <w:pPr>
              <w:spacing w:after="0" w:line="240" w:lineRule="auto"/>
              <w:jc w:val="center"/>
              <w:rPr>
                <w:rFonts w:ascii="Montserrat" w:eastAsia="Times New Roman" w:hAnsi="Montserrat" w:cs="Arial"/>
                <w:b/>
                <w:bCs/>
                <w:color w:val="FFFFFF"/>
                <w:sz w:val="16"/>
                <w:szCs w:val="16"/>
                <w:lang w:val="es-MX" w:eastAsia="es-MX"/>
              </w:rPr>
            </w:pPr>
            <w:r w:rsidRPr="00F75AE6">
              <w:rPr>
                <w:rFonts w:ascii="Montserrat" w:eastAsia="Times New Roman" w:hAnsi="Montserrat" w:cs="Arial"/>
                <w:b/>
                <w:bCs/>
                <w:color w:val="FFFFFF"/>
                <w:sz w:val="16"/>
                <w:szCs w:val="16"/>
                <w:lang w:val="es-MX" w:eastAsia="es-MX"/>
              </w:rPr>
              <w:t>Concepto</w:t>
            </w:r>
          </w:p>
        </w:tc>
        <w:tc>
          <w:tcPr>
            <w:tcW w:w="1826" w:type="dxa"/>
            <w:tcBorders>
              <w:top w:val="nil"/>
              <w:left w:val="nil"/>
              <w:bottom w:val="nil"/>
              <w:right w:val="single" w:sz="8" w:space="0" w:color="FFFFFF"/>
            </w:tcBorders>
            <w:shd w:val="clear" w:color="000000" w:fill="D4C19C"/>
            <w:vAlign w:val="center"/>
            <w:hideMark/>
          </w:tcPr>
          <w:p w:rsidR="00F75AE6" w:rsidRPr="00F75AE6" w:rsidRDefault="00F75AE6" w:rsidP="00F75AE6">
            <w:pPr>
              <w:spacing w:after="0" w:line="240" w:lineRule="auto"/>
              <w:jc w:val="center"/>
              <w:rPr>
                <w:rFonts w:ascii="Montserrat" w:eastAsia="Times New Roman" w:hAnsi="Montserrat" w:cs="Arial"/>
                <w:b/>
                <w:bCs/>
                <w:color w:val="FFFFFF"/>
                <w:sz w:val="16"/>
                <w:szCs w:val="16"/>
                <w:lang w:val="es-MX" w:eastAsia="es-MX"/>
              </w:rPr>
            </w:pPr>
            <w:r w:rsidRPr="00F75AE6">
              <w:rPr>
                <w:rFonts w:ascii="Montserrat" w:eastAsia="Times New Roman" w:hAnsi="Montserrat" w:cs="Arial"/>
                <w:b/>
                <w:bCs/>
                <w:color w:val="FFFFFF"/>
                <w:sz w:val="16"/>
                <w:szCs w:val="16"/>
                <w:lang w:val="es-MX" w:eastAsia="es-MX"/>
              </w:rPr>
              <w:t>2018</w:t>
            </w:r>
          </w:p>
        </w:tc>
        <w:tc>
          <w:tcPr>
            <w:tcW w:w="1826" w:type="dxa"/>
            <w:tcBorders>
              <w:top w:val="nil"/>
              <w:left w:val="nil"/>
              <w:bottom w:val="nil"/>
              <w:right w:val="single" w:sz="8" w:space="0" w:color="FFFFFF"/>
            </w:tcBorders>
            <w:shd w:val="clear" w:color="000000" w:fill="D4C19C"/>
            <w:vAlign w:val="center"/>
            <w:hideMark/>
          </w:tcPr>
          <w:p w:rsidR="00F75AE6" w:rsidRPr="00F75AE6" w:rsidRDefault="00F75AE6" w:rsidP="00F75AE6">
            <w:pPr>
              <w:spacing w:after="0" w:line="240" w:lineRule="auto"/>
              <w:jc w:val="center"/>
              <w:rPr>
                <w:rFonts w:ascii="Montserrat" w:eastAsia="Times New Roman" w:hAnsi="Montserrat" w:cs="Arial"/>
                <w:b/>
                <w:bCs/>
                <w:color w:val="FFFFFF"/>
                <w:sz w:val="16"/>
                <w:szCs w:val="16"/>
                <w:lang w:val="es-MX" w:eastAsia="es-MX"/>
              </w:rPr>
            </w:pPr>
            <w:r w:rsidRPr="00F75AE6">
              <w:rPr>
                <w:rFonts w:ascii="Montserrat" w:eastAsia="Times New Roman" w:hAnsi="Montserrat" w:cs="Arial"/>
                <w:b/>
                <w:bCs/>
                <w:color w:val="FFFFFF"/>
                <w:sz w:val="16"/>
                <w:szCs w:val="16"/>
                <w:lang w:val="es-MX" w:eastAsia="es-MX"/>
              </w:rPr>
              <w:t>2017</w:t>
            </w:r>
          </w:p>
        </w:tc>
      </w:tr>
      <w:tr w:rsidR="00F75AE6" w:rsidRPr="00F75AE6" w:rsidTr="00D36914">
        <w:trPr>
          <w:trHeight w:val="53"/>
          <w:jc w:val="center"/>
        </w:trPr>
        <w:tc>
          <w:tcPr>
            <w:tcW w:w="7616" w:type="dxa"/>
            <w:gridSpan w:val="3"/>
            <w:tcBorders>
              <w:top w:val="nil"/>
              <w:left w:val="nil"/>
              <w:bottom w:val="double" w:sz="6" w:space="0" w:color="808080"/>
              <w:right w:val="nil"/>
            </w:tcBorders>
            <w:shd w:val="clear" w:color="auto" w:fill="auto"/>
            <w:vAlign w:val="center"/>
            <w:hideMark/>
          </w:tcPr>
          <w:p w:rsidR="00F75AE6" w:rsidRPr="00F75AE6" w:rsidRDefault="00F75AE6" w:rsidP="00F75AE6">
            <w:pPr>
              <w:spacing w:after="0" w:line="240" w:lineRule="auto"/>
              <w:jc w:val="center"/>
              <w:rPr>
                <w:rFonts w:ascii="Montserrat" w:eastAsia="Times New Roman" w:hAnsi="Montserrat" w:cs="Arial"/>
                <w:b/>
                <w:bCs/>
                <w:color w:val="000000"/>
                <w:sz w:val="4"/>
                <w:szCs w:val="4"/>
                <w:lang w:val="es-MX" w:eastAsia="es-MX"/>
              </w:rPr>
            </w:pPr>
            <w:r w:rsidRPr="00F75AE6">
              <w:rPr>
                <w:rFonts w:ascii="Montserrat" w:eastAsia="Times New Roman" w:hAnsi="Montserrat" w:cs="Arial"/>
                <w:b/>
                <w:bCs/>
                <w:color w:val="000000"/>
                <w:sz w:val="4"/>
                <w:szCs w:val="4"/>
                <w:lang w:val="es-MX" w:eastAsia="es-MX"/>
              </w:rPr>
              <w:t> </w:t>
            </w:r>
          </w:p>
        </w:tc>
      </w:tr>
      <w:tr w:rsidR="00F75AE6" w:rsidRPr="00F75AE6" w:rsidTr="00337B1D">
        <w:trPr>
          <w:trHeight w:val="270"/>
          <w:jc w:val="center"/>
        </w:trPr>
        <w:tc>
          <w:tcPr>
            <w:tcW w:w="3964"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Cámara de Diputados</w:t>
            </w:r>
          </w:p>
        </w:tc>
        <w:tc>
          <w:tcPr>
            <w:tcW w:w="1826"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2,565,680,651</w:t>
            </w:r>
          </w:p>
        </w:tc>
        <w:tc>
          <w:tcPr>
            <w:tcW w:w="1826"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2,212,643,337</w:t>
            </w:r>
          </w:p>
        </w:tc>
      </w:tr>
      <w:tr w:rsidR="00F75AE6" w:rsidRPr="00F75AE6" w:rsidTr="00337B1D">
        <w:trPr>
          <w:trHeight w:val="255"/>
          <w:jc w:val="center"/>
        </w:trPr>
        <w:tc>
          <w:tcPr>
            <w:tcW w:w="3964"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Cámara de Senadores</w:t>
            </w:r>
          </w:p>
        </w:tc>
        <w:tc>
          <w:tcPr>
            <w:tcW w:w="1826"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5,091,848,953</w:t>
            </w:r>
          </w:p>
        </w:tc>
        <w:tc>
          <w:tcPr>
            <w:tcW w:w="1826"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5,056,597,345</w:t>
            </w:r>
          </w:p>
        </w:tc>
      </w:tr>
      <w:tr w:rsidR="00F75AE6" w:rsidRPr="00F75AE6" w:rsidTr="00337B1D">
        <w:trPr>
          <w:trHeight w:val="255"/>
          <w:jc w:val="center"/>
        </w:trPr>
        <w:tc>
          <w:tcPr>
            <w:tcW w:w="3964"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Auditoría Superior de la Federación</w:t>
            </w:r>
          </w:p>
        </w:tc>
        <w:tc>
          <w:tcPr>
            <w:tcW w:w="1826"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2,788,456,521</w:t>
            </w:r>
          </w:p>
        </w:tc>
        <w:tc>
          <w:tcPr>
            <w:tcW w:w="1826"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2,809,570,702</w:t>
            </w:r>
          </w:p>
        </w:tc>
      </w:tr>
      <w:tr w:rsidR="00F75AE6" w:rsidRPr="00F75AE6" w:rsidTr="00337B1D">
        <w:trPr>
          <w:trHeight w:val="270"/>
          <w:jc w:val="center"/>
        </w:trPr>
        <w:tc>
          <w:tcPr>
            <w:tcW w:w="3964"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jc w:val="right"/>
              <w:rPr>
                <w:rFonts w:ascii="Montserrat" w:eastAsia="Times New Roman" w:hAnsi="Montserrat" w:cs="Arial"/>
                <w:b/>
                <w:bCs/>
                <w:color w:val="000000"/>
                <w:sz w:val="15"/>
                <w:szCs w:val="15"/>
                <w:lang w:val="es-MX" w:eastAsia="es-MX"/>
              </w:rPr>
            </w:pPr>
            <w:r w:rsidRPr="00F75AE6">
              <w:rPr>
                <w:rFonts w:ascii="Montserrat" w:eastAsia="Times New Roman" w:hAnsi="Montserrat" w:cs="Arial"/>
                <w:b/>
                <w:bCs/>
                <w:color w:val="000000"/>
                <w:sz w:val="15"/>
                <w:szCs w:val="15"/>
                <w:lang w:val="es-MX" w:eastAsia="es-MX"/>
              </w:rPr>
              <w:t>Suma del Total de la Hacienda Pública / Patrimonio</w:t>
            </w:r>
          </w:p>
        </w:tc>
        <w:tc>
          <w:tcPr>
            <w:tcW w:w="1826"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b/>
                <w:color w:val="000000"/>
                <w:sz w:val="15"/>
                <w:szCs w:val="15"/>
                <w:lang w:val="es-MX" w:eastAsia="es-MX"/>
              </w:rPr>
            </w:pPr>
            <w:r w:rsidRPr="00F75AE6">
              <w:rPr>
                <w:rFonts w:ascii="Montserrat" w:eastAsia="Times New Roman" w:hAnsi="Montserrat" w:cs="Arial"/>
                <w:b/>
                <w:color w:val="000000"/>
                <w:sz w:val="15"/>
                <w:szCs w:val="15"/>
                <w:lang w:val="es-MX" w:eastAsia="es-MX"/>
              </w:rPr>
              <w:t>10,445,986,125</w:t>
            </w:r>
          </w:p>
        </w:tc>
        <w:tc>
          <w:tcPr>
            <w:tcW w:w="1826"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b/>
                <w:color w:val="000000"/>
                <w:sz w:val="15"/>
                <w:szCs w:val="15"/>
                <w:lang w:val="es-MX" w:eastAsia="es-MX"/>
              </w:rPr>
            </w:pPr>
            <w:r w:rsidRPr="00F75AE6">
              <w:rPr>
                <w:rFonts w:ascii="Montserrat" w:eastAsia="Times New Roman" w:hAnsi="Montserrat" w:cs="Arial"/>
                <w:b/>
                <w:color w:val="000000"/>
                <w:sz w:val="15"/>
                <w:szCs w:val="15"/>
                <w:lang w:val="es-MX" w:eastAsia="es-MX"/>
              </w:rPr>
              <w:t>10,078,811,384</w:t>
            </w:r>
          </w:p>
        </w:tc>
      </w:tr>
      <w:tr w:rsidR="00F75AE6" w:rsidRPr="00F75AE6" w:rsidTr="00337B1D">
        <w:trPr>
          <w:trHeight w:val="330"/>
          <w:jc w:val="center"/>
        </w:trPr>
        <w:tc>
          <w:tcPr>
            <w:tcW w:w="3964" w:type="dxa"/>
            <w:tcBorders>
              <w:top w:val="single" w:sz="12" w:space="0" w:color="808080"/>
              <w:left w:val="nil"/>
              <w:bottom w:val="nil"/>
              <w:right w:val="nil"/>
            </w:tcBorders>
            <w:shd w:val="clear" w:color="auto" w:fill="auto"/>
            <w:noWrap/>
            <w:vAlign w:val="center"/>
          </w:tcPr>
          <w:p w:rsidR="00F75AE6" w:rsidRPr="00F75AE6" w:rsidRDefault="00F75AE6" w:rsidP="00F75AE6">
            <w:pPr>
              <w:spacing w:after="0" w:line="240" w:lineRule="auto"/>
              <w:jc w:val="right"/>
              <w:rPr>
                <w:rFonts w:ascii="Soberana Sans Light" w:eastAsia="Times New Roman" w:hAnsi="Soberana Sans Light" w:cs="Arial"/>
                <w:b/>
                <w:bCs/>
                <w:color w:val="E26B0A"/>
                <w:sz w:val="16"/>
                <w:szCs w:val="16"/>
                <w:lang w:val="es-MX" w:eastAsia="es-MX"/>
              </w:rPr>
            </w:pPr>
          </w:p>
        </w:tc>
        <w:tc>
          <w:tcPr>
            <w:tcW w:w="1826" w:type="dxa"/>
            <w:tcBorders>
              <w:top w:val="single" w:sz="12" w:space="0" w:color="808080"/>
              <w:left w:val="nil"/>
              <w:bottom w:val="nil"/>
              <w:right w:val="nil"/>
            </w:tcBorders>
            <w:shd w:val="clear" w:color="auto" w:fill="auto"/>
            <w:noWrap/>
            <w:vAlign w:val="center"/>
          </w:tcPr>
          <w:p w:rsidR="00F75AE6" w:rsidRPr="00F75AE6" w:rsidRDefault="00F75AE6" w:rsidP="00F75AE6">
            <w:pPr>
              <w:spacing w:after="0" w:line="240" w:lineRule="auto"/>
              <w:jc w:val="right"/>
              <w:rPr>
                <w:rFonts w:ascii="Soberana Sans Light" w:eastAsia="Times New Roman" w:hAnsi="Soberana Sans Light" w:cs="Arial"/>
                <w:b/>
                <w:bCs/>
                <w:color w:val="E26B0A"/>
                <w:sz w:val="16"/>
                <w:szCs w:val="16"/>
                <w:lang w:val="es-MX" w:eastAsia="es-MX"/>
              </w:rPr>
            </w:pPr>
          </w:p>
        </w:tc>
        <w:tc>
          <w:tcPr>
            <w:tcW w:w="1826" w:type="dxa"/>
            <w:tcBorders>
              <w:top w:val="single" w:sz="12" w:space="0" w:color="808080"/>
              <w:left w:val="nil"/>
              <w:bottom w:val="nil"/>
              <w:right w:val="nil"/>
            </w:tcBorders>
            <w:shd w:val="clear" w:color="auto" w:fill="auto"/>
            <w:noWrap/>
            <w:vAlign w:val="center"/>
          </w:tcPr>
          <w:p w:rsidR="00F75AE6" w:rsidRPr="00F75AE6" w:rsidRDefault="00F75AE6" w:rsidP="00F75AE6">
            <w:pPr>
              <w:spacing w:after="0" w:line="240" w:lineRule="auto"/>
              <w:jc w:val="right"/>
              <w:rPr>
                <w:rFonts w:ascii="Soberana Sans Light" w:eastAsia="Times New Roman" w:hAnsi="Soberana Sans Light" w:cs="Arial"/>
                <w:b/>
                <w:bCs/>
                <w:color w:val="E26B0A"/>
                <w:sz w:val="16"/>
                <w:szCs w:val="16"/>
                <w:lang w:val="es-MX" w:eastAsia="es-MX"/>
              </w:rPr>
            </w:pPr>
          </w:p>
        </w:tc>
      </w:tr>
    </w:tbl>
    <w:p w:rsidR="00D36914" w:rsidRDefault="00D36914" w:rsidP="00297378">
      <w:pPr>
        <w:pStyle w:val="TEXTONORMAL"/>
        <w:rPr>
          <w:b/>
        </w:rPr>
      </w:pPr>
    </w:p>
    <w:p w:rsidR="00297378" w:rsidRDefault="002C6D54" w:rsidP="00297378">
      <w:pPr>
        <w:pStyle w:val="TEXTONORMAL"/>
        <w:rPr>
          <w:b/>
        </w:rPr>
      </w:pPr>
      <w:r w:rsidRPr="00A80DC6">
        <w:rPr>
          <w:b/>
        </w:rPr>
        <w:t>NOTAS AL ESTADO DE FLUJO DE EFECTIVO</w:t>
      </w:r>
    </w:p>
    <w:p w:rsidR="00337B1D" w:rsidRPr="00A80DC6" w:rsidRDefault="00337B1D" w:rsidP="00297378">
      <w:pPr>
        <w:pStyle w:val="TEXTONORMAL"/>
        <w:rPr>
          <w:b/>
        </w:rPr>
      </w:pPr>
    </w:p>
    <w:p w:rsidR="00297378" w:rsidRPr="002C6D54" w:rsidRDefault="00297378" w:rsidP="00297378">
      <w:pPr>
        <w:pStyle w:val="VIETAFLECHA"/>
      </w:pPr>
      <w:r w:rsidRPr="002C6D54">
        <w:t>Flujo de Efectivo de las Actividades de Operación</w:t>
      </w:r>
    </w:p>
    <w:p w:rsidR="00297378" w:rsidRDefault="00297378" w:rsidP="002C6D54">
      <w:pPr>
        <w:pStyle w:val="TEXTONORMAL"/>
      </w:pPr>
      <w:r>
        <w:t xml:space="preserve">Los orígenes de las actividades de operación cobrados por el periodo comprendido del 1 de </w:t>
      </w:r>
      <w:r w:rsidR="00A46E56">
        <w:t>enero al 31 de diciembre de 2018</w:t>
      </w:r>
      <w:r>
        <w:t xml:space="preserve"> fueron por </w:t>
      </w:r>
      <w:r w:rsidR="00A46E56" w:rsidRPr="00A46E56">
        <w:t>15</w:t>
      </w:r>
      <w:proofErr w:type="gramStart"/>
      <w:r w:rsidR="00A46E56">
        <w:t>,</w:t>
      </w:r>
      <w:r w:rsidR="00A46E56" w:rsidRPr="00A46E56">
        <w:t>598</w:t>
      </w:r>
      <w:r w:rsidR="00A46E56">
        <w:t>,</w:t>
      </w:r>
      <w:r w:rsidR="00A46E56" w:rsidRPr="00A46E56">
        <w:t>801</w:t>
      </w:r>
      <w:r w:rsidR="00A46E56">
        <w:t>,</w:t>
      </w:r>
      <w:r w:rsidR="00A46E56" w:rsidRPr="00A46E56">
        <w:t>038</w:t>
      </w:r>
      <w:proofErr w:type="gramEnd"/>
      <w:r w:rsidR="00A46E56">
        <w:t xml:space="preserve"> y en 2017</w:t>
      </w:r>
      <w:r>
        <w:t xml:space="preserve"> por </w:t>
      </w:r>
      <w:r w:rsidR="00A46E56">
        <w:t>14,946,295,944</w:t>
      </w:r>
      <w:r>
        <w:t xml:space="preserve"> pesos. Las aplicaciones de las actividades de operación pagadas por el periodo comprendido del 1 de </w:t>
      </w:r>
      <w:r w:rsidR="00A46E56">
        <w:t>enero al 31 de diciembre de 2018</w:t>
      </w:r>
      <w:r>
        <w:t xml:space="preserve"> fueron por </w:t>
      </w:r>
      <w:r w:rsidR="00A46E56" w:rsidRPr="00A46E56">
        <w:t>15</w:t>
      </w:r>
      <w:r w:rsidR="00A46E56">
        <w:t>,</w:t>
      </w:r>
      <w:r w:rsidR="00A46E56" w:rsidRPr="00A46E56">
        <w:t>101</w:t>
      </w:r>
      <w:r w:rsidR="00A46E56">
        <w:t>,</w:t>
      </w:r>
      <w:r w:rsidR="00A46E56" w:rsidRPr="00A46E56">
        <w:t>314</w:t>
      </w:r>
      <w:r w:rsidR="00A46E56">
        <w:t>,</w:t>
      </w:r>
      <w:r w:rsidR="00A46E56" w:rsidRPr="00A46E56">
        <w:t>948</w:t>
      </w:r>
      <w:r w:rsidR="00A46E56">
        <w:t xml:space="preserve"> </w:t>
      </w:r>
      <w:r>
        <w:t xml:space="preserve"> y en 201</w:t>
      </w:r>
      <w:r w:rsidR="00A46E56">
        <w:t>7</w:t>
      </w:r>
      <w:r>
        <w:t xml:space="preserve"> por </w:t>
      </w:r>
      <w:r w:rsidR="00A46E56">
        <w:t xml:space="preserve">14,266,720,874 </w:t>
      </w:r>
      <w:r>
        <w:t>pesos, reflejándose un diferencial de actividades operación en 201</w:t>
      </w:r>
      <w:r w:rsidR="00A46E56">
        <w:t>8</w:t>
      </w:r>
      <w:r>
        <w:t xml:space="preserve"> por </w:t>
      </w:r>
      <w:r w:rsidR="00A46E56" w:rsidRPr="00A46E56">
        <w:t>497</w:t>
      </w:r>
      <w:r w:rsidR="00A46E56">
        <w:t>,</w:t>
      </w:r>
      <w:r w:rsidR="00A46E56" w:rsidRPr="00A46E56">
        <w:t>486</w:t>
      </w:r>
      <w:r w:rsidR="00A46E56">
        <w:t>,</w:t>
      </w:r>
      <w:r w:rsidR="00A46E56" w:rsidRPr="00A46E56">
        <w:t>090</w:t>
      </w:r>
      <w:r w:rsidR="00A46E56">
        <w:t xml:space="preserve"> </w:t>
      </w:r>
      <w:r>
        <w:t>y en 201</w:t>
      </w:r>
      <w:r w:rsidR="00A46E56">
        <w:t>7</w:t>
      </w:r>
      <w:r>
        <w:t xml:space="preserve"> por </w:t>
      </w:r>
      <w:r w:rsidR="00A46E56">
        <w:t xml:space="preserve">679,575,070 </w:t>
      </w:r>
      <w:r>
        <w:t>pesos.</w:t>
      </w:r>
    </w:p>
    <w:p w:rsidR="00D36914" w:rsidRDefault="00D36914" w:rsidP="002C6D54">
      <w:pPr>
        <w:pStyle w:val="TEXTONORMAL"/>
      </w:pPr>
    </w:p>
    <w:tbl>
      <w:tblPr>
        <w:tblW w:w="7617" w:type="dxa"/>
        <w:jc w:val="center"/>
        <w:tblCellMar>
          <w:left w:w="70" w:type="dxa"/>
          <w:right w:w="70" w:type="dxa"/>
        </w:tblCellMar>
        <w:tblLook w:val="04A0" w:firstRow="1" w:lastRow="0" w:firstColumn="1" w:lastColumn="0" w:noHBand="0" w:noVBand="1"/>
      </w:tblPr>
      <w:tblGrid>
        <w:gridCol w:w="4353"/>
        <w:gridCol w:w="1632"/>
        <w:gridCol w:w="1632"/>
      </w:tblGrid>
      <w:tr w:rsidR="00F75AE6" w:rsidRPr="00F75AE6" w:rsidTr="00337B1D">
        <w:trPr>
          <w:trHeight w:val="270"/>
          <w:jc w:val="center"/>
        </w:trPr>
        <w:tc>
          <w:tcPr>
            <w:tcW w:w="7617" w:type="dxa"/>
            <w:gridSpan w:val="3"/>
            <w:tcBorders>
              <w:top w:val="nil"/>
              <w:left w:val="nil"/>
              <w:bottom w:val="single" w:sz="12" w:space="0" w:color="808080"/>
              <w:right w:val="nil"/>
            </w:tcBorders>
            <w:shd w:val="clear" w:color="auto" w:fill="auto"/>
            <w:noWrap/>
            <w:vAlign w:val="center"/>
            <w:hideMark/>
          </w:tcPr>
          <w:p w:rsidR="00F75AE6" w:rsidRPr="00F75AE6" w:rsidRDefault="00F75AE6" w:rsidP="00F75AE6">
            <w:pPr>
              <w:spacing w:after="0" w:line="240" w:lineRule="auto"/>
              <w:jc w:val="center"/>
              <w:rPr>
                <w:rFonts w:ascii="Montserrat" w:eastAsia="Times New Roman" w:hAnsi="Montserrat" w:cs="Arial"/>
                <w:sz w:val="16"/>
                <w:szCs w:val="16"/>
                <w:lang w:val="es-MX" w:eastAsia="es-MX"/>
              </w:rPr>
            </w:pPr>
            <w:r w:rsidRPr="00F75AE6">
              <w:rPr>
                <w:rFonts w:ascii="Montserrat" w:eastAsia="Times New Roman" w:hAnsi="Montserrat" w:cs="Arial"/>
                <w:sz w:val="16"/>
                <w:szCs w:val="16"/>
                <w:lang w:val="es-MX" w:eastAsia="es-MX"/>
              </w:rPr>
              <w:t>(Pesos)</w:t>
            </w:r>
          </w:p>
        </w:tc>
      </w:tr>
      <w:tr w:rsidR="00F75AE6" w:rsidRPr="00F75AE6" w:rsidTr="00337B1D">
        <w:trPr>
          <w:trHeight w:val="15"/>
          <w:jc w:val="center"/>
        </w:trPr>
        <w:tc>
          <w:tcPr>
            <w:tcW w:w="7617" w:type="dxa"/>
            <w:gridSpan w:val="3"/>
            <w:tcBorders>
              <w:top w:val="single" w:sz="12" w:space="0" w:color="808080"/>
              <w:left w:val="nil"/>
              <w:bottom w:val="nil"/>
              <w:right w:val="nil"/>
            </w:tcBorders>
            <w:shd w:val="clear" w:color="auto" w:fill="auto"/>
            <w:vAlign w:val="center"/>
            <w:hideMark/>
          </w:tcPr>
          <w:p w:rsidR="00F75AE6" w:rsidRPr="00F75AE6" w:rsidRDefault="00F75AE6" w:rsidP="00F75AE6">
            <w:pPr>
              <w:spacing w:after="0" w:line="240" w:lineRule="auto"/>
              <w:jc w:val="center"/>
              <w:rPr>
                <w:rFonts w:ascii="Montserrat" w:eastAsia="Times New Roman" w:hAnsi="Montserrat" w:cs="Arial"/>
                <w:b/>
                <w:bCs/>
                <w:color w:val="000000"/>
                <w:sz w:val="10"/>
                <w:szCs w:val="10"/>
                <w:lang w:val="es-MX" w:eastAsia="es-MX"/>
              </w:rPr>
            </w:pPr>
          </w:p>
        </w:tc>
      </w:tr>
      <w:tr w:rsidR="00F75AE6" w:rsidRPr="00F75AE6" w:rsidTr="00337B1D">
        <w:trPr>
          <w:trHeight w:val="255"/>
          <w:jc w:val="center"/>
        </w:trPr>
        <w:tc>
          <w:tcPr>
            <w:tcW w:w="4353" w:type="dxa"/>
            <w:tcBorders>
              <w:top w:val="nil"/>
              <w:left w:val="nil"/>
              <w:bottom w:val="nil"/>
              <w:right w:val="single" w:sz="8" w:space="0" w:color="FFFFFF"/>
            </w:tcBorders>
            <w:shd w:val="clear" w:color="000000" w:fill="D4C19C"/>
            <w:vAlign w:val="center"/>
            <w:hideMark/>
          </w:tcPr>
          <w:p w:rsidR="00F75AE6" w:rsidRPr="00F75AE6" w:rsidRDefault="00F75AE6" w:rsidP="00F75AE6">
            <w:pPr>
              <w:spacing w:after="0" w:line="240" w:lineRule="auto"/>
              <w:jc w:val="center"/>
              <w:rPr>
                <w:rFonts w:ascii="Montserrat" w:eastAsia="Times New Roman" w:hAnsi="Montserrat" w:cs="Arial"/>
                <w:b/>
                <w:bCs/>
                <w:color w:val="FFFFFF"/>
                <w:sz w:val="16"/>
                <w:szCs w:val="16"/>
                <w:lang w:val="es-MX" w:eastAsia="es-MX"/>
              </w:rPr>
            </w:pPr>
            <w:r w:rsidRPr="00F75AE6">
              <w:rPr>
                <w:rFonts w:ascii="Montserrat" w:eastAsia="Times New Roman" w:hAnsi="Montserrat" w:cs="Arial"/>
                <w:b/>
                <w:bCs/>
                <w:color w:val="FFFFFF"/>
                <w:sz w:val="16"/>
                <w:szCs w:val="16"/>
                <w:lang w:val="es-MX" w:eastAsia="es-MX"/>
              </w:rPr>
              <w:t>Concepto</w:t>
            </w:r>
          </w:p>
        </w:tc>
        <w:tc>
          <w:tcPr>
            <w:tcW w:w="1632" w:type="dxa"/>
            <w:tcBorders>
              <w:top w:val="nil"/>
              <w:left w:val="nil"/>
              <w:bottom w:val="nil"/>
              <w:right w:val="single" w:sz="8" w:space="0" w:color="FFFFFF"/>
            </w:tcBorders>
            <w:shd w:val="clear" w:color="000000" w:fill="D4C19C"/>
            <w:vAlign w:val="center"/>
            <w:hideMark/>
          </w:tcPr>
          <w:p w:rsidR="00F75AE6" w:rsidRPr="00F75AE6" w:rsidRDefault="00F75AE6" w:rsidP="00F75AE6">
            <w:pPr>
              <w:spacing w:after="0" w:line="240" w:lineRule="auto"/>
              <w:jc w:val="center"/>
              <w:rPr>
                <w:rFonts w:ascii="Montserrat" w:eastAsia="Times New Roman" w:hAnsi="Montserrat" w:cs="Arial"/>
                <w:b/>
                <w:bCs/>
                <w:color w:val="FFFFFF"/>
                <w:sz w:val="16"/>
                <w:szCs w:val="16"/>
                <w:lang w:val="es-MX" w:eastAsia="es-MX"/>
              </w:rPr>
            </w:pPr>
            <w:r w:rsidRPr="00F75AE6">
              <w:rPr>
                <w:rFonts w:ascii="Montserrat" w:eastAsia="Times New Roman" w:hAnsi="Montserrat" w:cs="Arial"/>
                <w:b/>
                <w:bCs/>
                <w:color w:val="FFFFFF"/>
                <w:sz w:val="16"/>
                <w:szCs w:val="16"/>
                <w:lang w:val="es-MX" w:eastAsia="es-MX"/>
              </w:rPr>
              <w:t>2018</w:t>
            </w:r>
          </w:p>
        </w:tc>
        <w:tc>
          <w:tcPr>
            <w:tcW w:w="1632" w:type="dxa"/>
            <w:tcBorders>
              <w:top w:val="nil"/>
              <w:left w:val="nil"/>
              <w:bottom w:val="nil"/>
              <w:right w:val="single" w:sz="8" w:space="0" w:color="FFFFFF"/>
            </w:tcBorders>
            <w:shd w:val="clear" w:color="000000" w:fill="D4C19C"/>
            <w:vAlign w:val="center"/>
            <w:hideMark/>
          </w:tcPr>
          <w:p w:rsidR="00F75AE6" w:rsidRPr="00F75AE6" w:rsidRDefault="00F75AE6" w:rsidP="00F75AE6">
            <w:pPr>
              <w:spacing w:after="0" w:line="240" w:lineRule="auto"/>
              <w:jc w:val="center"/>
              <w:rPr>
                <w:rFonts w:ascii="Montserrat" w:eastAsia="Times New Roman" w:hAnsi="Montserrat" w:cs="Arial"/>
                <w:b/>
                <w:bCs/>
                <w:color w:val="FFFFFF"/>
                <w:sz w:val="16"/>
                <w:szCs w:val="16"/>
                <w:lang w:val="es-MX" w:eastAsia="es-MX"/>
              </w:rPr>
            </w:pPr>
            <w:r w:rsidRPr="00F75AE6">
              <w:rPr>
                <w:rFonts w:ascii="Montserrat" w:eastAsia="Times New Roman" w:hAnsi="Montserrat" w:cs="Arial"/>
                <w:b/>
                <w:bCs/>
                <w:color w:val="FFFFFF"/>
                <w:sz w:val="16"/>
                <w:szCs w:val="16"/>
                <w:lang w:val="es-MX" w:eastAsia="es-MX"/>
              </w:rPr>
              <w:t>2017</w:t>
            </w:r>
          </w:p>
        </w:tc>
      </w:tr>
      <w:tr w:rsidR="00F75AE6" w:rsidRPr="00F75AE6" w:rsidTr="00D36914">
        <w:trPr>
          <w:trHeight w:val="53"/>
          <w:jc w:val="center"/>
        </w:trPr>
        <w:tc>
          <w:tcPr>
            <w:tcW w:w="7617" w:type="dxa"/>
            <w:gridSpan w:val="3"/>
            <w:tcBorders>
              <w:top w:val="nil"/>
              <w:left w:val="nil"/>
              <w:bottom w:val="double" w:sz="6" w:space="0" w:color="808080"/>
              <w:right w:val="nil"/>
            </w:tcBorders>
            <w:shd w:val="clear" w:color="auto" w:fill="auto"/>
            <w:vAlign w:val="center"/>
            <w:hideMark/>
          </w:tcPr>
          <w:p w:rsidR="00F75AE6" w:rsidRPr="00F75AE6" w:rsidRDefault="00F75AE6" w:rsidP="00F75AE6">
            <w:pPr>
              <w:spacing w:after="0" w:line="240" w:lineRule="auto"/>
              <w:jc w:val="center"/>
              <w:rPr>
                <w:rFonts w:ascii="Montserrat" w:eastAsia="Times New Roman" w:hAnsi="Montserrat" w:cs="Arial"/>
                <w:b/>
                <w:bCs/>
                <w:color w:val="000000"/>
                <w:sz w:val="4"/>
                <w:szCs w:val="4"/>
                <w:lang w:val="es-MX" w:eastAsia="es-MX"/>
              </w:rPr>
            </w:pPr>
            <w:r w:rsidRPr="00F75AE6">
              <w:rPr>
                <w:rFonts w:ascii="Montserrat" w:eastAsia="Times New Roman" w:hAnsi="Montserrat" w:cs="Arial"/>
                <w:b/>
                <w:bCs/>
                <w:color w:val="000000"/>
                <w:sz w:val="4"/>
                <w:szCs w:val="4"/>
                <w:lang w:val="es-MX" w:eastAsia="es-MX"/>
              </w:rPr>
              <w:t> </w:t>
            </w:r>
          </w:p>
        </w:tc>
      </w:tr>
      <w:tr w:rsidR="00F75AE6" w:rsidRPr="00F75AE6" w:rsidTr="00337B1D">
        <w:trPr>
          <w:trHeight w:val="270"/>
          <w:jc w:val="center"/>
        </w:trPr>
        <w:tc>
          <w:tcPr>
            <w:tcW w:w="4353"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Cámara de Diputados</w:t>
            </w:r>
          </w:p>
        </w:tc>
        <w:tc>
          <w:tcPr>
            <w:tcW w:w="1632"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352,482,243</w:t>
            </w:r>
          </w:p>
        </w:tc>
        <w:tc>
          <w:tcPr>
            <w:tcW w:w="1632"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157,212,517</w:t>
            </w:r>
          </w:p>
        </w:tc>
      </w:tr>
      <w:tr w:rsidR="00F75AE6" w:rsidRPr="00F75AE6" w:rsidTr="00337B1D">
        <w:trPr>
          <w:trHeight w:val="255"/>
          <w:jc w:val="center"/>
        </w:trPr>
        <w:tc>
          <w:tcPr>
            <w:tcW w:w="4353"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Cámara de Senadores</w:t>
            </w:r>
          </w:p>
        </w:tc>
        <w:tc>
          <w:tcPr>
            <w:tcW w:w="1632"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137,719,701</w:t>
            </w:r>
          </w:p>
        </w:tc>
        <w:tc>
          <w:tcPr>
            <w:tcW w:w="1632"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173,234,224</w:t>
            </w:r>
          </w:p>
        </w:tc>
      </w:tr>
      <w:tr w:rsidR="00F75AE6" w:rsidRPr="00F75AE6" w:rsidTr="00337B1D">
        <w:trPr>
          <w:trHeight w:val="255"/>
          <w:jc w:val="center"/>
        </w:trPr>
        <w:tc>
          <w:tcPr>
            <w:tcW w:w="4353"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Auditoría Superior de la Federación</w:t>
            </w:r>
          </w:p>
        </w:tc>
        <w:tc>
          <w:tcPr>
            <w:tcW w:w="1632"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7,284,146</w:t>
            </w:r>
          </w:p>
        </w:tc>
        <w:tc>
          <w:tcPr>
            <w:tcW w:w="1632"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349,128,329</w:t>
            </w:r>
          </w:p>
        </w:tc>
      </w:tr>
      <w:tr w:rsidR="00F75AE6" w:rsidRPr="00F75AE6" w:rsidTr="00337B1D">
        <w:trPr>
          <w:trHeight w:val="270"/>
          <w:jc w:val="center"/>
        </w:trPr>
        <w:tc>
          <w:tcPr>
            <w:tcW w:w="4353"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jc w:val="right"/>
              <w:rPr>
                <w:rFonts w:ascii="Montserrat" w:eastAsia="Times New Roman" w:hAnsi="Montserrat" w:cs="Arial"/>
                <w:b/>
                <w:bCs/>
                <w:color w:val="000000"/>
                <w:sz w:val="15"/>
                <w:szCs w:val="15"/>
                <w:lang w:val="es-MX" w:eastAsia="es-MX"/>
              </w:rPr>
            </w:pPr>
            <w:r w:rsidRPr="00F75AE6">
              <w:rPr>
                <w:rFonts w:ascii="Montserrat" w:eastAsia="Times New Roman" w:hAnsi="Montserrat" w:cs="Arial"/>
                <w:b/>
                <w:bCs/>
                <w:color w:val="000000"/>
                <w:sz w:val="15"/>
                <w:szCs w:val="15"/>
                <w:lang w:val="es-MX" w:eastAsia="es-MX"/>
              </w:rPr>
              <w:t>Suma de Flujos Netos de Efectivo por Actividades de Operación</w:t>
            </w:r>
          </w:p>
        </w:tc>
        <w:tc>
          <w:tcPr>
            <w:tcW w:w="1632"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b/>
                <w:color w:val="000000"/>
                <w:sz w:val="15"/>
                <w:szCs w:val="15"/>
                <w:lang w:val="es-MX" w:eastAsia="es-MX"/>
              </w:rPr>
            </w:pPr>
            <w:r w:rsidRPr="00F75AE6">
              <w:rPr>
                <w:rFonts w:ascii="Montserrat" w:eastAsia="Times New Roman" w:hAnsi="Montserrat" w:cs="Arial"/>
                <w:b/>
                <w:color w:val="000000"/>
                <w:sz w:val="15"/>
                <w:szCs w:val="15"/>
                <w:lang w:val="es-MX" w:eastAsia="es-MX"/>
              </w:rPr>
              <w:t>497,486,090</w:t>
            </w:r>
          </w:p>
        </w:tc>
        <w:tc>
          <w:tcPr>
            <w:tcW w:w="1632"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b/>
                <w:color w:val="000000"/>
                <w:sz w:val="15"/>
                <w:szCs w:val="15"/>
                <w:lang w:val="es-MX" w:eastAsia="es-MX"/>
              </w:rPr>
            </w:pPr>
            <w:r w:rsidRPr="00F75AE6">
              <w:rPr>
                <w:rFonts w:ascii="Montserrat" w:eastAsia="Times New Roman" w:hAnsi="Montserrat" w:cs="Arial"/>
                <w:b/>
                <w:color w:val="000000"/>
                <w:sz w:val="15"/>
                <w:szCs w:val="15"/>
                <w:lang w:val="es-MX" w:eastAsia="es-MX"/>
              </w:rPr>
              <w:t>679,575,070</w:t>
            </w:r>
          </w:p>
        </w:tc>
      </w:tr>
      <w:tr w:rsidR="00F75AE6" w:rsidRPr="00F75AE6" w:rsidTr="00337B1D">
        <w:trPr>
          <w:trHeight w:val="300"/>
          <w:jc w:val="center"/>
        </w:trPr>
        <w:tc>
          <w:tcPr>
            <w:tcW w:w="4353" w:type="dxa"/>
            <w:tcBorders>
              <w:top w:val="single" w:sz="12" w:space="0" w:color="808080"/>
              <w:left w:val="nil"/>
              <w:bottom w:val="nil"/>
              <w:right w:val="nil"/>
            </w:tcBorders>
            <w:shd w:val="clear" w:color="auto" w:fill="auto"/>
            <w:noWrap/>
            <w:vAlign w:val="center"/>
          </w:tcPr>
          <w:p w:rsidR="00F75AE6" w:rsidRPr="00F75AE6" w:rsidRDefault="00F75AE6" w:rsidP="00F75AE6">
            <w:pPr>
              <w:spacing w:after="0" w:line="240" w:lineRule="auto"/>
              <w:jc w:val="right"/>
              <w:rPr>
                <w:rFonts w:ascii="Soberana Sans Light" w:eastAsia="Times New Roman" w:hAnsi="Soberana Sans Light" w:cs="Arial"/>
                <w:b/>
                <w:bCs/>
                <w:color w:val="E26B0A"/>
                <w:sz w:val="16"/>
                <w:szCs w:val="16"/>
                <w:lang w:val="es-MX" w:eastAsia="es-MX"/>
              </w:rPr>
            </w:pPr>
          </w:p>
        </w:tc>
        <w:tc>
          <w:tcPr>
            <w:tcW w:w="1632" w:type="dxa"/>
            <w:tcBorders>
              <w:top w:val="single" w:sz="12" w:space="0" w:color="808080"/>
              <w:left w:val="nil"/>
              <w:bottom w:val="nil"/>
              <w:right w:val="nil"/>
            </w:tcBorders>
            <w:shd w:val="clear" w:color="auto" w:fill="auto"/>
            <w:noWrap/>
            <w:vAlign w:val="center"/>
          </w:tcPr>
          <w:p w:rsidR="00F75AE6" w:rsidRPr="00F75AE6" w:rsidRDefault="00F75AE6" w:rsidP="00F75AE6">
            <w:pPr>
              <w:spacing w:after="0" w:line="240" w:lineRule="auto"/>
              <w:jc w:val="right"/>
              <w:rPr>
                <w:rFonts w:ascii="Soberana Sans Light" w:eastAsia="Times New Roman" w:hAnsi="Soberana Sans Light" w:cs="Arial"/>
                <w:b/>
                <w:bCs/>
                <w:color w:val="E26B0A"/>
                <w:sz w:val="16"/>
                <w:szCs w:val="16"/>
                <w:lang w:val="es-MX" w:eastAsia="es-MX"/>
              </w:rPr>
            </w:pPr>
          </w:p>
        </w:tc>
        <w:tc>
          <w:tcPr>
            <w:tcW w:w="1632" w:type="dxa"/>
            <w:tcBorders>
              <w:top w:val="single" w:sz="12" w:space="0" w:color="808080"/>
              <w:left w:val="nil"/>
              <w:bottom w:val="nil"/>
              <w:right w:val="nil"/>
            </w:tcBorders>
            <w:shd w:val="clear" w:color="auto" w:fill="auto"/>
            <w:noWrap/>
            <w:vAlign w:val="center"/>
          </w:tcPr>
          <w:p w:rsidR="00F75AE6" w:rsidRPr="00F75AE6" w:rsidRDefault="00F75AE6" w:rsidP="00F75AE6">
            <w:pPr>
              <w:spacing w:after="0" w:line="240" w:lineRule="auto"/>
              <w:jc w:val="right"/>
              <w:rPr>
                <w:rFonts w:ascii="Soberana Sans Light" w:eastAsia="Times New Roman" w:hAnsi="Soberana Sans Light" w:cs="Arial"/>
                <w:b/>
                <w:bCs/>
                <w:color w:val="E26B0A"/>
                <w:sz w:val="16"/>
                <w:szCs w:val="16"/>
                <w:lang w:val="es-MX" w:eastAsia="es-MX"/>
              </w:rPr>
            </w:pPr>
          </w:p>
        </w:tc>
      </w:tr>
    </w:tbl>
    <w:p w:rsidR="00297378" w:rsidRDefault="00297378" w:rsidP="00297378">
      <w:pPr>
        <w:pStyle w:val="TEXTONORMAL"/>
      </w:pPr>
    </w:p>
    <w:p w:rsidR="00297378" w:rsidRPr="002C6D54" w:rsidRDefault="00297378" w:rsidP="00297378">
      <w:pPr>
        <w:pStyle w:val="VIETAFLECHA"/>
      </w:pPr>
      <w:r w:rsidRPr="002C6D54">
        <w:t xml:space="preserve">Flujo de Efectivo de las Actividades de Inversión </w:t>
      </w:r>
    </w:p>
    <w:p w:rsidR="00297378" w:rsidRDefault="00297378" w:rsidP="002C6D54">
      <w:pPr>
        <w:pStyle w:val="TEXTONORMAL"/>
      </w:pPr>
      <w:r>
        <w:t xml:space="preserve">Los orígenes de las actividades inversión cobrados por el periodo comprendido del 1 de </w:t>
      </w:r>
      <w:r w:rsidR="00A46E56">
        <w:t>enero al 31 de diciembre de 2018</w:t>
      </w:r>
      <w:r>
        <w:t xml:space="preserve"> </w:t>
      </w:r>
      <w:r w:rsidR="00A46E56">
        <w:t xml:space="preserve">fueron por </w:t>
      </w:r>
      <w:r w:rsidR="00F80280" w:rsidRPr="00F80280">
        <w:t>1</w:t>
      </w:r>
      <w:proofErr w:type="gramStart"/>
      <w:r w:rsidR="00F80280">
        <w:t>,</w:t>
      </w:r>
      <w:r w:rsidR="00F80280" w:rsidRPr="00F80280">
        <w:t>611</w:t>
      </w:r>
      <w:r w:rsidR="00F80280">
        <w:t>,</w:t>
      </w:r>
      <w:r w:rsidR="00F80280" w:rsidRPr="00F80280">
        <w:t>324</w:t>
      </w:r>
      <w:r w:rsidR="00F80280">
        <w:t>,</w:t>
      </w:r>
      <w:r w:rsidR="00F80280" w:rsidRPr="00F80280">
        <w:t>221</w:t>
      </w:r>
      <w:proofErr w:type="gramEnd"/>
      <w:r w:rsidR="00F80280">
        <w:t xml:space="preserve"> </w:t>
      </w:r>
      <w:r w:rsidR="00A46E56">
        <w:t>y en 2017</w:t>
      </w:r>
      <w:r>
        <w:t xml:space="preserve"> por </w:t>
      </w:r>
      <w:r w:rsidR="00F80280">
        <w:t xml:space="preserve">106,677,132 </w:t>
      </w:r>
      <w:r>
        <w:t>pesos. Las aplicaciones de las actividades de inversión pagados por el periodo comprendido del 1 de enero al 31 de diciembre de 201</w:t>
      </w:r>
      <w:r w:rsidR="00A46E56">
        <w:t>8</w:t>
      </w:r>
      <w:r>
        <w:t xml:space="preserve"> </w:t>
      </w:r>
      <w:r w:rsidR="00A46E56">
        <w:t xml:space="preserve">fueron por </w:t>
      </w:r>
      <w:r w:rsidR="00F80280" w:rsidRPr="00F80280">
        <w:t>2</w:t>
      </w:r>
      <w:proofErr w:type="gramStart"/>
      <w:r w:rsidR="00F80280">
        <w:t>,</w:t>
      </w:r>
      <w:r w:rsidR="00F80280" w:rsidRPr="00F80280">
        <w:t>101</w:t>
      </w:r>
      <w:r w:rsidR="00F80280">
        <w:t>,</w:t>
      </w:r>
      <w:r w:rsidR="00F80280" w:rsidRPr="00F80280">
        <w:t>969</w:t>
      </w:r>
      <w:r w:rsidR="00F80280">
        <w:t>,</w:t>
      </w:r>
      <w:r w:rsidR="00F80280" w:rsidRPr="00F80280">
        <w:t>760</w:t>
      </w:r>
      <w:proofErr w:type="gramEnd"/>
      <w:r w:rsidR="00F80280">
        <w:t xml:space="preserve"> </w:t>
      </w:r>
      <w:r w:rsidR="00A46E56">
        <w:t>y en 2017</w:t>
      </w:r>
      <w:r>
        <w:t xml:space="preserve"> por </w:t>
      </w:r>
      <w:r w:rsidR="00F80280">
        <w:t>768,718,548</w:t>
      </w:r>
      <w:r>
        <w:t xml:space="preserve"> pesos, reflejándose un diferencial de </w:t>
      </w:r>
      <w:r w:rsidR="00A46E56">
        <w:t xml:space="preserve">actividades de inversión en 2018 por </w:t>
      </w:r>
      <w:r w:rsidR="00F80280" w:rsidRPr="00F80280">
        <w:t>-490</w:t>
      </w:r>
      <w:r w:rsidR="00F80280">
        <w:t>,</w:t>
      </w:r>
      <w:r w:rsidR="00F80280" w:rsidRPr="00F80280">
        <w:t>645</w:t>
      </w:r>
      <w:r w:rsidR="00F80280">
        <w:t>,</w:t>
      </w:r>
      <w:r w:rsidR="00F80280" w:rsidRPr="00F80280">
        <w:t>539</w:t>
      </w:r>
      <w:r w:rsidR="00F80280">
        <w:t xml:space="preserve"> </w:t>
      </w:r>
      <w:r w:rsidR="00A46E56">
        <w:t>y en 2017</w:t>
      </w:r>
      <w:r>
        <w:t xml:space="preserve"> por </w:t>
      </w:r>
      <w:r w:rsidR="00F80280">
        <w:t>-662,041,416</w:t>
      </w:r>
      <w:r>
        <w:t xml:space="preserve"> pesos.</w:t>
      </w:r>
    </w:p>
    <w:p w:rsidR="00A46E56" w:rsidRDefault="00A46E56" w:rsidP="00A80DC6">
      <w:pPr>
        <w:pStyle w:val="TEXTONORMAL"/>
        <w:ind w:left="357"/>
      </w:pPr>
    </w:p>
    <w:tbl>
      <w:tblPr>
        <w:tblW w:w="7616" w:type="dxa"/>
        <w:jc w:val="center"/>
        <w:tblCellMar>
          <w:left w:w="70" w:type="dxa"/>
          <w:right w:w="70" w:type="dxa"/>
        </w:tblCellMar>
        <w:tblLook w:val="04A0" w:firstRow="1" w:lastRow="0" w:firstColumn="1" w:lastColumn="0" w:noHBand="0" w:noVBand="1"/>
      </w:tblPr>
      <w:tblGrid>
        <w:gridCol w:w="4288"/>
        <w:gridCol w:w="1664"/>
        <w:gridCol w:w="1664"/>
      </w:tblGrid>
      <w:tr w:rsidR="00F75AE6" w:rsidRPr="00F75AE6" w:rsidTr="00337B1D">
        <w:trPr>
          <w:trHeight w:val="270"/>
          <w:jc w:val="center"/>
        </w:trPr>
        <w:tc>
          <w:tcPr>
            <w:tcW w:w="7616" w:type="dxa"/>
            <w:gridSpan w:val="3"/>
            <w:tcBorders>
              <w:top w:val="nil"/>
              <w:left w:val="nil"/>
              <w:bottom w:val="single" w:sz="12" w:space="0" w:color="808080"/>
              <w:right w:val="nil"/>
            </w:tcBorders>
            <w:shd w:val="clear" w:color="auto" w:fill="auto"/>
            <w:noWrap/>
            <w:vAlign w:val="center"/>
            <w:hideMark/>
          </w:tcPr>
          <w:p w:rsidR="00F75AE6" w:rsidRPr="00F75AE6" w:rsidRDefault="00F75AE6" w:rsidP="00F75AE6">
            <w:pPr>
              <w:spacing w:after="0" w:line="240" w:lineRule="auto"/>
              <w:jc w:val="center"/>
              <w:rPr>
                <w:rFonts w:ascii="Montserrat" w:eastAsia="Times New Roman" w:hAnsi="Montserrat" w:cs="Arial"/>
                <w:sz w:val="16"/>
                <w:szCs w:val="16"/>
                <w:lang w:val="es-MX" w:eastAsia="es-MX"/>
              </w:rPr>
            </w:pPr>
            <w:r w:rsidRPr="00F75AE6">
              <w:rPr>
                <w:rFonts w:ascii="Montserrat" w:eastAsia="Times New Roman" w:hAnsi="Montserrat" w:cs="Arial"/>
                <w:sz w:val="16"/>
                <w:szCs w:val="16"/>
                <w:lang w:val="es-MX" w:eastAsia="es-MX"/>
              </w:rPr>
              <w:lastRenderedPageBreak/>
              <w:t>(Pesos)</w:t>
            </w:r>
          </w:p>
        </w:tc>
      </w:tr>
      <w:tr w:rsidR="00F75AE6" w:rsidRPr="00F75AE6" w:rsidTr="00337B1D">
        <w:trPr>
          <w:trHeight w:val="15"/>
          <w:jc w:val="center"/>
        </w:trPr>
        <w:tc>
          <w:tcPr>
            <w:tcW w:w="7616" w:type="dxa"/>
            <w:gridSpan w:val="3"/>
            <w:tcBorders>
              <w:top w:val="single" w:sz="12" w:space="0" w:color="808080"/>
              <w:left w:val="nil"/>
              <w:bottom w:val="nil"/>
              <w:right w:val="nil"/>
            </w:tcBorders>
            <w:shd w:val="clear" w:color="auto" w:fill="auto"/>
            <w:vAlign w:val="center"/>
            <w:hideMark/>
          </w:tcPr>
          <w:p w:rsidR="00F75AE6" w:rsidRPr="00F75AE6" w:rsidRDefault="00F75AE6" w:rsidP="00D36914">
            <w:pPr>
              <w:spacing w:after="0" w:line="240" w:lineRule="auto"/>
              <w:rPr>
                <w:rFonts w:ascii="Montserrat" w:eastAsia="Times New Roman" w:hAnsi="Montserrat" w:cs="Arial"/>
                <w:b/>
                <w:bCs/>
                <w:color w:val="000000"/>
                <w:sz w:val="10"/>
                <w:szCs w:val="10"/>
                <w:lang w:val="es-MX" w:eastAsia="es-MX"/>
              </w:rPr>
            </w:pPr>
          </w:p>
        </w:tc>
      </w:tr>
      <w:tr w:rsidR="00F75AE6" w:rsidRPr="00F75AE6" w:rsidTr="00337B1D">
        <w:trPr>
          <w:trHeight w:val="255"/>
          <w:jc w:val="center"/>
        </w:trPr>
        <w:tc>
          <w:tcPr>
            <w:tcW w:w="4288" w:type="dxa"/>
            <w:tcBorders>
              <w:top w:val="nil"/>
              <w:left w:val="nil"/>
              <w:bottom w:val="nil"/>
              <w:right w:val="single" w:sz="8" w:space="0" w:color="FFFFFF"/>
            </w:tcBorders>
            <w:shd w:val="clear" w:color="000000" w:fill="D4C19C"/>
            <w:vAlign w:val="center"/>
            <w:hideMark/>
          </w:tcPr>
          <w:p w:rsidR="00F75AE6" w:rsidRPr="00F75AE6" w:rsidRDefault="00F75AE6" w:rsidP="00F75AE6">
            <w:pPr>
              <w:spacing w:after="0" w:line="240" w:lineRule="auto"/>
              <w:jc w:val="center"/>
              <w:rPr>
                <w:rFonts w:ascii="Montserrat" w:eastAsia="Times New Roman" w:hAnsi="Montserrat" w:cs="Arial"/>
                <w:b/>
                <w:bCs/>
                <w:color w:val="FFFFFF"/>
                <w:sz w:val="16"/>
                <w:szCs w:val="16"/>
                <w:lang w:val="es-MX" w:eastAsia="es-MX"/>
              </w:rPr>
            </w:pPr>
            <w:r w:rsidRPr="00F75AE6">
              <w:rPr>
                <w:rFonts w:ascii="Montserrat" w:eastAsia="Times New Roman" w:hAnsi="Montserrat" w:cs="Arial"/>
                <w:b/>
                <w:bCs/>
                <w:color w:val="FFFFFF"/>
                <w:sz w:val="16"/>
                <w:szCs w:val="16"/>
                <w:lang w:val="es-MX" w:eastAsia="es-MX"/>
              </w:rPr>
              <w:t>Concepto</w:t>
            </w:r>
          </w:p>
        </w:tc>
        <w:tc>
          <w:tcPr>
            <w:tcW w:w="1664" w:type="dxa"/>
            <w:tcBorders>
              <w:top w:val="nil"/>
              <w:left w:val="nil"/>
              <w:bottom w:val="nil"/>
              <w:right w:val="single" w:sz="8" w:space="0" w:color="FFFFFF"/>
            </w:tcBorders>
            <w:shd w:val="clear" w:color="000000" w:fill="D4C19C"/>
            <w:vAlign w:val="center"/>
            <w:hideMark/>
          </w:tcPr>
          <w:p w:rsidR="00F75AE6" w:rsidRPr="00F75AE6" w:rsidRDefault="00F75AE6" w:rsidP="00F75AE6">
            <w:pPr>
              <w:spacing w:after="0" w:line="240" w:lineRule="auto"/>
              <w:jc w:val="center"/>
              <w:rPr>
                <w:rFonts w:ascii="Montserrat" w:eastAsia="Times New Roman" w:hAnsi="Montserrat" w:cs="Arial"/>
                <w:b/>
                <w:bCs/>
                <w:color w:val="FFFFFF"/>
                <w:sz w:val="16"/>
                <w:szCs w:val="16"/>
                <w:lang w:val="es-MX" w:eastAsia="es-MX"/>
              </w:rPr>
            </w:pPr>
            <w:r w:rsidRPr="00F75AE6">
              <w:rPr>
                <w:rFonts w:ascii="Montserrat" w:eastAsia="Times New Roman" w:hAnsi="Montserrat" w:cs="Arial"/>
                <w:b/>
                <w:bCs/>
                <w:color w:val="FFFFFF"/>
                <w:sz w:val="16"/>
                <w:szCs w:val="16"/>
                <w:lang w:val="es-MX" w:eastAsia="es-MX"/>
              </w:rPr>
              <w:t>2018</w:t>
            </w:r>
          </w:p>
        </w:tc>
        <w:tc>
          <w:tcPr>
            <w:tcW w:w="1664" w:type="dxa"/>
            <w:tcBorders>
              <w:top w:val="nil"/>
              <w:left w:val="nil"/>
              <w:bottom w:val="nil"/>
              <w:right w:val="single" w:sz="8" w:space="0" w:color="FFFFFF"/>
            </w:tcBorders>
            <w:shd w:val="clear" w:color="000000" w:fill="D4C19C"/>
            <w:vAlign w:val="center"/>
            <w:hideMark/>
          </w:tcPr>
          <w:p w:rsidR="00F75AE6" w:rsidRPr="00F75AE6" w:rsidRDefault="00F75AE6" w:rsidP="00F75AE6">
            <w:pPr>
              <w:spacing w:after="0" w:line="240" w:lineRule="auto"/>
              <w:jc w:val="center"/>
              <w:rPr>
                <w:rFonts w:ascii="Montserrat" w:eastAsia="Times New Roman" w:hAnsi="Montserrat" w:cs="Arial"/>
                <w:b/>
                <w:bCs/>
                <w:color w:val="FFFFFF"/>
                <w:sz w:val="16"/>
                <w:szCs w:val="16"/>
                <w:lang w:val="es-MX" w:eastAsia="es-MX"/>
              </w:rPr>
            </w:pPr>
            <w:r w:rsidRPr="00F75AE6">
              <w:rPr>
                <w:rFonts w:ascii="Montserrat" w:eastAsia="Times New Roman" w:hAnsi="Montserrat" w:cs="Arial"/>
                <w:b/>
                <w:bCs/>
                <w:color w:val="FFFFFF"/>
                <w:sz w:val="16"/>
                <w:szCs w:val="16"/>
                <w:lang w:val="es-MX" w:eastAsia="es-MX"/>
              </w:rPr>
              <w:t>2017</w:t>
            </w:r>
          </w:p>
        </w:tc>
      </w:tr>
      <w:tr w:rsidR="00F75AE6" w:rsidRPr="00F75AE6" w:rsidTr="00D36914">
        <w:trPr>
          <w:trHeight w:val="53"/>
          <w:jc w:val="center"/>
        </w:trPr>
        <w:tc>
          <w:tcPr>
            <w:tcW w:w="7616" w:type="dxa"/>
            <w:gridSpan w:val="3"/>
            <w:tcBorders>
              <w:top w:val="nil"/>
              <w:left w:val="nil"/>
              <w:bottom w:val="double" w:sz="6" w:space="0" w:color="808080"/>
              <w:right w:val="nil"/>
            </w:tcBorders>
            <w:shd w:val="clear" w:color="auto" w:fill="auto"/>
            <w:vAlign w:val="center"/>
            <w:hideMark/>
          </w:tcPr>
          <w:p w:rsidR="00F75AE6" w:rsidRPr="00F75AE6" w:rsidRDefault="00F75AE6" w:rsidP="00F75AE6">
            <w:pPr>
              <w:spacing w:after="0" w:line="240" w:lineRule="auto"/>
              <w:jc w:val="center"/>
              <w:rPr>
                <w:rFonts w:ascii="Montserrat" w:eastAsia="Times New Roman" w:hAnsi="Montserrat" w:cs="Arial"/>
                <w:b/>
                <w:bCs/>
                <w:color w:val="000000"/>
                <w:sz w:val="4"/>
                <w:szCs w:val="4"/>
                <w:lang w:val="es-MX" w:eastAsia="es-MX"/>
              </w:rPr>
            </w:pPr>
            <w:r w:rsidRPr="00F75AE6">
              <w:rPr>
                <w:rFonts w:ascii="Montserrat" w:eastAsia="Times New Roman" w:hAnsi="Montserrat" w:cs="Arial"/>
                <w:b/>
                <w:bCs/>
                <w:color w:val="000000"/>
                <w:sz w:val="4"/>
                <w:szCs w:val="4"/>
                <w:lang w:val="es-MX" w:eastAsia="es-MX"/>
              </w:rPr>
              <w:t> </w:t>
            </w:r>
          </w:p>
        </w:tc>
      </w:tr>
      <w:tr w:rsidR="00F75AE6" w:rsidRPr="00F75AE6" w:rsidTr="00337B1D">
        <w:trPr>
          <w:trHeight w:val="270"/>
          <w:jc w:val="center"/>
        </w:trPr>
        <w:tc>
          <w:tcPr>
            <w:tcW w:w="4288"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Cámara de Diputados</w:t>
            </w:r>
          </w:p>
        </w:tc>
        <w:tc>
          <w:tcPr>
            <w:tcW w:w="1664"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-353,541,263</w:t>
            </w:r>
          </w:p>
        </w:tc>
        <w:tc>
          <w:tcPr>
            <w:tcW w:w="1664"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-151,120,606</w:t>
            </w:r>
          </w:p>
        </w:tc>
      </w:tr>
      <w:tr w:rsidR="00F75AE6" w:rsidRPr="00F75AE6" w:rsidTr="00337B1D">
        <w:trPr>
          <w:trHeight w:val="255"/>
          <w:jc w:val="center"/>
        </w:trPr>
        <w:tc>
          <w:tcPr>
            <w:tcW w:w="4288"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Cámara de Senadores</w:t>
            </w:r>
          </w:p>
        </w:tc>
        <w:tc>
          <w:tcPr>
            <w:tcW w:w="1664"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-129,820,130</w:t>
            </w:r>
          </w:p>
        </w:tc>
        <w:tc>
          <w:tcPr>
            <w:tcW w:w="1664"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-161,792,481</w:t>
            </w:r>
          </w:p>
        </w:tc>
      </w:tr>
      <w:tr w:rsidR="00F75AE6" w:rsidRPr="00F75AE6" w:rsidTr="00337B1D">
        <w:trPr>
          <w:trHeight w:val="255"/>
          <w:jc w:val="center"/>
        </w:trPr>
        <w:tc>
          <w:tcPr>
            <w:tcW w:w="4288"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Auditoría Superior de la Federación</w:t>
            </w:r>
          </w:p>
        </w:tc>
        <w:tc>
          <w:tcPr>
            <w:tcW w:w="1664"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-7,284,146</w:t>
            </w:r>
          </w:p>
        </w:tc>
        <w:tc>
          <w:tcPr>
            <w:tcW w:w="1664"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-349,128,329</w:t>
            </w:r>
          </w:p>
        </w:tc>
      </w:tr>
      <w:tr w:rsidR="00F75AE6" w:rsidRPr="00F75AE6" w:rsidTr="00337B1D">
        <w:trPr>
          <w:trHeight w:val="270"/>
          <w:jc w:val="center"/>
        </w:trPr>
        <w:tc>
          <w:tcPr>
            <w:tcW w:w="4288"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jc w:val="right"/>
              <w:rPr>
                <w:rFonts w:ascii="Montserrat" w:eastAsia="Times New Roman" w:hAnsi="Montserrat" w:cs="Arial"/>
                <w:b/>
                <w:bCs/>
                <w:color w:val="000000"/>
                <w:sz w:val="15"/>
                <w:szCs w:val="15"/>
                <w:lang w:val="es-MX" w:eastAsia="es-MX"/>
              </w:rPr>
            </w:pPr>
            <w:r w:rsidRPr="00F75AE6">
              <w:rPr>
                <w:rFonts w:ascii="Montserrat" w:eastAsia="Times New Roman" w:hAnsi="Montserrat" w:cs="Arial"/>
                <w:b/>
                <w:bCs/>
                <w:color w:val="000000"/>
                <w:sz w:val="15"/>
                <w:szCs w:val="15"/>
                <w:lang w:val="es-MX" w:eastAsia="es-MX"/>
              </w:rPr>
              <w:t>Suma de Flujos Netos de Efectivo por Actividades de Inversión</w:t>
            </w:r>
          </w:p>
        </w:tc>
        <w:tc>
          <w:tcPr>
            <w:tcW w:w="1664"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b/>
                <w:color w:val="000000"/>
                <w:sz w:val="15"/>
                <w:szCs w:val="15"/>
                <w:lang w:val="es-MX" w:eastAsia="es-MX"/>
              </w:rPr>
            </w:pPr>
            <w:r w:rsidRPr="00F75AE6">
              <w:rPr>
                <w:rFonts w:ascii="Montserrat" w:eastAsia="Times New Roman" w:hAnsi="Montserrat" w:cs="Arial"/>
                <w:b/>
                <w:color w:val="000000"/>
                <w:sz w:val="15"/>
                <w:szCs w:val="15"/>
                <w:lang w:val="es-MX" w:eastAsia="es-MX"/>
              </w:rPr>
              <w:t>-490,645,539</w:t>
            </w:r>
          </w:p>
        </w:tc>
        <w:tc>
          <w:tcPr>
            <w:tcW w:w="1664"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b/>
                <w:color w:val="000000"/>
                <w:sz w:val="15"/>
                <w:szCs w:val="15"/>
                <w:lang w:val="es-MX" w:eastAsia="es-MX"/>
              </w:rPr>
            </w:pPr>
            <w:r w:rsidRPr="00F75AE6">
              <w:rPr>
                <w:rFonts w:ascii="Montserrat" w:eastAsia="Times New Roman" w:hAnsi="Montserrat" w:cs="Arial"/>
                <w:b/>
                <w:color w:val="000000"/>
                <w:sz w:val="15"/>
                <w:szCs w:val="15"/>
                <w:lang w:val="es-MX" w:eastAsia="es-MX"/>
              </w:rPr>
              <w:t>-662,041,416</w:t>
            </w:r>
          </w:p>
        </w:tc>
      </w:tr>
      <w:tr w:rsidR="00F75AE6" w:rsidRPr="00F75AE6" w:rsidTr="00337B1D">
        <w:trPr>
          <w:trHeight w:val="270"/>
          <w:jc w:val="center"/>
        </w:trPr>
        <w:tc>
          <w:tcPr>
            <w:tcW w:w="4288" w:type="dxa"/>
            <w:tcBorders>
              <w:top w:val="single" w:sz="12" w:space="0" w:color="808080"/>
              <w:left w:val="nil"/>
              <w:bottom w:val="nil"/>
              <w:right w:val="nil"/>
            </w:tcBorders>
            <w:shd w:val="clear" w:color="auto" w:fill="auto"/>
            <w:noWrap/>
            <w:vAlign w:val="center"/>
          </w:tcPr>
          <w:p w:rsidR="00F75AE6" w:rsidRPr="00F75AE6" w:rsidRDefault="00F75AE6" w:rsidP="00F75AE6">
            <w:pPr>
              <w:spacing w:after="0" w:line="240" w:lineRule="auto"/>
              <w:jc w:val="right"/>
              <w:rPr>
                <w:rFonts w:ascii="Soberana Sans Light" w:eastAsia="Times New Roman" w:hAnsi="Soberana Sans Light" w:cs="Arial"/>
                <w:b/>
                <w:bCs/>
                <w:color w:val="E26B0A"/>
                <w:sz w:val="16"/>
                <w:szCs w:val="16"/>
                <w:lang w:val="es-MX" w:eastAsia="es-MX"/>
              </w:rPr>
            </w:pPr>
          </w:p>
        </w:tc>
        <w:tc>
          <w:tcPr>
            <w:tcW w:w="1664" w:type="dxa"/>
            <w:tcBorders>
              <w:top w:val="single" w:sz="12" w:space="0" w:color="808080"/>
              <w:left w:val="nil"/>
              <w:bottom w:val="nil"/>
              <w:right w:val="nil"/>
            </w:tcBorders>
            <w:shd w:val="clear" w:color="auto" w:fill="auto"/>
            <w:noWrap/>
            <w:vAlign w:val="center"/>
          </w:tcPr>
          <w:p w:rsidR="00F75AE6" w:rsidRPr="00F75AE6" w:rsidRDefault="00F75AE6" w:rsidP="00F75AE6">
            <w:pPr>
              <w:spacing w:after="0" w:line="240" w:lineRule="auto"/>
              <w:jc w:val="right"/>
              <w:rPr>
                <w:rFonts w:ascii="Soberana Sans Light" w:eastAsia="Times New Roman" w:hAnsi="Soberana Sans Light" w:cs="Arial"/>
                <w:b/>
                <w:bCs/>
                <w:color w:val="E26B0A"/>
                <w:sz w:val="16"/>
                <w:szCs w:val="16"/>
                <w:lang w:val="es-MX" w:eastAsia="es-MX"/>
              </w:rPr>
            </w:pPr>
          </w:p>
        </w:tc>
        <w:tc>
          <w:tcPr>
            <w:tcW w:w="1664" w:type="dxa"/>
            <w:tcBorders>
              <w:top w:val="single" w:sz="12" w:space="0" w:color="808080"/>
              <w:left w:val="nil"/>
              <w:bottom w:val="nil"/>
              <w:right w:val="nil"/>
            </w:tcBorders>
            <w:shd w:val="clear" w:color="auto" w:fill="auto"/>
            <w:noWrap/>
            <w:vAlign w:val="center"/>
          </w:tcPr>
          <w:p w:rsidR="00F75AE6" w:rsidRPr="00F75AE6" w:rsidRDefault="00F75AE6" w:rsidP="00F75AE6">
            <w:pPr>
              <w:spacing w:after="0" w:line="240" w:lineRule="auto"/>
              <w:jc w:val="right"/>
              <w:rPr>
                <w:rFonts w:ascii="Soberana Sans Light" w:eastAsia="Times New Roman" w:hAnsi="Soberana Sans Light" w:cs="Arial"/>
                <w:b/>
                <w:bCs/>
                <w:color w:val="E26B0A"/>
                <w:sz w:val="16"/>
                <w:szCs w:val="16"/>
                <w:lang w:val="es-MX" w:eastAsia="es-MX"/>
              </w:rPr>
            </w:pPr>
          </w:p>
        </w:tc>
      </w:tr>
    </w:tbl>
    <w:p w:rsidR="00297378" w:rsidRPr="002C6D54" w:rsidRDefault="00297378" w:rsidP="00297378">
      <w:pPr>
        <w:pStyle w:val="VIETAFLECHA"/>
      </w:pPr>
      <w:r w:rsidRPr="002C6D54">
        <w:t>Flujo de Efectivo de las Actividades de Financiamiento</w:t>
      </w:r>
    </w:p>
    <w:p w:rsidR="00297378" w:rsidRDefault="00297378" w:rsidP="002C6D54">
      <w:pPr>
        <w:pStyle w:val="TEXTONORMAL"/>
      </w:pPr>
      <w:r>
        <w:t>Los orígenes de las actividades de financiamiento cobrados por el periodo comprendido del 1 de enero al 31 de diciembre de 201</w:t>
      </w:r>
      <w:r w:rsidR="00F80280">
        <w:t>8</w:t>
      </w:r>
      <w:r>
        <w:t xml:space="preserve"> fue</w:t>
      </w:r>
      <w:r w:rsidR="00F80280">
        <w:t xml:space="preserve">ron por </w:t>
      </w:r>
      <w:r w:rsidR="00F80280" w:rsidRPr="00F80280">
        <w:t>20</w:t>
      </w:r>
      <w:proofErr w:type="gramStart"/>
      <w:r w:rsidR="00F80280">
        <w:t>,</w:t>
      </w:r>
      <w:r w:rsidR="00F80280" w:rsidRPr="00F80280">
        <w:t>132</w:t>
      </w:r>
      <w:r w:rsidR="00F80280">
        <w:t>,</w:t>
      </w:r>
      <w:r w:rsidR="00F80280" w:rsidRPr="00F80280">
        <w:t>198</w:t>
      </w:r>
      <w:r w:rsidR="00F80280">
        <w:t>,</w:t>
      </w:r>
      <w:r w:rsidR="00F80280" w:rsidRPr="00F80280">
        <w:t>959</w:t>
      </w:r>
      <w:proofErr w:type="gramEnd"/>
      <w:r w:rsidR="00F80280">
        <w:t xml:space="preserve"> y en 2017</w:t>
      </w:r>
      <w:r>
        <w:t xml:space="preserve"> por </w:t>
      </w:r>
      <w:r w:rsidR="00F80280">
        <w:t xml:space="preserve">19,967,107,629 </w:t>
      </w:r>
      <w:r>
        <w:t>pesos. Las aplicaciones de las actividades de financiamiento en 201</w:t>
      </w:r>
      <w:r w:rsidR="00F80280">
        <w:t>8</w:t>
      </w:r>
      <w:r>
        <w:t xml:space="preserve"> fueron por </w:t>
      </w:r>
      <w:r w:rsidR="00F80280" w:rsidRPr="00F80280">
        <w:t>19</w:t>
      </w:r>
      <w:r w:rsidR="00F80280">
        <w:t>,</w:t>
      </w:r>
      <w:r w:rsidR="00F80280" w:rsidRPr="00F80280">
        <w:t>110</w:t>
      </w:r>
      <w:r w:rsidR="00F80280">
        <w:t>,</w:t>
      </w:r>
      <w:r w:rsidR="00F80280" w:rsidRPr="00F80280">
        <w:t>744</w:t>
      </w:r>
      <w:r w:rsidR="00F80280">
        <w:t>,</w:t>
      </w:r>
      <w:r w:rsidR="00F80280" w:rsidRPr="00F80280">
        <w:t>277</w:t>
      </w:r>
      <w:r w:rsidR="00F80280">
        <w:t xml:space="preserve"> </w:t>
      </w:r>
      <w:r>
        <w:t>y en 201</w:t>
      </w:r>
      <w:r w:rsidR="00F80280">
        <w:t>7</w:t>
      </w:r>
      <w:r>
        <w:t xml:space="preserve"> por </w:t>
      </w:r>
      <w:r w:rsidR="00F80280" w:rsidRPr="00F80280">
        <w:t xml:space="preserve">19,865,255,657 </w:t>
      </w:r>
      <w:r>
        <w:t>pesos, reflejándose un diferencial de actividades de financiamiento en 201</w:t>
      </w:r>
      <w:r w:rsidR="00F80280">
        <w:t xml:space="preserve">8 por </w:t>
      </w:r>
      <w:r w:rsidR="00F80280" w:rsidRPr="00F80280">
        <w:t>1</w:t>
      </w:r>
      <w:r w:rsidR="00F80280">
        <w:t>,</w:t>
      </w:r>
      <w:r w:rsidR="00F80280" w:rsidRPr="00F80280">
        <w:t>021</w:t>
      </w:r>
      <w:r w:rsidR="00F80280">
        <w:t>,</w:t>
      </w:r>
      <w:r w:rsidR="00F80280" w:rsidRPr="00F80280">
        <w:t>454</w:t>
      </w:r>
      <w:r w:rsidR="00F80280">
        <w:t>,</w:t>
      </w:r>
      <w:r w:rsidR="00F80280" w:rsidRPr="00F80280">
        <w:t>682</w:t>
      </w:r>
      <w:r w:rsidR="00F80280">
        <w:t xml:space="preserve"> y en 2017</w:t>
      </w:r>
      <w:r>
        <w:t xml:space="preserve"> por </w:t>
      </w:r>
      <w:r w:rsidR="00F80280">
        <w:t xml:space="preserve">101,851,972 </w:t>
      </w:r>
      <w:r>
        <w:t>pesos.</w:t>
      </w:r>
    </w:p>
    <w:tbl>
      <w:tblPr>
        <w:tblW w:w="7616" w:type="dxa"/>
        <w:jc w:val="center"/>
        <w:tblCellMar>
          <w:left w:w="70" w:type="dxa"/>
          <w:right w:w="70" w:type="dxa"/>
        </w:tblCellMar>
        <w:tblLook w:val="04A0" w:firstRow="1" w:lastRow="0" w:firstColumn="1" w:lastColumn="0" w:noHBand="0" w:noVBand="1"/>
      </w:tblPr>
      <w:tblGrid>
        <w:gridCol w:w="4382"/>
        <w:gridCol w:w="1657"/>
        <w:gridCol w:w="1577"/>
      </w:tblGrid>
      <w:tr w:rsidR="00F75AE6" w:rsidRPr="00F75AE6" w:rsidTr="00337B1D">
        <w:trPr>
          <w:trHeight w:val="74"/>
          <w:jc w:val="center"/>
        </w:trPr>
        <w:tc>
          <w:tcPr>
            <w:tcW w:w="7616" w:type="dxa"/>
            <w:gridSpan w:val="3"/>
            <w:tcBorders>
              <w:top w:val="nil"/>
              <w:left w:val="nil"/>
              <w:bottom w:val="single" w:sz="12" w:space="0" w:color="808080"/>
              <w:right w:val="nil"/>
            </w:tcBorders>
            <w:shd w:val="clear" w:color="auto" w:fill="auto"/>
            <w:noWrap/>
            <w:vAlign w:val="center"/>
            <w:hideMark/>
          </w:tcPr>
          <w:p w:rsidR="00F75AE6" w:rsidRPr="00F75AE6" w:rsidRDefault="00F75AE6" w:rsidP="00F75AE6">
            <w:pPr>
              <w:spacing w:after="0" w:line="240" w:lineRule="auto"/>
              <w:jc w:val="center"/>
              <w:rPr>
                <w:rFonts w:ascii="Montserrat" w:eastAsia="Times New Roman" w:hAnsi="Montserrat" w:cs="Arial"/>
                <w:sz w:val="16"/>
                <w:szCs w:val="16"/>
                <w:lang w:val="es-MX" w:eastAsia="es-MX"/>
              </w:rPr>
            </w:pPr>
            <w:r w:rsidRPr="00F75AE6">
              <w:rPr>
                <w:rFonts w:ascii="Montserrat" w:eastAsia="Times New Roman" w:hAnsi="Montserrat" w:cs="Arial"/>
                <w:sz w:val="16"/>
                <w:szCs w:val="16"/>
                <w:lang w:val="es-MX" w:eastAsia="es-MX"/>
              </w:rPr>
              <w:t>(Pesos)</w:t>
            </w:r>
          </w:p>
        </w:tc>
      </w:tr>
      <w:tr w:rsidR="00F75AE6" w:rsidRPr="00F75AE6" w:rsidTr="00337B1D">
        <w:trPr>
          <w:trHeight w:val="15"/>
          <w:jc w:val="center"/>
        </w:trPr>
        <w:tc>
          <w:tcPr>
            <w:tcW w:w="7616" w:type="dxa"/>
            <w:gridSpan w:val="3"/>
            <w:tcBorders>
              <w:top w:val="single" w:sz="12" w:space="0" w:color="808080"/>
              <w:left w:val="nil"/>
              <w:bottom w:val="nil"/>
              <w:right w:val="nil"/>
            </w:tcBorders>
            <w:shd w:val="clear" w:color="auto" w:fill="auto"/>
            <w:vAlign w:val="center"/>
            <w:hideMark/>
          </w:tcPr>
          <w:p w:rsidR="00F75AE6" w:rsidRPr="00F75AE6" w:rsidRDefault="00F75AE6" w:rsidP="00D36914">
            <w:pPr>
              <w:spacing w:after="0" w:line="240" w:lineRule="auto"/>
              <w:rPr>
                <w:rFonts w:ascii="Montserrat" w:eastAsia="Times New Roman" w:hAnsi="Montserrat" w:cs="Arial"/>
                <w:b/>
                <w:bCs/>
                <w:color w:val="000000"/>
                <w:sz w:val="10"/>
                <w:szCs w:val="10"/>
                <w:lang w:val="es-MX" w:eastAsia="es-MX"/>
              </w:rPr>
            </w:pPr>
          </w:p>
        </w:tc>
      </w:tr>
      <w:tr w:rsidR="00F75AE6" w:rsidRPr="00F75AE6" w:rsidTr="00337B1D">
        <w:trPr>
          <w:trHeight w:val="255"/>
          <w:jc w:val="center"/>
        </w:trPr>
        <w:tc>
          <w:tcPr>
            <w:tcW w:w="4382" w:type="dxa"/>
            <w:tcBorders>
              <w:top w:val="nil"/>
              <w:left w:val="nil"/>
              <w:bottom w:val="nil"/>
              <w:right w:val="single" w:sz="8" w:space="0" w:color="FFFFFF"/>
            </w:tcBorders>
            <w:shd w:val="clear" w:color="000000" w:fill="D4C19C"/>
            <w:vAlign w:val="center"/>
            <w:hideMark/>
          </w:tcPr>
          <w:p w:rsidR="00F75AE6" w:rsidRPr="00F75AE6" w:rsidRDefault="00F75AE6" w:rsidP="00F75AE6">
            <w:pPr>
              <w:spacing w:after="0" w:line="240" w:lineRule="auto"/>
              <w:jc w:val="center"/>
              <w:rPr>
                <w:rFonts w:ascii="Montserrat" w:eastAsia="Times New Roman" w:hAnsi="Montserrat" w:cs="Arial"/>
                <w:b/>
                <w:bCs/>
                <w:color w:val="FFFFFF"/>
                <w:sz w:val="16"/>
                <w:szCs w:val="16"/>
                <w:lang w:val="es-MX" w:eastAsia="es-MX"/>
              </w:rPr>
            </w:pPr>
            <w:r w:rsidRPr="00F75AE6">
              <w:rPr>
                <w:rFonts w:ascii="Montserrat" w:eastAsia="Times New Roman" w:hAnsi="Montserrat" w:cs="Arial"/>
                <w:b/>
                <w:bCs/>
                <w:color w:val="FFFFFF"/>
                <w:sz w:val="16"/>
                <w:szCs w:val="16"/>
                <w:lang w:val="es-MX" w:eastAsia="es-MX"/>
              </w:rPr>
              <w:t>Concepto</w:t>
            </w:r>
          </w:p>
        </w:tc>
        <w:tc>
          <w:tcPr>
            <w:tcW w:w="1657" w:type="dxa"/>
            <w:tcBorders>
              <w:top w:val="nil"/>
              <w:left w:val="nil"/>
              <w:bottom w:val="nil"/>
              <w:right w:val="single" w:sz="8" w:space="0" w:color="FFFFFF"/>
            </w:tcBorders>
            <w:shd w:val="clear" w:color="000000" w:fill="D4C19C"/>
            <w:vAlign w:val="center"/>
            <w:hideMark/>
          </w:tcPr>
          <w:p w:rsidR="00F75AE6" w:rsidRPr="00F75AE6" w:rsidRDefault="00F75AE6" w:rsidP="00F75AE6">
            <w:pPr>
              <w:spacing w:after="0" w:line="240" w:lineRule="auto"/>
              <w:jc w:val="center"/>
              <w:rPr>
                <w:rFonts w:ascii="Montserrat" w:eastAsia="Times New Roman" w:hAnsi="Montserrat" w:cs="Arial"/>
                <w:b/>
                <w:bCs/>
                <w:color w:val="FFFFFF"/>
                <w:sz w:val="16"/>
                <w:szCs w:val="16"/>
                <w:lang w:val="es-MX" w:eastAsia="es-MX"/>
              </w:rPr>
            </w:pPr>
            <w:r w:rsidRPr="00F75AE6">
              <w:rPr>
                <w:rFonts w:ascii="Montserrat" w:eastAsia="Times New Roman" w:hAnsi="Montserrat" w:cs="Arial"/>
                <w:b/>
                <w:bCs/>
                <w:color w:val="FFFFFF"/>
                <w:sz w:val="16"/>
                <w:szCs w:val="16"/>
                <w:lang w:val="es-MX" w:eastAsia="es-MX"/>
              </w:rPr>
              <w:t>2018</w:t>
            </w:r>
          </w:p>
        </w:tc>
        <w:tc>
          <w:tcPr>
            <w:tcW w:w="1577" w:type="dxa"/>
            <w:tcBorders>
              <w:top w:val="nil"/>
              <w:left w:val="nil"/>
              <w:bottom w:val="nil"/>
              <w:right w:val="single" w:sz="8" w:space="0" w:color="FFFFFF"/>
            </w:tcBorders>
            <w:shd w:val="clear" w:color="000000" w:fill="D4C19C"/>
            <w:vAlign w:val="center"/>
            <w:hideMark/>
          </w:tcPr>
          <w:p w:rsidR="00F75AE6" w:rsidRPr="00F75AE6" w:rsidRDefault="00F75AE6" w:rsidP="00F75AE6">
            <w:pPr>
              <w:spacing w:after="0" w:line="240" w:lineRule="auto"/>
              <w:jc w:val="center"/>
              <w:rPr>
                <w:rFonts w:ascii="Montserrat" w:eastAsia="Times New Roman" w:hAnsi="Montserrat" w:cs="Arial"/>
                <w:b/>
                <w:bCs/>
                <w:color w:val="FFFFFF"/>
                <w:sz w:val="16"/>
                <w:szCs w:val="16"/>
                <w:lang w:val="es-MX" w:eastAsia="es-MX"/>
              </w:rPr>
            </w:pPr>
            <w:r w:rsidRPr="00F75AE6">
              <w:rPr>
                <w:rFonts w:ascii="Montserrat" w:eastAsia="Times New Roman" w:hAnsi="Montserrat" w:cs="Arial"/>
                <w:b/>
                <w:bCs/>
                <w:color w:val="FFFFFF"/>
                <w:sz w:val="16"/>
                <w:szCs w:val="16"/>
                <w:lang w:val="es-MX" w:eastAsia="es-MX"/>
              </w:rPr>
              <w:t>2017</w:t>
            </w:r>
          </w:p>
        </w:tc>
      </w:tr>
      <w:tr w:rsidR="00F75AE6" w:rsidRPr="00F75AE6" w:rsidTr="00D36914">
        <w:trPr>
          <w:trHeight w:val="53"/>
          <w:jc w:val="center"/>
        </w:trPr>
        <w:tc>
          <w:tcPr>
            <w:tcW w:w="7616" w:type="dxa"/>
            <w:gridSpan w:val="3"/>
            <w:tcBorders>
              <w:top w:val="nil"/>
              <w:left w:val="nil"/>
              <w:bottom w:val="double" w:sz="6" w:space="0" w:color="808080"/>
              <w:right w:val="nil"/>
            </w:tcBorders>
            <w:shd w:val="clear" w:color="auto" w:fill="auto"/>
            <w:vAlign w:val="center"/>
            <w:hideMark/>
          </w:tcPr>
          <w:p w:rsidR="00F75AE6" w:rsidRPr="00F75AE6" w:rsidRDefault="00F75AE6" w:rsidP="00F75AE6">
            <w:pPr>
              <w:spacing w:after="0" w:line="240" w:lineRule="auto"/>
              <w:jc w:val="center"/>
              <w:rPr>
                <w:rFonts w:ascii="Montserrat" w:eastAsia="Times New Roman" w:hAnsi="Montserrat" w:cs="Arial"/>
                <w:b/>
                <w:bCs/>
                <w:color w:val="000000"/>
                <w:sz w:val="4"/>
                <w:szCs w:val="4"/>
                <w:lang w:val="es-MX" w:eastAsia="es-MX"/>
              </w:rPr>
            </w:pPr>
            <w:r w:rsidRPr="00F75AE6">
              <w:rPr>
                <w:rFonts w:ascii="Montserrat" w:eastAsia="Times New Roman" w:hAnsi="Montserrat" w:cs="Arial"/>
                <w:b/>
                <w:bCs/>
                <w:color w:val="000000"/>
                <w:sz w:val="4"/>
                <w:szCs w:val="4"/>
                <w:lang w:val="es-MX" w:eastAsia="es-MX"/>
              </w:rPr>
              <w:t> </w:t>
            </w:r>
          </w:p>
        </w:tc>
      </w:tr>
      <w:tr w:rsidR="00F75AE6" w:rsidRPr="00F75AE6" w:rsidTr="00337B1D">
        <w:trPr>
          <w:trHeight w:val="270"/>
          <w:jc w:val="center"/>
        </w:trPr>
        <w:tc>
          <w:tcPr>
            <w:tcW w:w="4382"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Cámara de Diputados</w:t>
            </w:r>
          </w:p>
        </w:tc>
        <w:tc>
          <w:tcPr>
            <w:tcW w:w="1657"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788,059,113</w:t>
            </w:r>
          </w:p>
        </w:tc>
        <w:tc>
          <w:tcPr>
            <w:tcW w:w="1577"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-90,039,627</w:t>
            </w:r>
          </w:p>
        </w:tc>
      </w:tr>
      <w:tr w:rsidR="00F75AE6" w:rsidRPr="00F75AE6" w:rsidTr="00337B1D">
        <w:trPr>
          <w:trHeight w:val="74"/>
          <w:jc w:val="center"/>
        </w:trPr>
        <w:tc>
          <w:tcPr>
            <w:tcW w:w="4382"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Cámara de Senadores</w:t>
            </w:r>
          </w:p>
        </w:tc>
        <w:tc>
          <w:tcPr>
            <w:tcW w:w="1657"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223,162,222</w:t>
            </w:r>
          </w:p>
        </w:tc>
        <w:tc>
          <w:tcPr>
            <w:tcW w:w="1577"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-39,581,153</w:t>
            </w:r>
          </w:p>
        </w:tc>
      </w:tr>
      <w:tr w:rsidR="00F75AE6" w:rsidRPr="00F75AE6" w:rsidTr="00337B1D">
        <w:trPr>
          <w:trHeight w:val="255"/>
          <w:jc w:val="center"/>
        </w:trPr>
        <w:tc>
          <w:tcPr>
            <w:tcW w:w="4382"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Auditoría Superior de la Federación</w:t>
            </w:r>
          </w:p>
        </w:tc>
        <w:tc>
          <w:tcPr>
            <w:tcW w:w="1657"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10,233,347</w:t>
            </w:r>
          </w:p>
        </w:tc>
        <w:tc>
          <w:tcPr>
            <w:tcW w:w="1577"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231,472,752</w:t>
            </w:r>
          </w:p>
        </w:tc>
      </w:tr>
      <w:tr w:rsidR="00F75AE6" w:rsidRPr="00F75AE6" w:rsidTr="00337B1D">
        <w:trPr>
          <w:trHeight w:val="270"/>
          <w:jc w:val="center"/>
        </w:trPr>
        <w:tc>
          <w:tcPr>
            <w:tcW w:w="4382"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jc w:val="right"/>
              <w:rPr>
                <w:rFonts w:ascii="Montserrat" w:eastAsia="Times New Roman" w:hAnsi="Montserrat" w:cs="Arial"/>
                <w:b/>
                <w:bCs/>
                <w:color w:val="000000"/>
                <w:sz w:val="15"/>
                <w:szCs w:val="15"/>
                <w:lang w:val="es-MX" w:eastAsia="es-MX"/>
              </w:rPr>
            </w:pPr>
            <w:r w:rsidRPr="00F75AE6">
              <w:rPr>
                <w:rFonts w:ascii="Montserrat" w:eastAsia="Times New Roman" w:hAnsi="Montserrat" w:cs="Arial"/>
                <w:b/>
                <w:bCs/>
                <w:color w:val="000000"/>
                <w:sz w:val="15"/>
                <w:szCs w:val="15"/>
                <w:lang w:val="es-MX" w:eastAsia="es-MX"/>
              </w:rPr>
              <w:t>Suma de Flujos Netos de Efectivo por Actividades de Financiamiento</w:t>
            </w:r>
          </w:p>
        </w:tc>
        <w:tc>
          <w:tcPr>
            <w:tcW w:w="1657"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b/>
                <w:color w:val="000000"/>
                <w:sz w:val="15"/>
                <w:szCs w:val="15"/>
                <w:lang w:val="es-MX" w:eastAsia="es-MX"/>
              </w:rPr>
            </w:pPr>
            <w:r w:rsidRPr="00F75AE6">
              <w:rPr>
                <w:rFonts w:ascii="Montserrat" w:eastAsia="Times New Roman" w:hAnsi="Montserrat" w:cs="Arial"/>
                <w:b/>
                <w:color w:val="000000"/>
                <w:sz w:val="15"/>
                <w:szCs w:val="15"/>
                <w:lang w:val="es-MX" w:eastAsia="es-MX"/>
              </w:rPr>
              <w:t>1,021,454,682</w:t>
            </w:r>
          </w:p>
        </w:tc>
        <w:tc>
          <w:tcPr>
            <w:tcW w:w="1577"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b/>
                <w:color w:val="000000"/>
                <w:sz w:val="15"/>
                <w:szCs w:val="15"/>
                <w:lang w:val="es-MX" w:eastAsia="es-MX"/>
              </w:rPr>
            </w:pPr>
            <w:r w:rsidRPr="00F75AE6">
              <w:rPr>
                <w:rFonts w:ascii="Montserrat" w:eastAsia="Times New Roman" w:hAnsi="Montserrat" w:cs="Arial"/>
                <w:b/>
                <w:color w:val="000000"/>
                <w:sz w:val="15"/>
                <w:szCs w:val="15"/>
                <w:lang w:val="es-MX" w:eastAsia="es-MX"/>
              </w:rPr>
              <w:t>101,851,972</w:t>
            </w:r>
          </w:p>
        </w:tc>
      </w:tr>
      <w:tr w:rsidR="00F75AE6" w:rsidRPr="00F75AE6" w:rsidTr="00337B1D">
        <w:trPr>
          <w:trHeight w:val="44"/>
          <w:jc w:val="center"/>
        </w:trPr>
        <w:tc>
          <w:tcPr>
            <w:tcW w:w="4382" w:type="dxa"/>
            <w:tcBorders>
              <w:top w:val="single" w:sz="12" w:space="0" w:color="808080"/>
              <w:left w:val="nil"/>
              <w:bottom w:val="nil"/>
              <w:right w:val="nil"/>
            </w:tcBorders>
            <w:shd w:val="clear" w:color="auto" w:fill="auto"/>
            <w:noWrap/>
            <w:vAlign w:val="center"/>
          </w:tcPr>
          <w:p w:rsidR="00F75AE6" w:rsidRPr="00F75AE6" w:rsidRDefault="00F75AE6" w:rsidP="00F75AE6">
            <w:pPr>
              <w:spacing w:after="0" w:line="240" w:lineRule="auto"/>
              <w:jc w:val="right"/>
              <w:rPr>
                <w:rFonts w:ascii="Soberana Sans Light" w:eastAsia="Times New Roman" w:hAnsi="Soberana Sans Light" w:cs="Arial"/>
                <w:b/>
                <w:bCs/>
                <w:color w:val="E26B0A"/>
                <w:sz w:val="16"/>
                <w:szCs w:val="16"/>
                <w:lang w:val="es-MX" w:eastAsia="es-MX"/>
              </w:rPr>
            </w:pPr>
          </w:p>
        </w:tc>
        <w:tc>
          <w:tcPr>
            <w:tcW w:w="1657" w:type="dxa"/>
            <w:tcBorders>
              <w:top w:val="single" w:sz="12" w:space="0" w:color="808080"/>
              <w:left w:val="nil"/>
              <w:bottom w:val="nil"/>
              <w:right w:val="nil"/>
            </w:tcBorders>
            <w:shd w:val="clear" w:color="auto" w:fill="auto"/>
            <w:noWrap/>
            <w:vAlign w:val="center"/>
          </w:tcPr>
          <w:p w:rsidR="00F75AE6" w:rsidRPr="00F75AE6" w:rsidRDefault="00F75AE6" w:rsidP="00F75AE6">
            <w:pPr>
              <w:spacing w:after="0" w:line="240" w:lineRule="auto"/>
              <w:jc w:val="right"/>
              <w:rPr>
                <w:rFonts w:ascii="Soberana Sans Light" w:eastAsia="Times New Roman" w:hAnsi="Soberana Sans Light" w:cs="Arial"/>
                <w:b/>
                <w:bCs/>
                <w:color w:val="E26B0A"/>
                <w:sz w:val="16"/>
                <w:szCs w:val="16"/>
                <w:lang w:val="es-MX" w:eastAsia="es-MX"/>
              </w:rPr>
            </w:pPr>
          </w:p>
        </w:tc>
        <w:tc>
          <w:tcPr>
            <w:tcW w:w="1577" w:type="dxa"/>
            <w:tcBorders>
              <w:top w:val="single" w:sz="12" w:space="0" w:color="808080"/>
              <w:left w:val="nil"/>
              <w:bottom w:val="nil"/>
              <w:right w:val="nil"/>
            </w:tcBorders>
            <w:shd w:val="clear" w:color="auto" w:fill="auto"/>
            <w:noWrap/>
            <w:vAlign w:val="center"/>
          </w:tcPr>
          <w:p w:rsidR="00F75AE6" w:rsidRPr="00F75AE6" w:rsidRDefault="00F75AE6" w:rsidP="00F75AE6">
            <w:pPr>
              <w:spacing w:after="0" w:line="240" w:lineRule="auto"/>
              <w:jc w:val="right"/>
              <w:rPr>
                <w:rFonts w:ascii="Soberana Sans Light" w:eastAsia="Times New Roman" w:hAnsi="Soberana Sans Light" w:cs="Arial"/>
                <w:b/>
                <w:bCs/>
                <w:color w:val="E26B0A"/>
                <w:sz w:val="16"/>
                <w:szCs w:val="16"/>
                <w:lang w:val="es-MX" w:eastAsia="es-MX"/>
              </w:rPr>
            </w:pPr>
          </w:p>
        </w:tc>
      </w:tr>
    </w:tbl>
    <w:p w:rsidR="00297378" w:rsidRPr="002C6D54" w:rsidRDefault="00297378" w:rsidP="00297378">
      <w:pPr>
        <w:pStyle w:val="VIETAFLECHA"/>
      </w:pPr>
      <w:r w:rsidRPr="002C6D54">
        <w:t>Incremento/Disminución Neta en el Efectivo y Equivalentes al Efectivo</w:t>
      </w:r>
    </w:p>
    <w:p w:rsidR="00297378" w:rsidRDefault="00297378" w:rsidP="002C6D54">
      <w:pPr>
        <w:pStyle w:val="TEXTONORMAL"/>
      </w:pPr>
      <w:r>
        <w:t>Se presenta la información consolidada de los entes públicos del Poder Legislativo que integra el renglón de Incremento/Disminución Neta en el Efectivo y Equivalentes al Efectivo:</w:t>
      </w:r>
    </w:p>
    <w:tbl>
      <w:tblPr>
        <w:tblW w:w="7617" w:type="dxa"/>
        <w:jc w:val="center"/>
        <w:tblCellMar>
          <w:left w:w="70" w:type="dxa"/>
          <w:right w:w="70" w:type="dxa"/>
        </w:tblCellMar>
        <w:tblLook w:val="04A0" w:firstRow="1" w:lastRow="0" w:firstColumn="1" w:lastColumn="0" w:noHBand="0" w:noVBand="1"/>
      </w:tblPr>
      <w:tblGrid>
        <w:gridCol w:w="4768"/>
        <w:gridCol w:w="1589"/>
        <w:gridCol w:w="1260"/>
      </w:tblGrid>
      <w:tr w:rsidR="00F75AE6" w:rsidRPr="00F75AE6" w:rsidTr="00337B1D">
        <w:trPr>
          <w:trHeight w:val="270"/>
          <w:jc w:val="center"/>
        </w:trPr>
        <w:tc>
          <w:tcPr>
            <w:tcW w:w="7617" w:type="dxa"/>
            <w:gridSpan w:val="3"/>
            <w:tcBorders>
              <w:top w:val="nil"/>
              <w:left w:val="nil"/>
              <w:bottom w:val="single" w:sz="12" w:space="0" w:color="808080"/>
              <w:right w:val="nil"/>
            </w:tcBorders>
            <w:shd w:val="clear" w:color="auto" w:fill="auto"/>
            <w:noWrap/>
            <w:vAlign w:val="center"/>
            <w:hideMark/>
          </w:tcPr>
          <w:p w:rsidR="00F75AE6" w:rsidRPr="00F75AE6" w:rsidRDefault="00F75AE6" w:rsidP="00F75AE6">
            <w:pPr>
              <w:spacing w:after="0" w:line="240" w:lineRule="auto"/>
              <w:jc w:val="center"/>
              <w:rPr>
                <w:rFonts w:ascii="Montserrat" w:eastAsia="Times New Roman" w:hAnsi="Montserrat" w:cs="Arial"/>
                <w:sz w:val="16"/>
                <w:szCs w:val="16"/>
                <w:lang w:val="es-MX" w:eastAsia="es-MX"/>
              </w:rPr>
            </w:pPr>
            <w:r w:rsidRPr="00F75AE6">
              <w:rPr>
                <w:rFonts w:ascii="Montserrat" w:eastAsia="Times New Roman" w:hAnsi="Montserrat" w:cs="Arial"/>
                <w:sz w:val="16"/>
                <w:szCs w:val="16"/>
                <w:lang w:val="es-MX" w:eastAsia="es-MX"/>
              </w:rPr>
              <w:t>(Pesos)</w:t>
            </w:r>
          </w:p>
        </w:tc>
      </w:tr>
      <w:tr w:rsidR="00F75AE6" w:rsidRPr="00F75AE6" w:rsidTr="00337B1D">
        <w:trPr>
          <w:trHeight w:val="15"/>
          <w:jc w:val="center"/>
        </w:trPr>
        <w:tc>
          <w:tcPr>
            <w:tcW w:w="7617" w:type="dxa"/>
            <w:gridSpan w:val="3"/>
            <w:tcBorders>
              <w:top w:val="single" w:sz="12" w:space="0" w:color="808080"/>
              <w:left w:val="nil"/>
              <w:bottom w:val="nil"/>
              <w:right w:val="nil"/>
            </w:tcBorders>
            <w:shd w:val="clear" w:color="auto" w:fill="auto"/>
            <w:vAlign w:val="center"/>
            <w:hideMark/>
          </w:tcPr>
          <w:p w:rsidR="00F75AE6" w:rsidRPr="00F75AE6" w:rsidRDefault="00F75AE6" w:rsidP="00D36914">
            <w:pPr>
              <w:spacing w:after="0" w:line="240" w:lineRule="auto"/>
              <w:rPr>
                <w:rFonts w:ascii="Montserrat" w:eastAsia="Times New Roman" w:hAnsi="Montserrat" w:cs="Arial"/>
                <w:b/>
                <w:bCs/>
                <w:color w:val="000000"/>
                <w:sz w:val="10"/>
                <w:szCs w:val="10"/>
                <w:lang w:val="es-MX" w:eastAsia="es-MX"/>
              </w:rPr>
            </w:pPr>
          </w:p>
        </w:tc>
      </w:tr>
      <w:tr w:rsidR="00F75AE6" w:rsidRPr="00F75AE6" w:rsidTr="00337B1D">
        <w:trPr>
          <w:trHeight w:val="255"/>
          <w:jc w:val="center"/>
        </w:trPr>
        <w:tc>
          <w:tcPr>
            <w:tcW w:w="4768" w:type="dxa"/>
            <w:tcBorders>
              <w:top w:val="nil"/>
              <w:left w:val="nil"/>
              <w:bottom w:val="nil"/>
              <w:right w:val="single" w:sz="8" w:space="0" w:color="FFFFFF"/>
            </w:tcBorders>
            <w:shd w:val="clear" w:color="000000" w:fill="D4C19C"/>
            <w:vAlign w:val="center"/>
            <w:hideMark/>
          </w:tcPr>
          <w:p w:rsidR="00F75AE6" w:rsidRPr="00F75AE6" w:rsidRDefault="00F75AE6" w:rsidP="00F75AE6">
            <w:pPr>
              <w:spacing w:after="0" w:line="240" w:lineRule="auto"/>
              <w:jc w:val="center"/>
              <w:rPr>
                <w:rFonts w:ascii="Montserrat" w:eastAsia="Times New Roman" w:hAnsi="Montserrat" w:cs="Arial"/>
                <w:b/>
                <w:bCs/>
                <w:color w:val="FFFFFF"/>
                <w:sz w:val="16"/>
                <w:szCs w:val="16"/>
                <w:lang w:val="es-MX" w:eastAsia="es-MX"/>
              </w:rPr>
            </w:pPr>
            <w:r w:rsidRPr="00F75AE6">
              <w:rPr>
                <w:rFonts w:ascii="Montserrat" w:eastAsia="Times New Roman" w:hAnsi="Montserrat" w:cs="Arial"/>
                <w:b/>
                <w:bCs/>
                <w:color w:val="FFFFFF"/>
                <w:sz w:val="16"/>
                <w:szCs w:val="16"/>
                <w:lang w:val="es-MX" w:eastAsia="es-MX"/>
              </w:rPr>
              <w:t>Concepto</w:t>
            </w:r>
          </w:p>
        </w:tc>
        <w:tc>
          <w:tcPr>
            <w:tcW w:w="1589" w:type="dxa"/>
            <w:tcBorders>
              <w:top w:val="nil"/>
              <w:left w:val="nil"/>
              <w:bottom w:val="nil"/>
              <w:right w:val="single" w:sz="8" w:space="0" w:color="FFFFFF"/>
            </w:tcBorders>
            <w:shd w:val="clear" w:color="000000" w:fill="D4C19C"/>
            <w:vAlign w:val="center"/>
            <w:hideMark/>
          </w:tcPr>
          <w:p w:rsidR="00F75AE6" w:rsidRPr="00F75AE6" w:rsidRDefault="00F75AE6" w:rsidP="00F75AE6">
            <w:pPr>
              <w:spacing w:after="0" w:line="240" w:lineRule="auto"/>
              <w:jc w:val="center"/>
              <w:rPr>
                <w:rFonts w:ascii="Montserrat" w:eastAsia="Times New Roman" w:hAnsi="Montserrat" w:cs="Arial"/>
                <w:b/>
                <w:bCs/>
                <w:color w:val="FFFFFF"/>
                <w:sz w:val="16"/>
                <w:szCs w:val="16"/>
                <w:lang w:val="es-MX" w:eastAsia="es-MX"/>
              </w:rPr>
            </w:pPr>
            <w:r w:rsidRPr="00F75AE6">
              <w:rPr>
                <w:rFonts w:ascii="Montserrat" w:eastAsia="Times New Roman" w:hAnsi="Montserrat" w:cs="Arial"/>
                <w:b/>
                <w:bCs/>
                <w:color w:val="FFFFFF"/>
                <w:sz w:val="16"/>
                <w:szCs w:val="16"/>
                <w:lang w:val="es-MX" w:eastAsia="es-MX"/>
              </w:rPr>
              <w:t>2018</w:t>
            </w:r>
          </w:p>
        </w:tc>
        <w:tc>
          <w:tcPr>
            <w:tcW w:w="1260" w:type="dxa"/>
            <w:tcBorders>
              <w:top w:val="nil"/>
              <w:left w:val="nil"/>
              <w:bottom w:val="nil"/>
              <w:right w:val="single" w:sz="8" w:space="0" w:color="FFFFFF"/>
            </w:tcBorders>
            <w:shd w:val="clear" w:color="000000" w:fill="D4C19C"/>
            <w:vAlign w:val="center"/>
            <w:hideMark/>
          </w:tcPr>
          <w:p w:rsidR="00F75AE6" w:rsidRPr="00F75AE6" w:rsidRDefault="00F75AE6" w:rsidP="00F75AE6">
            <w:pPr>
              <w:spacing w:after="0" w:line="240" w:lineRule="auto"/>
              <w:jc w:val="center"/>
              <w:rPr>
                <w:rFonts w:ascii="Montserrat" w:eastAsia="Times New Roman" w:hAnsi="Montserrat" w:cs="Arial"/>
                <w:b/>
                <w:bCs/>
                <w:color w:val="FFFFFF"/>
                <w:sz w:val="16"/>
                <w:szCs w:val="16"/>
                <w:lang w:val="es-MX" w:eastAsia="es-MX"/>
              </w:rPr>
            </w:pPr>
            <w:r w:rsidRPr="00F75AE6">
              <w:rPr>
                <w:rFonts w:ascii="Montserrat" w:eastAsia="Times New Roman" w:hAnsi="Montserrat" w:cs="Arial"/>
                <w:b/>
                <w:bCs/>
                <w:color w:val="FFFFFF"/>
                <w:sz w:val="16"/>
                <w:szCs w:val="16"/>
                <w:lang w:val="es-MX" w:eastAsia="es-MX"/>
              </w:rPr>
              <w:t>2017</w:t>
            </w:r>
          </w:p>
        </w:tc>
      </w:tr>
      <w:tr w:rsidR="00F75AE6" w:rsidRPr="00F75AE6" w:rsidTr="00D36914">
        <w:trPr>
          <w:trHeight w:val="53"/>
          <w:jc w:val="center"/>
        </w:trPr>
        <w:tc>
          <w:tcPr>
            <w:tcW w:w="7617" w:type="dxa"/>
            <w:gridSpan w:val="3"/>
            <w:tcBorders>
              <w:top w:val="nil"/>
              <w:left w:val="nil"/>
              <w:bottom w:val="double" w:sz="6" w:space="0" w:color="808080"/>
              <w:right w:val="nil"/>
            </w:tcBorders>
            <w:shd w:val="clear" w:color="auto" w:fill="auto"/>
            <w:vAlign w:val="center"/>
            <w:hideMark/>
          </w:tcPr>
          <w:p w:rsidR="00F75AE6" w:rsidRPr="00F75AE6" w:rsidRDefault="00F75AE6" w:rsidP="00F75AE6">
            <w:pPr>
              <w:spacing w:after="0" w:line="240" w:lineRule="auto"/>
              <w:jc w:val="center"/>
              <w:rPr>
                <w:rFonts w:ascii="Montserrat" w:eastAsia="Times New Roman" w:hAnsi="Montserrat" w:cs="Arial"/>
                <w:b/>
                <w:bCs/>
                <w:color w:val="000000"/>
                <w:sz w:val="4"/>
                <w:szCs w:val="4"/>
                <w:lang w:val="es-MX" w:eastAsia="es-MX"/>
              </w:rPr>
            </w:pPr>
            <w:r w:rsidRPr="00F75AE6">
              <w:rPr>
                <w:rFonts w:ascii="Montserrat" w:eastAsia="Times New Roman" w:hAnsi="Montserrat" w:cs="Arial"/>
                <w:b/>
                <w:bCs/>
                <w:color w:val="000000"/>
                <w:sz w:val="4"/>
                <w:szCs w:val="4"/>
                <w:lang w:val="es-MX" w:eastAsia="es-MX"/>
              </w:rPr>
              <w:t> </w:t>
            </w:r>
          </w:p>
        </w:tc>
      </w:tr>
      <w:tr w:rsidR="00F75AE6" w:rsidRPr="00F75AE6" w:rsidTr="00337B1D">
        <w:trPr>
          <w:trHeight w:val="110"/>
          <w:jc w:val="center"/>
        </w:trPr>
        <w:tc>
          <w:tcPr>
            <w:tcW w:w="4768"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Cámara de Diputados</w:t>
            </w:r>
          </w:p>
        </w:tc>
        <w:tc>
          <w:tcPr>
            <w:tcW w:w="1589"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787,000,093</w:t>
            </w:r>
          </w:p>
        </w:tc>
        <w:tc>
          <w:tcPr>
            <w:tcW w:w="1260"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-83,947,716</w:t>
            </w:r>
          </w:p>
        </w:tc>
      </w:tr>
      <w:tr w:rsidR="00F75AE6" w:rsidRPr="00F75AE6" w:rsidTr="00337B1D">
        <w:trPr>
          <w:trHeight w:val="255"/>
          <w:jc w:val="center"/>
        </w:trPr>
        <w:tc>
          <w:tcPr>
            <w:tcW w:w="4768"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Cámara de Senadores</w:t>
            </w:r>
          </w:p>
        </w:tc>
        <w:tc>
          <w:tcPr>
            <w:tcW w:w="1589"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231,061,793</w:t>
            </w:r>
          </w:p>
        </w:tc>
        <w:tc>
          <w:tcPr>
            <w:tcW w:w="1260"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-28,139,410</w:t>
            </w:r>
          </w:p>
        </w:tc>
      </w:tr>
      <w:tr w:rsidR="00F75AE6" w:rsidRPr="00F75AE6" w:rsidTr="00337B1D">
        <w:trPr>
          <w:trHeight w:val="255"/>
          <w:jc w:val="center"/>
        </w:trPr>
        <w:tc>
          <w:tcPr>
            <w:tcW w:w="4768"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Auditoría Superior de la Federación</w:t>
            </w:r>
          </w:p>
        </w:tc>
        <w:tc>
          <w:tcPr>
            <w:tcW w:w="1589"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10,233,347</w:t>
            </w:r>
          </w:p>
        </w:tc>
        <w:tc>
          <w:tcPr>
            <w:tcW w:w="1260"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231,472,752</w:t>
            </w:r>
          </w:p>
        </w:tc>
      </w:tr>
      <w:tr w:rsidR="00F75AE6" w:rsidRPr="00F75AE6" w:rsidTr="00337B1D">
        <w:trPr>
          <w:trHeight w:val="270"/>
          <w:jc w:val="center"/>
        </w:trPr>
        <w:tc>
          <w:tcPr>
            <w:tcW w:w="4768"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jc w:val="right"/>
              <w:rPr>
                <w:rFonts w:ascii="Montserrat" w:eastAsia="Times New Roman" w:hAnsi="Montserrat" w:cs="Arial"/>
                <w:b/>
                <w:bCs/>
                <w:color w:val="000000"/>
                <w:sz w:val="15"/>
                <w:szCs w:val="15"/>
                <w:lang w:val="es-MX" w:eastAsia="es-MX"/>
              </w:rPr>
            </w:pPr>
            <w:r w:rsidRPr="00F75AE6">
              <w:rPr>
                <w:rFonts w:ascii="Montserrat" w:eastAsia="Times New Roman" w:hAnsi="Montserrat" w:cs="Arial"/>
                <w:b/>
                <w:bCs/>
                <w:color w:val="000000"/>
                <w:sz w:val="15"/>
                <w:szCs w:val="15"/>
                <w:lang w:val="es-MX" w:eastAsia="es-MX"/>
              </w:rPr>
              <w:t>Suma del Incremento/Disminución Neta en el Efectivo y Equivalentes al Efectivo</w:t>
            </w:r>
          </w:p>
        </w:tc>
        <w:tc>
          <w:tcPr>
            <w:tcW w:w="1589"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b/>
                <w:color w:val="000000"/>
                <w:sz w:val="15"/>
                <w:szCs w:val="15"/>
                <w:lang w:val="es-MX" w:eastAsia="es-MX"/>
              </w:rPr>
            </w:pPr>
            <w:r w:rsidRPr="00F75AE6">
              <w:rPr>
                <w:rFonts w:ascii="Montserrat" w:eastAsia="Times New Roman" w:hAnsi="Montserrat" w:cs="Arial"/>
                <w:b/>
                <w:color w:val="000000"/>
                <w:sz w:val="15"/>
                <w:szCs w:val="15"/>
                <w:lang w:val="es-MX" w:eastAsia="es-MX"/>
              </w:rPr>
              <w:t>1,028,295,233</w:t>
            </w:r>
          </w:p>
        </w:tc>
        <w:tc>
          <w:tcPr>
            <w:tcW w:w="1260"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b/>
                <w:color w:val="000000"/>
                <w:sz w:val="15"/>
                <w:szCs w:val="15"/>
                <w:lang w:val="es-MX" w:eastAsia="es-MX"/>
              </w:rPr>
            </w:pPr>
            <w:r w:rsidRPr="00F75AE6">
              <w:rPr>
                <w:rFonts w:ascii="Montserrat" w:eastAsia="Times New Roman" w:hAnsi="Montserrat" w:cs="Arial"/>
                <w:b/>
                <w:color w:val="000000"/>
                <w:sz w:val="15"/>
                <w:szCs w:val="15"/>
                <w:lang w:val="es-MX" w:eastAsia="es-MX"/>
              </w:rPr>
              <w:t>119,385,626</w:t>
            </w:r>
          </w:p>
        </w:tc>
      </w:tr>
      <w:tr w:rsidR="00F75AE6" w:rsidRPr="00F75AE6" w:rsidTr="00337B1D">
        <w:trPr>
          <w:trHeight w:val="44"/>
          <w:jc w:val="center"/>
        </w:trPr>
        <w:tc>
          <w:tcPr>
            <w:tcW w:w="4768" w:type="dxa"/>
            <w:tcBorders>
              <w:top w:val="single" w:sz="12" w:space="0" w:color="808080"/>
              <w:left w:val="nil"/>
              <w:bottom w:val="nil"/>
              <w:right w:val="nil"/>
            </w:tcBorders>
            <w:shd w:val="clear" w:color="auto" w:fill="auto"/>
            <w:noWrap/>
            <w:vAlign w:val="center"/>
          </w:tcPr>
          <w:p w:rsidR="00F75AE6" w:rsidRPr="00F75AE6" w:rsidRDefault="00F75AE6" w:rsidP="00F75AE6">
            <w:pPr>
              <w:spacing w:after="0" w:line="240" w:lineRule="auto"/>
              <w:jc w:val="right"/>
              <w:rPr>
                <w:rFonts w:ascii="Soberana Sans Light" w:eastAsia="Times New Roman" w:hAnsi="Soberana Sans Light" w:cs="Arial"/>
                <w:b/>
                <w:bCs/>
                <w:color w:val="E26B0A"/>
                <w:sz w:val="16"/>
                <w:szCs w:val="16"/>
                <w:lang w:val="es-MX" w:eastAsia="es-MX"/>
              </w:rPr>
            </w:pPr>
          </w:p>
        </w:tc>
        <w:tc>
          <w:tcPr>
            <w:tcW w:w="1589" w:type="dxa"/>
            <w:tcBorders>
              <w:top w:val="single" w:sz="12" w:space="0" w:color="808080"/>
              <w:left w:val="nil"/>
              <w:bottom w:val="nil"/>
              <w:right w:val="nil"/>
            </w:tcBorders>
            <w:shd w:val="clear" w:color="auto" w:fill="auto"/>
            <w:noWrap/>
            <w:vAlign w:val="center"/>
          </w:tcPr>
          <w:p w:rsidR="00F75AE6" w:rsidRPr="00F75AE6" w:rsidRDefault="00F75AE6" w:rsidP="00F75AE6">
            <w:pPr>
              <w:spacing w:after="0" w:line="240" w:lineRule="auto"/>
              <w:jc w:val="right"/>
              <w:rPr>
                <w:rFonts w:ascii="Soberana Sans Light" w:eastAsia="Times New Roman" w:hAnsi="Soberana Sans Light" w:cs="Arial"/>
                <w:b/>
                <w:bCs/>
                <w:color w:val="E26B0A"/>
                <w:sz w:val="16"/>
                <w:szCs w:val="16"/>
                <w:lang w:val="es-MX" w:eastAsia="es-MX"/>
              </w:rPr>
            </w:pPr>
          </w:p>
        </w:tc>
        <w:tc>
          <w:tcPr>
            <w:tcW w:w="1260" w:type="dxa"/>
            <w:tcBorders>
              <w:top w:val="single" w:sz="12" w:space="0" w:color="808080"/>
              <w:left w:val="nil"/>
              <w:bottom w:val="nil"/>
              <w:right w:val="nil"/>
            </w:tcBorders>
            <w:shd w:val="clear" w:color="auto" w:fill="auto"/>
            <w:noWrap/>
            <w:vAlign w:val="center"/>
          </w:tcPr>
          <w:p w:rsidR="00F75AE6" w:rsidRPr="00F75AE6" w:rsidRDefault="00F75AE6" w:rsidP="00F75AE6">
            <w:pPr>
              <w:spacing w:after="0" w:line="240" w:lineRule="auto"/>
              <w:jc w:val="right"/>
              <w:rPr>
                <w:rFonts w:ascii="Soberana Sans Light" w:eastAsia="Times New Roman" w:hAnsi="Soberana Sans Light" w:cs="Arial"/>
                <w:b/>
                <w:bCs/>
                <w:color w:val="E26B0A"/>
                <w:sz w:val="16"/>
                <w:szCs w:val="16"/>
                <w:lang w:val="es-MX" w:eastAsia="es-MX"/>
              </w:rPr>
            </w:pPr>
          </w:p>
        </w:tc>
      </w:tr>
    </w:tbl>
    <w:p w:rsidR="00297378" w:rsidRPr="002C6D54" w:rsidRDefault="00297378" w:rsidP="00297378">
      <w:pPr>
        <w:pStyle w:val="VIETAFLECHA"/>
      </w:pPr>
      <w:r w:rsidRPr="002C6D54">
        <w:t>Efectivo y Equivalentes al Efectivo al Final del Ejercicio</w:t>
      </w:r>
    </w:p>
    <w:p w:rsidR="00297378" w:rsidRDefault="00297378" w:rsidP="002C6D54">
      <w:pPr>
        <w:pStyle w:val="TEXTONORMAL"/>
      </w:pPr>
      <w:r>
        <w:t>Se presenta la información consolidada de los entes públicos del Poder Legislativo que integra el renglón de Efectivo y Equivalentes al Efectivo al Final del Ejercicio:</w:t>
      </w:r>
    </w:p>
    <w:p w:rsidR="00D36914" w:rsidRDefault="00D36914" w:rsidP="002C6D54">
      <w:pPr>
        <w:pStyle w:val="TEXTONORMAL"/>
      </w:pPr>
    </w:p>
    <w:tbl>
      <w:tblPr>
        <w:tblW w:w="7616" w:type="dxa"/>
        <w:jc w:val="center"/>
        <w:tblCellMar>
          <w:left w:w="70" w:type="dxa"/>
          <w:right w:w="70" w:type="dxa"/>
        </w:tblCellMar>
        <w:tblLook w:val="04A0" w:firstRow="1" w:lastRow="0" w:firstColumn="1" w:lastColumn="0" w:noHBand="0" w:noVBand="1"/>
      </w:tblPr>
      <w:tblGrid>
        <w:gridCol w:w="4264"/>
        <w:gridCol w:w="1676"/>
        <w:gridCol w:w="1676"/>
      </w:tblGrid>
      <w:tr w:rsidR="00F75AE6" w:rsidRPr="00F75AE6" w:rsidTr="00337B1D">
        <w:trPr>
          <w:trHeight w:val="74"/>
          <w:jc w:val="center"/>
        </w:trPr>
        <w:tc>
          <w:tcPr>
            <w:tcW w:w="7616" w:type="dxa"/>
            <w:gridSpan w:val="3"/>
            <w:tcBorders>
              <w:top w:val="nil"/>
              <w:left w:val="nil"/>
              <w:bottom w:val="single" w:sz="12" w:space="0" w:color="808080"/>
              <w:right w:val="nil"/>
            </w:tcBorders>
            <w:shd w:val="clear" w:color="auto" w:fill="auto"/>
            <w:noWrap/>
            <w:vAlign w:val="center"/>
            <w:hideMark/>
          </w:tcPr>
          <w:p w:rsidR="00F75AE6" w:rsidRPr="00F75AE6" w:rsidRDefault="00F75AE6" w:rsidP="00F75AE6">
            <w:pPr>
              <w:spacing w:after="0" w:line="240" w:lineRule="auto"/>
              <w:jc w:val="center"/>
              <w:rPr>
                <w:rFonts w:ascii="Montserrat" w:eastAsia="Times New Roman" w:hAnsi="Montserrat" w:cs="Arial"/>
                <w:sz w:val="16"/>
                <w:szCs w:val="16"/>
                <w:lang w:val="es-MX" w:eastAsia="es-MX"/>
              </w:rPr>
            </w:pPr>
            <w:r w:rsidRPr="00F75AE6">
              <w:rPr>
                <w:rFonts w:ascii="Montserrat" w:eastAsia="Times New Roman" w:hAnsi="Montserrat" w:cs="Arial"/>
                <w:sz w:val="16"/>
                <w:szCs w:val="16"/>
                <w:lang w:val="es-MX" w:eastAsia="es-MX"/>
              </w:rPr>
              <w:lastRenderedPageBreak/>
              <w:t>(Pesos)</w:t>
            </w:r>
          </w:p>
        </w:tc>
      </w:tr>
      <w:tr w:rsidR="00F75AE6" w:rsidRPr="00F75AE6" w:rsidTr="00337B1D">
        <w:trPr>
          <w:trHeight w:val="44"/>
          <w:jc w:val="center"/>
        </w:trPr>
        <w:tc>
          <w:tcPr>
            <w:tcW w:w="7616" w:type="dxa"/>
            <w:gridSpan w:val="3"/>
            <w:tcBorders>
              <w:top w:val="single" w:sz="12" w:space="0" w:color="808080"/>
              <w:left w:val="nil"/>
              <w:bottom w:val="nil"/>
              <w:right w:val="nil"/>
            </w:tcBorders>
            <w:shd w:val="clear" w:color="auto" w:fill="auto"/>
            <w:vAlign w:val="center"/>
            <w:hideMark/>
          </w:tcPr>
          <w:p w:rsidR="00F75AE6" w:rsidRPr="00F75AE6" w:rsidRDefault="00F75AE6" w:rsidP="00D36914">
            <w:pPr>
              <w:spacing w:after="0" w:line="240" w:lineRule="auto"/>
              <w:rPr>
                <w:rFonts w:ascii="Montserrat" w:eastAsia="Times New Roman" w:hAnsi="Montserrat" w:cs="Arial"/>
                <w:b/>
                <w:bCs/>
                <w:color w:val="000000"/>
                <w:sz w:val="10"/>
                <w:szCs w:val="10"/>
                <w:lang w:val="es-MX" w:eastAsia="es-MX"/>
              </w:rPr>
            </w:pPr>
          </w:p>
        </w:tc>
      </w:tr>
      <w:tr w:rsidR="00F75AE6" w:rsidRPr="00F75AE6" w:rsidTr="00337B1D">
        <w:trPr>
          <w:trHeight w:val="255"/>
          <w:jc w:val="center"/>
        </w:trPr>
        <w:tc>
          <w:tcPr>
            <w:tcW w:w="4264" w:type="dxa"/>
            <w:tcBorders>
              <w:top w:val="nil"/>
              <w:left w:val="nil"/>
              <w:bottom w:val="nil"/>
              <w:right w:val="single" w:sz="8" w:space="0" w:color="FFFFFF"/>
            </w:tcBorders>
            <w:shd w:val="clear" w:color="000000" w:fill="D4C19C"/>
            <w:vAlign w:val="center"/>
            <w:hideMark/>
          </w:tcPr>
          <w:p w:rsidR="00F75AE6" w:rsidRPr="00F75AE6" w:rsidRDefault="00F75AE6" w:rsidP="00F75AE6">
            <w:pPr>
              <w:spacing w:after="0" w:line="240" w:lineRule="auto"/>
              <w:jc w:val="center"/>
              <w:rPr>
                <w:rFonts w:ascii="Montserrat" w:eastAsia="Times New Roman" w:hAnsi="Montserrat" w:cs="Arial"/>
                <w:b/>
                <w:bCs/>
                <w:color w:val="FFFFFF"/>
                <w:sz w:val="16"/>
                <w:szCs w:val="16"/>
                <w:lang w:val="es-MX" w:eastAsia="es-MX"/>
              </w:rPr>
            </w:pPr>
            <w:r w:rsidRPr="00F75AE6">
              <w:rPr>
                <w:rFonts w:ascii="Montserrat" w:eastAsia="Times New Roman" w:hAnsi="Montserrat" w:cs="Arial"/>
                <w:b/>
                <w:bCs/>
                <w:color w:val="FFFFFF"/>
                <w:sz w:val="16"/>
                <w:szCs w:val="16"/>
                <w:lang w:val="es-MX" w:eastAsia="es-MX"/>
              </w:rPr>
              <w:t>Concepto</w:t>
            </w:r>
          </w:p>
        </w:tc>
        <w:tc>
          <w:tcPr>
            <w:tcW w:w="1676" w:type="dxa"/>
            <w:tcBorders>
              <w:top w:val="nil"/>
              <w:left w:val="nil"/>
              <w:bottom w:val="nil"/>
              <w:right w:val="single" w:sz="8" w:space="0" w:color="FFFFFF"/>
            </w:tcBorders>
            <w:shd w:val="clear" w:color="000000" w:fill="D4C19C"/>
            <w:vAlign w:val="center"/>
            <w:hideMark/>
          </w:tcPr>
          <w:p w:rsidR="00F75AE6" w:rsidRPr="00F75AE6" w:rsidRDefault="00F75AE6" w:rsidP="00F75AE6">
            <w:pPr>
              <w:spacing w:after="0" w:line="240" w:lineRule="auto"/>
              <w:jc w:val="center"/>
              <w:rPr>
                <w:rFonts w:ascii="Montserrat" w:eastAsia="Times New Roman" w:hAnsi="Montserrat" w:cs="Arial"/>
                <w:b/>
                <w:bCs/>
                <w:color w:val="FFFFFF"/>
                <w:sz w:val="16"/>
                <w:szCs w:val="16"/>
                <w:lang w:val="es-MX" w:eastAsia="es-MX"/>
              </w:rPr>
            </w:pPr>
            <w:r w:rsidRPr="00F75AE6">
              <w:rPr>
                <w:rFonts w:ascii="Montserrat" w:eastAsia="Times New Roman" w:hAnsi="Montserrat" w:cs="Arial"/>
                <w:b/>
                <w:bCs/>
                <w:color w:val="FFFFFF"/>
                <w:sz w:val="16"/>
                <w:szCs w:val="16"/>
                <w:lang w:val="es-MX" w:eastAsia="es-MX"/>
              </w:rPr>
              <w:t>2018</w:t>
            </w:r>
          </w:p>
        </w:tc>
        <w:tc>
          <w:tcPr>
            <w:tcW w:w="1676" w:type="dxa"/>
            <w:tcBorders>
              <w:top w:val="nil"/>
              <w:left w:val="nil"/>
              <w:bottom w:val="nil"/>
              <w:right w:val="single" w:sz="8" w:space="0" w:color="FFFFFF"/>
            </w:tcBorders>
            <w:shd w:val="clear" w:color="000000" w:fill="D4C19C"/>
            <w:vAlign w:val="center"/>
            <w:hideMark/>
          </w:tcPr>
          <w:p w:rsidR="00F75AE6" w:rsidRPr="00F75AE6" w:rsidRDefault="00F75AE6" w:rsidP="00F75AE6">
            <w:pPr>
              <w:spacing w:after="0" w:line="240" w:lineRule="auto"/>
              <w:jc w:val="center"/>
              <w:rPr>
                <w:rFonts w:ascii="Montserrat" w:eastAsia="Times New Roman" w:hAnsi="Montserrat" w:cs="Arial"/>
                <w:b/>
                <w:bCs/>
                <w:color w:val="FFFFFF"/>
                <w:sz w:val="16"/>
                <w:szCs w:val="16"/>
                <w:lang w:val="es-MX" w:eastAsia="es-MX"/>
              </w:rPr>
            </w:pPr>
            <w:r w:rsidRPr="00F75AE6">
              <w:rPr>
                <w:rFonts w:ascii="Montserrat" w:eastAsia="Times New Roman" w:hAnsi="Montserrat" w:cs="Arial"/>
                <w:b/>
                <w:bCs/>
                <w:color w:val="FFFFFF"/>
                <w:sz w:val="16"/>
                <w:szCs w:val="16"/>
                <w:lang w:val="es-MX" w:eastAsia="es-MX"/>
              </w:rPr>
              <w:t>2017</w:t>
            </w:r>
          </w:p>
        </w:tc>
      </w:tr>
      <w:tr w:rsidR="00F75AE6" w:rsidRPr="00F75AE6" w:rsidTr="00337B1D">
        <w:trPr>
          <w:trHeight w:val="74"/>
          <w:jc w:val="center"/>
        </w:trPr>
        <w:tc>
          <w:tcPr>
            <w:tcW w:w="4264" w:type="dxa"/>
            <w:tcBorders>
              <w:top w:val="nil"/>
              <w:left w:val="nil"/>
              <w:bottom w:val="double" w:sz="6" w:space="0" w:color="808080"/>
              <w:right w:val="nil"/>
            </w:tcBorders>
            <w:shd w:val="clear" w:color="auto" w:fill="auto"/>
            <w:vAlign w:val="center"/>
            <w:hideMark/>
          </w:tcPr>
          <w:p w:rsidR="00F75AE6" w:rsidRPr="00F75AE6" w:rsidRDefault="00F75AE6" w:rsidP="00F75AE6">
            <w:pPr>
              <w:spacing w:after="0" w:line="240" w:lineRule="auto"/>
              <w:rPr>
                <w:rFonts w:ascii="Montserrat" w:eastAsia="Times New Roman" w:hAnsi="Montserrat" w:cs="Arial"/>
                <w:b/>
                <w:bCs/>
                <w:color w:val="000000"/>
                <w:sz w:val="4"/>
                <w:szCs w:val="4"/>
                <w:lang w:val="es-MX" w:eastAsia="es-MX"/>
              </w:rPr>
            </w:pPr>
            <w:r w:rsidRPr="00F75AE6">
              <w:rPr>
                <w:rFonts w:ascii="Montserrat" w:eastAsia="Times New Roman" w:hAnsi="Montserrat" w:cs="Arial"/>
                <w:b/>
                <w:bCs/>
                <w:color w:val="000000"/>
                <w:sz w:val="4"/>
                <w:szCs w:val="4"/>
                <w:lang w:val="es-MX" w:eastAsia="es-MX"/>
              </w:rPr>
              <w:t> </w:t>
            </w:r>
          </w:p>
        </w:tc>
        <w:tc>
          <w:tcPr>
            <w:tcW w:w="1676" w:type="dxa"/>
            <w:tcBorders>
              <w:top w:val="nil"/>
              <w:left w:val="nil"/>
              <w:bottom w:val="double" w:sz="6" w:space="0" w:color="808080"/>
              <w:right w:val="nil"/>
            </w:tcBorders>
            <w:shd w:val="clear" w:color="auto" w:fill="auto"/>
            <w:vAlign w:val="center"/>
            <w:hideMark/>
          </w:tcPr>
          <w:p w:rsidR="00F75AE6" w:rsidRPr="00F75AE6" w:rsidRDefault="00F75AE6" w:rsidP="00F75AE6">
            <w:pPr>
              <w:spacing w:after="0" w:line="240" w:lineRule="auto"/>
              <w:rPr>
                <w:rFonts w:ascii="Montserrat" w:eastAsia="Times New Roman" w:hAnsi="Montserrat" w:cs="Arial"/>
                <w:b/>
                <w:bCs/>
                <w:color w:val="000000"/>
                <w:sz w:val="4"/>
                <w:szCs w:val="4"/>
                <w:lang w:val="es-MX" w:eastAsia="es-MX"/>
              </w:rPr>
            </w:pPr>
            <w:r w:rsidRPr="00F75AE6">
              <w:rPr>
                <w:rFonts w:ascii="Montserrat" w:eastAsia="Times New Roman" w:hAnsi="Montserrat" w:cs="Arial"/>
                <w:b/>
                <w:bCs/>
                <w:color w:val="000000"/>
                <w:sz w:val="4"/>
                <w:szCs w:val="4"/>
                <w:lang w:val="es-MX" w:eastAsia="es-MX"/>
              </w:rPr>
              <w:t> </w:t>
            </w:r>
          </w:p>
        </w:tc>
        <w:tc>
          <w:tcPr>
            <w:tcW w:w="1676" w:type="dxa"/>
            <w:tcBorders>
              <w:top w:val="nil"/>
              <w:left w:val="nil"/>
              <w:bottom w:val="double" w:sz="6" w:space="0" w:color="808080"/>
              <w:right w:val="nil"/>
            </w:tcBorders>
            <w:shd w:val="clear" w:color="auto" w:fill="auto"/>
            <w:vAlign w:val="center"/>
            <w:hideMark/>
          </w:tcPr>
          <w:p w:rsidR="00F75AE6" w:rsidRPr="00F75AE6" w:rsidRDefault="00F75AE6" w:rsidP="00F75AE6">
            <w:pPr>
              <w:spacing w:after="0" w:line="240" w:lineRule="auto"/>
              <w:rPr>
                <w:rFonts w:ascii="Montserrat" w:eastAsia="Times New Roman" w:hAnsi="Montserrat" w:cs="Arial"/>
                <w:b/>
                <w:bCs/>
                <w:color w:val="000000"/>
                <w:sz w:val="4"/>
                <w:szCs w:val="4"/>
                <w:lang w:val="es-MX" w:eastAsia="es-MX"/>
              </w:rPr>
            </w:pPr>
            <w:r w:rsidRPr="00F75AE6">
              <w:rPr>
                <w:rFonts w:ascii="Montserrat" w:eastAsia="Times New Roman" w:hAnsi="Montserrat" w:cs="Arial"/>
                <w:b/>
                <w:bCs/>
                <w:color w:val="000000"/>
                <w:sz w:val="4"/>
                <w:szCs w:val="4"/>
                <w:lang w:val="es-MX" w:eastAsia="es-MX"/>
              </w:rPr>
              <w:t> </w:t>
            </w:r>
          </w:p>
        </w:tc>
      </w:tr>
      <w:tr w:rsidR="00F75AE6" w:rsidRPr="00F75AE6" w:rsidTr="00337B1D">
        <w:trPr>
          <w:trHeight w:val="140"/>
          <w:jc w:val="center"/>
        </w:trPr>
        <w:tc>
          <w:tcPr>
            <w:tcW w:w="4264"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Cámara de Diputados</w:t>
            </w:r>
          </w:p>
        </w:tc>
        <w:tc>
          <w:tcPr>
            <w:tcW w:w="1676"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1,237,721,500</w:t>
            </w:r>
          </w:p>
        </w:tc>
        <w:tc>
          <w:tcPr>
            <w:tcW w:w="1676"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450,721,407</w:t>
            </w:r>
          </w:p>
        </w:tc>
      </w:tr>
      <w:tr w:rsidR="00F75AE6" w:rsidRPr="00F75AE6" w:rsidTr="00337B1D">
        <w:trPr>
          <w:trHeight w:val="255"/>
          <w:jc w:val="center"/>
        </w:trPr>
        <w:tc>
          <w:tcPr>
            <w:tcW w:w="4264"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Cámara de Senadores</w:t>
            </w:r>
          </w:p>
        </w:tc>
        <w:tc>
          <w:tcPr>
            <w:tcW w:w="1676"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578,013,638</w:t>
            </w:r>
          </w:p>
        </w:tc>
        <w:tc>
          <w:tcPr>
            <w:tcW w:w="1676"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346,951,845</w:t>
            </w:r>
          </w:p>
        </w:tc>
      </w:tr>
      <w:tr w:rsidR="00F75AE6" w:rsidRPr="00F75AE6" w:rsidTr="00337B1D">
        <w:trPr>
          <w:trHeight w:val="255"/>
          <w:jc w:val="center"/>
        </w:trPr>
        <w:tc>
          <w:tcPr>
            <w:tcW w:w="4264"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Auditoría Superior de la Federación</w:t>
            </w:r>
          </w:p>
        </w:tc>
        <w:tc>
          <w:tcPr>
            <w:tcW w:w="1676"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514,812,654</w:t>
            </w:r>
          </w:p>
        </w:tc>
        <w:tc>
          <w:tcPr>
            <w:tcW w:w="1676"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504,579,307</w:t>
            </w:r>
          </w:p>
        </w:tc>
      </w:tr>
      <w:tr w:rsidR="00F75AE6" w:rsidRPr="00F75AE6" w:rsidTr="00337B1D">
        <w:trPr>
          <w:trHeight w:val="270"/>
          <w:jc w:val="center"/>
        </w:trPr>
        <w:tc>
          <w:tcPr>
            <w:tcW w:w="4264"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jc w:val="right"/>
              <w:rPr>
                <w:rFonts w:ascii="Montserrat" w:eastAsia="Times New Roman" w:hAnsi="Montserrat" w:cs="Arial"/>
                <w:b/>
                <w:bCs/>
                <w:color w:val="000000"/>
                <w:sz w:val="15"/>
                <w:szCs w:val="15"/>
                <w:lang w:val="es-MX" w:eastAsia="es-MX"/>
              </w:rPr>
            </w:pPr>
            <w:r w:rsidRPr="00F75AE6">
              <w:rPr>
                <w:rFonts w:ascii="Montserrat" w:eastAsia="Times New Roman" w:hAnsi="Montserrat" w:cs="Arial"/>
                <w:b/>
                <w:bCs/>
                <w:color w:val="000000"/>
                <w:sz w:val="15"/>
                <w:szCs w:val="15"/>
                <w:lang w:val="es-MX" w:eastAsia="es-MX"/>
              </w:rPr>
              <w:t>Suma del Efectivo y Equivalentes al Efectivo al Final del Ejercicio</w:t>
            </w:r>
          </w:p>
        </w:tc>
        <w:tc>
          <w:tcPr>
            <w:tcW w:w="1676"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b/>
                <w:color w:val="000000"/>
                <w:sz w:val="15"/>
                <w:szCs w:val="15"/>
                <w:lang w:val="es-MX" w:eastAsia="es-MX"/>
              </w:rPr>
            </w:pPr>
            <w:r w:rsidRPr="00F75AE6">
              <w:rPr>
                <w:rFonts w:ascii="Montserrat" w:eastAsia="Times New Roman" w:hAnsi="Montserrat" w:cs="Arial"/>
                <w:b/>
                <w:color w:val="000000"/>
                <w:sz w:val="15"/>
                <w:szCs w:val="15"/>
                <w:lang w:val="es-MX" w:eastAsia="es-MX"/>
              </w:rPr>
              <w:t>2,330,547,792</w:t>
            </w:r>
          </w:p>
        </w:tc>
        <w:tc>
          <w:tcPr>
            <w:tcW w:w="1676"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b/>
                <w:color w:val="000000"/>
                <w:sz w:val="15"/>
                <w:szCs w:val="15"/>
                <w:lang w:val="es-MX" w:eastAsia="es-MX"/>
              </w:rPr>
            </w:pPr>
            <w:r w:rsidRPr="00F75AE6">
              <w:rPr>
                <w:rFonts w:ascii="Montserrat" w:eastAsia="Times New Roman" w:hAnsi="Montserrat" w:cs="Arial"/>
                <w:b/>
                <w:color w:val="000000"/>
                <w:sz w:val="15"/>
                <w:szCs w:val="15"/>
                <w:lang w:val="es-MX" w:eastAsia="es-MX"/>
              </w:rPr>
              <w:t>1,302,252,559</w:t>
            </w:r>
          </w:p>
        </w:tc>
      </w:tr>
      <w:tr w:rsidR="00F75AE6" w:rsidRPr="00F75AE6" w:rsidTr="00337B1D">
        <w:trPr>
          <w:trHeight w:val="44"/>
          <w:jc w:val="center"/>
        </w:trPr>
        <w:tc>
          <w:tcPr>
            <w:tcW w:w="4264" w:type="dxa"/>
            <w:tcBorders>
              <w:top w:val="single" w:sz="12" w:space="0" w:color="808080"/>
              <w:left w:val="nil"/>
              <w:bottom w:val="nil"/>
              <w:right w:val="nil"/>
            </w:tcBorders>
            <w:shd w:val="clear" w:color="auto" w:fill="auto"/>
            <w:noWrap/>
            <w:vAlign w:val="center"/>
          </w:tcPr>
          <w:p w:rsidR="00F75AE6" w:rsidRPr="00F75AE6" w:rsidRDefault="00F75AE6" w:rsidP="00F75AE6">
            <w:pPr>
              <w:spacing w:after="0" w:line="240" w:lineRule="auto"/>
              <w:jc w:val="right"/>
              <w:rPr>
                <w:rFonts w:ascii="Soberana Sans Light" w:eastAsia="Times New Roman" w:hAnsi="Soberana Sans Light" w:cs="Arial"/>
                <w:b/>
                <w:bCs/>
                <w:color w:val="E26B0A"/>
                <w:sz w:val="16"/>
                <w:szCs w:val="16"/>
                <w:lang w:val="es-MX" w:eastAsia="es-MX"/>
              </w:rPr>
            </w:pPr>
          </w:p>
        </w:tc>
        <w:tc>
          <w:tcPr>
            <w:tcW w:w="1676" w:type="dxa"/>
            <w:tcBorders>
              <w:top w:val="single" w:sz="12" w:space="0" w:color="808080"/>
              <w:left w:val="nil"/>
              <w:bottom w:val="nil"/>
              <w:right w:val="nil"/>
            </w:tcBorders>
            <w:shd w:val="clear" w:color="auto" w:fill="auto"/>
            <w:noWrap/>
            <w:vAlign w:val="center"/>
          </w:tcPr>
          <w:p w:rsidR="00F75AE6" w:rsidRPr="00F75AE6" w:rsidRDefault="00F75AE6" w:rsidP="00F75AE6">
            <w:pPr>
              <w:spacing w:after="0" w:line="240" w:lineRule="auto"/>
              <w:jc w:val="right"/>
              <w:rPr>
                <w:rFonts w:ascii="Soberana Sans Light" w:eastAsia="Times New Roman" w:hAnsi="Soberana Sans Light" w:cs="Arial"/>
                <w:b/>
                <w:bCs/>
                <w:color w:val="E26B0A"/>
                <w:sz w:val="16"/>
                <w:szCs w:val="16"/>
                <w:lang w:val="es-MX" w:eastAsia="es-MX"/>
              </w:rPr>
            </w:pPr>
          </w:p>
        </w:tc>
        <w:tc>
          <w:tcPr>
            <w:tcW w:w="1676" w:type="dxa"/>
            <w:tcBorders>
              <w:top w:val="single" w:sz="12" w:space="0" w:color="808080"/>
              <w:left w:val="nil"/>
              <w:bottom w:val="nil"/>
              <w:right w:val="nil"/>
            </w:tcBorders>
            <w:shd w:val="clear" w:color="auto" w:fill="auto"/>
            <w:noWrap/>
            <w:vAlign w:val="center"/>
          </w:tcPr>
          <w:p w:rsidR="00F75AE6" w:rsidRPr="00F75AE6" w:rsidRDefault="00F75AE6" w:rsidP="00F75AE6">
            <w:pPr>
              <w:spacing w:after="0" w:line="240" w:lineRule="auto"/>
              <w:jc w:val="right"/>
              <w:rPr>
                <w:rFonts w:ascii="Soberana Sans Light" w:eastAsia="Times New Roman" w:hAnsi="Soberana Sans Light" w:cs="Arial"/>
                <w:b/>
                <w:bCs/>
                <w:color w:val="E26B0A"/>
                <w:sz w:val="16"/>
                <w:szCs w:val="16"/>
                <w:lang w:val="es-MX" w:eastAsia="es-MX"/>
              </w:rPr>
            </w:pPr>
          </w:p>
        </w:tc>
      </w:tr>
    </w:tbl>
    <w:p w:rsidR="00337B1D" w:rsidRDefault="00337B1D" w:rsidP="00A80DC6">
      <w:pPr>
        <w:pStyle w:val="TEXTONORMAL"/>
        <w:ind w:left="357"/>
        <w:rPr>
          <w:b/>
        </w:rPr>
      </w:pPr>
    </w:p>
    <w:p w:rsidR="00297378" w:rsidRPr="002C6D54" w:rsidRDefault="00297378" w:rsidP="002C6D54">
      <w:pPr>
        <w:pStyle w:val="TEXTONORMAL"/>
      </w:pPr>
      <w:r w:rsidRPr="002C6D54">
        <w:t>Conciliación entre los ingresos presupuestarios y contables, así como entre los egresos presupuestarios y los gastos contables del Poder Legislativo</w:t>
      </w:r>
    </w:p>
    <w:p w:rsidR="00337B1D" w:rsidRPr="00F80280" w:rsidRDefault="00337B1D" w:rsidP="00A80DC6">
      <w:pPr>
        <w:pStyle w:val="TEXTONORMAL"/>
        <w:ind w:left="357"/>
        <w:rPr>
          <w:b/>
        </w:rPr>
      </w:pPr>
    </w:p>
    <w:tbl>
      <w:tblPr>
        <w:tblW w:w="7486" w:type="dxa"/>
        <w:jc w:val="center"/>
        <w:tblCellMar>
          <w:left w:w="70" w:type="dxa"/>
          <w:right w:w="70" w:type="dxa"/>
        </w:tblCellMar>
        <w:tblLook w:val="04A0" w:firstRow="1" w:lastRow="0" w:firstColumn="1" w:lastColumn="0" w:noHBand="0" w:noVBand="1"/>
      </w:tblPr>
      <w:tblGrid>
        <w:gridCol w:w="6074"/>
        <w:gridCol w:w="1412"/>
      </w:tblGrid>
      <w:tr w:rsidR="00F75AE6" w:rsidRPr="00F75AE6" w:rsidTr="00F80280">
        <w:trPr>
          <w:trHeight w:val="270"/>
          <w:jc w:val="center"/>
        </w:trPr>
        <w:tc>
          <w:tcPr>
            <w:tcW w:w="7486" w:type="dxa"/>
            <w:gridSpan w:val="2"/>
            <w:tcBorders>
              <w:top w:val="nil"/>
              <w:left w:val="nil"/>
              <w:bottom w:val="single" w:sz="8" w:space="0" w:color="FFFFFF"/>
              <w:right w:val="single" w:sz="8" w:space="0" w:color="FFFFFF"/>
            </w:tcBorders>
            <w:shd w:val="clear" w:color="000000" w:fill="D4C19C"/>
            <w:vAlign w:val="center"/>
            <w:hideMark/>
          </w:tcPr>
          <w:p w:rsidR="00F75AE6" w:rsidRPr="00F75AE6" w:rsidRDefault="00F75AE6" w:rsidP="00F75AE6">
            <w:pPr>
              <w:spacing w:after="0" w:line="240" w:lineRule="auto"/>
              <w:jc w:val="center"/>
              <w:rPr>
                <w:rFonts w:ascii="Montserrat" w:eastAsia="Times New Roman" w:hAnsi="Montserrat" w:cs="Arial"/>
                <w:b/>
                <w:bCs/>
                <w:color w:val="FFFFFF"/>
                <w:sz w:val="16"/>
                <w:szCs w:val="16"/>
                <w:lang w:val="es-MX" w:eastAsia="es-MX"/>
              </w:rPr>
            </w:pPr>
            <w:r w:rsidRPr="00F75AE6">
              <w:rPr>
                <w:rFonts w:ascii="Montserrat" w:eastAsia="Times New Roman" w:hAnsi="Montserrat" w:cs="Arial"/>
                <w:b/>
                <w:bCs/>
                <w:color w:val="FFFFFF"/>
                <w:sz w:val="16"/>
                <w:szCs w:val="16"/>
                <w:lang w:val="es-MX" w:eastAsia="es-MX"/>
              </w:rPr>
              <w:t>PODER LEGISLATIVO</w:t>
            </w:r>
          </w:p>
        </w:tc>
      </w:tr>
      <w:tr w:rsidR="00F75AE6" w:rsidRPr="00F75AE6" w:rsidTr="00F80280">
        <w:trPr>
          <w:trHeight w:val="270"/>
          <w:jc w:val="center"/>
        </w:trPr>
        <w:tc>
          <w:tcPr>
            <w:tcW w:w="7486" w:type="dxa"/>
            <w:gridSpan w:val="2"/>
            <w:tcBorders>
              <w:top w:val="single" w:sz="8" w:space="0" w:color="FFFFFF"/>
              <w:left w:val="nil"/>
              <w:bottom w:val="single" w:sz="8" w:space="0" w:color="FFFFFF"/>
              <w:right w:val="single" w:sz="8" w:space="0" w:color="FFFFFF"/>
            </w:tcBorders>
            <w:shd w:val="clear" w:color="000000" w:fill="D4C19C"/>
            <w:vAlign w:val="center"/>
            <w:hideMark/>
          </w:tcPr>
          <w:p w:rsidR="00F75AE6" w:rsidRPr="00F75AE6" w:rsidRDefault="00F75AE6" w:rsidP="00F75AE6">
            <w:pPr>
              <w:spacing w:after="0" w:line="240" w:lineRule="auto"/>
              <w:jc w:val="center"/>
              <w:rPr>
                <w:rFonts w:ascii="Montserrat" w:eastAsia="Times New Roman" w:hAnsi="Montserrat" w:cs="Arial"/>
                <w:b/>
                <w:bCs/>
                <w:color w:val="FFFFFF"/>
                <w:sz w:val="16"/>
                <w:szCs w:val="16"/>
                <w:lang w:val="es-MX" w:eastAsia="es-MX"/>
              </w:rPr>
            </w:pPr>
            <w:r w:rsidRPr="00F75AE6">
              <w:rPr>
                <w:rFonts w:ascii="Montserrat" w:eastAsia="Times New Roman" w:hAnsi="Montserrat" w:cs="Arial"/>
                <w:b/>
                <w:bCs/>
                <w:color w:val="FFFFFF"/>
                <w:sz w:val="16"/>
                <w:szCs w:val="16"/>
                <w:lang w:val="es-MX" w:eastAsia="es-MX"/>
              </w:rPr>
              <w:t>Conciliación entre los Ingresos Presupuestarios y Contables</w:t>
            </w:r>
          </w:p>
        </w:tc>
      </w:tr>
      <w:tr w:rsidR="00F75AE6" w:rsidRPr="00F75AE6" w:rsidTr="00F80280">
        <w:trPr>
          <w:trHeight w:val="270"/>
          <w:jc w:val="center"/>
        </w:trPr>
        <w:tc>
          <w:tcPr>
            <w:tcW w:w="7486" w:type="dxa"/>
            <w:gridSpan w:val="2"/>
            <w:tcBorders>
              <w:top w:val="single" w:sz="8" w:space="0" w:color="FFFFFF"/>
              <w:left w:val="nil"/>
              <w:bottom w:val="single" w:sz="8" w:space="0" w:color="FFFFFF"/>
              <w:right w:val="single" w:sz="8" w:space="0" w:color="FFFFFF"/>
            </w:tcBorders>
            <w:shd w:val="clear" w:color="000000" w:fill="D4C19C"/>
            <w:vAlign w:val="center"/>
            <w:hideMark/>
          </w:tcPr>
          <w:p w:rsidR="00F75AE6" w:rsidRPr="00F75AE6" w:rsidRDefault="00F75AE6" w:rsidP="00F75AE6">
            <w:pPr>
              <w:spacing w:after="0" w:line="240" w:lineRule="auto"/>
              <w:jc w:val="center"/>
              <w:rPr>
                <w:rFonts w:ascii="Montserrat" w:eastAsia="Times New Roman" w:hAnsi="Montserrat" w:cs="Arial"/>
                <w:b/>
                <w:bCs/>
                <w:color w:val="FFFFFF"/>
                <w:sz w:val="16"/>
                <w:szCs w:val="16"/>
                <w:lang w:val="es-MX" w:eastAsia="es-MX"/>
              </w:rPr>
            </w:pPr>
            <w:r w:rsidRPr="00F75AE6">
              <w:rPr>
                <w:rFonts w:ascii="Montserrat" w:eastAsia="Times New Roman" w:hAnsi="Montserrat" w:cs="Arial"/>
                <w:b/>
                <w:bCs/>
                <w:color w:val="FFFFFF"/>
                <w:sz w:val="16"/>
                <w:szCs w:val="16"/>
                <w:lang w:val="es-MX" w:eastAsia="es-MX"/>
              </w:rPr>
              <w:t>Del 1o. de Enero al 31 de Diciembre de 2018</w:t>
            </w:r>
          </w:p>
        </w:tc>
      </w:tr>
      <w:tr w:rsidR="00F75AE6" w:rsidRPr="00F75AE6" w:rsidTr="00F80280">
        <w:trPr>
          <w:trHeight w:val="255"/>
          <w:jc w:val="center"/>
        </w:trPr>
        <w:tc>
          <w:tcPr>
            <w:tcW w:w="7486" w:type="dxa"/>
            <w:gridSpan w:val="2"/>
            <w:tcBorders>
              <w:top w:val="single" w:sz="8" w:space="0" w:color="FFFFFF"/>
              <w:left w:val="nil"/>
              <w:bottom w:val="nil"/>
              <w:right w:val="single" w:sz="8" w:space="0" w:color="FFFFFF"/>
            </w:tcBorders>
            <w:shd w:val="clear" w:color="000000" w:fill="D4C19C"/>
            <w:vAlign w:val="center"/>
            <w:hideMark/>
          </w:tcPr>
          <w:p w:rsidR="00F75AE6" w:rsidRPr="00F75AE6" w:rsidRDefault="00F75AE6" w:rsidP="00F75AE6">
            <w:pPr>
              <w:spacing w:after="0" w:line="240" w:lineRule="auto"/>
              <w:jc w:val="center"/>
              <w:rPr>
                <w:rFonts w:ascii="Montserrat" w:eastAsia="Times New Roman" w:hAnsi="Montserrat" w:cs="Arial"/>
                <w:b/>
                <w:bCs/>
                <w:color w:val="FFFFFF"/>
                <w:sz w:val="16"/>
                <w:szCs w:val="16"/>
                <w:lang w:val="es-MX" w:eastAsia="es-MX"/>
              </w:rPr>
            </w:pPr>
            <w:r w:rsidRPr="00F75AE6">
              <w:rPr>
                <w:rFonts w:ascii="Montserrat" w:eastAsia="Times New Roman" w:hAnsi="Montserrat" w:cs="Arial"/>
                <w:b/>
                <w:bCs/>
                <w:color w:val="FFFFFF"/>
                <w:sz w:val="16"/>
                <w:szCs w:val="16"/>
                <w:lang w:val="es-MX" w:eastAsia="es-MX"/>
              </w:rPr>
              <w:t>(Cifras en pesos)</w:t>
            </w:r>
          </w:p>
        </w:tc>
      </w:tr>
      <w:tr w:rsidR="00F75AE6" w:rsidRPr="00F75AE6" w:rsidTr="00F80280">
        <w:trPr>
          <w:trHeight w:val="90"/>
          <w:jc w:val="center"/>
        </w:trPr>
        <w:tc>
          <w:tcPr>
            <w:tcW w:w="6074" w:type="dxa"/>
            <w:tcBorders>
              <w:top w:val="nil"/>
              <w:left w:val="nil"/>
              <w:bottom w:val="double" w:sz="6" w:space="0" w:color="808080"/>
              <w:right w:val="nil"/>
            </w:tcBorders>
            <w:shd w:val="clear" w:color="auto" w:fill="auto"/>
            <w:vAlign w:val="center"/>
            <w:hideMark/>
          </w:tcPr>
          <w:p w:rsidR="00F75AE6" w:rsidRPr="00F75AE6" w:rsidRDefault="00F75AE6" w:rsidP="00F75AE6">
            <w:pPr>
              <w:spacing w:after="0" w:line="240" w:lineRule="auto"/>
              <w:rPr>
                <w:rFonts w:ascii="Montserrat" w:eastAsia="Times New Roman" w:hAnsi="Montserrat" w:cs="Arial"/>
                <w:b/>
                <w:bCs/>
                <w:color w:val="000000"/>
                <w:sz w:val="4"/>
                <w:szCs w:val="4"/>
                <w:lang w:val="es-MX" w:eastAsia="es-MX"/>
              </w:rPr>
            </w:pPr>
          </w:p>
        </w:tc>
        <w:tc>
          <w:tcPr>
            <w:tcW w:w="1412" w:type="dxa"/>
            <w:tcBorders>
              <w:top w:val="nil"/>
              <w:left w:val="nil"/>
              <w:bottom w:val="double" w:sz="6" w:space="0" w:color="808080"/>
              <w:right w:val="nil"/>
            </w:tcBorders>
            <w:shd w:val="clear" w:color="auto" w:fill="auto"/>
            <w:vAlign w:val="center"/>
            <w:hideMark/>
          </w:tcPr>
          <w:p w:rsidR="00F75AE6" w:rsidRPr="00F75AE6" w:rsidRDefault="00F75AE6" w:rsidP="00F75AE6">
            <w:pPr>
              <w:spacing w:after="0" w:line="240" w:lineRule="auto"/>
              <w:rPr>
                <w:rFonts w:ascii="Montserrat" w:eastAsia="Times New Roman" w:hAnsi="Montserrat" w:cs="Arial"/>
                <w:b/>
                <w:bCs/>
                <w:color w:val="000000"/>
                <w:sz w:val="4"/>
                <w:szCs w:val="4"/>
                <w:lang w:val="es-MX" w:eastAsia="es-MX"/>
              </w:rPr>
            </w:pPr>
            <w:r w:rsidRPr="00F75AE6">
              <w:rPr>
                <w:rFonts w:ascii="Montserrat" w:eastAsia="Times New Roman" w:hAnsi="Montserrat" w:cs="Arial"/>
                <w:b/>
                <w:bCs/>
                <w:color w:val="000000"/>
                <w:sz w:val="4"/>
                <w:szCs w:val="4"/>
                <w:lang w:val="es-MX" w:eastAsia="es-MX"/>
              </w:rPr>
              <w:t> </w:t>
            </w:r>
          </w:p>
        </w:tc>
      </w:tr>
      <w:tr w:rsidR="00F75AE6" w:rsidRPr="00F75AE6" w:rsidTr="00F80280">
        <w:trPr>
          <w:trHeight w:val="270"/>
          <w:jc w:val="center"/>
        </w:trPr>
        <w:tc>
          <w:tcPr>
            <w:tcW w:w="6074" w:type="dxa"/>
            <w:tcBorders>
              <w:top w:val="nil"/>
              <w:left w:val="nil"/>
              <w:bottom w:val="nil"/>
              <w:right w:val="single" w:sz="8" w:space="0" w:color="FFFFFF"/>
            </w:tcBorders>
            <w:shd w:val="clear" w:color="000000" w:fill="D4C19C"/>
            <w:vAlign w:val="center"/>
            <w:hideMark/>
          </w:tcPr>
          <w:p w:rsidR="00F75AE6" w:rsidRPr="00F75AE6" w:rsidRDefault="00F75AE6" w:rsidP="00F75AE6">
            <w:pPr>
              <w:spacing w:after="0" w:line="240" w:lineRule="auto"/>
              <w:rPr>
                <w:rFonts w:ascii="Montserrat" w:eastAsia="Times New Roman" w:hAnsi="Montserrat" w:cs="Arial"/>
                <w:b/>
                <w:bCs/>
                <w:color w:val="FFFFFF"/>
                <w:sz w:val="16"/>
                <w:szCs w:val="16"/>
                <w:lang w:val="es-MX" w:eastAsia="es-MX"/>
              </w:rPr>
            </w:pPr>
            <w:r w:rsidRPr="00F75AE6">
              <w:rPr>
                <w:rFonts w:ascii="Montserrat" w:eastAsia="Times New Roman" w:hAnsi="Montserrat" w:cs="Arial"/>
                <w:b/>
                <w:bCs/>
                <w:color w:val="FFFFFF"/>
                <w:sz w:val="16"/>
                <w:szCs w:val="16"/>
                <w:lang w:val="es-MX" w:eastAsia="es-MX"/>
              </w:rPr>
              <w:t>1. Ingresos Presupuestarios</w:t>
            </w:r>
          </w:p>
        </w:tc>
        <w:tc>
          <w:tcPr>
            <w:tcW w:w="1412" w:type="dxa"/>
            <w:tcBorders>
              <w:top w:val="nil"/>
              <w:left w:val="nil"/>
              <w:bottom w:val="nil"/>
              <w:right w:val="single" w:sz="8" w:space="0" w:color="FFFFFF"/>
            </w:tcBorders>
            <w:shd w:val="clear" w:color="000000" w:fill="D4C19C"/>
            <w:vAlign w:val="center"/>
            <w:hideMark/>
          </w:tcPr>
          <w:p w:rsidR="00F75AE6" w:rsidRPr="00F75AE6" w:rsidRDefault="00F75AE6" w:rsidP="00F75AE6">
            <w:pPr>
              <w:spacing w:after="0" w:line="240" w:lineRule="auto"/>
              <w:jc w:val="center"/>
              <w:rPr>
                <w:rFonts w:ascii="Montserrat" w:eastAsia="Times New Roman" w:hAnsi="Montserrat" w:cs="Arial"/>
                <w:b/>
                <w:bCs/>
                <w:color w:val="FFFFFF"/>
                <w:sz w:val="16"/>
                <w:szCs w:val="16"/>
                <w:lang w:val="es-MX" w:eastAsia="es-MX"/>
              </w:rPr>
            </w:pPr>
            <w:r w:rsidRPr="00F75AE6">
              <w:rPr>
                <w:rFonts w:ascii="Montserrat" w:eastAsia="Times New Roman" w:hAnsi="Montserrat" w:cs="Arial"/>
                <w:b/>
                <w:bCs/>
                <w:color w:val="FFFFFF"/>
                <w:sz w:val="16"/>
                <w:szCs w:val="16"/>
                <w:lang w:val="es-MX" w:eastAsia="es-MX"/>
              </w:rPr>
              <w:t>15,596,363,088</w:t>
            </w:r>
          </w:p>
        </w:tc>
      </w:tr>
      <w:tr w:rsidR="00F75AE6" w:rsidRPr="00F75AE6" w:rsidTr="00F80280">
        <w:trPr>
          <w:trHeight w:val="255"/>
          <w:jc w:val="center"/>
        </w:trPr>
        <w:tc>
          <w:tcPr>
            <w:tcW w:w="6074"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rPr>
                <w:rFonts w:ascii="Montserrat" w:eastAsia="Times New Roman" w:hAnsi="Montserrat" w:cs="Arial"/>
                <w:b/>
                <w:bCs/>
                <w:color w:val="000000"/>
                <w:sz w:val="15"/>
                <w:szCs w:val="15"/>
                <w:lang w:val="es-MX" w:eastAsia="es-MX"/>
              </w:rPr>
            </w:pPr>
            <w:r w:rsidRPr="00F75AE6">
              <w:rPr>
                <w:rFonts w:ascii="Montserrat" w:eastAsia="Times New Roman" w:hAnsi="Montserrat" w:cs="Arial"/>
                <w:b/>
                <w:bCs/>
                <w:color w:val="000000"/>
                <w:sz w:val="15"/>
                <w:szCs w:val="15"/>
                <w:lang w:val="es-MX" w:eastAsia="es-MX"/>
              </w:rPr>
              <w:t>2. Más ingresos contables no presupuestarios</w:t>
            </w:r>
          </w:p>
        </w:tc>
        <w:tc>
          <w:tcPr>
            <w:tcW w:w="1412"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b/>
                <w:bCs/>
                <w:color w:val="000000"/>
                <w:sz w:val="15"/>
                <w:szCs w:val="15"/>
                <w:lang w:val="es-MX" w:eastAsia="es-MX"/>
              </w:rPr>
            </w:pPr>
            <w:r w:rsidRPr="00F75AE6">
              <w:rPr>
                <w:rFonts w:ascii="Montserrat" w:eastAsia="Times New Roman" w:hAnsi="Montserrat" w:cs="Arial"/>
                <w:b/>
                <w:bCs/>
                <w:color w:val="000000"/>
                <w:sz w:val="15"/>
                <w:szCs w:val="15"/>
                <w:lang w:val="es-MX" w:eastAsia="es-MX"/>
              </w:rPr>
              <w:t>2,437,950</w:t>
            </w:r>
          </w:p>
        </w:tc>
      </w:tr>
      <w:tr w:rsidR="00F75AE6" w:rsidRPr="00F75AE6" w:rsidTr="00F80280">
        <w:trPr>
          <w:trHeight w:val="255"/>
          <w:jc w:val="center"/>
        </w:trPr>
        <w:tc>
          <w:tcPr>
            <w:tcW w:w="6074"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Incremento por variación de inventarios</w:t>
            </w:r>
          </w:p>
        </w:tc>
        <w:tc>
          <w:tcPr>
            <w:tcW w:w="1412"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0</w:t>
            </w:r>
          </w:p>
        </w:tc>
      </w:tr>
      <w:tr w:rsidR="00F75AE6" w:rsidRPr="00F75AE6" w:rsidTr="00F80280">
        <w:trPr>
          <w:trHeight w:val="255"/>
          <w:jc w:val="center"/>
        </w:trPr>
        <w:tc>
          <w:tcPr>
            <w:tcW w:w="6074"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Disminución del exceso de estimaciones por pérdida o deterioro u obsolescencia</w:t>
            </w:r>
          </w:p>
        </w:tc>
        <w:tc>
          <w:tcPr>
            <w:tcW w:w="1412"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0</w:t>
            </w:r>
          </w:p>
        </w:tc>
      </w:tr>
      <w:tr w:rsidR="00F75AE6" w:rsidRPr="00F75AE6" w:rsidTr="00F80280">
        <w:trPr>
          <w:trHeight w:val="255"/>
          <w:jc w:val="center"/>
        </w:trPr>
        <w:tc>
          <w:tcPr>
            <w:tcW w:w="6074"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Disminución del exceso de provisiones</w:t>
            </w:r>
          </w:p>
        </w:tc>
        <w:tc>
          <w:tcPr>
            <w:tcW w:w="1412"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0</w:t>
            </w:r>
          </w:p>
        </w:tc>
      </w:tr>
      <w:tr w:rsidR="00F75AE6" w:rsidRPr="00F75AE6" w:rsidTr="00F80280">
        <w:trPr>
          <w:trHeight w:val="255"/>
          <w:jc w:val="center"/>
        </w:trPr>
        <w:tc>
          <w:tcPr>
            <w:tcW w:w="6074"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Otros ingresos y beneficios varios</w:t>
            </w:r>
          </w:p>
        </w:tc>
        <w:tc>
          <w:tcPr>
            <w:tcW w:w="1412"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0</w:t>
            </w:r>
          </w:p>
        </w:tc>
      </w:tr>
      <w:tr w:rsidR="00F75AE6" w:rsidRPr="00F75AE6" w:rsidTr="00F80280">
        <w:trPr>
          <w:trHeight w:val="255"/>
          <w:jc w:val="center"/>
        </w:trPr>
        <w:tc>
          <w:tcPr>
            <w:tcW w:w="6074"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Otros ingresos contables no presupuestarios</w:t>
            </w:r>
          </w:p>
        </w:tc>
        <w:tc>
          <w:tcPr>
            <w:tcW w:w="1412"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2,437,950</w:t>
            </w:r>
          </w:p>
        </w:tc>
      </w:tr>
      <w:tr w:rsidR="00F75AE6" w:rsidRPr="00F75AE6" w:rsidTr="00F80280">
        <w:trPr>
          <w:trHeight w:val="255"/>
          <w:jc w:val="center"/>
        </w:trPr>
        <w:tc>
          <w:tcPr>
            <w:tcW w:w="6074"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rPr>
                <w:rFonts w:ascii="Montserrat" w:eastAsia="Times New Roman" w:hAnsi="Montserrat" w:cs="Arial"/>
                <w:b/>
                <w:bCs/>
                <w:color w:val="000000"/>
                <w:sz w:val="15"/>
                <w:szCs w:val="15"/>
                <w:lang w:val="es-MX" w:eastAsia="es-MX"/>
              </w:rPr>
            </w:pPr>
            <w:r w:rsidRPr="00F75AE6">
              <w:rPr>
                <w:rFonts w:ascii="Montserrat" w:eastAsia="Times New Roman" w:hAnsi="Montserrat" w:cs="Arial"/>
                <w:b/>
                <w:bCs/>
                <w:color w:val="000000"/>
                <w:sz w:val="15"/>
                <w:szCs w:val="15"/>
                <w:lang w:val="es-MX" w:eastAsia="es-MX"/>
              </w:rPr>
              <w:t>3. Menos ingresos presupuestarios no contables</w:t>
            </w:r>
          </w:p>
        </w:tc>
        <w:tc>
          <w:tcPr>
            <w:tcW w:w="1412"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b/>
                <w:bCs/>
                <w:color w:val="000000"/>
                <w:sz w:val="15"/>
                <w:szCs w:val="15"/>
                <w:lang w:val="es-MX" w:eastAsia="es-MX"/>
              </w:rPr>
            </w:pPr>
            <w:r w:rsidRPr="00F75AE6">
              <w:rPr>
                <w:rFonts w:ascii="Montserrat" w:eastAsia="Times New Roman" w:hAnsi="Montserrat" w:cs="Arial"/>
                <w:b/>
                <w:bCs/>
                <w:color w:val="000000"/>
                <w:sz w:val="15"/>
                <w:szCs w:val="15"/>
                <w:lang w:val="es-MX" w:eastAsia="es-MX"/>
              </w:rPr>
              <w:t>0</w:t>
            </w:r>
          </w:p>
        </w:tc>
      </w:tr>
      <w:tr w:rsidR="00F75AE6" w:rsidRPr="00F75AE6" w:rsidTr="00F80280">
        <w:trPr>
          <w:trHeight w:val="255"/>
          <w:jc w:val="center"/>
        </w:trPr>
        <w:tc>
          <w:tcPr>
            <w:tcW w:w="6074"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Productos de capital</w:t>
            </w:r>
          </w:p>
        </w:tc>
        <w:tc>
          <w:tcPr>
            <w:tcW w:w="1412"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0</w:t>
            </w:r>
          </w:p>
        </w:tc>
      </w:tr>
      <w:tr w:rsidR="00F75AE6" w:rsidRPr="00F75AE6" w:rsidTr="00F80280">
        <w:trPr>
          <w:trHeight w:val="255"/>
          <w:jc w:val="center"/>
        </w:trPr>
        <w:tc>
          <w:tcPr>
            <w:tcW w:w="6074"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Aprovechamientos capital</w:t>
            </w:r>
          </w:p>
        </w:tc>
        <w:tc>
          <w:tcPr>
            <w:tcW w:w="1412"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0</w:t>
            </w:r>
          </w:p>
        </w:tc>
      </w:tr>
      <w:tr w:rsidR="00F75AE6" w:rsidRPr="00F75AE6" w:rsidTr="00F80280">
        <w:trPr>
          <w:trHeight w:val="255"/>
          <w:jc w:val="center"/>
        </w:trPr>
        <w:tc>
          <w:tcPr>
            <w:tcW w:w="6074"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Ingresos derivados de financiamientos</w:t>
            </w:r>
          </w:p>
        </w:tc>
        <w:tc>
          <w:tcPr>
            <w:tcW w:w="1412"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0</w:t>
            </w:r>
          </w:p>
        </w:tc>
      </w:tr>
      <w:tr w:rsidR="00F75AE6" w:rsidRPr="00F75AE6" w:rsidTr="00F80280">
        <w:trPr>
          <w:trHeight w:val="270"/>
          <w:jc w:val="center"/>
        </w:trPr>
        <w:tc>
          <w:tcPr>
            <w:tcW w:w="6074"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Otros Ingresos presupuestarios no contables</w:t>
            </w:r>
          </w:p>
        </w:tc>
        <w:tc>
          <w:tcPr>
            <w:tcW w:w="1412"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0</w:t>
            </w:r>
          </w:p>
        </w:tc>
      </w:tr>
      <w:tr w:rsidR="00F75AE6" w:rsidRPr="00F75AE6" w:rsidTr="00F80280">
        <w:trPr>
          <w:trHeight w:val="270"/>
          <w:jc w:val="center"/>
        </w:trPr>
        <w:tc>
          <w:tcPr>
            <w:tcW w:w="6074" w:type="dxa"/>
            <w:tcBorders>
              <w:top w:val="single" w:sz="8" w:space="0" w:color="BFBFBF"/>
              <w:left w:val="single" w:sz="8" w:space="0" w:color="BFBFBF"/>
              <w:bottom w:val="single" w:sz="8" w:space="0" w:color="BFBFBF"/>
              <w:right w:val="single" w:sz="8" w:space="0" w:color="BFBFBF"/>
            </w:tcBorders>
            <w:shd w:val="clear" w:color="000000" w:fill="D4C19C"/>
            <w:vAlign w:val="center"/>
            <w:hideMark/>
          </w:tcPr>
          <w:p w:rsidR="00F75AE6" w:rsidRPr="00F75AE6" w:rsidRDefault="00F75AE6" w:rsidP="00F75AE6">
            <w:pPr>
              <w:spacing w:after="0" w:line="240" w:lineRule="auto"/>
              <w:rPr>
                <w:rFonts w:ascii="Soberana Sans Light" w:eastAsia="Times New Roman" w:hAnsi="Soberana Sans Light" w:cs="Arial"/>
                <w:b/>
                <w:bCs/>
                <w:color w:val="FFFFFF"/>
                <w:sz w:val="16"/>
                <w:szCs w:val="16"/>
                <w:lang w:val="es-MX" w:eastAsia="es-MX"/>
              </w:rPr>
            </w:pPr>
            <w:r w:rsidRPr="00F75AE6">
              <w:rPr>
                <w:rFonts w:ascii="Soberana Sans Light" w:eastAsia="Times New Roman" w:hAnsi="Soberana Sans Light" w:cs="Arial"/>
                <w:b/>
                <w:bCs/>
                <w:color w:val="FFFFFF"/>
                <w:sz w:val="16"/>
                <w:szCs w:val="16"/>
                <w:lang w:val="es-MX" w:eastAsia="es-MX"/>
              </w:rPr>
              <w:t>4. Ingresos Contables (4 = 1 + 2 - 3)</w:t>
            </w:r>
          </w:p>
        </w:tc>
        <w:tc>
          <w:tcPr>
            <w:tcW w:w="1412" w:type="dxa"/>
            <w:tcBorders>
              <w:top w:val="single" w:sz="8" w:space="0" w:color="BFBFBF"/>
              <w:left w:val="nil"/>
              <w:bottom w:val="single" w:sz="8" w:space="0" w:color="BFBFBF"/>
              <w:right w:val="single" w:sz="8" w:space="0" w:color="BFBFBF"/>
            </w:tcBorders>
            <w:shd w:val="clear" w:color="000000" w:fill="D4C19C"/>
            <w:vAlign w:val="center"/>
            <w:hideMark/>
          </w:tcPr>
          <w:p w:rsidR="00F75AE6" w:rsidRPr="00F75AE6" w:rsidRDefault="00F75AE6" w:rsidP="00F75AE6">
            <w:pPr>
              <w:spacing w:after="0" w:line="240" w:lineRule="auto"/>
              <w:jc w:val="right"/>
              <w:rPr>
                <w:rFonts w:ascii="Soberana Sans Light" w:eastAsia="Times New Roman" w:hAnsi="Soberana Sans Light" w:cs="Arial"/>
                <w:b/>
                <w:bCs/>
                <w:color w:val="FFFFFF"/>
                <w:sz w:val="16"/>
                <w:szCs w:val="16"/>
                <w:lang w:val="es-MX" w:eastAsia="es-MX"/>
              </w:rPr>
            </w:pPr>
            <w:r w:rsidRPr="00F75AE6">
              <w:rPr>
                <w:rFonts w:ascii="Soberana Sans Light" w:eastAsia="Times New Roman" w:hAnsi="Soberana Sans Light" w:cs="Arial"/>
                <w:b/>
                <w:bCs/>
                <w:color w:val="FFFFFF"/>
                <w:sz w:val="16"/>
                <w:szCs w:val="16"/>
                <w:lang w:val="es-MX" w:eastAsia="es-MX"/>
              </w:rPr>
              <w:t>15,598,801,038</w:t>
            </w:r>
          </w:p>
        </w:tc>
      </w:tr>
      <w:tr w:rsidR="00F75AE6" w:rsidRPr="00F75AE6" w:rsidTr="00F80280">
        <w:trPr>
          <w:trHeight w:val="270"/>
          <w:jc w:val="center"/>
        </w:trPr>
        <w:tc>
          <w:tcPr>
            <w:tcW w:w="6074" w:type="dxa"/>
            <w:tcBorders>
              <w:top w:val="single" w:sz="12" w:space="0" w:color="808080"/>
              <w:left w:val="nil"/>
              <w:bottom w:val="nil"/>
              <w:right w:val="nil"/>
            </w:tcBorders>
            <w:shd w:val="clear" w:color="auto" w:fill="auto"/>
            <w:noWrap/>
            <w:vAlign w:val="center"/>
          </w:tcPr>
          <w:p w:rsidR="00F75AE6" w:rsidRPr="00F75AE6" w:rsidRDefault="00F75AE6" w:rsidP="00F75AE6">
            <w:pPr>
              <w:spacing w:after="0" w:line="240" w:lineRule="auto"/>
              <w:jc w:val="right"/>
              <w:rPr>
                <w:rFonts w:ascii="Soberana Sans Light" w:eastAsia="Times New Roman" w:hAnsi="Soberana Sans Light" w:cs="Arial"/>
                <w:b/>
                <w:bCs/>
                <w:color w:val="E26B0A"/>
                <w:sz w:val="16"/>
                <w:szCs w:val="16"/>
                <w:lang w:val="es-MX" w:eastAsia="es-MX"/>
              </w:rPr>
            </w:pPr>
          </w:p>
        </w:tc>
        <w:tc>
          <w:tcPr>
            <w:tcW w:w="1412" w:type="dxa"/>
            <w:tcBorders>
              <w:top w:val="single" w:sz="12" w:space="0" w:color="808080"/>
              <w:left w:val="nil"/>
              <w:bottom w:val="nil"/>
              <w:right w:val="nil"/>
            </w:tcBorders>
            <w:shd w:val="clear" w:color="auto" w:fill="auto"/>
            <w:noWrap/>
            <w:vAlign w:val="center"/>
          </w:tcPr>
          <w:p w:rsidR="00F75AE6" w:rsidRPr="00F75AE6" w:rsidRDefault="00F75AE6" w:rsidP="00F75AE6">
            <w:pPr>
              <w:spacing w:after="0" w:line="240" w:lineRule="auto"/>
              <w:jc w:val="right"/>
              <w:rPr>
                <w:rFonts w:ascii="Soberana Sans Light" w:eastAsia="Times New Roman" w:hAnsi="Soberana Sans Light" w:cs="Arial"/>
                <w:b/>
                <w:bCs/>
                <w:color w:val="E26B0A"/>
                <w:sz w:val="16"/>
                <w:szCs w:val="16"/>
                <w:lang w:val="es-MX" w:eastAsia="es-MX"/>
              </w:rPr>
            </w:pPr>
          </w:p>
        </w:tc>
      </w:tr>
    </w:tbl>
    <w:p w:rsidR="00337B1D" w:rsidRDefault="00337B1D" w:rsidP="00297378">
      <w:pPr>
        <w:pStyle w:val="TEXTONORMAL"/>
        <w:rPr>
          <w:highlight w:val="yellow"/>
        </w:rPr>
      </w:pPr>
    </w:p>
    <w:p w:rsidR="00A80DC6" w:rsidRDefault="00F80280" w:rsidP="00B52D8A">
      <w:pPr>
        <w:pStyle w:val="TEXTONORMAL"/>
      </w:pPr>
      <w:r w:rsidRPr="00B52D8A">
        <w:t xml:space="preserve">Respecto de </w:t>
      </w:r>
      <w:r w:rsidR="00B52D8A" w:rsidRPr="00B52D8A">
        <w:t>los ingresos contables no presupuestarios y de los ingresos presupuestarios no contables</w:t>
      </w:r>
      <w:r w:rsidRPr="00B52D8A">
        <w:t xml:space="preserve"> de los entes públicos del Poder Legislativo, su integración puede ser consultada en el respectivo apartado de cada ente público.</w:t>
      </w:r>
    </w:p>
    <w:p w:rsidR="00337B1D" w:rsidRDefault="00337B1D" w:rsidP="00297378">
      <w:pPr>
        <w:pStyle w:val="TEXTONORMAL"/>
      </w:pPr>
    </w:p>
    <w:p w:rsidR="00337B1D" w:rsidRDefault="00337B1D" w:rsidP="00297378">
      <w:pPr>
        <w:pStyle w:val="TEXTONORMAL"/>
      </w:pPr>
    </w:p>
    <w:tbl>
      <w:tblPr>
        <w:tblW w:w="7689" w:type="dxa"/>
        <w:jc w:val="center"/>
        <w:tblCellMar>
          <w:left w:w="70" w:type="dxa"/>
          <w:right w:w="70" w:type="dxa"/>
        </w:tblCellMar>
        <w:tblLook w:val="04A0" w:firstRow="1" w:lastRow="0" w:firstColumn="1" w:lastColumn="0" w:noHBand="0" w:noVBand="1"/>
      </w:tblPr>
      <w:tblGrid>
        <w:gridCol w:w="6277"/>
        <w:gridCol w:w="1412"/>
      </w:tblGrid>
      <w:tr w:rsidR="00F75AE6" w:rsidRPr="00F75AE6" w:rsidTr="00F80280">
        <w:trPr>
          <w:trHeight w:val="270"/>
          <w:jc w:val="center"/>
        </w:trPr>
        <w:tc>
          <w:tcPr>
            <w:tcW w:w="7689" w:type="dxa"/>
            <w:gridSpan w:val="2"/>
            <w:tcBorders>
              <w:top w:val="nil"/>
              <w:left w:val="nil"/>
              <w:bottom w:val="single" w:sz="8" w:space="0" w:color="FFFFFF"/>
              <w:right w:val="single" w:sz="8" w:space="0" w:color="FFFFFF"/>
            </w:tcBorders>
            <w:shd w:val="clear" w:color="000000" w:fill="D4C19C"/>
            <w:vAlign w:val="center"/>
            <w:hideMark/>
          </w:tcPr>
          <w:p w:rsidR="00F75AE6" w:rsidRPr="00F75AE6" w:rsidRDefault="00F75AE6" w:rsidP="00F75AE6">
            <w:pPr>
              <w:spacing w:after="0" w:line="240" w:lineRule="auto"/>
              <w:jc w:val="center"/>
              <w:rPr>
                <w:rFonts w:ascii="Montserrat" w:eastAsia="Times New Roman" w:hAnsi="Montserrat" w:cs="Arial"/>
                <w:b/>
                <w:bCs/>
                <w:color w:val="FFFFFF"/>
                <w:sz w:val="16"/>
                <w:szCs w:val="16"/>
                <w:lang w:val="es-MX" w:eastAsia="es-MX"/>
              </w:rPr>
            </w:pPr>
            <w:r w:rsidRPr="00F75AE6">
              <w:rPr>
                <w:rFonts w:ascii="Montserrat" w:eastAsia="Times New Roman" w:hAnsi="Montserrat" w:cs="Arial"/>
                <w:b/>
                <w:bCs/>
                <w:color w:val="FFFFFF"/>
                <w:sz w:val="16"/>
                <w:szCs w:val="16"/>
                <w:lang w:val="es-MX" w:eastAsia="es-MX"/>
              </w:rPr>
              <w:lastRenderedPageBreak/>
              <w:t>PODER LEGISLATIVO</w:t>
            </w:r>
          </w:p>
        </w:tc>
      </w:tr>
      <w:tr w:rsidR="00F75AE6" w:rsidRPr="00F75AE6" w:rsidTr="00F80280">
        <w:trPr>
          <w:trHeight w:val="255"/>
          <w:jc w:val="center"/>
        </w:trPr>
        <w:tc>
          <w:tcPr>
            <w:tcW w:w="7689" w:type="dxa"/>
            <w:gridSpan w:val="2"/>
            <w:tcBorders>
              <w:top w:val="single" w:sz="8" w:space="0" w:color="FFFFFF"/>
              <w:left w:val="nil"/>
              <w:bottom w:val="single" w:sz="8" w:space="0" w:color="FFFFFF"/>
              <w:right w:val="single" w:sz="8" w:space="0" w:color="FFFFFF"/>
            </w:tcBorders>
            <w:shd w:val="clear" w:color="000000" w:fill="D4C19C"/>
            <w:vAlign w:val="center"/>
            <w:hideMark/>
          </w:tcPr>
          <w:p w:rsidR="00F75AE6" w:rsidRPr="00F75AE6" w:rsidRDefault="00F75AE6" w:rsidP="00F75AE6">
            <w:pPr>
              <w:spacing w:after="0" w:line="240" w:lineRule="auto"/>
              <w:jc w:val="center"/>
              <w:rPr>
                <w:rFonts w:ascii="Montserrat" w:eastAsia="Times New Roman" w:hAnsi="Montserrat" w:cs="Arial"/>
                <w:b/>
                <w:bCs/>
                <w:color w:val="FFFFFF"/>
                <w:sz w:val="16"/>
                <w:szCs w:val="16"/>
                <w:lang w:val="es-MX" w:eastAsia="es-MX"/>
              </w:rPr>
            </w:pPr>
            <w:r w:rsidRPr="00F75AE6">
              <w:rPr>
                <w:rFonts w:ascii="Montserrat" w:eastAsia="Times New Roman" w:hAnsi="Montserrat" w:cs="Arial"/>
                <w:b/>
                <w:bCs/>
                <w:color w:val="FFFFFF"/>
                <w:sz w:val="16"/>
                <w:szCs w:val="16"/>
                <w:lang w:val="es-MX" w:eastAsia="es-MX"/>
              </w:rPr>
              <w:t>Conciliación entre los Egresos Presupuestarios y los Gastos Contables</w:t>
            </w:r>
          </w:p>
        </w:tc>
      </w:tr>
      <w:tr w:rsidR="00F75AE6" w:rsidRPr="00F75AE6" w:rsidTr="00F80280">
        <w:trPr>
          <w:trHeight w:val="270"/>
          <w:jc w:val="center"/>
        </w:trPr>
        <w:tc>
          <w:tcPr>
            <w:tcW w:w="7689" w:type="dxa"/>
            <w:gridSpan w:val="2"/>
            <w:tcBorders>
              <w:top w:val="single" w:sz="8" w:space="0" w:color="FFFFFF"/>
              <w:left w:val="nil"/>
              <w:bottom w:val="single" w:sz="8" w:space="0" w:color="FFFFFF"/>
              <w:right w:val="single" w:sz="8" w:space="0" w:color="FFFFFF"/>
            </w:tcBorders>
            <w:shd w:val="clear" w:color="000000" w:fill="D4C19C"/>
            <w:vAlign w:val="center"/>
            <w:hideMark/>
          </w:tcPr>
          <w:p w:rsidR="00F75AE6" w:rsidRPr="00F75AE6" w:rsidRDefault="00F75AE6" w:rsidP="00F75AE6">
            <w:pPr>
              <w:spacing w:after="0" w:line="240" w:lineRule="auto"/>
              <w:jc w:val="center"/>
              <w:rPr>
                <w:rFonts w:ascii="Montserrat" w:eastAsia="Times New Roman" w:hAnsi="Montserrat" w:cs="Arial"/>
                <w:b/>
                <w:bCs/>
                <w:color w:val="FFFFFF"/>
                <w:sz w:val="16"/>
                <w:szCs w:val="16"/>
                <w:lang w:val="es-MX" w:eastAsia="es-MX"/>
              </w:rPr>
            </w:pPr>
            <w:r w:rsidRPr="00F75AE6">
              <w:rPr>
                <w:rFonts w:ascii="Montserrat" w:eastAsia="Times New Roman" w:hAnsi="Montserrat" w:cs="Arial"/>
                <w:b/>
                <w:bCs/>
                <w:color w:val="FFFFFF"/>
                <w:sz w:val="16"/>
                <w:szCs w:val="16"/>
                <w:lang w:val="es-MX" w:eastAsia="es-MX"/>
              </w:rPr>
              <w:t>Del 1o. de Enero al 31 de Diciembre de 2018</w:t>
            </w:r>
          </w:p>
        </w:tc>
      </w:tr>
      <w:tr w:rsidR="00F75AE6" w:rsidRPr="00F75AE6" w:rsidTr="00F80280">
        <w:trPr>
          <w:trHeight w:val="255"/>
          <w:jc w:val="center"/>
        </w:trPr>
        <w:tc>
          <w:tcPr>
            <w:tcW w:w="7689" w:type="dxa"/>
            <w:gridSpan w:val="2"/>
            <w:tcBorders>
              <w:top w:val="single" w:sz="8" w:space="0" w:color="FFFFFF"/>
              <w:left w:val="nil"/>
              <w:bottom w:val="nil"/>
              <w:right w:val="single" w:sz="8" w:space="0" w:color="FFFFFF"/>
            </w:tcBorders>
            <w:shd w:val="clear" w:color="000000" w:fill="D4C19C"/>
            <w:vAlign w:val="center"/>
            <w:hideMark/>
          </w:tcPr>
          <w:p w:rsidR="00F75AE6" w:rsidRPr="00F75AE6" w:rsidRDefault="00F75AE6" w:rsidP="00F75AE6">
            <w:pPr>
              <w:spacing w:after="0" w:line="240" w:lineRule="auto"/>
              <w:jc w:val="center"/>
              <w:rPr>
                <w:rFonts w:ascii="Montserrat" w:eastAsia="Times New Roman" w:hAnsi="Montserrat" w:cs="Arial"/>
                <w:b/>
                <w:bCs/>
                <w:color w:val="FFFFFF"/>
                <w:sz w:val="16"/>
                <w:szCs w:val="16"/>
                <w:lang w:val="es-MX" w:eastAsia="es-MX"/>
              </w:rPr>
            </w:pPr>
            <w:r w:rsidRPr="00F75AE6">
              <w:rPr>
                <w:rFonts w:ascii="Montserrat" w:eastAsia="Times New Roman" w:hAnsi="Montserrat" w:cs="Arial"/>
                <w:b/>
                <w:bCs/>
                <w:color w:val="FFFFFF"/>
                <w:sz w:val="16"/>
                <w:szCs w:val="16"/>
                <w:lang w:val="es-MX" w:eastAsia="es-MX"/>
              </w:rPr>
              <w:t>(Cifras en pesos)</w:t>
            </w:r>
          </w:p>
        </w:tc>
      </w:tr>
      <w:tr w:rsidR="00F75AE6" w:rsidRPr="00F75AE6" w:rsidTr="00F80280">
        <w:trPr>
          <w:trHeight w:val="90"/>
          <w:jc w:val="center"/>
        </w:trPr>
        <w:tc>
          <w:tcPr>
            <w:tcW w:w="6277" w:type="dxa"/>
            <w:tcBorders>
              <w:top w:val="nil"/>
              <w:left w:val="nil"/>
              <w:bottom w:val="double" w:sz="6" w:space="0" w:color="808080"/>
              <w:right w:val="nil"/>
            </w:tcBorders>
            <w:shd w:val="clear" w:color="auto" w:fill="auto"/>
            <w:vAlign w:val="center"/>
            <w:hideMark/>
          </w:tcPr>
          <w:p w:rsidR="00F75AE6" w:rsidRPr="00F75AE6" w:rsidRDefault="00F75AE6" w:rsidP="00F75AE6">
            <w:pPr>
              <w:spacing w:after="0" w:line="240" w:lineRule="auto"/>
              <w:rPr>
                <w:rFonts w:ascii="Montserrat" w:eastAsia="Times New Roman" w:hAnsi="Montserrat" w:cs="Arial"/>
                <w:b/>
                <w:bCs/>
                <w:color w:val="000000"/>
                <w:sz w:val="4"/>
                <w:szCs w:val="4"/>
                <w:lang w:val="es-MX" w:eastAsia="es-MX"/>
              </w:rPr>
            </w:pPr>
            <w:r w:rsidRPr="00F75AE6">
              <w:rPr>
                <w:rFonts w:ascii="Montserrat" w:eastAsia="Times New Roman" w:hAnsi="Montserrat" w:cs="Arial"/>
                <w:b/>
                <w:bCs/>
                <w:color w:val="000000"/>
                <w:sz w:val="4"/>
                <w:szCs w:val="4"/>
                <w:lang w:val="es-MX" w:eastAsia="es-MX"/>
              </w:rPr>
              <w:t> </w:t>
            </w:r>
          </w:p>
        </w:tc>
        <w:tc>
          <w:tcPr>
            <w:tcW w:w="1412" w:type="dxa"/>
            <w:tcBorders>
              <w:top w:val="nil"/>
              <w:left w:val="nil"/>
              <w:bottom w:val="double" w:sz="6" w:space="0" w:color="808080"/>
              <w:right w:val="nil"/>
            </w:tcBorders>
            <w:shd w:val="clear" w:color="auto" w:fill="auto"/>
            <w:vAlign w:val="center"/>
            <w:hideMark/>
          </w:tcPr>
          <w:p w:rsidR="00F75AE6" w:rsidRPr="00F75AE6" w:rsidRDefault="00F75AE6" w:rsidP="00F75AE6">
            <w:pPr>
              <w:spacing w:after="0" w:line="240" w:lineRule="auto"/>
              <w:rPr>
                <w:rFonts w:ascii="Montserrat" w:eastAsia="Times New Roman" w:hAnsi="Montserrat" w:cs="Arial"/>
                <w:b/>
                <w:bCs/>
                <w:color w:val="000000"/>
                <w:sz w:val="4"/>
                <w:szCs w:val="4"/>
                <w:lang w:val="es-MX" w:eastAsia="es-MX"/>
              </w:rPr>
            </w:pPr>
            <w:r w:rsidRPr="00F75AE6">
              <w:rPr>
                <w:rFonts w:ascii="Montserrat" w:eastAsia="Times New Roman" w:hAnsi="Montserrat" w:cs="Arial"/>
                <w:b/>
                <w:bCs/>
                <w:color w:val="000000"/>
                <w:sz w:val="4"/>
                <w:szCs w:val="4"/>
                <w:lang w:val="es-MX" w:eastAsia="es-MX"/>
              </w:rPr>
              <w:t> </w:t>
            </w:r>
          </w:p>
        </w:tc>
      </w:tr>
      <w:tr w:rsidR="00F75AE6" w:rsidRPr="00F75AE6" w:rsidTr="00F80280">
        <w:trPr>
          <w:trHeight w:val="270"/>
          <w:jc w:val="center"/>
        </w:trPr>
        <w:tc>
          <w:tcPr>
            <w:tcW w:w="6277" w:type="dxa"/>
            <w:tcBorders>
              <w:top w:val="nil"/>
              <w:left w:val="nil"/>
              <w:bottom w:val="nil"/>
              <w:right w:val="single" w:sz="8" w:space="0" w:color="FFFFFF"/>
            </w:tcBorders>
            <w:shd w:val="clear" w:color="000000" w:fill="D4C19C"/>
            <w:vAlign w:val="center"/>
            <w:hideMark/>
          </w:tcPr>
          <w:p w:rsidR="00F75AE6" w:rsidRPr="00F75AE6" w:rsidRDefault="00F75AE6" w:rsidP="00F75AE6">
            <w:pPr>
              <w:spacing w:after="0" w:line="240" w:lineRule="auto"/>
              <w:rPr>
                <w:rFonts w:ascii="Montserrat" w:eastAsia="Times New Roman" w:hAnsi="Montserrat" w:cs="Arial"/>
                <w:b/>
                <w:bCs/>
                <w:color w:val="FFFFFF"/>
                <w:sz w:val="16"/>
                <w:szCs w:val="16"/>
                <w:lang w:val="es-MX" w:eastAsia="es-MX"/>
              </w:rPr>
            </w:pPr>
            <w:r w:rsidRPr="00F75AE6">
              <w:rPr>
                <w:rFonts w:ascii="Montserrat" w:eastAsia="Times New Roman" w:hAnsi="Montserrat" w:cs="Arial"/>
                <w:b/>
                <w:bCs/>
                <w:color w:val="FFFFFF"/>
                <w:sz w:val="16"/>
                <w:szCs w:val="16"/>
                <w:lang w:val="es-MX" w:eastAsia="es-MX"/>
              </w:rPr>
              <w:t>1. Total de egresos (presupuestarios)</w:t>
            </w:r>
          </w:p>
        </w:tc>
        <w:tc>
          <w:tcPr>
            <w:tcW w:w="1412" w:type="dxa"/>
            <w:tcBorders>
              <w:top w:val="nil"/>
              <w:left w:val="nil"/>
              <w:bottom w:val="nil"/>
              <w:right w:val="single" w:sz="8" w:space="0" w:color="FFFFFF"/>
            </w:tcBorders>
            <w:shd w:val="clear" w:color="000000" w:fill="D4C19C"/>
            <w:vAlign w:val="center"/>
            <w:hideMark/>
          </w:tcPr>
          <w:p w:rsidR="00F75AE6" w:rsidRPr="00F75AE6" w:rsidRDefault="00F75AE6" w:rsidP="00F75AE6">
            <w:pPr>
              <w:spacing w:after="0" w:line="240" w:lineRule="auto"/>
              <w:jc w:val="center"/>
              <w:rPr>
                <w:rFonts w:ascii="Montserrat" w:eastAsia="Times New Roman" w:hAnsi="Montserrat" w:cs="Arial"/>
                <w:b/>
                <w:bCs/>
                <w:color w:val="FFFFFF"/>
                <w:sz w:val="16"/>
                <w:szCs w:val="16"/>
                <w:lang w:val="es-MX" w:eastAsia="es-MX"/>
              </w:rPr>
            </w:pPr>
            <w:r w:rsidRPr="00F75AE6">
              <w:rPr>
                <w:rFonts w:ascii="Montserrat" w:eastAsia="Times New Roman" w:hAnsi="Montserrat" w:cs="Arial"/>
                <w:b/>
                <w:bCs/>
                <w:color w:val="FFFFFF"/>
                <w:sz w:val="16"/>
                <w:szCs w:val="16"/>
                <w:lang w:val="es-MX" w:eastAsia="es-MX"/>
              </w:rPr>
              <w:t>15,185,937,478</w:t>
            </w:r>
          </w:p>
        </w:tc>
      </w:tr>
      <w:tr w:rsidR="00F75AE6" w:rsidRPr="00F75AE6" w:rsidTr="00F80280">
        <w:trPr>
          <w:trHeight w:val="255"/>
          <w:jc w:val="center"/>
        </w:trPr>
        <w:tc>
          <w:tcPr>
            <w:tcW w:w="6277"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rPr>
                <w:rFonts w:ascii="Montserrat" w:eastAsia="Times New Roman" w:hAnsi="Montserrat" w:cs="Arial"/>
                <w:b/>
                <w:bCs/>
                <w:color w:val="000000"/>
                <w:sz w:val="15"/>
                <w:szCs w:val="15"/>
                <w:lang w:val="es-MX" w:eastAsia="es-MX"/>
              </w:rPr>
            </w:pPr>
            <w:r w:rsidRPr="00F75AE6">
              <w:rPr>
                <w:rFonts w:ascii="Montserrat" w:eastAsia="Times New Roman" w:hAnsi="Montserrat" w:cs="Arial"/>
                <w:b/>
                <w:bCs/>
                <w:color w:val="000000"/>
                <w:sz w:val="15"/>
                <w:szCs w:val="15"/>
                <w:lang w:val="es-MX" w:eastAsia="es-MX"/>
              </w:rPr>
              <w:t>2. Menos egresos presupuestarios no contables</w:t>
            </w:r>
          </w:p>
        </w:tc>
        <w:tc>
          <w:tcPr>
            <w:tcW w:w="1412"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b/>
                <w:bCs/>
                <w:color w:val="000000"/>
                <w:sz w:val="15"/>
                <w:szCs w:val="15"/>
                <w:lang w:val="es-MX" w:eastAsia="es-MX"/>
              </w:rPr>
            </w:pPr>
            <w:r w:rsidRPr="00F75AE6">
              <w:rPr>
                <w:rFonts w:ascii="Montserrat" w:eastAsia="Times New Roman" w:hAnsi="Montserrat" w:cs="Arial"/>
                <w:b/>
                <w:bCs/>
                <w:color w:val="000000"/>
                <w:sz w:val="15"/>
                <w:szCs w:val="15"/>
                <w:lang w:val="es-MX" w:eastAsia="es-MX"/>
              </w:rPr>
              <w:t>557,486,448</w:t>
            </w:r>
          </w:p>
        </w:tc>
      </w:tr>
      <w:tr w:rsidR="00F75AE6" w:rsidRPr="00F75AE6" w:rsidTr="00F80280">
        <w:trPr>
          <w:trHeight w:val="255"/>
          <w:jc w:val="center"/>
        </w:trPr>
        <w:tc>
          <w:tcPr>
            <w:tcW w:w="6277"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Mobiliario y equipo de administración</w:t>
            </w:r>
          </w:p>
        </w:tc>
        <w:tc>
          <w:tcPr>
            <w:tcW w:w="1412"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129,903,085</w:t>
            </w:r>
          </w:p>
        </w:tc>
      </w:tr>
      <w:tr w:rsidR="00F75AE6" w:rsidRPr="00F75AE6" w:rsidTr="00F80280">
        <w:trPr>
          <w:trHeight w:val="255"/>
          <w:jc w:val="center"/>
        </w:trPr>
        <w:tc>
          <w:tcPr>
            <w:tcW w:w="6277"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Mobiliario y equipo educacional y recreativo</w:t>
            </w:r>
          </w:p>
        </w:tc>
        <w:tc>
          <w:tcPr>
            <w:tcW w:w="1412"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33,614,072</w:t>
            </w:r>
          </w:p>
        </w:tc>
      </w:tr>
      <w:tr w:rsidR="00F75AE6" w:rsidRPr="00F75AE6" w:rsidTr="00F80280">
        <w:trPr>
          <w:trHeight w:val="255"/>
          <w:jc w:val="center"/>
        </w:trPr>
        <w:tc>
          <w:tcPr>
            <w:tcW w:w="6277"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Equipo e instrumental médico y de laboratorio</w:t>
            </w:r>
          </w:p>
        </w:tc>
        <w:tc>
          <w:tcPr>
            <w:tcW w:w="1412"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80,432</w:t>
            </w:r>
          </w:p>
        </w:tc>
      </w:tr>
      <w:tr w:rsidR="00F75AE6" w:rsidRPr="00F75AE6" w:rsidTr="00F80280">
        <w:trPr>
          <w:trHeight w:val="255"/>
          <w:jc w:val="center"/>
        </w:trPr>
        <w:tc>
          <w:tcPr>
            <w:tcW w:w="6277"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Vehículos y equipo de transporte</w:t>
            </w:r>
          </w:p>
        </w:tc>
        <w:tc>
          <w:tcPr>
            <w:tcW w:w="1412"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13,436,041</w:t>
            </w:r>
          </w:p>
        </w:tc>
      </w:tr>
      <w:tr w:rsidR="00F75AE6" w:rsidRPr="00F75AE6" w:rsidTr="00F80280">
        <w:trPr>
          <w:trHeight w:val="255"/>
          <w:jc w:val="center"/>
        </w:trPr>
        <w:tc>
          <w:tcPr>
            <w:tcW w:w="6277"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Equipo de defensa y seguridad</w:t>
            </w:r>
          </w:p>
        </w:tc>
        <w:tc>
          <w:tcPr>
            <w:tcW w:w="1412"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0</w:t>
            </w:r>
          </w:p>
        </w:tc>
      </w:tr>
      <w:tr w:rsidR="00F75AE6" w:rsidRPr="00F75AE6" w:rsidTr="00F80280">
        <w:trPr>
          <w:trHeight w:val="255"/>
          <w:jc w:val="center"/>
        </w:trPr>
        <w:tc>
          <w:tcPr>
            <w:tcW w:w="6277"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Maquinaria, otros equipos y herramientas</w:t>
            </w:r>
          </w:p>
        </w:tc>
        <w:tc>
          <w:tcPr>
            <w:tcW w:w="1412"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55,202,036</w:t>
            </w:r>
          </w:p>
        </w:tc>
      </w:tr>
      <w:tr w:rsidR="00F75AE6" w:rsidRPr="00F75AE6" w:rsidTr="00F80280">
        <w:trPr>
          <w:trHeight w:val="255"/>
          <w:jc w:val="center"/>
        </w:trPr>
        <w:tc>
          <w:tcPr>
            <w:tcW w:w="6277"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Activos biológicos</w:t>
            </w:r>
          </w:p>
        </w:tc>
        <w:tc>
          <w:tcPr>
            <w:tcW w:w="1412"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0</w:t>
            </w:r>
          </w:p>
        </w:tc>
      </w:tr>
      <w:tr w:rsidR="00F75AE6" w:rsidRPr="00F75AE6" w:rsidTr="00F80280">
        <w:trPr>
          <w:trHeight w:val="255"/>
          <w:jc w:val="center"/>
        </w:trPr>
        <w:tc>
          <w:tcPr>
            <w:tcW w:w="6277"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Bienes inmuebles</w:t>
            </w:r>
          </w:p>
        </w:tc>
        <w:tc>
          <w:tcPr>
            <w:tcW w:w="1412"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5,296,469</w:t>
            </w:r>
          </w:p>
        </w:tc>
      </w:tr>
      <w:tr w:rsidR="00F75AE6" w:rsidRPr="00F75AE6" w:rsidTr="00F80280">
        <w:trPr>
          <w:trHeight w:val="255"/>
          <w:jc w:val="center"/>
        </w:trPr>
        <w:tc>
          <w:tcPr>
            <w:tcW w:w="6277"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Activos intangibles</w:t>
            </w:r>
          </w:p>
        </w:tc>
        <w:tc>
          <w:tcPr>
            <w:tcW w:w="1412"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19,046,615</w:t>
            </w:r>
          </w:p>
        </w:tc>
      </w:tr>
      <w:tr w:rsidR="00F75AE6" w:rsidRPr="00F75AE6" w:rsidTr="00F80280">
        <w:trPr>
          <w:trHeight w:val="255"/>
          <w:jc w:val="center"/>
        </w:trPr>
        <w:tc>
          <w:tcPr>
            <w:tcW w:w="6277"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Obra pública en bienes propios</w:t>
            </w:r>
          </w:p>
        </w:tc>
        <w:tc>
          <w:tcPr>
            <w:tcW w:w="1412"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293,008,127</w:t>
            </w:r>
          </w:p>
        </w:tc>
      </w:tr>
      <w:tr w:rsidR="00F75AE6" w:rsidRPr="00F75AE6" w:rsidTr="00F80280">
        <w:trPr>
          <w:trHeight w:val="255"/>
          <w:jc w:val="center"/>
        </w:trPr>
        <w:tc>
          <w:tcPr>
            <w:tcW w:w="6277"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Acciones y participaciones de capital</w:t>
            </w:r>
          </w:p>
        </w:tc>
        <w:tc>
          <w:tcPr>
            <w:tcW w:w="1412"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0</w:t>
            </w:r>
          </w:p>
        </w:tc>
      </w:tr>
      <w:tr w:rsidR="00F75AE6" w:rsidRPr="00F75AE6" w:rsidTr="00F80280">
        <w:trPr>
          <w:trHeight w:val="255"/>
          <w:jc w:val="center"/>
        </w:trPr>
        <w:tc>
          <w:tcPr>
            <w:tcW w:w="6277"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Compra de títulos y valores</w:t>
            </w:r>
          </w:p>
        </w:tc>
        <w:tc>
          <w:tcPr>
            <w:tcW w:w="1412"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0</w:t>
            </w:r>
          </w:p>
        </w:tc>
      </w:tr>
      <w:tr w:rsidR="00F75AE6" w:rsidRPr="00F75AE6" w:rsidTr="00F80280">
        <w:trPr>
          <w:trHeight w:val="255"/>
          <w:jc w:val="center"/>
        </w:trPr>
        <w:tc>
          <w:tcPr>
            <w:tcW w:w="6277"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Inversiones en fideicomisos, mandatos y otros análogos</w:t>
            </w:r>
          </w:p>
        </w:tc>
        <w:tc>
          <w:tcPr>
            <w:tcW w:w="1412"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0</w:t>
            </w:r>
          </w:p>
        </w:tc>
      </w:tr>
      <w:tr w:rsidR="00F75AE6" w:rsidRPr="00F75AE6" w:rsidTr="00F80280">
        <w:trPr>
          <w:trHeight w:val="255"/>
          <w:jc w:val="center"/>
        </w:trPr>
        <w:tc>
          <w:tcPr>
            <w:tcW w:w="6277"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Provisiones para contingencias y otras erogaciones especiales</w:t>
            </w:r>
          </w:p>
        </w:tc>
        <w:tc>
          <w:tcPr>
            <w:tcW w:w="1412"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0</w:t>
            </w:r>
          </w:p>
        </w:tc>
      </w:tr>
      <w:tr w:rsidR="00F75AE6" w:rsidRPr="00F75AE6" w:rsidTr="00F80280">
        <w:trPr>
          <w:trHeight w:val="255"/>
          <w:jc w:val="center"/>
        </w:trPr>
        <w:tc>
          <w:tcPr>
            <w:tcW w:w="6277"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Amortización de la deuda publica</w:t>
            </w:r>
          </w:p>
        </w:tc>
        <w:tc>
          <w:tcPr>
            <w:tcW w:w="1412"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0</w:t>
            </w:r>
          </w:p>
        </w:tc>
      </w:tr>
      <w:tr w:rsidR="00F75AE6" w:rsidRPr="00F75AE6" w:rsidTr="00F80280">
        <w:trPr>
          <w:trHeight w:val="255"/>
          <w:jc w:val="center"/>
        </w:trPr>
        <w:tc>
          <w:tcPr>
            <w:tcW w:w="6277"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Adeudos de ejercicios fiscales anteriores (</w:t>
            </w:r>
            <w:proofErr w:type="spellStart"/>
            <w:r w:rsidRPr="00F75AE6">
              <w:rPr>
                <w:rFonts w:ascii="Montserrat" w:eastAsia="Times New Roman" w:hAnsi="Montserrat" w:cs="Arial"/>
                <w:color w:val="000000"/>
                <w:sz w:val="15"/>
                <w:szCs w:val="15"/>
                <w:lang w:val="es-MX" w:eastAsia="es-MX"/>
              </w:rPr>
              <w:t>ADEFAS</w:t>
            </w:r>
            <w:proofErr w:type="spellEnd"/>
            <w:r w:rsidRPr="00F75AE6">
              <w:rPr>
                <w:rFonts w:ascii="Montserrat" w:eastAsia="Times New Roman" w:hAnsi="Montserrat" w:cs="Arial"/>
                <w:color w:val="000000"/>
                <w:sz w:val="15"/>
                <w:szCs w:val="15"/>
                <w:lang w:val="es-MX" w:eastAsia="es-MX"/>
              </w:rPr>
              <w:t>)</w:t>
            </w:r>
          </w:p>
        </w:tc>
        <w:tc>
          <w:tcPr>
            <w:tcW w:w="1412"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0</w:t>
            </w:r>
          </w:p>
        </w:tc>
      </w:tr>
      <w:tr w:rsidR="00F75AE6" w:rsidRPr="00F75AE6" w:rsidTr="00F80280">
        <w:trPr>
          <w:trHeight w:val="255"/>
          <w:jc w:val="center"/>
        </w:trPr>
        <w:tc>
          <w:tcPr>
            <w:tcW w:w="6277"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Otros Egresos Presupuestales No Contables</w:t>
            </w:r>
          </w:p>
        </w:tc>
        <w:tc>
          <w:tcPr>
            <w:tcW w:w="1412"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7,899,571</w:t>
            </w:r>
          </w:p>
        </w:tc>
      </w:tr>
      <w:tr w:rsidR="00F75AE6" w:rsidRPr="00F75AE6" w:rsidTr="00F80280">
        <w:trPr>
          <w:trHeight w:val="255"/>
          <w:jc w:val="center"/>
        </w:trPr>
        <w:tc>
          <w:tcPr>
            <w:tcW w:w="6277"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rPr>
                <w:rFonts w:ascii="Montserrat" w:eastAsia="Times New Roman" w:hAnsi="Montserrat" w:cs="Arial"/>
                <w:b/>
                <w:bCs/>
                <w:color w:val="000000"/>
                <w:sz w:val="15"/>
                <w:szCs w:val="15"/>
                <w:lang w:val="es-MX" w:eastAsia="es-MX"/>
              </w:rPr>
            </w:pPr>
            <w:r w:rsidRPr="00F75AE6">
              <w:rPr>
                <w:rFonts w:ascii="Montserrat" w:eastAsia="Times New Roman" w:hAnsi="Montserrat" w:cs="Arial"/>
                <w:b/>
                <w:bCs/>
                <w:color w:val="000000"/>
                <w:sz w:val="15"/>
                <w:szCs w:val="15"/>
                <w:lang w:val="es-MX" w:eastAsia="es-MX"/>
              </w:rPr>
              <w:t>3. Más gastos contables no presupuestales</w:t>
            </w:r>
          </w:p>
        </w:tc>
        <w:tc>
          <w:tcPr>
            <w:tcW w:w="1412"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b/>
                <w:bCs/>
                <w:color w:val="000000"/>
                <w:sz w:val="15"/>
                <w:szCs w:val="15"/>
                <w:lang w:val="es-MX" w:eastAsia="es-MX"/>
              </w:rPr>
            </w:pPr>
            <w:r w:rsidRPr="00F75AE6">
              <w:rPr>
                <w:rFonts w:ascii="Montserrat" w:eastAsia="Times New Roman" w:hAnsi="Montserrat" w:cs="Arial"/>
                <w:b/>
                <w:bCs/>
                <w:color w:val="000000"/>
                <w:sz w:val="15"/>
                <w:szCs w:val="15"/>
                <w:lang w:val="es-MX" w:eastAsia="es-MX"/>
              </w:rPr>
              <w:t>638,739,525</w:t>
            </w:r>
          </w:p>
        </w:tc>
      </w:tr>
      <w:tr w:rsidR="00F75AE6" w:rsidRPr="00F75AE6" w:rsidTr="00F80280">
        <w:trPr>
          <w:trHeight w:val="255"/>
          <w:jc w:val="center"/>
        </w:trPr>
        <w:tc>
          <w:tcPr>
            <w:tcW w:w="6277"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Estimaciones, depreciaciones, deterioros, obsolescencia y amortizaciones</w:t>
            </w:r>
          </w:p>
        </w:tc>
        <w:tc>
          <w:tcPr>
            <w:tcW w:w="1412"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206,147,988</w:t>
            </w:r>
          </w:p>
        </w:tc>
      </w:tr>
      <w:tr w:rsidR="00F75AE6" w:rsidRPr="00F75AE6" w:rsidTr="00F80280">
        <w:trPr>
          <w:trHeight w:val="255"/>
          <w:jc w:val="center"/>
        </w:trPr>
        <w:tc>
          <w:tcPr>
            <w:tcW w:w="6277"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Provisiones</w:t>
            </w:r>
          </w:p>
        </w:tc>
        <w:tc>
          <w:tcPr>
            <w:tcW w:w="1412"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0</w:t>
            </w:r>
          </w:p>
        </w:tc>
      </w:tr>
      <w:tr w:rsidR="00F75AE6" w:rsidRPr="00F75AE6" w:rsidTr="00F80280">
        <w:trPr>
          <w:trHeight w:val="255"/>
          <w:jc w:val="center"/>
        </w:trPr>
        <w:tc>
          <w:tcPr>
            <w:tcW w:w="6277"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Disminución de inventarios</w:t>
            </w:r>
          </w:p>
        </w:tc>
        <w:tc>
          <w:tcPr>
            <w:tcW w:w="1412"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4,358,087</w:t>
            </w:r>
          </w:p>
        </w:tc>
      </w:tr>
      <w:tr w:rsidR="00F75AE6" w:rsidRPr="00F75AE6" w:rsidTr="00F80280">
        <w:trPr>
          <w:trHeight w:val="255"/>
          <w:jc w:val="center"/>
        </w:trPr>
        <w:tc>
          <w:tcPr>
            <w:tcW w:w="6277"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Aumento por insuficiencia de estimaciones por pérdida o deterioro u obsolescencia</w:t>
            </w:r>
          </w:p>
        </w:tc>
        <w:tc>
          <w:tcPr>
            <w:tcW w:w="1412"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0</w:t>
            </w:r>
          </w:p>
        </w:tc>
      </w:tr>
      <w:tr w:rsidR="00F75AE6" w:rsidRPr="00F75AE6" w:rsidTr="00F80280">
        <w:trPr>
          <w:trHeight w:val="255"/>
          <w:jc w:val="center"/>
        </w:trPr>
        <w:tc>
          <w:tcPr>
            <w:tcW w:w="6277"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Aumento por insuficiencia de provisiones</w:t>
            </w:r>
          </w:p>
        </w:tc>
        <w:tc>
          <w:tcPr>
            <w:tcW w:w="1412"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0</w:t>
            </w:r>
          </w:p>
        </w:tc>
      </w:tr>
      <w:tr w:rsidR="00F75AE6" w:rsidRPr="00F75AE6" w:rsidTr="00F80280">
        <w:trPr>
          <w:trHeight w:val="255"/>
          <w:jc w:val="center"/>
        </w:trPr>
        <w:tc>
          <w:tcPr>
            <w:tcW w:w="6277"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Otros Gastos</w:t>
            </w:r>
          </w:p>
        </w:tc>
        <w:tc>
          <w:tcPr>
            <w:tcW w:w="1412"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0</w:t>
            </w:r>
          </w:p>
        </w:tc>
      </w:tr>
      <w:tr w:rsidR="00F75AE6" w:rsidRPr="00F75AE6" w:rsidTr="00F80280">
        <w:trPr>
          <w:trHeight w:val="270"/>
          <w:jc w:val="center"/>
        </w:trPr>
        <w:tc>
          <w:tcPr>
            <w:tcW w:w="6277" w:type="dxa"/>
            <w:tcBorders>
              <w:top w:val="nil"/>
              <w:left w:val="nil"/>
              <w:bottom w:val="nil"/>
              <w:right w:val="nil"/>
            </w:tcBorders>
            <w:shd w:val="clear" w:color="000000" w:fill="F2F2F2"/>
            <w:noWrap/>
            <w:vAlign w:val="center"/>
            <w:hideMark/>
          </w:tcPr>
          <w:p w:rsidR="00F75AE6" w:rsidRPr="00F75AE6" w:rsidRDefault="00F75AE6" w:rsidP="00F75AE6">
            <w:pPr>
              <w:spacing w:after="0" w:line="240" w:lineRule="auto"/>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Otros Gastos Contables No Presupuestales</w:t>
            </w:r>
          </w:p>
        </w:tc>
        <w:tc>
          <w:tcPr>
            <w:tcW w:w="1412" w:type="dxa"/>
            <w:tcBorders>
              <w:top w:val="nil"/>
              <w:left w:val="nil"/>
              <w:bottom w:val="nil"/>
              <w:right w:val="nil"/>
            </w:tcBorders>
            <w:shd w:val="clear" w:color="000000" w:fill="F2F2F2"/>
            <w:vAlign w:val="center"/>
            <w:hideMark/>
          </w:tcPr>
          <w:p w:rsidR="00F75AE6" w:rsidRPr="00F75AE6" w:rsidRDefault="00F75AE6" w:rsidP="00F75AE6">
            <w:pPr>
              <w:spacing w:after="0" w:line="240" w:lineRule="auto"/>
              <w:jc w:val="right"/>
              <w:rPr>
                <w:rFonts w:ascii="Montserrat" w:eastAsia="Times New Roman" w:hAnsi="Montserrat" w:cs="Arial"/>
                <w:color w:val="000000"/>
                <w:sz w:val="15"/>
                <w:szCs w:val="15"/>
                <w:lang w:val="es-MX" w:eastAsia="es-MX"/>
              </w:rPr>
            </w:pPr>
            <w:r w:rsidRPr="00F75AE6">
              <w:rPr>
                <w:rFonts w:ascii="Montserrat" w:eastAsia="Times New Roman" w:hAnsi="Montserrat" w:cs="Arial"/>
                <w:color w:val="000000"/>
                <w:sz w:val="15"/>
                <w:szCs w:val="15"/>
                <w:lang w:val="es-MX" w:eastAsia="es-MX"/>
              </w:rPr>
              <w:t>428,233,450</w:t>
            </w:r>
          </w:p>
        </w:tc>
      </w:tr>
      <w:tr w:rsidR="00F75AE6" w:rsidRPr="00F75AE6" w:rsidTr="00F80280">
        <w:trPr>
          <w:trHeight w:val="270"/>
          <w:jc w:val="center"/>
        </w:trPr>
        <w:tc>
          <w:tcPr>
            <w:tcW w:w="6277" w:type="dxa"/>
            <w:tcBorders>
              <w:top w:val="single" w:sz="8" w:space="0" w:color="BFBFBF"/>
              <w:left w:val="single" w:sz="8" w:space="0" w:color="BFBFBF"/>
              <w:bottom w:val="single" w:sz="8" w:space="0" w:color="BFBFBF"/>
              <w:right w:val="single" w:sz="8" w:space="0" w:color="BFBFBF"/>
            </w:tcBorders>
            <w:shd w:val="clear" w:color="000000" w:fill="D4C19C"/>
            <w:vAlign w:val="center"/>
            <w:hideMark/>
          </w:tcPr>
          <w:p w:rsidR="00F75AE6" w:rsidRPr="00F75AE6" w:rsidRDefault="00F75AE6" w:rsidP="00F75AE6">
            <w:pPr>
              <w:spacing w:after="0" w:line="240" w:lineRule="auto"/>
              <w:rPr>
                <w:rFonts w:ascii="Soberana Sans Light" w:eastAsia="Times New Roman" w:hAnsi="Soberana Sans Light" w:cs="Arial"/>
                <w:b/>
                <w:bCs/>
                <w:color w:val="FFFFFF"/>
                <w:sz w:val="16"/>
                <w:szCs w:val="16"/>
                <w:lang w:val="es-MX" w:eastAsia="es-MX"/>
              </w:rPr>
            </w:pPr>
            <w:r w:rsidRPr="00F75AE6">
              <w:rPr>
                <w:rFonts w:ascii="Soberana Sans Light" w:eastAsia="Times New Roman" w:hAnsi="Soberana Sans Light" w:cs="Arial"/>
                <w:b/>
                <w:bCs/>
                <w:color w:val="FFFFFF"/>
                <w:sz w:val="16"/>
                <w:szCs w:val="16"/>
                <w:lang w:val="es-MX" w:eastAsia="es-MX"/>
              </w:rPr>
              <w:t>4. Total de Gasto Contable (4 = 1 - 2 + 3)</w:t>
            </w:r>
          </w:p>
        </w:tc>
        <w:tc>
          <w:tcPr>
            <w:tcW w:w="1412" w:type="dxa"/>
            <w:tcBorders>
              <w:top w:val="single" w:sz="8" w:space="0" w:color="BFBFBF"/>
              <w:left w:val="nil"/>
              <w:bottom w:val="single" w:sz="8" w:space="0" w:color="BFBFBF"/>
              <w:right w:val="single" w:sz="8" w:space="0" w:color="BFBFBF"/>
            </w:tcBorders>
            <w:shd w:val="clear" w:color="000000" w:fill="D4C19C"/>
            <w:vAlign w:val="center"/>
            <w:hideMark/>
          </w:tcPr>
          <w:p w:rsidR="00F75AE6" w:rsidRPr="00F75AE6" w:rsidRDefault="00F75AE6" w:rsidP="00F75AE6">
            <w:pPr>
              <w:spacing w:after="0" w:line="240" w:lineRule="auto"/>
              <w:jc w:val="right"/>
              <w:rPr>
                <w:rFonts w:ascii="Soberana Sans Light" w:eastAsia="Times New Roman" w:hAnsi="Soberana Sans Light" w:cs="Arial"/>
                <w:b/>
                <w:bCs/>
                <w:color w:val="FFFFFF"/>
                <w:sz w:val="16"/>
                <w:szCs w:val="16"/>
                <w:lang w:val="es-MX" w:eastAsia="es-MX"/>
              </w:rPr>
            </w:pPr>
            <w:r w:rsidRPr="00F75AE6">
              <w:rPr>
                <w:rFonts w:ascii="Soberana Sans Light" w:eastAsia="Times New Roman" w:hAnsi="Soberana Sans Light" w:cs="Arial"/>
                <w:b/>
                <w:bCs/>
                <w:color w:val="FFFFFF"/>
                <w:sz w:val="16"/>
                <w:szCs w:val="16"/>
                <w:lang w:val="es-MX" w:eastAsia="es-MX"/>
              </w:rPr>
              <w:t>15,267,190,555</w:t>
            </w:r>
          </w:p>
        </w:tc>
      </w:tr>
      <w:tr w:rsidR="00F75AE6" w:rsidRPr="00F75AE6" w:rsidTr="00F80280">
        <w:trPr>
          <w:trHeight w:val="270"/>
          <w:jc w:val="center"/>
        </w:trPr>
        <w:tc>
          <w:tcPr>
            <w:tcW w:w="6277" w:type="dxa"/>
            <w:tcBorders>
              <w:top w:val="single" w:sz="12" w:space="0" w:color="808080"/>
              <w:left w:val="nil"/>
              <w:bottom w:val="nil"/>
              <w:right w:val="nil"/>
            </w:tcBorders>
            <w:shd w:val="clear" w:color="auto" w:fill="auto"/>
            <w:noWrap/>
            <w:vAlign w:val="center"/>
          </w:tcPr>
          <w:p w:rsidR="00F75AE6" w:rsidRPr="00F75AE6" w:rsidRDefault="00F75AE6" w:rsidP="00F75AE6">
            <w:pPr>
              <w:spacing w:after="0" w:line="240" w:lineRule="auto"/>
              <w:jc w:val="right"/>
              <w:rPr>
                <w:rFonts w:ascii="Soberana Sans Light" w:eastAsia="Times New Roman" w:hAnsi="Soberana Sans Light" w:cs="Arial"/>
                <w:b/>
                <w:bCs/>
                <w:color w:val="E26B0A"/>
                <w:sz w:val="16"/>
                <w:szCs w:val="16"/>
                <w:lang w:val="es-MX" w:eastAsia="es-MX"/>
              </w:rPr>
            </w:pPr>
          </w:p>
        </w:tc>
        <w:tc>
          <w:tcPr>
            <w:tcW w:w="1412" w:type="dxa"/>
            <w:tcBorders>
              <w:top w:val="single" w:sz="12" w:space="0" w:color="808080"/>
              <w:left w:val="nil"/>
              <w:bottom w:val="nil"/>
              <w:right w:val="nil"/>
            </w:tcBorders>
            <w:shd w:val="clear" w:color="auto" w:fill="auto"/>
            <w:noWrap/>
            <w:vAlign w:val="center"/>
          </w:tcPr>
          <w:p w:rsidR="00F75AE6" w:rsidRPr="00F75AE6" w:rsidRDefault="00F75AE6" w:rsidP="00F75AE6">
            <w:pPr>
              <w:spacing w:after="0" w:line="240" w:lineRule="auto"/>
              <w:jc w:val="right"/>
              <w:rPr>
                <w:rFonts w:ascii="Soberana Sans Light" w:eastAsia="Times New Roman" w:hAnsi="Soberana Sans Light" w:cs="Arial"/>
                <w:b/>
                <w:bCs/>
                <w:color w:val="E26B0A"/>
                <w:sz w:val="16"/>
                <w:szCs w:val="16"/>
                <w:lang w:val="es-MX" w:eastAsia="es-MX"/>
              </w:rPr>
            </w:pPr>
          </w:p>
        </w:tc>
      </w:tr>
    </w:tbl>
    <w:p w:rsidR="00297378" w:rsidRPr="00F80280" w:rsidRDefault="00297378" w:rsidP="00B52D8A">
      <w:pPr>
        <w:pStyle w:val="TEXTONORMAL"/>
      </w:pPr>
      <w:r w:rsidRPr="00F80280">
        <w:t xml:space="preserve">Respecto de </w:t>
      </w:r>
      <w:r w:rsidR="00B52D8A">
        <w:t xml:space="preserve">los egresos presupuestarios no contables y los gastos contables no presupuestarios </w:t>
      </w:r>
      <w:r w:rsidRPr="00F80280">
        <w:t>de los entes públicos del Poder Legislativo, su integración puede ser consultada en el respectivo apartado de cada ente público.</w:t>
      </w:r>
    </w:p>
    <w:p w:rsidR="00297378" w:rsidRPr="00A80DC6" w:rsidRDefault="00297378" w:rsidP="00297378">
      <w:pPr>
        <w:pStyle w:val="TEXTONORMAL"/>
        <w:rPr>
          <w:b/>
          <w:caps/>
          <w:sz w:val="22"/>
          <w:lang w:val="es-MX"/>
        </w:rPr>
      </w:pPr>
      <w:r w:rsidRPr="00A80DC6">
        <w:rPr>
          <w:b/>
          <w:caps/>
          <w:sz w:val="22"/>
          <w:lang w:val="es-MX"/>
        </w:rPr>
        <w:lastRenderedPageBreak/>
        <w:t>Notas de Memoria:</w:t>
      </w:r>
    </w:p>
    <w:p w:rsidR="00297378" w:rsidRDefault="00297378" w:rsidP="00297378">
      <w:pPr>
        <w:pStyle w:val="TEXTONORMAL"/>
      </w:pPr>
      <w:r>
        <w:t>Las notas de memoria del Poder Legislativo son producto de las notas de cada ente público que lo conforma, mismas que pueden ser consultadas en el respectivo apartado de cada ente público.</w:t>
      </w:r>
    </w:p>
    <w:p w:rsidR="00297378" w:rsidRDefault="00297378" w:rsidP="00297378">
      <w:pPr>
        <w:pStyle w:val="TEXTONORMAL"/>
      </w:pPr>
    </w:p>
    <w:p w:rsidR="00297378" w:rsidRDefault="00297378" w:rsidP="00297378">
      <w:pPr>
        <w:pStyle w:val="TEXTONORMAL"/>
        <w:rPr>
          <w:b/>
          <w:caps/>
          <w:sz w:val="22"/>
          <w:lang w:val="es-MX"/>
        </w:rPr>
      </w:pPr>
      <w:r w:rsidRPr="00A80DC6">
        <w:rPr>
          <w:b/>
          <w:caps/>
          <w:sz w:val="22"/>
          <w:lang w:val="es-MX"/>
        </w:rPr>
        <w:t>Notas de Gestión Administrativa:</w:t>
      </w:r>
    </w:p>
    <w:p w:rsidR="00A80DC6" w:rsidRPr="00A80DC6" w:rsidRDefault="00A80DC6" w:rsidP="00297378">
      <w:pPr>
        <w:pStyle w:val="TEXTONORMAL"/>
        <w:rPr>
          <w:b/>
          <w:caps/>
          <w:sz w:val="22"/>
          <w:lang w:val="es-MX"/>
        </w:rPr>
      </w:pPr>
    </w:p>
    <w:p w:rsidR="00297378" w:rsidRPr="00A80DC6" w:rsidRDefault="002C6D54" w:rsidP="00297378">
      <w:pPr>
        <w:pStyle w:val="TEXTONORMAL"/>
        <w:rPr>
          <w:b/>
        </w:rPr>
      </w:pPr>
      <w:r w:rsidRPr="00A80DC6">
        <w:rPr>
          <w:b/>
        </w:rPr>
        <w:t>INTRODUCCIÓN</w:t>
      </w:r>
    </w:p>
    <w:p w:rsidR="00297378" w:rsidRDefault="00297378" w:rsidP="00297378">
      <w:pPr>
        <w:pStyle w:val="TEXTONORMAL"/>
      </w:pPr>
      <w:r>
        <w:t>Las notas de gestión administrativa del Poder Legislativo están integradas con la información de la Cámara de Diputados, la Cámara de Senadores y la Auditoría Superior de la Federación.</w:t>
      </w:r>
    </w:p>
    <w:p w:rsidR="00297378" w:rsidRDefault="00297378" w:rsidP="00297378">
      <w:pPr>
        <w:pStyle w:val="TEXTONORMAL"/>
      </w:pPr>
    </w:p>
    <w:p w:rsidR="00297378" w:rsidRDefault="002C6D54" w:rsidP="00297378">
      <w:pPr>
        <w:pStyle w:val="TEXTONORMAL"/>
        <w:rPr>
          <w:b/>
        </w:rPr>
      </w:pPr>
      <w:r w:rsidRPr="00A80DC6">
        <w:rPr>
          <w:b/>
        </w:rPr>
        <w:t>BASES DE PREPARACIÓN DE LOS ESTADOS FINANCIEROS</w:t>
      </w:r>
    </w:p>
    <w:p w:rsidR="004F1C8D" w:rsidRPr="004F1C8D" w:rsidRDefault="004F1C8D" w:rsidP="00297378">
      <w:pPr>
        <w:pStyle w:val="TEXTONORMAL"/>
      </w:pPr>
      <w:r w:rsidRPr="004F1C8D">
        <w:t>Atendiendo a lo dispuesto por el Acuerdo por el que se armoniza la estructura de las cuentas públicas, la información del Poder Legislativo se integra a su vez por los estados financieros y demás información presupuestaria, programática y contable que presentan la Cámara de Diputados, la Cámara de Senadores y la Auditoría Superior de la Federación.</w:t>
      </w:r>
    </w:p>
    <w:p w:rsidR="00297378" w:rsidRDefault="00297378" w:rsidP="00297378">
      <w:pPr>
        <w:pStyle w:val="TEXTONORMAL"/>
      </w:pPr>
      <w:r>
        <w:t>Con fundamento en el artículo 17 de la Ley General de Contabilidad Gubernamental (</w:t>
      </w:r>
      <w:proofErr w:type="spellStart"/>
      <w:r>
        <w:t>LGCG</w:t>
      </w:r>
      <w:proofErr w:type="spellEnd"/>
      <w:r>
        <w:t xml:space="preserve">), cada ente público del Poder Legislativo (Cámara de Diputados, Cámara de Senadores y Auditoría Superior de la Federación) es responsable de su contabilidad, de la operación del sistema; así como del cumplimiento de lo dispuesto en la </w:t>
      </w:r>
      <w:proofErr w:type="spellStart"/>
      <w:r>
        <w:t>LGCG</w:t>
      </w:r>
      <w:proofErr w:type="spellEnd"/>
      <w:r>
        <w:t xml:space="preserve"> y las </w:t>
      </w:r>
      <w:r w:rsidR="00AB077E">
        <w:t>disposiciones</w:t>
      </w:r>
      <w:r>
        <w:t xml:space="preserve"> que emita el Consejo Nacional de Armonización Contable.</w:t>
      </w:r>
    </w:p>
    <w:p w:rsidR="00A80DC6" w:rsidRDefault="00A80DC6" w:rsidP="00297378">
      <w:pPr>
        <w:pStyle w:val="TEXTONORMAL"/>
      </w:pPr>
    </w:p>
    <w:p w:rsidR="00297378" w:rsidRPr="00A80DC6" w:rsidRDefault="002C6D54" w:rsidP="00297378">
      <w:pPr>
        <w:pStyle w:val="TEXTONORMAL"/>
        <w:rPr>
          <w:b/>
        </w:rPr>
      </w:pPr>
      <w:r w:rsidRPr="00A80DC6">
        <w:rPr>
          <w:b/>
        </w:rPr>
        <w:t>POLÍTICAS DE CONTABILIDAD SIGNIFICATIVAS</w:t>
      </w:r>
    </w:p>
    <w:p w:rsidR="00A12E78" w:rsidRDefault="00A12E78" w:rsidP="00A12E78">
      <w:pPr>
        <w:pStyle w:val="VIETAFLECHA"/>
      </w:pPr>
      <w:r w:rsidRPr="00C50E99">
        <w:t>La Cámara de Diputados informa lo siguiente:</w:t>
      </w:r>
    </w:p>
    <w:p w:rsidR="00AB077E" w:rsidRDefault="00AB077E" w:rsidP="002C6D54">
      <w:pPr>
        <w:pStyle w:val="TEXTONORMAL"/>
      </w:pPr>
      <w:r>
        <w:t xml:space="preserve">Los estados financieros muestran la información suficiente para revelar los resultados y la situación financiera, sustentada en la contabilización de cada una de las transacciones con base en la documentación comprobatoria y justificativa que las respalda, cumpliendo con las características cualitativas que se requiere. </w:t>
      </w:r>
    </w:p>
    <w:p w:rsidR="00AB077E" w:rsidRDefault="00AB077E" w:rsidP="002C6D54">
      <w:pPr>
        <w:pStyle w:val="TEXTONORMAL"/>
      </w:pPr>
      <w:r>
        <w:t>Las operaciones son registradas sobre la base del costo de adquisición o histórico y se aplican al momento en que se conocen y son reconocidas contablemente.</w:t>
      </w:r>
    </w:p>
    <w:p w:rsidR="00AB077E" w:rsidRDefault="00AB077E" w:rsidP="002C6D54">
      <w:pPr>
        <w:pStyle w:val="TEXTONORMAL"/>
      </w:pPr>
      <w:r>
        <w:t>El método de valuación utilizado en la cuenta Almacén de Materiales y Suministros de Consumo, es primeras entradas primeras salidas (</w:t>
      </w:r>
      <w:proofErr w:type="spellStart"/>
      <w:r>
        <w:t>PEPS</w:t>
      </w:r>
      <w:proofErr w:type="spellEnd"/>
      <w:r>
        <w:t>), el cual propicia que los saldos de las existencias al finalizar cada periodo, queden valuadas prácticamente a los últimos costos de adquisición.</w:t>
      </w:r>
    </w:p>
    <w:p w:rsidR="00A12E78" w:rsidRDefault="00AB077E" w:rsidP="002C6D54">
      <w:pPr>
        <w:pStyle w:val="TEXTONORMAL"/>
      </w:pPr>
      <w:r>
        <w:t>Las indemnizaciones al personal que resultan por laudos emitidos por la autoridad competente, se registran contable y presupuestalmente al momento de conocerse como parte de los gastos de funcionamiento.</w:t>
      </w:r>
    </w:p>
    <w:p w:rsidR="002C6D54" w:rsidRDefault="002C6D54" w:rsidP="002C6D54">
      <w:pPr>
        <w:pStyle w:val="TEXTONORMAL"/>
      </w:pPr>
    </w:p>
    <w:p w:rsidR="00A12E78" w:rsidRDefault="00A12E78" w:rsidP="00A12E78">
      <w:pPr>
        <w:pStyle w:val="VIETAFLECHA"/>
      </w:pPr>
      <w:r w:rsidRPr="00C50E99">
        <w:lastRenderedPageBreak/>
        <w:t>La Cámara de Senadores informa lo siguiente:</w:t>
      </w:r>
    </w:p>
    <w:p w:rsidR="002C6D54" w:rsidRPr="002C6D54" w:rsidRDefault="002C6D54" w:rsidP="002C6D54">
      <w:pPr>
        <w:pStyle w:val="TEXTONORMAL"/>
      </w:pPr>
    </w:p>
    <w:p w:rsidR="00AB077E" w:rsidRPr="00CC6139" w:rsidRDefault="00AB077E" w:rsidP="00AB077E">
      <w:pPr>
        <w:pStyle w:val="Prrafodelista"/>
        <w:numPr>
          <w:ilvl w:val="0"/>
          <w:numId w:val="18"/>
        </w:numPr>
        <w:tabs>
          <w:tab w:val="left" w:pos="1134"/>
        </w:tabs>
        <w:autoSpaceDE w:val="0"/>
        <w:autoSpaceDN w:val="0"/>
        <w:adjustRightInd w:val="0"/>
        <w:spacing w:before="80" w:after="0" w:line="250" w:lineRule="exact"/>
        <w:contextualSpacing w:val="0"/>
        <w:jc w:val="both"/>
        <w:rPr>
          <w:rFonts w:ascii="Montserrat" w:hAnsi="Montserrat"/>
          <w:sz w:val="18"/>
          <w:szCs w:val="18"/>
        </w:rPr>
      </w:pPr>
      <w:r w:rsidRPr="00CC6139">
        <w:rPr>
          <w:rFonts w:ascii="Montserrat" w:hAnsi="Montserrat"/>
          <w:sz w:val="18"/>
          <w:szCs w:val="18"/>
        </w:rPr>
        <w:t>Actualización</w:t>
      </w:r>
    </w:p>
    <w:p w:rsidR="00AB077E" w:rsidRPr="00CC6139" w:rsidRDefault="00AB077E" w:rsidP="002C6D54">
      <w:pPr>
        <w:autoSpaceDE w:val="0"/>
        <w:autoSpaceDN w:val="0"/>
        <w:adjustRightInd w:val="0"/>
        <w:spacing w:before="80" w:line="250" w:lineRule="exact"/>
        <w:jc w:val="both"/>
        <w:rPr>
          <w:rFonts w:ascii="Montserrat" w:hAnsi="Montserrat"/>
          <w:sz w:val="18"/>
          <w:szCs w:val="18"/>
        </w:rPr>
      </w:pPr>
      <w:r w:rsidRPr="00CC6139">
        <w:rPr>
          <w:rFonts w:ascii="Montserrat" w:hAnsi="Montserrat"/>
          <w:sz w:val="18"/>
          <w:szCs w:val="18"/>
        </w:rPr>
        <w:t>Se aplicarán las normas de depreciación y/o actualización de activos y se mostrarán al cierre de cada trimestre, como ya se ha comentado en el cuerpo de las presentes notas.</w:t>
      </w:r>
    </w:p>
    <w:p w:rsidR="00AB077E" w:rsidRPr="00CC6139" w:rsidRDefault="00AB077E" w:rsidP="002C6D54">
      <w:pPr>
        <w:autoSpaceDE w:val="0"/>
        <w:autoSpaceDN w:val="0"/>
        <w:adjustRightInd w:val="0"/>
        <w:spacing w:before="80" w:line="250" w:lineRule="exact"/>
        <w:jc w:val="both"/>
        <w:rPr>
          <w:rFonts w:ascii="Montserrat" w:hAnsi="Montserrat"/>
          <w:sz w:val="18"/>
          <w:szCs w:val="18"/>
        </w:rPr>
      </w:pPr>
      <w:r w:rsidRPr="00CC6139">
        <w:rPr>
          <w:rFonts w:ascii="Montserrat" w:hAnsi="Montserrat"/>
          <w:sz w:val="18"/>
          <w:szCs w:val="18"/>
        </w:rPr>
        <w:t>Respecto a la actualización de la Hacienda Pública/Patrimonio, atendiendo a la Norma Internacional de Contabilidad del Sector Público (</w:t>
      </w:r>
      <w:proofErr w:type="spellStart"/>
      <w:r w:rsidRPr="00CC6139">
        <w:rPr>
          <w:rFonts w:ascii="Montserrat" w:hAnsi="Montserrat"/>
          <w:sz w:val="18"/>
          <w:szCs w:val="18"/>
        </w:rPr>
        <w:t>NICS</w:t>
      </w:r>
      <w:proofErr w:type="spellEnd"/>
      <w:r w:rsidRPr="00CC6139">
        <w:rPr>
          <w:rFonts w:ascii="Montserrat" w:hAnsi="Montserrat"/>
          <w:sz w:val="18"/>
          <w:szCs w:val="18"/>
        </w:rPr>
        <w:t xml:space="preserve"> 10- Información financiera de Economías Hiperinflacionarias), se deberá actualizar el patrimonio cuando el índice de Precios al Consumidor acumulada durante el período de tres años sea igual o superior al 100%.</w:t>
      </w:r>
    </w:p>
    <w:p w:rsidR="00AB077E" w:rsidRPr="00CC6139" w:rsidRDefault="00AB077E" w:rsidP="00AB077E">
      <w:pPr>
        <w:pStyle w:val="Prrafodelista"/>
        <w:numPr>
          <w:ilvl w:val="0"/>
          <w:numId w:val="18"/>
        </w:numPr>
        <w:tabs>
          <w:tab w:val="left" w:pos="1134"/>
        </w:tabs>
        <w:autoSpaceDE w:val="0"/>
        <w:autoSpaceDN w:val="0"/>
        <w:adjustRightInd w:val="0"/>
        <w:spacing w:before="80" w:after="0" w:line="250" w:lineRule="exact"/>
        <w:contextualSpacing w:val="0"/>
        <w:jc w:val="both"/>
        <w:rPr>
          <w:rFonts w:ascii="Montserrat" w:hAnsi="Montserrat"/>
          <w:sz w:val="18"/>
          <w:szCs w:val="18"/>
        </w:rPr>
      </w:pPr>
      <w:r w:rsidRPr="00CC6139">
        <w:rPr>
          <w:rFonts w:ascii="Montserrat" w:hAnsi="Montserrat"/>
          <w:sz w:val="18"/>
          <w:szCs w:val="18"/>
        </w:rPr>
        <w:t>Saldos en Moneda Extranjera</w:t>
      </w:r>
    </w:p>
    <w:p w:rsidR="00AB077E" w:rsidRDefault="00AB077E" w:rsidP="002C6D54">
      <w:pPr>
        <w:autoSpaceDE w:val="0"/>
        <w:autoSpaceDN w:val="0"/>
        <w:adjustRightInd w:val="0"/>
        <w:spacing w:before="80" w:line="250" w:lineRule="exact"/>
        <w:jc w:val="both"/>
        <w:rPr>
          <w:rFonts w:ascii="Montserrat" w:hAnsi="Montserrat"/>
          <w:sz w:val="18"/>
          <w:szCs w:val="18"/>
        </w:rPr>
      </w:pPr>
      <w:r w:rsidRPr="00CC6139">
        <w:rPr>
          <w:rFonts w:ascii="Montserrat" w:hAnsi="Montserrat"/>
          <w:sz w:val="18"/>
          <w:szCs w:val="18"/>
        </w:rPr>
        <w:t>Se valúa las existencias en moneda extranjera al cierre de cada mes, con el tipo de cambio publicado por el Banco de México en el Diario Oficial de la Federación, correspondiente al último día del mes por el que se presentan los estados financieros, excepto en el cierre del ejercicio, en que la valuación se efectuará a los tipos de cambio que determine la Secretaría de Hacienda y Crédito Público para dicho efecto.</w:t>
      </w:r>
    </w:p>
    <w:p w:rsidR="00AB077E" w:rsidRPr="00AB077E" w:rsidRDefault="00AB077E" w:rsidP="00AB077E">
      <w:pPr>
        <w:pStyle w:val="Prrafodelista"/>
        <w:numPr>
          <w:ilvl w:val="0"/>
          <w:numId w:val="18"/>
        </w:numPr>
        <w:tabs>
          <w:tab w:val="left" w:pos="1134"/>
        </w:tabs>
        <w:autoSpaceDE w:val="0"/>
        <w:autoSpaceDN w:val="0"/>
        <w:adjustRightInd w:val="0"/>
        <w:spacing w:before="80" w:after="0" w:line="250" w:lineRule="exact"/>
        <w:contextualSpacing w:val="0"/>
        <w:jc w:val="both"/>
        <w:rPr>
          <w:rFonts w:ascii="Montserrat" w:hAnsi="Montserrat"/>
          <w:sz w:val="18"/>
          <w:szCs w:val="18"/>
        </w:rPr>
      </w:pPr>
      <w:r w:rsidRPr="00AB077E">
        <w:rPr>
          <w:rFonts w:ascii="Montserrat" w:hAnsi="Montserrat"/>
          <w:sz w:val="18"/>
          <w:szCs w:val="18"/>
        </w:rPr>
        <w:t>Provisiones laborales</w:t>
      </w:r>
    </w:p>
    <w:p w:rsidR="00AB077E" w:rsidRPr="004A3A43" w:rsidRDefault="00AB077E" w:rsidP="002C6D54">
      <w:pPr>
        <w:autoSpaceDE w:val="0"/>
        <w:autoSpaceDN w:val="0"/>
        <w:adjustRightInd w:val="0"/>
        <w:spacing w:before="80" w:line="250" w:lineRule="exact"/>
        <w:jc w:val="both"/>
        <w:rPr>
          <w:rFonts w:ascii="Montserrat" w:hAnsi="Montserrat"/>
          <w:sz w:val="18"/>
          <w:szCs w:val="18"/>
        </w:rPr>
      </w:pPr>
      <w:r w:rsidRPr="004A3A43">
        <w:rPr>
          <w:rFonts w:ascii="Montserrat" w:hAnsi="Montserrat"/>
          <w:sz w:val="18"/>
          <w:szCs w:val="18"/>
        </w:rPr>
        <w:t>Cada mes se provisionan pasivos por concepto de aguinaldo y estímulo de fin de año, a pagarse en el mes de diciembre.</w:t>
      </w:r>
    </w:p>
    <w:p w:rsidR="00AB077E" w:rsidRPr="004A3A43" w:rsidRDefault="00AB077E" w:rsidP="002C6D54">
      <w:pPr>
        <w:autoSpaceDE w:val="0"/>
        <w:autoSpaceDN w:val="0"/>
        <w:adjustRightInd w:val="0"/>
        <w:spacing w:before="80" w:line="250" w:lineRule="exact"/>
        <w:jc w:val="both"/>
        <w:rPr>
          <w:rFonts w:ascii="Montserrat" w:hAnsi="Montserrat"/>
          <w:sz w:val="18"/>
          <w:szCs w:val="18"/>
        </w:rPr>
      </w:pPr>
      <w:r w:rsidRPr="004A3A43">
        <w:rPr>
          <w:rFonts w:ascii="Montserrat" w:hAnsi="Montserrat"/>
          <w:sz w:val="18"/>
          <w:szCs w:val="18"/>
        </w:rPr>
        <w:t xml:space="preserve">No se reconocen pasivos laborales debido a que el gasto que se genere por liquidaciones de personal de la Cámara, se aplica contra el presupuesto autorizado del ejercicio en el que ocurran.      </w:t>
      </w:r>
    </w:p>
    <w:p w:rsidR="00AB077E" w:rsidRPr="00AB077E" w:rsidRDefault="00AB077E" w:rsidP="00AB077E">
      <w:pPr>
        <w:pStyle w:val="Prrafodelista"/>
        <w:numPr>
          <w:ilvl w:val="0"/>
          <w:numId w:val="18"/>
        </w:numPr>
        <w:tabs>
          <w:tab w:val="left" w:pos="1134"/>
        </w:tabs>
        <w:autoSpaceDE w:val="0"/>
        <w:autoSpaceDN w:val="0"/>
        <w:adjustRightInd w:val="0"/>
        <w:spacing w:before="80" w:after="0" w:line="250" w:lineRule="exact"/>
        <w:contextualSpacing w:val="0"/>
        <w:jc w:val="both"/>
        <w:rPr>
          <w:rFonts w:ascii="Montserrat" w:hAnsi="Montserrat"/>
          <w:sz w:val="18"/>
          <w:szCs w:val="18"/>
        </w:rPr>
      </w:pPr>
      <w:r w:rsidRPr="00AB077E">
        <w:rPr>
          <w:rFonts w:ascii="Montserrat" w:hAnsi="Montserrat"/>
          <w:sz w:val="18"/>
          <w:szCs w:val="18"/>
        </w:rPr>
        <w:t>Inversiones temporales</w:t>
      </w:r>
    </w:p>
    <w:p w:rsidR="00AB077E" w:rsidRDefault="00AB077E" w:rsidP="002C6D54">
      <w:pPr>
        <w:autoSpaceDE w:val="0"/>
        <w:autoSpaceDN w:val="0"/>
        <w:adjustRightInd w:val="0"/>
        <w:spacing w:before="80" w:line="250" w:lineRule="exact"/>
        <w:jc w:val="both"/>
        <w:rPr>
          <w:rFonts w:ascii="Montserrat" w:hAnsi="Montserrat"/>
          <w:sz w:val="18"/>
          <w:szCs w:val="18"/>
        </w:rPr>
      </w:pPr>
      <w:r w:rsidRPr="004A3A43">
        <w:rPr>
          <w:rFonts w:ascii="Montserrat" w:hAnsi="Montserrat"/>
          <w:sz w:val="18"/>
          <w:szCs w:val="18"/>
        </w:rPr>
        <w:t>Se realizan inversiones aplicando temporalmente los recursos disponibles en cuentas productivas que generen rendimientos financieros. A plazo fijo o variables y consideraron las tasas más altas que se ofrezcan en el mercado.</w:t>
      </w:r>
    </w:p>
    <w:p w:rsidR="00AB077E" w:rsidRPr="00AB077E" w:rsidRDefault="00AB077E" w:rsidP="00AB077E">
      <w:pPr>
        <w:pStyle w:val="Prrafodelista"/>
        <w:numPr>
          <w:ilvl w:val="0"/>
          <w:numId w:val="18"/>
        </w:numPr>
        <w:tabs>
          <w:tab w:val="left" w:pos="1134"/>
        </w:tabs>
        <w:autoSpaceDE w:val="0"/>
        <w:autoSpaceDN w:val="0"/>
        <w:adjustRightInd w:val="0"/>
        <w:spacing w:before="80" w:after="0" w:line="250" w:lineRule="exact"/>
        <w:contextualSpacing w:val="0"/>
        <w:jc w:val="both"/>
        <w:rPr>
          <w:rFonts w:ascii="Montserrat" w:hAnsi="Montserrat"/>
          <w:sz w:val="18"/>
          <w:szCs w:val="18"/>
        </w:rPr>
      </w:pPr>
      <w:r w:rsidRPr="00AB077E">
        <w:rPr>
          <w:rFonts w:ascii="Montserrat" w:hAnsi="Montserrat"/>
          <w:sz w:val="18"/>
          <w:szCs w:val="18"/>
        </w:rPr>
        <w:t>Depuración y cancelación e saldos</w:t>
      </w:r>
    </w:p>
    <w:p w:rsidR="00AB077E" w:rsidRDefault="00AB077E" w:rsidP="002C6D54">
      <w:pPr>
        <w:autoSpaceDE w:val="0"/>
        <w:autoSpaceDN w:val="0"/>
        <w:adjustRightInd w:val="0"/>
        <w:spacing w:before="80" w:line="250" w:lineRule="exact"/>
        <w:jc w:val="both"/>
        <w:rPr>
          <w:rFonts w:ascii="Montserrat" w:hAnsi="Montserrat"/>
          <w:sz w:val="18"/>
          <w:szCs w:val="18"/>
        </w:rPr>
      </w:pPr>
      <w:r w:rsidRPr="004A3A43">
        <w:rPr>
          <w:rFonts w:ascii="Montserrat" w:hAnsi="Montserrat"/>
          <w:sz w:val="18"/>
          <w:szCs w:val="18"/>
        </w:rPr>
        <w:t>Con el propósito que la información financiera de la Cámara de Senadores muestre razonablemente los sa</w:t>
      </w:r>
      <w:r w:rsidR="002C6D54">
        <w:rPr>
          <w:rFonts w:ascii="Montserrat" w:hAnsi="Montserrat"/>
          <w:sz w:val="18"/>
          <w:szCs w:val="18"/>
        </w:rPr>
        <w:t xml:space="preserve">ldos de sus cuentas, el Sistema </w:t>
      </w:r>
      <w:r w:rsidRPr="004A3A43">
        <w:rPr>
          <w:rFonts w:ascii="Montserrat" w:hAnsi="Montserrat"/>
          <w:sz w:val="18"/>
          <w:szCs w:val="18"/>
        </w:rPr>
        <w:t xml:space="preserve">de Contabilidad cuenta con la norma para la “Depuración y Cancelación de Saldos”, que indica el proceso a realizar cuando se determine que no existe un cierto grado de </w:t>
      </w:r>
      <w:proofErr w:type="spellStart"/>
      <w:r w:rsidRPr="004A3A43">
        <w:rPr>
          <w:rFonts w:ascii="Montserrat" w:hAnsi="Montserrat"/>
          <w:sz w:val="18"/>
          <w:szCs w:val="18"/>
        </w:rPr>
        <w:t>recuperabilidad</w:t>
      </w:r>
      <w:proofErr w:type="spellEnd"/>
      <w:r w:rsidRPr="004A3A43">
        <w:rPr>
          <w:rFonts w:ascii="Montserrat" w:hAnsi="Montserrat"/>
          <w:sz w:val="18"/>
          <w:szCs w:val="18"/>
        </w:rPr>
        <w:t>, exigibilidad o procedencia de las operaciones, así como de aquéllas cuya imposibilidad práctica de cobro es notoria, o bien, cuando haya prescrito la obligación, sin embargo, su aplicación no ha sido necesaria.</w:t>
      </w:r>
    </w:p>
    <w:p w:rsidR="00AB077E" w:rsidRPr="00AB077E" w:rsidRDefault="00AB077E" w:rsidP="00AB077E">
      <w:pPr>
        <w:pStyle w:val="Prrafodelista"/>
        <w:numPr>
          <w:ilvl w:val="0"/>
          <w:numId w:val="18"/>
        </w:numPr>
        <w:tabs>
          <w:tab w:val="left" w:pos="1134"/>
        </w:tabs>
        <w:autoSpaceDE w:val="0"/>
        <w:autoSpaceDN w:val="0"/>
        <w:adjustRightInd w:val="0"/>
        <w:spacing w:before="80" w:after="0" w:line="250" w:lineRule="exact"/>
        <w:contextualSpacing w:val="0"/>
        <w:jc w:val="both"/>
        <w:rPr>
          <w:rFonts w:ascii="Montserrat" w:hAnsi="Montserrat"/>
          <w:sz w:val="18"/>
          <w:szCs w:val="18"/>
        </w:rPr>
      </w:pPr>
      <w:r w:rsidRPr="00AB077E">
        <w:rPr>
          <w:rFonts w:ascii="Montserrat" w:hAnsi="Montserrat"/>
          <w:sz w:val="18"/>
          <w:szCs w:val="18"/>
        </w:rPr>
        <w:t>Cambios en criterios, estimaciones contables y errores</w:t>
      </w:r>
    </w:p>
    <w:p w:rsidR="00AB077E" w:rsidRDefault="00AB077E" w:rsidP="002C6D54">
      <w:pPr>
        <w:autoSpaceDE w:val="0"/>
        <w:autoSpaceDN w:val="0"/>
        <w:adjustRightInd w:val="0"/>
        <w:spacing w:before="240" w:after="120"/>
        <w:jc w:val="both"/>
        <w:rPr>
          <w:rFonts w:ascii="Montserrat" w:hAnsi="Montserrat"/>
          <w:sz w:val="18"/>
          <w:szCs w:val="18"/>
        </w:rPr>
      </w:pPr>
      <w:r w:rsidRPr="002C6D54">
        <w:rPr>
          <w:rFonts w:ascii="Montserrat" w:hAnsi="Montserrat"/>
          <w:sz w:val="18"/>
          <w:szCs w:val="18"/>
        </w:rPr>
        <w:t>Los Estados Financieros se elaboran corrigiendo los errores realizados en ejercicios anteriores, los cuales pueden ser, entre otros por omisiones, inexactitudes, imprecisiones, registros contables extemporáneos, errores aritméticos, errores en la aplicación de políticas contables, así como la inadvertencia o mala interpretación de hechos. Dicha corrección debe ser aplicada contra la cuenta Cambios por errores contables.</w:t>
      </w:r>
    </w:p>
    <w:p w:rsidR="002C6D54" w:rsidRPr="002C6D54" w:rsidRDefault="002C6D54" w:rsidP="002C6D54">
      <w:pPr>
        <w:autoSpaceDE w:val="0"/>
        <w:autoSpaceDN w:val="0"/>
        <w:adjustRightInd w:val="0"/>
        <w:spacing w:before="240" w:after="120"/>
        <w:jc w:val="both"/>
        <w:rPr>
          <w:rFonts w:ascii="Montserrat" w:hAnsi="Montserrat"/>
          <w:sz w:val="18"/>
          <w:szCs w:val="18"/>
        </w:rPr>
      </w:pPr>
    </w:p>
    <w:p w:rsidR="00AB077E" w:rsidRPr="00AB077E" w:rsidRDefault="00AB077E" w:rsidP="00AB077E">
      <w:pPr>
        <w:pStyle w:val="Prrafodelista"/>
        <w:numPr>
          <w:ilvl w:val="0"/>
          <w:numId w:val="18"/>
        </w:numPr>
        <w:tabs>
          <w:tab w:val="left" w:pos="1134"/>
        </w:tabs>
        <w:autoSpaceDE w:val="0"/>
        <w:autoSpaceDN w:val="0"/>
        <w:adjustRightInd w:val="0"/>
        <w:spacing w:before="80" w:after="0" w:line="250" w:lineRule="exact"/>
        <w:contextualSpacing w:val="0"/>
        <w:jc w:val="both"/>
        <w:rPr>
          <w:rFonts w:ascii="Montserrat" w:hAnsi="Montserrat"/>
          <w:sz w:val="18"/>
          <w:szCs w:val="18"/>
        </w:rPr>
      </w:pPr>
      <w:r w:rsidRPr="00AB077E">
        <w:rPr>
          <w:rFonts w:ascii="Montserrat" w:hAnsi="Montserrat"/>
          <w:sz w:val="18"/>
          <w:szCs w:val="18"/>
        </w:rPr>
        <w:lastRenderedPageBreak/>
        <w:t>Depreciación y amortización</w:t>
      </w:r>
    </w:p>
    <w:p w:rsidR="00AB077E" w:rsidRPr="002C6D54" w:rsidRDefault="00AB077E" w:rsidP="002C6D54">
      <w:pPr>
        <w:autoSpaceDE w:val="0"/>
        <w:autoSpaceDN w:val="0"/>
        <w:adjustRightInd w:val="0"/>
        <w:spacing w:before="240" w:after="120"/>
        <w:jc w:val="both"/>
        <w:rPr>
          <w:rFonts w:ascii="Montserrat" w:hAnsi="Montserrat"/>
          <w:sz w:val="18"/>
          <w:szCs w:val="18"/>
        </w:rPr>
      </w:pPr>
      <w:r w:rsidRPr="002C6D54">
        <w:rPr>
          <w:rFonts w:ascii="Montserrat" w:hAnsi="Montserrat"/>
          <w:sz w:val="18"/>
          <w:szCs w:val="18"/>
        </w:rPr>
        <w:t>La depreciación y la amortización tienen por objeto el reconocimiento del gasto correspondiente por su uso, que es el que provoca el beneficio y se determinará, de conformidad con los lineamientos y tasas establecidos para cada tipo de bien, y se mostrará el gasto por este concepto en la cuenta contable correspondiente. El método de depreciación y amortización aplicable es el método línea recta.</w:t>
      </w:r>
    </w:p>
    <w:p w:rsidR="00AB077E" w:rsidRPr="002C6D54" w:rsidRDefault="00AB077E" w:rsidP="002C6D54">
      <w:pPr>
        <w:autoSpaceDE w:val="0"/>
        <w:autoSpaceDN w:val="0"/>
        <w:adjustRightInd w:val="0"/>
        <w:spacing w:before="240" w:after="120"/>
        <w:jc w:val="both"/>
        <w:rPr>
          <w:rFonts w:ascii="Montserrat" w:hAnsi="Montserrat"/>
          <w:sz w:val="18"/>
          <w:szCs w:val="18"/>
        </w:rPr>
      </w:pPr>
      <w:r w:rsidRPr="002C6D54">
        <w:rPr>
          <w:rFonts w:ascii="Montserrat" w:hAnsi="Montserrat"/>
          <w:sz w:val="18"/>
          <w:szCs w:val="18"/>
        </w:rPr>
        <w:t>El monto de la depreciación como la amortización se calculará considerando el costo de adquisición del activo depreciable o amortizable, menos su valor de desecho, que en todos los casos es cero, entre  los años correspondientes a su vida útil o su vida económica; registrándose en los gastos del período, con el objetivo de conocer el gasto patrimonial, y en una cuenta complementaria de activo como depreciación o amortización acumulada, a efecto de determinar el valor neto o el monto por depreciar o amortizar restante.</w:t>
      </w:r>
    </w:p>
    <w:p w:rsidR="00AB077E" w:rsidRPr="00AB077E" w:rsidRDefault="00AB077E" w:rsidP="00AB077E">
      <w:pPr>
        <w:pStyle w:val="Prrafodelista"/>
        <w:numPr>
          <w:ilvl w:val="0"/>
          <w:numId w:val="18"/>
        </w:numPr>
        <w:tabs>
          <w:tab w:val="left" w:pos="1134"/>
        </w:tabs>
        <w:autoSpaceDE w:val="0"/>
        <w:autoSpaceDN w:val="0"/>
        <w:adjustRightInd w:val="0"/>
        <w:spacing w:before="80" w:after="0" w:line="250" w:lineRule="exact"/>
        <w:contextualSpacing w:val="0"/>
        <w:jc w:val="both"/>
        <w:rPr>
          <w:rFonts w:ascii="Montserrat" w:hAnsi="Montserrat"/>
          <w:sz w:val="18"/>
          <w:szCs w:val="18"/>
        </w:rPr>
      </w:pPr>
      <w:r w:rsidRPr="00AB077E">
        <w:rPr>
          <w:rFonts w:ascii="Montserrat" w:hAnsi="Montserrat"/>
          <w:sz w:val="18"/>
          <w:szCs w:val="18"/>
        </w:rPr>
        <w:t>Inventarios</w:t>
      </w:r>
    </w:p>
    <w:p w:rsidR="00AB077E" w:rsidRPr="002C6D54" w:rsidRDefault="00AB077E" w:rsidP="002C6D54">
      <w:pPr>
        <w:autoSpaceDE w:val="0"/>
        <w:autoSpaceDN w:val="0"/>
        <w:adjustRightInd w:val="0"/>
        <w:spacing w:before="240" w:after="120"/>
        <w:jc w:val="both"/>
        <w:rPr>
          <w:rFonts w:ascii="Montserrat" w:hAnsi="Montserrat"/>
          <w:sz w:val="18"/>
          <w:szCs w:val="18"/>
        </w:rPr>
      </w:pPr>
      <w:r w:rsidRPr="002C6D54">
        <w:rPr>
          <w:rFonts w:ascii="Montserrat" w:hAnsi="Montserrat"/>
          <w:sz w:val="18"/>
          <w:szCs w:val="18"/>
        </w:rPr>
        <w:t>La Cámara de Senadores está obligada a contar con un control administrativo que permita el manejo adecuado de los inventarios y realizar, por lo menos una vez al año, el inventario físico completo de sus bienes, el cual deberá coincidir con los saldos presentados en las cuentas de activo correspondientes: asimismo, servir de base para integrar al cierre del ejercicio el Libro de Inventarios y balances.</w:t>
      </w:r>
    </w:p>
    <w:p w:rsidR="00AB077E" w:rsidRPr="002C6D54" w:rsidRDefault="00AB077E" w:rsidP="002C6D54">
      <w:pPr>
        <w:autoSpaceDE w:val="0"/>
        <w:autoSpaceDN w:val="0"/>
        <w:adjustRightInd w:val="0"/>
        <w:spacing w:before="240" w:after="120"/>
        <w:jc w:val="both"/>
        <w:rPr>
          <w:rFonts w:ascii="Montserrat" w:hAnsi="Montserrat"/>
          <w:sz w:val="18"/>
          <w:szCs w:val="18"/>
        </w:rPr>
      </w:pPr>
      <w:r w:rsidRPr="002C6D54">
        <w:rPr>
          <w:rFonts w:ascii="Montserrat" w:hAnsi="Montserrat"/>
          <w:sz w:val="18"/>
          <w:szCs w:val="18"/>
        </w:rPr>
        <w:t>El registro de los bienes de activo fijo se realiza a valor histórico, considerando invariablemente los importes consignados en los documentos probatorios y justificativos originales.</w:t>
      </w:r>
    </w:p>
    <w:p w:rsidR="00AB077E" w:rsidRPr="0068039D" w:rsidRDefault="00AB077E" w:rsidP="00A12E78">
      <w:pPr>
        <w:pStyle w:val="TEXTONORMAL"/>
        <w:rPr>
          <w:caps/>
        </w:rPr>
      </w:pPr>
    </w:p>
    <w:p w:rsidR="00A12E78" w:rsidRPr="005D6C6A" w:rsidRDefault="00A12E78" w:rsidP="00A12E78">
      <w:pPr>
        <w:pStyle w:val="VIETAFLECHA"/>
      </w:pPr>
      <w:r w:rsidRPr="00C50E99">
        <w:t>La Auditoría Superior de la Fede</w:t>
      </w:r>
      <w:r w:rsidRPr="005D6C6A">
        <w:t>ración informa lo siguiente:</w:t>
      </w:r>
    </w:p>
    <w:p w:rsidR="00AB077E" w:rsidRPr="005D6C6A" w:rsidRDefault="00AB077E" w:rsidP="00AB077E">
      <w:pPr>
        <w:pStyle w:val="VIETAROMBO"/>
        <w:rPr>
          <w:rFonts w:eastAsia="Times New Roman" w:cs="Arial"/>
          <w:lang w:val="es-MX" w:eastAsia="es-ES"/>
        </w:rPr>
      </w:pPr>
      <w:r w:rsidRPr="005D6C6A">
        <w:rPr>
          <w:rFonts w:eastAsia="Times New Roman" w:cs="Arial"/>
          <w:lang w:val="es-MX" w:eastAsia="es-ES"/>
        </w:rPr>
        <w:t>Valor de adquisición o histórico: Las operaciones se registran en el momento de considerarse contablemente realizadas, en consecuencia, los estados financieros se encuentran elaborados sobre la base del costo de adquisición o histórico.</w:t>
      </w:r>
    </w:p>
    <w:p w:rsidR="00AB077E" w:rsidRPr="005D6C6A" w:rsidRDefault="00AB077E" w:rsidP="00AB077E">
      <w:pPr>
        <w:pStyle w:val="VIETAROMBO"/>
      </w:pPr>
      <w:r w:rsidRPr="005D6C6A">
        <w:rPr>
          <w:rFonts w:eastAsia="Times New Roman" w:cs="Arial"/>
          <w:lang w:val="es-MX" w:eastAsia="es-ES"/>
        </w:rPr>
        <w:t>Valuación</w:t>
      </w:r>
      <w:r w:rsidRPr="005D6C6A">
        <w:t xml:space="preserve"> del Almacén de Materiales y Suministros de Consumo: </w:t>
      </w:r>
      <w:r w:rsidRPr="005D6C6A">
        <w:rPr>
          <w:rFonts w:eastAsia="Times New Roman" w:cs="Arial"/>
          <w:lang w:val="es-MX" w:eastAsia="es-ES"/>
        </w:rPr>
        <w:t>Es utilizado el método de valuación de Precios Promedio, ya que ha demostrado la facilidad de aplicación y de registro, permitiendo que los estados financieros reflejen una información razonable en apego a lo recomendado por la NIC-2 Inventarios vigente.</w:t>
      </w:r>
    </w:p>
    <w:p w:rsidR="00AB077E" w:rsidRPr="005D6C6A" w:rsidRDefault="00AB077E" w:rsidP="00AB077E">
      <w:pPr>
        <w:pStyle w:val="VIETAROMBO"/>
      </w:pPr>
      <w:r w:rsidRPr="005D6C6A">
        <w:t xml:space="preserve">Depreciación: </w:t>
      </w:r>
      <w:r w:rsidRPr="005D6C6A">
        <w:rPr>
          <w:rFonts w:eastAsia="Times New Roman" w:cs="Arial"/>
          <w:lang w:val="es-MX" w:eastAsia="es-ES"/>
        </w:rPr>
        <w:t xml:space="preserve">La depreciación de bienes muebles considera el método lineal de conformidad con los parámetros de estimación de vida útil publicada por el </w:t>
      </w:r>
      <w:proofErr w:type="spellStart"/>
      <w:r w:rsidRPr="005D6C6A">
        <w:rPr>
          <w:rFonts w:eastAsia="Times New Roman" w:cs="Arial"/>
          <w:lang w:val="es-MX" w:eastAsia="es-ES"/>
        </w:rPr>
        <w:t>CONAC</w:t>
      </w:r>
      <w:proofErr w:type="spellEnd"/>
      <w:r w:rsidRPr="005D6C6A">
        <w:rPr>
          <w:rFonts w:eastAsia="Times New Roman" w:cs="Arial"/>
          <w:lang w:val="es-MX" w:eastAsia="es-ES"/>
        </w:rPr>
        <w:t xml:space="preserve">. </w:t>
      </w:r>
    </w:p>
    <w:p w:rsidR="00AB077E" w:rsidRDefault="00AB077E" w:rsidP="002C6D54">
      <w:pPr>
        <w:pStyle w:val="TEXTONORMAL"/>
        <w:rPr>
          <w:rFonts w:eastAsia="Times New Roman" w:cs="Arial"/>
          <w:lang w:val="es-MX" w:eastAsia="es-ES"/>
        </w:rPr>
      </w:pPr>
      <w:r w:rsidRPr="005D6C6A">
        <w:rPr>
          <w:rFonts w:eastAsia="Times New Roman" w:cs="Arial"/>
          <w:lang w:val="es-MX" w:eastAsia="es-ES"/>
        </w:rPr>
        <w:t xml:space="preserve">Hasta el ejercicio de 2016 la depreciación de bienes inmuebles se determinó considerando el método lineal de conformidad con los parámetros de estimación de vida útil publicados por el </w:t>
      </w:r>
      <w:proofErr w:type="spellStart"/>
      <w:r w:rsidRPr="005D6C6A">
        <w:rPr>
          <w:rFonts w:eastAsia="Times New Roman" w:cs="Arial"/>
          <w:lang w:val="es-MX" w:eastAsia="es-ES"/>
        </w:rPr>
        <w:t>CONAC</w:t>
      </w:r>
      <w:proofErr w:type="spellEnd"/>
      <w:r w:rsidRPr="005D6C6A">
        <w:rPr>
          <w:rFonts w:eastAsia="Times New Roman" w:cs="Arial"/>
          <w:lang w:val="es-MX" w:eastAsia="es-ES"/>
        </w:rPr>
        <w:t xml:space="preserve"> en donde se determina una tasa del 3.3% tomando en cuenta 30 años de vida útil. En diciembre del mismo </w:t>
      </w:r>
      <w:r w:rsidRPr="00B37A2D">
        <w:rPr>
          <w:rFonts w:eastAsia="Times New Roman" w:cs="Arial"/>
          <w:lang w:val="es-MX" w:eastAsia="es-ES"/>
        </w:rPr>
        <w:t xml:space="preserve">año se realizó un ajuste en la depreciación acumulada de los bienes inmuebles de conformidad con los dictámenes </w:t>
      </w:r>
      <w:proofErr w:type="spellStart"/>
      <w:r w:rsidRPr="00B37A2D">
        <w:rPr>
          <w:rFonts w:eastAsia="Times New Roman" w:cs="Arial"/>
          <w:lang w:val="es-MX" w:eastAsia="es-ES"/>
        </w:rPr>
        <w:t>valuatorios</w:t>
      </w:r>
      <w:proofErr w:type="spellEnd"/>
      <w:r w:rsidRPr="00B37A2D">
        <w:rPr>
          <w:rFonts w:eastAsia="Times New Roman" w:cs="Arial"/>
          <w:lang w:val="es-MX" w:eastAsia="es-ES"/>
        </w:rPr>
        <w:t xml:space="preserve"> emitidos por el </w:t>
      </w:r>
      <w:proofErr w:type="spellStart"/>
      <w:r w:rsidRPr="00B37A2D">
        <w:rPr>
          <w:rFonts w:eastAsia="Times New Roman" w:cs="Arial"/>
          <w:lang w:val="es-MX" w:eastAsia="es-ES"/>
        </w:rPr>
        <w:t>INDAABIN</w:t>
      </w:r>
      <w:proofErr w:type="spellEnd"/>
      <w:r w:rsidRPr="00B37A2D">
        <w:rPr>
          <w:rFonts w:eastAsia="Times New Roman" w:cs="Arial"/>
          <w:lang w:val="es-MX" w:eastAsia="es-ES"/>
        </w:rPr>
        <w:t>. El importe se obtuvo disminuyendo al valor de reposición nuevo, el valor neto de reposición. Para el ejercicio 2018 se deprecia considerando el valor del demérito señalado en los citados avalúos.</w:t>
      </w:r>
    </w:p>
    <w:p w:rsidR="005D6C6A" w:rsidRDefault="005D6C6A" w:rsidP="005D6C6A">
      <w:pPr>
        <w:pStyle w:val="TEXTONORMAL"/>
        <w:ind w:left="708"/>
        <w:rPr>
          <w:rFonts w:eastAsia="Times New Roman" w:cs="Arial"/>
          <w:lang w:val="es-MX" w:eastAsia="es-ES"/>
        </w:rPr>
      </w:pPr>
    </w:p>
    <w:p w:rsidR="005D6C6A" w:rsidRPr="00B37A2D" w:rsidRDefault="005D6C6A" w:rsidP="005D6C6A">
      <w:pPr>
        <w:pStyle w:val="TEXTONORMAL"/>
        <w:ind w:left="708"/>
        <w:rPr>
          <w:rFonts w:eastAsia="Times New Roman" w:cs="Arial"/>
          <w:lang w:val="es-MX" w:eastAsia="es-ES"/>
        </w:rPr>
      </w:pPr>
    </w:p>
    <w:p w:rsidR="00AB077E" w:rsidRPr="005D6C6A" w:rsidRDefault="00AB077E" w:rsidP="00AB077E">
      <w:pPr>
        <w:pStyle w:val="VIETAROMBO"/>
      </w:pPr>
      <w:r w:rsidRPr="005D6C6A">
        <w:lastRenderedPageBreak/>
        <w:t>Pasivos</w:t>
      </w:r>
    </w:p>
    <w:p w:rsidR="00AB077E" w:rsidRPr="005D6C6A" w:rsidRDefault="00AB077E" w:rsidP="00AB077E">
      <w:pPr>
        <w:pStyle w:val="VIETABALA"/>
        <w:rPr>
          <w:rFonts w:eastAsia="Times New Roman" w:cs="Arial"/>
          <w:lang w:eastAsia="es-ES"/>
        </w:rPr>
      </w:pPr>
      <w:r w:rsidRPr="005D6C6A">
        <w:rPr>
          <w:rFonts w:eastAsia="Times New Roman" w:cs="Arial"/>
          <w:lang w:eastAsia="es-ES"/>
        </w:rPr>
        <w:t>Clasificación: Los proveedores o acreedores tienen derecho a cobro inmediato o, en su caso, menor a 30 días. Aquellos pasivos que tienen saldo con antigüedad mayor a 360 días, en su mayoría, se debe a que los proveedores o acreedores no han realizado las gestiones de cobro correspondientes.</w:t>
      </w:r>
    </w:p>
    <w:p w:rsidR="00AB077E" w:rsidRPr="005D6C6A" w:rsidRDefault="00AB077E" w:rsidP="005D6C6A">
      <w:pPr>
        <w:pStyle w:val="VIETABALA"/>
        <w:ind w:left="993" w:hanging="279"/>
      </w:pPr>
      <w:r w:rsidRPr="005D6C6A">
        <w:t xml:space="preserve">Factibilidad de pago: </w:t>
      </w:r>
      <w:r w:rsidRPr="005D6C6A">
        <w:rPr>
          <w:rFonts w:eastAsia="Times New Roman" w:cs="Arial"/>
          <w:lang w:eastAsia="es-ES"/>
        </w:rPr>
        <w:t>Cada uno de los pasivos existentes cuenta con factibilidad de pago en virtud de que se provisionaron con cargo a la disposición de recursos del ejercicio del presupuesto del año en que se originaron.</w:t>
      </w:r>
    </w:p>
    <w:p w:rsidR="00AB077E" w:rsidRPr="005D6C6A" w:rsidRDefault="00AB077E" w:rsidP="00AB077E">
      <w:pPr>
        <w:pStyle w:val="VIETABALA"/>
      </w:pPr>
      <w:r w:rsidRPr="00AD4D06">
        <w:t xml:space="preserve">Pasivo contingente: </w:t>
      </w:r>
      <w:r w:rsidRPr="00AD4D06">
        <w:rPr>
          <w:rFonts w:eastAsia="Times New Roman" w:cs="Arial"/>
          <w:lang w:eastAsia="es-ES"/>
        </w:rPr>
        <w:t xml:space="preserve">De conformidad con el oficio </w:t>
      </w:r>
      <w:proofErr w:type="spellStart"/>
      <w:r w:rsidRPr="00AD4D06">
        <w:rPr>
          <w:rFonts w:eastAsia="Times New Roman" w:cs="Arial"/>
          <w:lang w:eastAsia="es-ES"/>
        </w:rPr>
        <w:t>UGA</w:t>
      </w:r>
      <w:proofErr w:type="spellEnd"/>
      <w:r w:rsidRPr="00AD4D06">
        <w:rPr>
          <w:rFonts w:eastAsia="Times New Roman" w:cs="Arial"/>
          <w:lang w:eastAsia="es-ES"/>
        </w:rPr>
        <w:t>/</w:t>
      </w:r>
      <w:proofErr w:type="spellStart"/>
      <w:r w:rsidRPr="00AD4D06">
        <w:rPr>
          <w:rFonts w:eastAsia="Times New Roman" w:cs="Arial"/>
          <w:lang w:eastAsia="es-ES"/>
        </w:rPr>
        <w:t>DAJ</w:t>
      </w:r>
      <w:proofErr w:type="spellEnd"/>
      <w:r w:rsidRPr="00AD4D06">
        <w:rPr>
          <w:rFonts w:eastAsia="Times New Roman" w:cs="Arial"/>
          <w:lang w:eastAsia="es-ES"/>
        </w:rPr>
        <w:t>/662/2018 de fecha 29 de octubre de 2018, al 30 de junio de 2018 existían 57 demandas en contra de la ASF por juicios de carácter laboral por un monto de 75</w:t>
      </w:r>
      <w:proofErr w:type="gramStart"/>
      <w:r w:rsidRPr="00AD4D06">
        <w:rPr>
          <w:rFonts w:eastAsia="Times New Roman" w:cs="Arial"/>
          <w:lang w:eastAsia="es-ES"/>
        </w:rPr>
        <w:t>,239,877</w:t>
      </w:r>
      <w:proofErr w:type="gramEnd"/>
      <w:r w:rsidR="00AD4D06" w:rsidRPr="00AD4D06">
        <w:rPr>
          <w:rFonts w:eastAsia="Times New Roman" w:cs="Arial"/>
          <w:lang w:eastAsia="es-ES"/>
        </w:rPr>
        <w:t xml:space="preserve"> pesos</w:t>
      </w:r>
      <w:r w:rsidRPr="00AD4D06">
        <w:rPr>
          <w:rFonts w:eastAsia="Times New Roman" w:cs="Arial"/>
          <w:lang w:eastAsia="es-ES"/>
        </w:rPr>
        <w:t>. En octubre y noviembre se aplicó una disminución por 51,807 y 82,983 respectivamente, quedando un saldo al 31 de diciembre de 2018 por 75</w:t>
      </w:r>
      <w:proofErr w:type="gramStart"/>
      <w:r w:rsidRPr="00AD4D06">
        <w:rPr>
          <w:rFonts w:eastAsia="Times New Roman" w:cs="Arial"/>
          <w:lang w:eastAsia="es-ES"/>
        </w:rPr>
        <w:t>,105,087</w:t>
      </w:r>
      <w:proofErr w:type="gramEnd"/>
      <w:r w:rsidR="00AD4D06" w:rsidRPr="00AD4D06">
        <w:rPr>
          <w:rFonts w:eastAsia="Times New Roman" w:cs="Arial"/>
          <w:lang w:eastAsia="es-ES"/>
        </w:rPr>
        <w:t xml:space="preserve"> pesos</w:t>
      </w:r>
      <w:r w:rsidRPr="00AD4D06">
        <w:rPr>
          <w:rFonts w:eastAsia="Times New Roman" w:cs="Arial"/>
          <w:lang w:eastAsia="es-ES"/>
        </w:rPr>
        <w:t>, el cual se</w:t>
      </w:r>
      <w:r w:rsidRPr="005D6C6A">
        <w:rPr>
          <w:rFonts w:eastAsia="Times New Roman" w:cs="Arial"/>
          <w:lang w:eastAsia="es-ES"/>
        </w:rPr>
        <w:t xml:space="preserve"> controla en cuentas de orden. Las indemnizaciones al personal que resulten por laudos emitidos o de sentencia definitiva dictada por la autoridad competente se registran en el costo de operación en el ejercicio que se emite la resolución.</w:t>
      </w:r>
    </w:p>
    <w:p w:rsidR="00AB077E" w:rsidRPr="005D6C6A" w:rsidRDefault="00AB077E" w:rsidP="00AB077E">
      <w:pPr>
        <w:pStyle w:val="VIETAROMBO"/>
        <w:rPr>
          <w:rFonts w:eastAsia="Times New Roman" w:cs="Arial"/>
          <w:lang w:val="es-MX" w:eastAsia="es-ES"/>
        </w:rPr>
      </w:pPr>
      <w:r w:rsidRPr="005D6C6A">
        <w:rPr>
          <w:rFonts w:eastAsia="Times New Roman" w:cs="Arial"/>
          <w:lang w:val="es-MX" w:eastAsia="es-ES"/>
        </w:rPr>
        <w:t>Presupuesto</w:t>
      </w:r>
    </w:p>
    <w:p w:rsidR="00AB077E" w:rsidRPr="005D6C6A" w:rsidRDefault="00AB077E" w:rsidP="002C6D54">
      <w:pPr>
        <w:pStyle w:val="TEXTONORMAL"/>
        <w:rPr>
          <w:rFonts w:eastAsia="Times New Roman" w:cs="Arial"/>
          <w:lang w:val="es-MX" w:eastAsia="es-ES"/>
        </w:rPr>
      </w:pPr>
      <w:r w:rsidRPr="005D6C6A">
        <w:rPr>
          <w:rFonts w:eastAsia="Times New Roman" w:cs="Arial"/>
          <w:lang w:val="es-MX" w:eastAsia="es-ES"/>
        </w:rPr>
        <w:t>A partir del ejercicio 2015 las cuentas de orden presupuestarias de egresos consideran desde un inicio el total del presupuesto aprobado a la Auditoría Superior de la Federación, integrado por el presupuesto ordinario y el correspondiente de cada fondo o programa; sin que esta forma de presentación afecte el Presupuesto modificado al final del ejercicio fiscal.</w:t>
      </w:r>
    </w:p>
    <w:p w:rsidR="00AB077E" w:rsidRPr="005D6C6A" w:rsidRDefault="00AB077E" w:rsidP="00AB077E">
      <w:pPr>
        <w:pStyle w:val="VIETAROMBO"/>
        <w:rPr>
          <w:rFonts w:eastAsia="Times New Roman" w:cs="Arial"/>
          <w:lang w:val="es-MX" w:eastAsia="es-ES"/>
        </w:rPr>
      </w:pPr>
      <w:r w:rsidRPr="005D6C6A">
        <w:rPr>
          <w:rFonts w:eastAsia="Times New Roman" w:cs="Arial"/>
          <w:lang w:val="es-MX" w:eastAsia="es-ES"/>
        </w:rPr>
        <w:t>Ingresos de Ejercicios Anteriores.</w:t>
      </w:r>
    </w:p>
    <w:p w:rsidR="00AB077E" w:rsidRDefault="00AB077E" w:rsidP="002C6D54">
      <w:pPr>
        <w:pStyle w:val="TEXTONORMAL"/>
        <w:rPr>
          <w:rFonts w:eastAsia="Times New Roman" w:cs="Arial"/>
          <w:lang w:val="es-MX" w:eastAsia="es-ES"/>
        </w:rPr>
      </w:pPr>
      <w:r w:rsidRPr="005D6C6A">
        <w:rPr>
          <w:rFonts w:eastAsia="Times New Roman" w:cs="Arial"/>
          <w:lang w:val="es-MX" w:eastAsia="es-ES"/>
        </w:rPr>
        <w:t xml:space="preserve">Los ingresos que se generen durante el ejercicio en curso derivados de las diferentes cancelaciones y recuperaciones de recursos presupuestales provenientes de ejercicios anteriores, se registran como un pasivo a favor de la Tesorería de la Federación, cuyo reintegro a la </w:t>
      </w:r>
      <w:proofErr w:type="spellStart"/>
      <w:r w:rsidRPr="005D6C6A">
        <w:rPr>
          <w:rFonts w:eastAsia="Times New Roman" w:cs="Arial"/>
          <w:lang w:val="es-MX" w:eastAsia="es-ES"/>
        </w:rPr>
        <w:t>TESOFE</w:t>
      </w:r>
      <w:proofErr w:type="spellEnd"/>
      <w:r w:rsidRPr="005D6C6A">
        <w:rPr>
          <w:rFonts w:eastAsia="Times New Roman" w:cs="Arial"/>
          <w:lang w:val="es-MX" w:eastAsia="es-ES"/>
        </w:rPr>
        <w:t xml:space="preserve"> se realiza durante el transcurso</w:t>
      </w:r>
      <w:r w:rsidRPr="00B37A2D">
        <w:rPr>
          <w:rFonts w:eastAsia="Times New Roman" w:cs="Arial"/>
          <w:lang w:val="es-MX" w:eastAsia="es-ES"/>
        </w:rPr>
        <w:t xml:space="preserve"> del ejercicio en el que se llevó a cabo la recuperación.</w:t>
      </w:r>
    </w:p>
    <w:p w:rsidR="00AB077E" w:rsidRDefault="00AB077E" w:rsidP="00297378">
      <w:pPr>
        <w:pStyle w:val="TEXTONORMAL"/>
      </w:pPr>
    </w:p>
    <w:p w:rsidR="00297378" w:rsidRPr="00A80DC6" w:rsidRDefault="002C6D54" w:rsidP="00297378">
      <w:pPr>
        <w:pStyle w:val="TEXTONORMAL"/>
        <w:rPr>
          <w:b/>
        </w:rPr>
      </w:pPr>
      <w:r w:rsidRPr="00A80DC6">
        <w:rPr>
          <w:b/>
        </w:rPr>
        <w:t>FIDEICOMISOS, MANDATOS Y ANÁLOGOS</w:t>
      </w:r>
    </w:p>
    <w:p w:rsidR="00A12E78" w:rsidRPr="00297378" w:rsidRDefault="00A12E78" w:rsidP="00A12E78">
      <w:pPr>
        <w:pStyle w:val="TEXTONORMAL"/>
      </w:pPr>
    </w:p>
    <w:p w:rsidR="00A12E78" w:rsidRDefault="00A12E78" w:rsidP="00A12E78">
      <w:pPr>
        <w:pStyle w:val="VIETAFLECHA"/>
      </w:pPr>
      <w:r w:rsidRPr="00C50E99">
        <w:t>La Cámara de Diputados informa lo siguiente:</w:t>
      </w:r>
    </w:p>
    <w:p w:rsidR="00A12E78" w:rsidRDefault="005D6C6A" w:rsidP="002C6D54">
      <w:pPr>
        <w:pStyle w:val="TEXTONORMAL"/>
      </w:pPr>
      <w:r w:rsidRPr="005D6C6A">
        <w:t>La Cámara de Diputados no tiene Fideicomisos bajo su responsabilidad o donde se haya hecho aportación de recursos alguna.</w:t>
      </w:r>
    </w:p>
    <w:p w:rsidR="005D6C6A" w:rsidRPr="00C50E99" w:rsidRDefault="005D6C6A" w:rsidP="005D6C6A">
      <w:pPr>
        <w:pStyle w:val="TEXTONORMAL"/>
        <w:ind w:firstLine="357"/>
      </w:pPr>
    </w:p>
    <w:p w:rsidR="00A12E78" w:rsidRDefault="00A12E78" w:rsidP="00A12E78">
      <w:pPr>
        <w:pStyle w:val="VIETAFLECHA"/>
      </w:pPr>
      <w:r w:rsidRPr="00C50E99">
        <w:t>La Cámara de Senadores informa lo siguiente:</w:t>
      </w:r>
    </w:p>
    <w:p w:rsidR="005D6C6A" w:rsidRPr="00CC6139" w:rsidRDefault="005D6C6A" w:rsidP="002C6D54">
      <w:pPr>
        <w:pStyle w:val="VIETAFLECHA"/>
        <w:numPr>
          <w:ilvl w:val="0"/>
          <w:numId w:val="0"/>
        </w:numPr>
      </w:pPr>
      <w:r w:rsidRPr="00CC6139">
        <w:t>El 22 de octubre del año 2005 se firma el Convenio Modificatorio al contrato del Fideicomiso de Inversión y Administración No.  1705, “Para apoyar la Construcción y Equipamiento del Nuevo Recinto de la Cámara de Senadores”, mediante el cual se da la sustitución del representante del Gobierno Federal como Fideicomitente y Fideicomisario, con el cual a partir de esa fecha el Poder Legislativo por conducto de la Cámara de Senadores asume las calidades de Fideicomitente y de Fideicomisario en el Fideicomiso y los derechos y obligaciones que por ese hecho le corresponden, en tanto que el Poder Ejecutivo es relevado de tales responsabilidades.</w:t>
      </w:r>
    </w:p>
    <w:p w:rsidR="005D6C6A" w:rsidRPr="00CC6139" w:rsidRDefault="005D6C6A" w:rsidP="002C6D54">
      <w:pPr>
        <w:pStyle w:val="VIETAFLECHA"/>
        <w:numPr>
          <w:ilvl w:val="0"/>
          <w:numId w:val="0"/>
        </w:numPr>
        <w:jc w:val="left"/>
      </w:pPr>
      <w:r w:rsidRPr="00CC6139">
        <w:lastRenderedPageBreak/>
        <w:t xml:space="preserve">La Institución Fiduciaria es el Banco Nacional de Obras y Servicios Públicos, </w:t>
      </w:r>
      <w:proofErr w:type="spellStart"/>
      <w:r w:rsidRPr="00CC6139">
        <w:t>S.N.C</w:t>
      </w:r>
      <w:proofErr w:type="spellEnd"/>
      <w:r w:rsidRPr="00CC6139">
        <w:t>., quien lo presenta en sus Estados Financieros al pie de s</w:t>
      </w:r>
      <w:r w:rsidR="002C6D54">
        <w:t xml:space="preserve">u </w:t>
      </w:r>
      <w:r w:rsidRPr="00CC6139">
        <w:t>balance y trimestralmente se publica la información financiera a través del Diario Oficial de la Federación.</w:t>
      </w:r>
    </w:p>
    <w:p w:rsidR="005D6C6A" w:rsidRPr="0068039D" w:rsidRDefault="005D6C6A" w:rsidP="00A12E78">
      <w:pPr>
        <w:pStyle w:val="TEXTONORMAL"/>
        <w:rPr>
          <w:caps/>
        </w:rPr>
      </w:pPr>
    </w:p>
    <w:p w:rsidR="00A12E78" w:rsidRDefault="00A12E78" w:rsidP="00A12E78">
      <w:pPr>
        <w:pStyle w:val="VIETAFLECHA"/>
      </w:pPr>
      <w:r w:rsidRPr="00C50E99">
        <w:t>La Auditoría Superior de la Federación informa lo siguiente:</w:t>
      </w:r>
    </w:p>
    <w:p w:rsidR="005D6C6A" w:rsidRPr="005D6C6A" w:rsidRDefault="005D6C6A" w:rsidP="002C6D54">
      <w:pPr>
        <w:pStyle w:val="TEXTONORMAL"/>
      </w:pPr>
      <w:r w:rsidRPr="005D6C6A">
        <w:t>Al 31 de diciembre de 2018, la ASF no administró fideicomisos, mandatos y análogos.</w:t>
      </w:r>
    </w:p>
    <w:p w:rsidR="00A12E78" w:rsidRDefault="00A12E78" w:rsidP="00297378">
      <w:pPr>
        <w:pStyle w:val="TEXTONORMAL"/>
      </w:pPr>
    </w:p>
    <w:p w:rsidR="00297378" w:rsidRPr="00A80DC6" w:rsidRDefault="002C6D54" w:rsidP="00297378">
      <w:pPr>
        <w:pStyle w:val="TEXTONORMAL"/>
        <w:rPr>
          <w:b/>
        </w:rPr>
      </w:pPr>
      <w:r w:rsidRPr="00A80DC6">
        <w:rPr>
          <w:b/>
        </w:rPr>
        <w:t>EVENTOS POSTERIORES AL CIERRE</w:t>
      </w:r>
    </w:p>
    <w:p w:rsidR="00297378" w:rsidRDefault="00297378" w:rsidP="00297378">
      <w:pPr>
        <w:pStyle w:val="TEXTONORMAL"/>
      </w:pPr>
    </w:p>
    <w:p w:rsidR="00C50E99" w:rsidRDefault="00C50E99" w:rsidP="00C50E99">
      <w:pPr>
        <w:pStyle w:val="VIETAFLECHA"/>
      </w:pPr>
      <w:r w:rsidRPr="00C50E99">
        <w:t xml:space="preserve">La Cámara de Diputados </w:t>
      </w:r>
      <w:r w:rsidR="005D6C6A">
        <w:t>no informó algún evento posterior al cierre.</w:t>
      </w:r>
    </w:p>
    <w:p w:rsidR="00C50E99" w:rsidRPr="00C50E99" w:rsidRDefault="00C50E99" w:rsidP="00C50E99">
      <w:pPr>
        <w:pStyle w:val="TEXTONORMAL"/>
      </w:pPr>
    </w:p>
    <w:p w:rsidR="00C50E99" w:rsidRDefault="00C50E99" w:rsidP="00C50E99">
      <w:pPr>
        <w:pStyle w:val="VIETAFLECHA"/>
      </w:pPr>
      <w:r w:rsidRPr="00C50E99">
        <w:t>La Cámara de Senadores informa lo siguiente:</w:t>
      </w:r>
    </w:p>
    <w:p w:rsidR="005D6C6A" w:rsidRPr="00CC6139" w:rsidRDefault="005D6C6A" w:rsidP="002C6D54">
      <w:pPr>
        <w:pStyle w:val="VIETAFLECHA"/>
        <w:numPr>
          <w:ilvl w:val="0"/>
          <w:numId w:val="0"/>
        </w:numPr>
      </w:pPr>
      <w:r w:rsidRPr="00CC6139">
        <w:t>El ejercicio del gasto se realiza con estricto apego a la ley y normas del Senado, así como a la transparencia y rendición de cuentas, y de presentarse modificaciones, éstas se ven reflejadas en el Estado de Variaciones en la Hacienda Pública/Patrimonio.</w:t>
      </w:r>
    </w:p>
    <w:p w:rsidR="00C50E99" w:rsidRPr="0068039D" w:rsidRDefault="00C50E99" w:rsidP="00C50E99">
      <w:pPr>
        <w:pStyle w:val="TEXTONORMAL"/>
        <w:rPr>
          <w:caps/>
        </w:rPr>
      </w:pPr>
    </w:p>
    <w:p w:rsidR="00C50E99" w:rsidRDefault="00C50E99" w:rsidP="00C50E99">
      <w:pPr>
        <w:pStyle w:val="VIETAFLECHA"/>
      </w:pPr>
      <w:r w:rsidRPr="00C50E99">
        <w:t>La Auditoría Superior de la Federación informa lo siguiente:</w:t>
      </w:r>
    </w:p>
    <w:p w:rsidR="00C50E99" w:rsidRDefault="005D6C6A" w:rsidP="002C6D54">
      <w:pPr>
        <w:pStyle w:val="TEXTONORMAL"/>
      </w:pPr>
      <w:r w:rsidRPr="005D6C6A">
        <w:t>Durante el periodo posterior al 31 de diciembre de 2018, no existieron eventos que afecten económicamente a los estados financieros y que no se conocían a la fecha de cierre.</w:t>
      </w:r>
    </w:p>
    <w:p w:rsidR="00C50E99" w:rsidRPr="00C50E99" w:rsidRDefault="00C50E99" w:rsidP="00C50E99">
      <w:pPr>
        <w:pStyle w:val="TEXTONORMAL"/>
      </w:pPr>
    </w:p>
    <w:p w:rsidR="00FF5057" w:rsidRDefault="00FF5057" w:rsidP="00C50E99">
      <w:pPr>
        <w:pStyle w:val="VIETAFLECHA"/>
        <w:numPr>
          <w:ilvl w:val="0"/>
          <w:numId w:val="0"/>
        </w:numPr>
        <w:ind w:left="357"/>
      </w:pPr>
    </w:p>
    <w:sectPr w:rsidR="00FF5057" w:rsidSect="003B53D7">
      <w:headerReference w:type="default" r:id="rId8"/>
      <w:footerReference w:type="default" r:id="rId9"/>
      <w:headerReference w:type="first" r:id="rId10"/>
      <w:footerReference w:type="first" r:id="rId11"/>
      <w:footnotePr>
        <w:numRestart w:val="eachPage"/>
      </w:footnotePr>
      <w:pgSz w:w="15840" w:h="12240" w:orient="landscape" w:code="1"/>
      <w:pgMar w:top="67" w:right="1418" w:bottom="567" w:left="1418" w:header="709" w:footer="3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76D" w:rsidRDefault="00EA176D" w:rsidP="00140DD8">
      <w:pPr>
        <w:spacing w:after="0" w:line="240" w:lineRule="auto"/>
      </w:pPr>
      <w:r>
        <w:separator/>
      </w:r>
    </w:p>
  </w:endnote>
  <w:endnote w:type="continuationSeparator" w:id="0">
    <w:p w:rsidR="00EA176D" w:rsidRDefault="00EA176D" w:rsidP="00140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 w:name="Soberana Sans Light">
    <w:panose1 w:val="02000000000000000000"/>
    <w:charset w:val="00"/>
    <w:family w:val="modern"/>
    <w:notTrueType/>
    <w:pitch w:val="variable"/>
    <w:sig w:usb0="800000AF" w:usb1="4000204B"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oberana Sans">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137" w:type="dxa"/>
      <w:jc w:val="center"/>
      <w:tblBorders>
        <w:top w:val="single" w:sz="8" w:space="0" w:color="808080"/>
      </w:tblBorders>
      <w:tblLook w:val="04A0" w:firstRow="1" w:lastRow="0" w:firstColumn="1" w:lastColumn="0" w:noHBand="0" w:noVBand="1"/>
    </w:tblPr>
    <w:tblGrid>
      <w:gridCol w:w="2075"/>
      <w:gridCol w:w="8967"/>
      <w:gridCol w:w="2095"/>
    </w:tblGrid>
    <w:tr w:rsidR="002C6D54" w:rsidRPr="00654D98" w:rsidTr="00760530">
      <w:trPr>
        <w:jc w:val="center"/>
      </w:trPr>
      <w:tc>
        <w:tcPr>
          <w:tcW w:w="2122" w:type="dxa"/>
          <w:tcBorders>
            <w:top w:val="nil"/>
            <w:bottom w:val="single" w:sz="12" w:space="0" w:color="D4C19C"/>
          </w:tcBorders>
          <w:shd w:val="clear" w:color="auto" w:fill="auto"/>
        </w:tcPr>
        <w:p w:rsidR="002C6D54" w:rsidRPr="00654D98" w:rsidRDefault="002C6D54" w:rsidP="00566761">
          <w:pPr>
            <w:pStyle w:val="Encabezado"/>
            <w:spacing w:after="0" w:line="240" w:lineRule="auto"/>
            <w:rPr>
              <w:rFonts w:ascii="Montserrat" w:hAnsi="Montserrat"/>
              <w:sz w:val="16"/>
              <w:szCs w:val="16"/>
            </w:rPr>
          </w:pPr>
        </w:p>
      </w:tc>
      <w:tc>
        <w:tcPr>
          <w:tcW w:w="9156" w:type="dxa"/>
          <w:tcBorders>
            <w:top w:val="nil"/>
            <w:bottom w:val="single" w:sz="12" w:space="0" w:color="D4C19C"/>
          </w:tcBorders>
          <w:shd w:val="clear" w:color="auto" w:fill="auto"/>
        </w:tcPr>
        <w:p w:rsidR="002C6D54" w:rsidRPr="00654D98" w:rsidRDefault="002C6D54" w:rsidP="00135C64">
          <w:pPr>
            <w:pStyle w:val="PIEPAGENTE"/>
            <w:rPr>
              <w:rFonts w:ascii="Montserrat" w:hAnsi="Montserrat"/>
              <w:sz w:val="16"/>
            </w:rPr>
          </w:pPr>
        </w:p>
      </w:tc>
      <w:tc>
        <w:tcPr>
          <w:tcW w:w="2126" w:type="dxa"/>
          <w:tcBorders>
            <w:top w:val="nil"/>
            <w:bottom w:val="single" w:sz="12" w:space="0" w:color="D4C19C"/>
          </w:tcBorders>
          <w:shd w:val="clear" w:color="auto" w:fill="auto"/>
        </w:tcPr>
        <w:p w:rsidR="002C6D54" w:rsidRPr="00654D98" w:rsidRDefault="002C6D54" w:rsidP="00566761">
          <w:pPr>
            <w:pStyle w:val="Encabezado"/>
            <w:spacing w:after="0" w:line="240" w:lineRule="auto"/>
            <w:jc w:val="right"/>
            <w:rPr>
              <w:rFonts w:ascii="Montserrat" w:hAnsi="Montserrat"/>
              <w:sz w:val="16"/>
              <w:szCs w:val="16"/>
            </w:rPr>
          </w:pPr>
        </w:p>
      </w:tc>
    </w:tr>
    <w:tr w:rsidR="002C6D54" w:rsidRPr="00CB202B" w:rsidTr="00760530">
      <w:trPr>
        <w:jc w:val="center"/>
      </w:trPr>
      <w:tc>
        <w:tcPr>
          <w:tcW w:w="2122" w:type="dxa"/>
          <w:tcBorders>
            <w:top w:val="single" w:sz="12" w:space="0" w:color="D4C19C"/>
          </w:tcBorders>
          <w:shd w:val="clear" w:color="auto" w:fill="auto"/>
        </w:tcPr>
        <w:p w:rsidR="002C6D54" w:rsidRPr="00CB202B" w:rsidRDefault="002C6D54" w:rsidP="00B91081">
          <w:pPr>
            <w:pStyle w:val="Encabezado"/>
            <w:spacing w:before="60" w:after="60" w:line="240" w:lineRule="auto"/>
            <w:rPr>
              <w:sz w:val="16"/>
              <w:szCs w:val="16"/>
            </w:rPr>
          </w:pPr>
        </w:p>
      </w:tc>
      <w:tc>
        <w:tcPr>
          <w:tcW w:w="9156" w:type="dxa"/>
          <w:tcBorders>
            <w:top w:val="single" w:sz="12" w:space="0" w:color="D4C19C"/>
          </w:tcBorders>
          <w:shd w:val="clear" w:color="auto" w:fill="auto"/>
        </w:tcPr>
        <w:p w:rsidR="002C6D54" w:rsidRPr="007C7497" w:rsidRDefault="002C6D54" w:rsidP="00B91081">
          <w:pPr>
            <w:pStyle w:val="PIEPAGENTE"/>
            <w:spacing w:before="60" w:after="60"/>
            <w:rPr>
              <w:rFonts w:ascii="Montserrat" w:hAnsi="Montserrat"/>
            </w:rPr>
          </w:pPr>
          <w:r>
            <w:rPr>
              <w:rFonts w:ascii="Montserrat" w:hAnsi="Montserrat"/>
            </w:rPr>
            <w:t>PODER LEGISLATIVO</w:t>
          </w:r>
        </w:p>
      </w:tc>
      <w:tc>
        <w:tcPr>
          <w:tcW w:w="2126" w:type="dxa"/>
          <w:tcBorders>
            <w:top w:val="single" w:sz="12" w:space="0" w:color="D4C19C"/>
          </w:tcBorders>
          <w:shd w:val="clear" w:color="auto" w:fill="auto"/>
        </w:tcPr>
        <w:p w:rsidR="002C6D54" w:rsidRPr="00102975" w:rsidRDefault="002C6D54" w:rsidP="00B91081">
          <w:pPr>
            <w:pStyle w:val="Piedepgina"/>
            <w:spacing w:before="60" w:after="60"/>
            <w:jc w:val="right"/>
            <w:rPr>
              <w:rFonts w:ascii="Montserrat" w:hAnsi="Montserrat"/>
              <w:sz w:val="18"/>
              <w:szCs w:val="18"/>
            </w:rPr>
          </w:pPr>
          <w:r w:rsidRPr="00102975">
            <w:rPr>
              <w:rFonts w:ascii="Montserrat" w:hAnsi="Montserrat"/>
              <w:sz w:val="18"/>
              <w:szCs w:val="18"/>
            </w:rPr>
            <w:t xml:space="preserve">Página </w:t>
          </w:r>
          <w:r w:rsidRPr="00102975">
            <w:rPr>
              <w:rFonts w:ascii="Montserrat" w:hAnsi="Montserrat"/>
              <w:sz w:val="18"/>
              <w:szCs w:val="18"/>
            </w:rPr>
            <w:fldChar w:fldCharType="begin"/>
          </w:r>
          <w:r w:rsidRPr="00102975">
            <w:rPr>
              <w:rFonts w:ascii="Montserrat" w:hAnsi="Montserrat"/>
              <w:sz w:val="18"/>
              <w:szCs w:val="18"/>
            </w:rPr>
            <w:instrText>PAGE</w:instrText>
          </w:r>
          <w:r w:rsidRPr="00102975">
            <w:rPr>
              <w:rFonts w:ascii="Montserrat" w:hAnsi="Montserrat"/>
              <w:sz w:val="18"/>
              <w:szCs w:val="18"/>
            </w:rPr>
            <w:fldChar w:fldCharType="separate"/>
          </w:r>
          <w:r w:rsidR="005A25EE">
            <w:rPr>
              <w:rFonts w:ascii="Montserrat" w:hAnsi="Montserrat"/>
              <w:noProof/>
              <w:sz w:val="18"/>
              <w:szCs w:val="18"/>
            </w:rPr>
            <w:t>4</w:t>
          </w:r>
          <w:r w:rsidRPr="00102975">
            <w:rPr>
              <w:rFonts w:ascii="Montserrat" w:hAnsi="Montserrat"/>
              <w:sz w:val="18"/>
              <w:szCs w:val="18"/>
            </w:rPr>
            <w:fldChar w:fldCharType="end"/>
          </w:r>
          <w:r w:rsidRPr="00102975">
            <w:rPr>
              <w:rFonts w:ascii="Montserrat" w:hAnsi="Montserrat"/>
              <w:sz w:val="18"/>
              <w:szCs w:val="18"/>
            </w:rPr>
            <w:t xml:space="preserve"> de </w:t>
          </w:r>
          <w:r w:rsidRPr="00102975">
            <w:rPr>
              <w:rFonts w:ascii="Montserrat" w:hAnsi="Montserrat"/>
              <w:sz w:val="18"/>
              <w:szCs w:val="18"/>
            </w:rPr>
            <w:fldChar w:fldCharType="begin"/>
          </w:r>
          <w:r w:rsidRPr="00102975">
            <w:rPr>
              <w:rFonts w:ascii="Montserrat" w:hAnsi="Montserrat"/>
              <w:sz w:val="18"/>
              <w:szCs w:val="18"/>
            </w:rPr>
            <w:instrText>NUMPAGES</w:instrText>
          </w:r>
          <w:r w:rsidRPr="00102975">
            <w:rPr>
              <w:rFonts w:ascii="Montserrat" w:hAnsi="Montserrat"/>
              <w:sz w:val="18"/>
              <w:szCs w:val="18"/>
            </w:rPr>
            <w:fldChar w:fldCharType="separate"/>
          </w:r>
          <w:r w:rsidR="005A25EE">
            <w:rPr>
              <w:rFonts w:ascii="Montserrat" w:hAnsi="Montserrat"/>
              <w:noProof/>
              <w:sz w:val="18"/>
              <w:szCs w:val="18"/>
            </w:rPr>
            <w:t>17</w:t>
          </w:r>
          <w:r w:rsidRPr="00102975">
            <w:rPr>
              <w:rFonts w:ascii="Montserrat" w:hAnsi="Montserrat"/>
              <w:sz w:val="18"/>
              <w:szCs w:val="18"/>
            </w:rPr>
            <w:fldChar w:fldCharType="end"/>
          </w:r>
        </w:p>
      </w:tc>
    </w:tr>
  </w:tbl>
  <w:p w:rsidR="002C6D54" w:rsidRPr="00CB202B" w:rsidRDefault="002C6D54" w:rsidP="00180F7A">
    <w:pPr>
      <w:pStyle w:val="Piedepgina"/>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8" w:space="0" w:color="808080"/>
      </w:tblBorders>
      <w:tblLook w:val="04A0" w:firstRow="1" w:lastRow="0" w:firstColumn="1" w:lastColumn="0" w:noHBand="0" w:noVBand="1"/>
    </w:tblPr>
    <w:tblGrid>
      <w:gridCol w:w="13004"/>
    </w:tblGrid>
    <w:tr w:rsidR="002C6D54" w:rsidTr="00E139E7">
      <w:trPr>
        <w:trHeight w:val="258"/>
        <w:jc w:val="center"/>
      </w:trPr>
      <w:tc>
        <w:tcPr>
          <w:tcW w:w="13137" w:type="dxa"/>
          <w:tcBorders>
            <w:top w:val="nil"/>
            <w:bottom w:val="single" w:sz="8" w:space="0" w:color="808080"/>
          </w:tcBorders>
          <w:shd w:val="clear" w:color="auto" w:fill="auto"/>
        </w:tcPr>
        <w:p w:rsidR="002C6D54" w:rsidRPr="00AC2541" w:rsidRDefault="002C6D54" w:rsidP="00566761">
          <w:pPr>
            <w:pStyle w:val="Encabezado"/>
            <w:spacing w:after="0" w:line="240" w:lineRule="auto"/>
            <w:jc w:val="center"/>
            <w:rPr>
              <w:rFonts w:ascii="Soberana Sans" w:hAnsi="Soberana Sans"/>
              <w:sz w:val="16"/>
              <w:szCs w:val="16"/>
            </w:rPr>
          </w:pPr>
        </w:p>
      </w:tc>
    </w:tr>
    <w:tr w:rsidR="002C6D54" w:rsidTr="00E139E7">
      <w:trPr>
        <w:trHeight w:val="258"/>
        <w:jc w:val="center"/>
      </w:trPr>
      <w:tc>
        <w:tcPr>
          <w:tcW w:w="13137" w:type="dxa"/>
          <w:tcBorders>
            <w:top w:val="single" w:sz="8" w:space="0" w:color="808080"/>
          </w:tcBorders>
          <w:shd w:val="clear" w:color="auto" w:fill="auto"/>
        </w:tcPr>
        <w:p w:rsidR="002C6D54" w:rsidRPr="00477E89" w:rsidRDefault="002C6D54" w:rsidP="00730623">
          <w:pPr>
            <w:pStyle w:val="Piedepgina"/>
            <w:spacing w:after="120"/>
            <w:jc w:val="right"/>
            <w:rPr>
              <w:szCs w:val="16"/>
            </w:rPr>
          </w:pPr>
          <w:r w:rsidRPr="00477E89">
            <w:rPr>
              <w:rStyle w:val="PiedepginaCar"/>
              <w:szCs w:val="16"/>
            </w:rPr>
            <w:t>Página</w:t>
          </w:r>
          <w:r w:rsidRPr="00477E89">
            <w:rPr>
              <w:szCs w:val="16"/>
            </w:rPr>
            <w:t xml:space="preserve"> </w:t>
          </w:r>
          <w:r w:rsidRPr="00477E89">
            <w:rPr>
              <w:szCs w:val="16"/>
            </w:rPr>
            <w:fldChar w:fldCharType="begin"/>
          </w:r>
          <w:r w:rsidRPr="00477E89">
            <w:rPr>
              <w:szCs w:val="16"/>
            </w:rPr>
            <w:instrText>PAGE</w:instrText>
          </w:r>
          <w:r w:rsidRPr="00477E89">
            <w:rPr>
              <w:szCs w:val="16"/>
            </w:rPr>
            <w:fldChar w:fldCharType="separate"/>
          </w:r>
          <w:r w:rsidR="005A25EE">
            <w:rPr>
              <w:noProof/>
              <w:szCs w:val="16"/>
            </w:rPr>
            <w:t>1</w:t>
          </w:r>
          <w:r w:rsidRPr="00477E89">
            <w:rPr>
              <w:szCs w:val="16"/>
            </w:rPr>
            <w:fldChar w:fldCharType="end"/>
          </w:r>
          <w:r w:rsidRPr="00477E89">
            <w:rPr>
              <w:szCs w:val="16"/>
            </w:rPr>
            <w:t xml:space="preserve"> de </w:t>
          </w:r>
          <w:r w:rsidRPr="00477E89">
            <w:rPr>
              <w:szCs w:val="16"/>
            </w:rPr>
            <w:fldChar w:fldCharType="begin"/>
          </w:r>
          <w:r w:rsidRPr="00477E89">
            <w:rPr>
              <w:szCs w:val="16"/>
            </w:rPr>
            <w:instrText>NUMPAGES</w:instrText>
          </w:r>
          <w:r w:rsidRPr="00477E89">
            <w:rPr>
              <w:szCs w:val="16"/>
            </w:rPr>
            <w:fldChar w:fldCharType="separate"/>
          </w:r>
          <w:r w:rsidR="005A25EE">
            <w:rPr>
              <w:noProof/>
              <w:szCs w:val="16"/>
            </w:rPr>
            <w:t>17</w:t>
          </w:r>
          <w:r w:rsidRPr="00477E89">
            <w:rPr>
              <w:szCs w:val="16"/>
            </w:rPr>
            <w:fldChar w:fldCharType="end"/>
          </w:r>
        </w:p>
      </w:tc>
    </w:tr>
  </w:tbl>
  <w:p w:rsidR="002C6D54" w:rsidRPr="00AD10AF" w:rsidRDefault="002C6D54" w:rsidP="001F44BC">
    <w:pPr>
      <w:pStyle w:val="Piedepgina"/>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76D" w:rsidRDefault="00EA176D" w:rsidP="00140DD8">
      <w:pPr>
        <w:spacing w:after="0" w:line="240" w:lineRule="auto"/>
      </w:pPr>
      <w:r>
        <w:separator/>
      </w:r>
    </w:p>
  </w:footnote>
  <w:footnote w:type="continuationSeparator" w:id="0">
    <w:p w:rsidR="00EA176D" w:rsidRDefault="00EA176D" w:rsidP="00140D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137" w:type="dxa"/>
      <w:tblBorders>
        <w:bottom w:val="single" w:sz="12" w:space="0" w:color="9D2449"/>
      </w:tblBorders>
      <w:tblLook w:val="04A0" w:firstRow="1" w:lastRow="0" w:firstColumn="1" w:lastColumn="0" w:noHBand="0" w:noVBand="1"/>
    </w:tblPr>
    <w:tblGrid>
      <w:gridCol w:w="13137"/>
    </w:tblGrid>
    <w:tr w:rsidR="002C6D54" w:rsidRPr="004E66AE" w:rsidTr="00394863">
      <w:tc>
        <w:tcPr>
          <w:tcW w:w="13137" w:type="dxa"/>
          <w:tcBorders>
            <w:bottom w:val="nil"/>
          </w:tcBorders>
          <w:shd w:val="clear" w:color="auto" w:fill="auto"/>
          <w:vAlign w:val="bottom"/>
        </w:tcPr>
        <w:p w:rsidR="002C6D54" w:rsidRPr="005A25EE" w:rsidRDefault="002C6D54" w:rsidP="00A8290D">
          <w:pPr>
            <w:pStyle w:val="Encabezado"/>
            <w:spacing w:after="60" w:line="240" w:lineRule="auto"/>
            <w:jc w:val="center"/>
            <w:rPr>
              <w:rFonts w:ascii="Montserrat SemiBold" w:hAnsi="Montserrat SemiBold"/>
              <w:color w:val="9D2449"/>
              <w:sz w:val="26"/>
              <w:szCs w:val="26"/>
            </w:rPr>
          </w:pPr>
          <w:r w:rsidRPr="005A25EE">
            <w:rPr>
              <w:rFonts w:ascii="Montserrat SemiBold" w:hAnsi="Montserrat SemiBold"/>
              <w:color w:val="9D2449"/>
              <w:sz w:val="26"/>
              <w:szCs w:val="26"/>
            </w:rPr>
            <w:t>Cuenta Pública 2018</w:t>
          </w:r>
        </w:p>
      </w:tc>
    </w:tr>
  </w:tbl>
  <w:p w:rsidR="002C6D54" w:rsidRPr="00180068" w:rsidRDefault="002C6D54" w:rsidP="00180F7A">
    <w:pPr>
      <w:pStyle w:val="Encabezado"/>
      <w:spacing w:after="0" w:line="240" w:lineRule="auto"/>
      <w:rPr>
        <w:sz w:val="22"/>
      </w:rPr>
    </w:pPr>
    <w:r>
      <w:rPr>
        <w:noProof/>
        <w:lang w:val="es-MX" w:eastAsia="es-MX"/>
      </w:rPr>
      <mc:AlternateContent>
        <mc:Choice Requires="wps">
          <w:drawing>
            <wp:anchor distT="4294967295" distB="4294967295" distL="114300" distR="114300" simplePos="0" relativeHeight="251657728" behindDoc="0" locked="0" layoutInCell="1" allowOverlap="1">
              <wp:simplePos x="0" y="0"/>
              <wp:positionH relativeFrom="column">
                <wp:posOffset>-71755</wp:posOffset>
              </wp:positionH>
              <wp:positionV relativeFrom="paragraph">
                <wp:posOffset>1269</wp:posOffset>
              </wp:positionV>
              <wp:extent cx="8336915" cy="0"/>
              <wp:effectExtent l="0" t="19050" r="45085" b="3810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36915" cy="0"/>
                      </a:xfrm>
                      <a:prstGeom prst="line">
                        <a:avLst/>
                      </a:prstGeom>
                      <a:noFill/>
                      <a:ln w="57150" cap="flat" cmpd="thickThin" algn="ctr">
                        <a:solidFill>
                          <a:srgbClr val="D4C19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D3BA6E6" id="Conector recto 1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pt" to="65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" strokecolor="#d4c19c" strokeweight="4.5pt">
              <v:stroke linestyle="thickThin" joinstyle="miter"/>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3004"/>
    </w:tblGrid>
    <w:tr w:rsidR="002C6D54" w:rsidTr="00E139E7">
      <w:tc>
        <w:tcPr>
          <w:tcW w:w="13137" w:type="dxa"/>
          <w:shd w:val="clear" w:color="auto" w:fill="auto"/>
        </w:tcPr>
        <w:p w:rsidR="002C6D54" w:rsidRPr="003B53D7" w:rsidRDefault="002C6D54" w:rsidP="003B53D7">
          <w:pPr>
            <w:pStyle w:val="Encabezado"/>
            <w:spacing w:after="60" w:line="240" w:lineRule="auto"/>
            <w:jc w:val="center"/>
            <w:rPr>
              <w:rFonts w:ascii="Montserrat SemiBold" w:hAnsi="Montserrat SemiBold"/>
              <w:color w:val="9D2449"/>
              <w:sz w:val="24"/>
              <w:szCs w:val="24"/>
            </w:rPr>
          </w:pPr>
          <w:r>
            <w:rPr>
              <w:noProof/>
              <w:lang w:val="es-MX" w:eastAsia="es-MX"/>
            </w:rPr>
            <mc:AlternateContent>
              <mc:Choice Requires="wps">
                <w:drawing>
                  <wp:anchor distT="4294967295" distB="4294967295" distL="114300" distR="114300" simplePos="0" relativeHeight="251659776" behindDoc="0" locked="0" layoutInCell="1" allowOverlap="1" wp14:anchorId="1B97AF38" wp14:editId="2529B0AA">
                    <wp:simplePos x="0" y="0"/>
                    <wp:positionH relativeFrom="column">
                      <wp:posOffset>0</wp:posOffset>
                    </wp:positionH>
                    <wp:positionV relativeFrom="paragraph">
                      <wp:posOffset>223520</wp:posOffset>
                    </wp:positionV>
                    <wp:extent cx="8336915" cy="0"/>
                    <wp:effectExtent l="0" t="19050" r="45085" b="3810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36915" cy="0"/>
                            </a:xfrm>
                            <a:prstGeom prst="line">
                              <a:avLst/>
                            </a:prstGeom>
                            <a:noFill/>
                            <a:ln w="57150" cap="flat" cmpd="thickThin" algn="ctr">
                              <a:solidFill>
                                <a:srgbClr val="D4C19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DEC2758" id="Conector recto 1"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6pt" to="656.4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" strokecolor="#d4c19c" strokeweight="4.5pt">
                    <v:stroke linestyle="thickThin" joinstyle="miter"/>
                    <o:lock v:ext="edit" shapetype="f"/>
                  </v:line>
                </w:pict>
              </mc:Fallback>
            </mc:AlternateContent>
          </w:r>
          <w:r w:rsidRPr="00476C78">
            <w:rPr>
              <w:rFonts w:ascii="Montserrat SemiBold" w:hAnsi="Montserrat SemiBold"/>
              <w:color w:val="9D2449"/>
              <w:sz w:val="26"/>
              <w:szCs w:val="26"/>
            </w:rPr>
            <w:t xml:space="preserve">Cuenta Pública </w:t>
          </w:r>
          <w:r w:rsidRPr="00730623">
            <w:rPr>
              <w:rFonts w:ascii="Montserrat SemiBold" w:hAnsi="Montserrat SemiBold"/>
              <w:color w:val="9D2449"/>
              <w:sz w:val="26"/>
              <w:szCs w:val="26"/>
            </w:rPr>
            <w:t>2018</w:t>
          </w:r>
        </w:p>
      </w:tc>
    </w:tr>
  </w:tbl>
  <w:p w:rsidR="002C6D54" w:rsidRPr="00180068" w:rsidRDefault="002C6D54" w:rsidP="00180F7A">
    <w:pPr>
      <w:pStyle w:val="Encabezado"/>
      <w:spacing w:after="0" w:line="240" w:lineRule="auto"/>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388A"/>
    <w:multiLevelType w:val="hybridMultilevel"/>
    <w:tmpl w:val="97307B58"/>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2307795"/>
    <w:multiLevelType w:val="hybridMultilevel"/>
    <w:tmpl w:val="D01417A2"/>
    <w:lvl w:ilvl="0" w:tplc="080A000B">
      <w:start w:val="1"/>
      <w:numFmt w:val="bullet"/>
      <w:lvlText w:val=""/>
      <w:lvlJc w:val="left"/>
      <w:pPr>
        <w:tabs>
          <w:tab w:val="num" w:pos="784"/>
        </w:tabs>
        <w:ind w:left="747" w:hanging="737"/>
      </w:pPr>
      <w:rPr>
        <w:rFonts w:ascii="Wingdings" w:hAnsi="Wingdings" w:hint="default"/>
        <w:color w:val="auto"/>
        <w:sz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2" w15:restartNumberingAfterBreak="0">
    <w:nsid w:val="1E54231C"/>
    <w:multiLevelType w:val="hybridMultilevel"/>
    <w:tmpl w:val="6A36F3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13102E0"/>
    <w:multiLevelType w:val="hybridMultilevel"/>
    <w:tmpl w:val="87B223B2"/>
    <w:lvl w:ilvl="0" w:tplc="EBB4FADA">
      <w:start w:val="1"/>
      <w:numFmt w:val="bullet"/>
      <w:lvlText w:val="­"/>
      <w:lvlJc w:val="left"/>
      <w:pPr>
        <w:tabs>
          <w:tab w:val="num" w:pos="784"/>
        </w:tabs>
        <w:ind w:left="747" w:hanging="737"/>
      </w:pPr>
      <w:rPr>
        <w:rFonts w:ascii="Courier New" w:hAnsi="Courier New"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4" w15:restartNumberingAfterBreak="0">
    <w:nsid w:val="2BF80415"/>
    <w:multiLevelType w:val="hybridMultilevel"/>
    <w:tmpl w:val="818A30F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5F62062"/>
    <w:multiLevelType w:val="hybridMultilevel"/>
    <w:tmpl w:val="44CE1F2C"/>
    <w:lvl w:ilvl="0" w:tplc="940C1DC4">
      <w:start w:val="1"/>
      <w:numFmt w:val="bullet"/>
      <w:pStyle w:val="VIETAROMBO"/>
      <w:lvlText w:val=""/>
      <w:lvlJc w:val="left"/>
      <w:pPr>
        <w:ind w:left="757"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60E51EC"/>
    <w:multiLevelType w:val="hybridMultilevel"/>
    <w:tmpl w:val="34FABA7E"/>
    <w:lvl w:ilvl="0" w:tplc="37D8B2C8">
      <w:start w:val="1"/>
      <w:numFmt w:val="bullet"/>
      <w:lvlText w:val=""/>
      <w:lvlJc w:val="left"/>
      <w:pPr>
        <w:ind w:left="5039" w:hanging="360"/>
      </w:pPr>
      <w:rPr>
        <w:rFonts w:ascii="Wingdings" w:hAnsi="Wingdings" w:hint="default"/>
      </w:rPr>
    </w:lvl>
    <w:lvl w:ilvl="1" w:tplc="12BC1C2C">
      <w:start w:val="1"/>
      <w:numFmt w:val="bullet"/>
      <w:lvlText w:val="o"/>
      <w:lvlJc w:val="left"/>
      <w:pPr>
        <w:ind w:left="1440" w:hanging="360"/>
      </w:pPr>
      <w:rPr>
        <w:rFonts w:ascii="Courier New" w:hAnsi="Courier New" w:cs="Courier New" w:hint="default"/>
      </w:rPr>
    </w:lvl>
    <w:lvl w:ilvl="2" w:tplc="1AD6E33E" w:tentative="1">
      <w:start w:val="1"/>
      <w:numFmt w:val="bullet"/>
      <w:lvlText w:val=""/>
      <w:lvlJc w:val="left"/>
      <w:pPr>
        <w:ind w:left="2160" w:hanging="360"/>
      </w:pPr>
      <w:rPr>
        <w:rFonts w:ascii="Wingdings" w:hAnsi="Wingdings" w:hint="default"/>
      </w:rPr>
    </w:lvl>
    <w:lvl w:ilvl="3" w:tplc="6F3CC046" w:tentative="1">
      <w:start w:val="1"/>
      <w:numFmt w:val="bullet"/>
      <w:lvlText w:val=""/>
      <w:lvlJc w:val="left"/>
      <w:pPr>
        <w:ind w:left="2880" w:hanging="360"/>
      </w:pPr>
      <w:rPr>
        <w:rFonts w:ascii="Symbol" w:hAnsi="Symbol" w:hint="default"/>
      </w:rPr>
    </w:lvl>
    <w:lvl w:ilvl="4" w:tplc="D9E0F0EE" w:tentative="1">
      <w:start w:val="1"/>
      <w:numFmt w:val="bullet"/>
      <w:lvlText w:val="o"/>
      <w:lvlJc w:val="left"/>
      <w:pPr>
        <w:ind w:left="3600" w:hanging="360"/>
      </w:pPr>
      <w:rPr>
        <w:rFonts w:ascii="Courier New" w:hAnsi="Courier New" w:cs="Courier New" w:hint="default"/>
      </w:rPr>
    </w:lvl>
    <w:lvl w:ilvl="5" w:tplc="743ED386" w:tentative="1">
      <w:start w:val="1"/>
      <w:numFmt w:val="bullet"/>
      <w:lvlText w:val=""/>
      <w:lvlJc w:val="left"/>
      <w:pPr>
        <w:ind w:left="4320" w:hanging="360"/>
      </w:pPr>
      <w:rPr>
        <w:rFonts w:ascii="Wingdings" w:hAnsi="Wingdings" w:hint="default"/>
      </w:rPr>
    </w:lvl>
    <w:lvl w:ilvl="6" w:tplc="581C7FCE" w:tentative="1">
      <w:start w:val="1"/>
      <w:numFmt w:val="bullet"/>
      <w:lvlText w:val=""/>
      <w:lvlJc w:val="left"/>
      <w:pPr>
        <w:ind w:left="5040" w:hanging="360"/>
      </w:pPr>
      <w:rPr>
        <w:rFonts w:ascii="Symbol" w:hAnsi="Symbol" w:hint="default"/>
      </w:rPr>
    </w:lvl>
    <w:lvl w:ilvl="7" w:tplc="6D027FB2" w:tentative="1">
      <w:start w:val="1"/>
      <w:numFmt w:val="bullet"/>
      <w:lvlText w:val="o"/>
      <w:lvlJc w:val="left"/>
      <w:pPr>
        <w:ind w:left="5760" w:hanging="360"/>
      </w:pPr>
      <w:rPr>
        <w:rFonts w:ascii="Courier New" w:hAnsi="Courier New" w:cs="Courier New" w:hint="default"/>
      </w:rPr>
    </w:lvl>
    <w:lvl w:ilvl="8" w:tplc="69E26FDC" w:tentative="1">
      <w:start w:val="1"/>
      <w:numFmt w:val="bullet"/>
      <w:lvlText w:val=""/>
      <w:lvlJc w:val="left"/>
      <w:pPr>
        <w:ind w:left="6480" w:hanging="360"/>
      </w:pPr>
      <w:rPr>
        <w:rFonts w:ascii="Wingdings" w:hAnsi="Wingdings" w:hint="default"/>
      </w:rPr>
    </w:lvl>
  </w:abstractNum>
  <w:abstractNum w:abstractNumId="7" w15:restartNumberingAfterBreak="0">
    <w:nsid w:val="4C1D27E6"/>
    <w:multiLevelType w:val="hybridMultilevel"/>
    <w:tmpl w:val="7C16EDAE"/>
    <w:lvl w:ilvl="0" w:tplc="FFFFFFFF">
      <w:start w:val="1"/>
      <w:numFmt w:val="bullet"/>
      <w:lvlText w:val=""/>
      <w:lvlJc w:val="left"/>
      <w:pPr>
        <w:tabs>
          <w:tab w:val="num" w:pos="774"/>
        </w:tabs>
        <w:ind w:left="737" w:hanging="737"/>
      </w:pPr>
      <w:rPr>
        <w:rFonts w:ascii="Symbol" w:hAnsi="Symbol" w:hint="default"/>
        <w:color w:val="auto"/>
        <w:sz w:val="18"/>
        <w:szCs w:val="18"/>
      </w:rPr>
    </w:lvl>
    <w:lvl w:ilvl="1" w:tplc="FFFFFFFF">
      <w:start w:val="1"/>
      <w:numFmt w:val="bullet"/>
      <w:lvlText w:val=""/>
      <w:lvlJc w:val="left"/>
      <w:pPr>
        <w:tabs>
          <w:tab w:val="num" w:pos="1090"/>
        </w:tabs>
        <w:ind w:left="1090" w:hanging="360"/>
      </w:pPr>
      <w:rPr>
        <w:rFonts w:ascii="Symbol" w:hAnsi="Symbol" w:hint="default"/>
        <w:color w:val="auto"/>
        <w:sz w:val="18"/>
        <w:szCs w:val="18"/>
      </w:rPr>
    </w:lvl>
    <w:lvl w:ilvl="2" w:tplc="FFFFFFFF">
      <w:start w:val="1"/>
      <w:numFmt w:val="bullet"/>
      <w:lvlText w:val=""/>
      <w:lvlJc w:val="left"/>
      <w:pPr>
        <w:tabs>
          <w:tab w:val="num" w:pos="1810"/>
        </w:tabs>
        <w:ind w:left="1810" w:hanging="360"/>
      </w:pPr>
      <w:rPr>
        <w:rFonts w:ascii="Wingdings" w:hAnsi="Wingdings" w:hint="default"/>
      </w:rPr>
    </w:lvl>
    <w:lvl w:ilvl="3" w:tplc="FFFFFFFF" w:tentative="1">
      <w:start w:val="1"/>
      <w:numFmt w:val="bullet"/>
      <w:lvlText w:val=""/>
      <w:lvlJc w:val="left"/>
      <w:pPr>
        <w:tabs>
          <w:tab w:val="num" w:pos="2530"/>
        </w:tabs>
        <w:ind w:left="2530" w:hanging="360"/>
      </w:pPr>
      <w:rPr>
        <w:rFonts w:ascii="Symbol" w:hAnsi="Symbol" w:hint="default"/>
      </w:rPr>
    </w:lvl>
    <w:lvl w:ilvl="4" w:tplc="FFFFFFFF" w:tentative="1">
      <w:start w:val="1"/>
      <w:numFmt w:val="bullet"/>
      <w:lvlText w:val="o"/>
      <w:lvlJc w:val="left"/>
      <w:pPr>
        <w:tabs>
          <w:tab w:val="num" w:pos="3250"/>
        </w:tabs>
        <w:ind w:left="3250" w:hanging="360"/>
      </w:pPr>
      <w:rPr>
        <w:rFonts w:ascii="Courier New" w:hAnsi="Courier New" w:cs="Courier New" w:hint="default"/>
      </w:rPr>
    </w:lvl>
    <w:lvl w:ilvl="5" w:tplc="FFFFFFFF" w:tentative="1">
      <w:start w:val="1"/>
      <w:numFmt w:val="bullet"/>
      <w:lvlText w:val=""/>
      <w:lvlJc w:val="left"/>
      <w:pPr>
        <w:tabs>
          <w:tab w:val="num" w:pos="3970"/>
        </w:tabs>
        <w:ind w:left="3970" w:hanging="360"/>
      </w:pPr>
      <w:rPr>
        <w:rFonts w:ascii="Wingdings" w:hAnsi="Wingdings" w:hint="default"/>
      </w:rPr>
    </w:lvl>
    <w:lvl w:ilvl="6" w:tplc="FFFFFFFF" w:tentative="1">
      <w:start w:val="1"/>
      <w:numFmt w:val="bullet"/>
      <w:lvlText w:val=""/>
      <w:lvlJc w:val="left"/>
      <w:pPr>
        <w:tabs>
          <w:tab w:val="num" w:pos="4690"/>
        </w:tabs>
        <w:ind w:left="4690" w:hanging="360"/>
      </w:pPr>
      <w:rPr>
        <w:rFonts w:ascii="Symbol" w:hAnsi="Symbol" w:hint="default"/>
      </w:rPr>
    </w:lvl>
    <w:lvl w:ilvl="7" w:tplc="FFFFFFFF" w:tentative="1">
      <w:start w:val="1"/>
      <w:numFmt w:val="bullet"/>
      <w:lvlText w:val="o"/>
      <w:lvlJc w:val="left"/>
      <w:pPr>
        <w:tabs>
          <w:tab w:val="num" w:pos="5410"/>
        </w:tabs>
        <w:ind w:left="5410" w:hanging="360"/>
      </w:pPr>
      <w:rPr>
        <w:rFonts w:ascii="Courier New" w:hAnsi="Courier New" w:cs="Courier New" w:hint="default"/>
      </w:rPr>
    </w:lvl>
    <w:lvl w:ilvl="8" w:tplc="FFFFFFFF" w:tentative="1">
      <w:start w:val="1"/>
      <w:numFmt w:val="bullet"/>
      <w:lvlText w:val=""/>
      <w:lvlJc w:val="left"/>
      <w:pPr>
        <w:tabs>
          <w:tab w:val="num" w:pos="6130"/>
        </w:tabs>
        <w:ind w:left="6130" w:hanging="360"/>
      </w:pPr>
      <w:rPr>
        <w:rFonts w:ascii="Wingdings" w:hAnsi="Wingdings" w:hint="default"/>
      </w:rPr>
    </w:lvl>
  </w:abstractNum>
  <w:abstractNum w:abstractNumId="8" w15:restartNumberingAfterBreak="0">
    <w:nsid w:val="4D656535"/>
    <w:multiLevelType w:val="hybridMultilevel"/>
    <w:tmpl w:val="ACAAA7EA"/>
    <w:lvl w:ilvl="0" w:tplc="02D4D958">
      <w:start w:val="1"/>
      <w:numFmt w:val="upperRoman"/>
      <w:pStyle w:val="SUBTITULO1"/>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036466E"/>
    <w:multiLevelType w:val="hybridMultilevel"/>
    <w:tmpl w:val="52D070C8"/>
    <w:lvl w:ilvl="0" w:tplc="4796DB6A">
      <w:start w:val="1"/>
      <w:numFmt w:val="bullet"/>
      <w:pStyle w:val="VIETAFLECHA"/>
      <w:lvlText w:val=""/>
      <w:lvlJc w:val="left"/>
      <w:pPr>
        <w:ind w:left="3621" w:hanging="360"/>
      </w:pPr>
      <w:rPr>
        <w:rFonts w:ascii="Wingdings" w:hAnsi="Wingdings" w:hint="default"/>
      </w:rPr>
    </w:lvl>
    <w:lvl w:ilvl="1" w:tplc="0C0A0003" w:tentative="1">
      <w:start w:val="1"/>
      <w:numFmt w:val="bullet"/>
      <w:lvlText w:val="o"/>
      <w:lvlJc w:val="left"/>
      <w:pPr>
        <w:ind w:left="4341" w:hanging="360"/>
      </w:pPr>
      <w:rPr>
        <w:rFonts w:ascii="Courier New" w:hAnsi="Courier New" w:cs="Courier New" w:hint="default"/>
      </w:rPr>
    </w:lvl>
    <w:lvl w:ilvl="2" w:tplc="0C0A0005" w:tentative="1">
      <w:start w:val="1"/>
      <w:numFmt w:val="bullet"/>
      <w:lvlText w:val=""/>
      <w:lvlJc w:val="left"/>
      <w:pPr>
        <w:ind w:left="5061" w:hanging="360"/>
      </w:pPr>
      <w:rPr>
        <w:rFonts w:ascii="Wingdings" w:hAnsi="Wingdings" w:hint="default"/>
      </w:rPr>
    </w:lvl>
    <w:lvl w:ilvl="3" w:tplc="0C0A0001" w:tentative="1">
      <w:start w:val="1"/>
      <w:numFmt w:val="bullet"/>
      <w:lvlText w:val=""/>
      <w:lvlJc w:val="left"/>
      <w:pPr>
        <w:ind w:left="5781" w:hanging="360"/>
      </w:pPr>
      <w:rPr>
        <w:rFonts w:ascii="Symbol" w:hAnsi="Symbol" w:hint="default"/>
      </w:rPr>
    </w:lvl>
    <w:lvl w:ilvl="4" w:tplc="0C0A0003" w:tentative="1">
      <w:start w:val="1"/>
      <w:numFmt w:val="bullet"/>
      <w:lvlText w:val="o"/>
      <w:lvlJc w:val="left"/>
      <w:pPr>
        <w:ind w:left="6501" w:hanging="360"/>
      </w:pPr>
      <w:rPr>
        <w:rFonts w:ascii="Courier New" w:hAnsi="Courier New" w:cs="Courier New" w:hint="default"/>
      </w:rPr>
    </w:lvl>
    <w:lvl w:ilvl="5" w:tplc="0C0A0005" w:tentative="1">
      <w:start w:val="1"/>
      <w:numFmt w:val="bullet"/>
      <w:lvlText w:val=""/>
      <w:lvlJc w:val="left"/>
      <w:pPr>
        <w:ind w:left="7221" w:hanging="360"/>
      </w:pPr>
      <w:rPr>
        <w:rFonts w:ascii="Wingdings" w:hAnsi="Wingdings" w:hint="default"/>
      </w:rPr>
    </w:lvl>
    <w:lvl w:ilvl="6" w:tplc="0C0A0001" w:tentative="1">
      <w:start w:val="1"/>
      <w:numFmt w:val="bullet"/>
      <w:lvlText w:val=""/>
      <w:lvlJc w:val="left"/>
      <w:pPr>
        <w:ind w:left="7941" w:hanging="360"/>
      </w:pPr>
      <w:rPr>
        <w:rFonts w:ascii="Symbol" w:hAnsi="Symbol" w:hint="default"/>
      </w:rPr>
    </w:lvl>
    <w:lvl w:ilvl="7" w:tplc="0C0A0003" w:tentative="1">
      <w:start w:val="1"/>
      <w:numFmt w:val="bullet"/>
      <w:lvlText w:val="o"/>
      <w:lvlJc w:val="left"/>
      <w:pPr>
        <w:ind w:left="8661" w:hanging="360"/>
      </w:pPr>
      <w:rPr>
        <w:rFonts w:ascii="Courier New" w:hAnsi="Courier New" w:cs="Courier New" w:hint="default"/>
      </w:rPr>
    </w:lvl>
    <w:lvl w:ilvl="8" w:tplc="0C0A0005" w:tentative="1">
      <w:start w:val="1"/>
      <w:numFmt w:val="bullet"/>
      <w:lvlText w:val=""/>
      <w:lvlJc w:val="left"/>
      <w:pPr>
        <w:ind w:left="9381" w:hanging="360"/>
      </w:pPr>
      <w:rPr>
        <w:rFonts w:ascii="Wingdings" w:hAnsi="Wingdings" w:hint="default"/>
      </w:rPr>
    </w:lvl>
  </w:abstractNum>
  <w:abstractNum w:abstractNumId="10" w15:restartNumberingAfterBreak="0">
    <w:nsid w:val="60E04CE2"/>
    <w:multiLevelType w:val="hybridMultilevel"/>
    <w:tmpl w:val="8F567154"/>
    <w:lvl w:ilvl="0" w:tplc="A7EC93FC">
      <w:start w:val="1"/>
      <w:numFmt w:val="bullet"/>
      <w:pStyle w:val="VIETACUADRO"/>
      <w:lvlText w:val=""/>
      <w:lvlJc w:val="left"/>
      <w:pPr>
        <w:ind w:left="1117" w:hanging="360"/>
      </w:pPr>
      <w:rPr>
        <w:rFonts w:ascii="Wingdings" w:hAnsi="Wingdings"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11" w15:restartNumberingAfterBreak="0">
    <w:nsid w:val="683B72D8"/>
    <w:multiLevelType w:val="multilevel"/>
    <w:tmpl w:val="080A0021"/>
    <w:lvl w:ilvl="0">
      <w:start w:val="1"/>
      <w:numFmt w:val="bullet"/>
      <w:lvlText w:val=""/>
      <w:lvlJc w:val="left"/>
      <w:pPr>
        <w:ind w:left="717" w:hanging="360"/>
      </w:pPr>
      <w:rPr>
        <w:rFonts w:ascii="Wingdings" w:hAnsi="Wingdings" w:hint="default"/>
      </w:rPr>
    </w:lvl>
    <w:lvl w:ilvl="1">
      <w:start w:val="1"/>
      <w:numFmt w:val="bullet"/>
      <w:lvlText w:val=""/>
      <w:lvlJc w:val="left"/>
      <w:pPr>
        <w:ind w:left="1077" w:hanging="360"/>
      </w:pPr>
      <w:rPr>
        <w:rFonts w:ascii="Wingdings" w:hAnsi="Wingdings" w:hint="default"/>
      </w:rPr>
    </w:lvl>
    <w:lvl w:ilvl="2">
      <w:start w:val="1"/>
      <w:numFmt w:val="bullet"/>
      <w:lvlText w:val=""/>
      <w:lvlJc w:val="left"/>
      <w:pPr>
        <w:ind w:left="1437" w:hanging="360"/>
      </w:pPr>
      <w:rPr>
        <w:rFonts w:ascii="Wingdings" w:hAnsi="Wingdings" w:hint="default"/>
      </w:rPr>
    </w:lvl>
    <w:lvl w:ilvl="3">
      <w:start w:val="1"/>
      <w:numFmt w:val="bullet"/>
      <w:lvlText w:val=""/>
      <w:lvlJc w:val="left"/>
      <w:pPr>
        <w:ind w:left="1797" w:hanging="360"/>
      </w:pPr>
      <w:rPr>
        <w:rFonts w:ascii="Symbol" w:hAnsi="Symbol" w:hint="default"/>
      </w:rPr>
    </w:lvl>
    <w:lvl w:ilvl="4">
      <w:start w:val="1"/>
      <w:numFmt w:val="bullet"/>
      <w:lvlText w:val=""/>
      <w:lvlJc w:val="left"/>
      <w:pPr>
        <w:ind w:left="2157" w:hanging="360"/>
      </w:pPr>
      <w:rPr>
        <w:rFonts w:ascii="Symbol" w:hAnsi="Symbol" w:hint="default"/>
      </w:rPr>
    </w:lvl>
    <w:lvl w:ilvl="5">
      <w:start w:val="1"/>
      <w:numFmt w:val="bullet"/>
      <w:lvlText w:val=""/>
      <w:lvlJc w:val="left"/>
      <w:pPr>
        <w:ind w:left="2517" w:hanging="360"/>
      </w:pPr>
      <w:rPr>
        <w:rFonts w:ascii="Wingdings" w:hAnsi="Wingdings" w:hint="default"/>
      </w:rPr>
    </w:lvl>
    <w:lvl w:ilvl="6">
      <w:start w:val="1"/>
      <w:numFmt w:val="bullet"/>
      <w:lvlText w:val=""/>
      <w:lvlJc w:val="left"/>
      <w:pPr>
        <w:ind w:left="2877" w:hanging="360"/>
      </w:pPr>
      <w:rPr>
        <w:rFonts w:ascii="Wingdings" w:hAnsi="Wingdings" w:hint="default"/>
      </w:rPr>
    </w:lvl>
    <w:lvl w:ilvl="7">
      <w:start w:val="1"/>
      <w:numFmt w:val="bullet"/>
      <w:lvlText w:val=""/>
      <w:lvlJc w:val="left"/>
      <w:pPr>
        <w:ind w:left="3237" w:hanging="360"/>
      </w:pPr>
      <w:rPr>
        <w:rFonts w:ascii="Symbol" w:hAnsi="Symbol" w:hint="default"/>
      </w:rPr>
    </w:lvl>
    <w:lvl w:ilvl="8">
      <w:start w:val="1"/>
      <w:numFmt w:val="bullet"/>
      <w:lvlText w:val=""/>
      <w:lvlJc w:val="left"/>
      <w:pPr>
        <w:ind w:left="3597" w:hanging="360"/>
      </w:pPr>
      <w:rPr>
        <w:rFonts w:ascii="Symbol" w:hAnsi="Symbol" w:hint="default"/>
      </w:rPr>
    </w:lvl>
  </w:abstractNum>
  <w:abstractNum w:abstractNumId="12" w15:restartNumberingAfterBreak="0">
    <w:nsid w:val="6B346A81"/>
    <w:multiLevelType w:val="hybridMultilevel"/>
    <w:tmpl w:val="2780D62A"/>
    <w:lvl w:ilvl="0" w:tplc="041CEC96">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C122ACD"/>
    <w:multiLevelType w:val="hybridMultilevel"/>
    <w:tmpl w:val="6F58F5A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D773546"/>
    <w:multiLevelType w:val="multilevel"/>
    <w:tmpl w:val="DDC6AB52"/>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B46498"/>
    <w:multiLevelType w:val="hybridMultilevel"/>
    <w:tmpl w:val="BE30B5B8"/>
    <w:lvl w:ilvl="0" w:tplc="D1C278A6">
      <w:start w:val="1"/>
      <w:numFmt w:val="bullet"/>
      <w:lvlText w:val="–"/>
      <w:lvlJc w:val="left"/>
      <w:pPr>
        <w:ind w:left="720" w:hanging="360"/>
      </w:pPr>
      <w:rPr>
        <w:rFonts w:ascii="Vrinda" w:hAnsi="Vrind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29A42D5"/>
    <w:multiLevelType w:val="hybridMultilevel"/>
    <w:tmpl w:val="6422ECDE"/>
    <w:lvl w:ilvl="0" w:tplc="8C4E33AE">
      <w:start w:val="1"/>
      <w:numFmt w:val="bullet"/>
      <w:pStyle w:val="VIETABALA"/>
      <w:lvlText w:val=""/>
      <w:lvlJc w:val="left"/>
      <w:pPr>
        <w:ind w:left="1083" w:hanging="360"/>
      </w:pPr>
      <w:rPr>
        <w:rFonts w:ascii="Symbol" w:hAnsi="Symbol" w:hint="default"/>
      </w:rPr>
    </w:lvl>
    <w:lvl w:ilvl="1" w:tplc="080A0003" w:tentative="1">
      <w:start w:val="1"/>
      <w:numFmt w:val="bullet"/>
      <w:lvlText w:val="o"/>
      <w:lvlJc w:val="left"/>
      <w:pPr>
        <w:ind w:left="1803" w:hanging="360"/>
      </w:pPr>
      <w:rPr>
        <w:rFonts w:ascii="Courier New" w:hAnsi="Courier New" w:cs="Courier New" w:hint="default"/>
      </w:rPr>
    </w:lvl>
    <w:lvl w:ilvl="2" w:tplc="080A0005" w:tentative="1">
      <w:start w:val="1"/>
      <w:numFmt w:val="bullet"/>
      <w:lvlText w:val=""/>
      <w:lvlJc w:val="left"/>
      <w:pPr>
        <w:ind w:left="2523" w:hanging="360"/>
      </w:pPr>
      <w:rPr>
        <w:rFonts w:ascii="Wingdings" w:hAnsi="Wingdings" w:hint="default"/>
      </w:rPr>
    </w:lvl>
    <w:lvl w:ilvl="3" w:tplc="080A0001" w:tentative="1">
      <w:start w:val="1"/>
      <w:numFmt w:val="bullet"/>
      <w:lvlText w:val=""/>
      <w:lvlJc w:val="left"/>
      <w:pPr>
        <w:ind w:left="3243" w:hanging="360"/>
      </w:pPr>
      <w:rPr>
        <w:rFonts w:ascii="Symbol" w:hAnsi="Symbol" w:hint="default"/>
      </w:rPr>
    </w:lvl>
    <w:lvl w:ilvl="4" w:tplc="080A0003" w:tentative="1">
      <w:start w:val="1"/>
      <w:numFmt w:val="bullet"/>
      <w:lvlText w:val="o"/>
      <w:lvlJc w:val="left"/>
      <w:pPr>
        <w:ind w:left="3963" w:hanging="360"/>
      </w:pPr>
      <w:rPr>
        <w:rFonts w:ascii="Courier New" w:hAnsi="Courier New" w:cs="Courier New" w:hint="default"/>
      </w:rPr>
    </w:lvl>
    <w:lvl w:ilvl="5" w:tplc="080A0005" w:tentative="1">
      <w:start w:val="1"/>
      <w:numFmt w:val="bullet"/>
      <w:lvlText w:val=""/>
      <w:lvlJc w:val="left"/>
      <w:pPr>
        <w:ind w:left="4683" w:hanging="360"/>
      </w:pPr>
      <w:rPr>
        <w:rFonts w:ascii="Wingdings" w:hAnsi="Wingdings" w:hint="default"/>
      </w:rPr>
    </w:lvl>
    <w:lvl w:ilvl="6" w:tplc="080A0001" w:tentative="1">
      <w:start w:val="1"/>
      <w:numFmt w:val="bullet"/>
      <w:lvlText w:val=""/>
      <w:lvlJc w:val="left"/>
      <w:pPr>
        <w:ind w:left="5403" w:hanging="360"/>
      </w:pPr>
      <w:rPr>
        <w:rFonts w:ascii="Symbol" w:hAnsi="Symbol" w:hint="default"/>
      </w:rPr>
    </w:lvl>
    <w:lvl w:ilvl="7" w:tplc="080A0003" w:tentative="1">
      <w:start w:val="1"/>
      <w:numFmt w:val="bullet"/>
      <w:lvlText w:val="o"/>
      <w:lvlJc w:val="left"/>
      <w:pPr>
        <w:ind w:left="6123" w:hanging="360"/>
      </w:pPr>
      <w:rPr>
        <w:rFonts w:ascii="Courier New" w:hAnsi="Courier New" w:cs="Courier New" w:hint="default"/>
      </w:rPr>
    </w:lvl>
    <w:lvl w:ilvl="8" w:tplc="080A0005" w:tentative="1">
      <w:start w:val="1"/>
      <w:numFmt w:val="bullet"/>
      <w:lvlText w:val=""/>
      <w:lvlJc w:val="left"/>
      <w:pPr>
        <w:ind w:left="6843" w:hanging="360"/>
      </w:pPr>
      <w:rPr>
        <w:rFonts w:ascii="Wingdings" w:hAnsi="Wingdings" w:hint="default"/>
      </w:rPr>
    </w:lvl>
  </w:abstractNum>
  <w:num w:numId="1">
    <w:abstractNumId w:val="9"/>
  </w:num>
  <w:num w:numId="2">
    <w:abstractNumId w:val="5"/>
  </w:num>
  <w:num w:numId="3">
    <w:abstractNumId w:val="15"/>
  </w:num>
  <w:num w:numId="4">
    <w:abstractNumId w:val="10"/>
  </w:num>
  <w:num w:numId="5">
    <w:abstractNumId w:val="7"/>
  </w:num>
  <w:num w:numId="6">
    <w:abstractNumId w:val="1"/>
  </w:num>
  <w:num w:numId="7">
    <w:abstractNumId w:val="3"/>
  </w:num>
  <w:num w:numId="8">
    <w:abstractNumId w:val="0"/>
  </w:num>
  <w:num w:numId="9">
    <w:abstractNumId w:val="14"/>
  </w:num>
  <w:num w:numId="10">
    <w:abstractNumId w:val="2"/>
  </w:num>
  <w:num w:numId="11">
    <w:abstractNumId w:val="12"/>
  </w:num>
  <w:num w:numId="12">
    <w:abstractNumId w:val="8"/>
  </w:num>
  <w:num w:numId="13">
    <w:abstractNumId w:val="16"/>
  </w:num>
  <w:num w:numId="14">
    <w:abstractNumId w:val="13"/>
  </w:num>
  <w:num w:numId="15">
    <w:abstractNumId w:val="11"/>
  </w:num>
  <w:num w:numId="16">
    <w:abstractNumId w:val="6"/>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86"/>
    <w:rsid w:val="0002094D"/>
    <w:rsid w:val="00054DF3"/>
    <w:rsid w:val="00064C04"/>
    <w:rsid w:val="00071FC7"/>
    <w:rsid w:val="00074B57"/>
    <w:rsid w:val="00087A9F"/>
    <w:rsid w:val="000A0BE0"/>
    <w:rsid w:val="000A7D36"/>
    <w:rsid w:val="000B1893"/>
    <w:rsid w:val="000C006C"/>
    <w:rsid w:val="000C4898"/>
    <w:rsid w:val="000E29E2"/>
    <w:rsid w:val="000E397D"/>
    <w:rsid w:val="00102975"/>
    <w:rsid w:val="001121F1"/>
    <w:rsid w:val="00135026"/>
    <w:rsid w:val="00135C64"/>
    <w:rsid w:val="00137B77"/>
    <w:rsid w:val="00140DD8"/>
    <w:rsid w:val="00144201"/>
    <w:rsid w:val="001456F2"/>
    <w:rsid w:val="001527E5"/>
    <w:rsid w:val="0016170C"/>
    <w:rsid w:val="00180068"/>
    <w:rsid w:val="00180F7A"/>
    <w:rsid w:val="001A6F92"/>
    <w:rsid w:val="001B6970"/>
    <w:rsid w:val="001C2BC1"/>
    <w:rsid w:val="001D5174"/>
    <w:rsid w:val="001F44BC"/>
    <w:rsid w:val="001F704D"/>
    <w:rsid w:val="00214A5C"/>
    <w:rsid w:val="002162DC"/>
    <w:rsid w:val="00243B68"/>
    <w:rsid w:val="0026536E"/>
    <w:rsid w:val="00280F04"/>
    <w:rsid w:val="00295657"/>
    <w:rsid w:val="00297378"/>
    <w:rsid w:val="002A6003"/>
    <w:rsid w:val="002B2B9A"/>
    <w:rsid w:val="002C6D54"/>
    <w:rsid w:val="002D375F"/>
    <w:rsid w:val="002E3903"/>
    <w:rsid w:val="003132EB"/>
    <w:rsid w:val="003140E1"/>
    <w:rsid w:val="003156C2"/>
    <w:rsid w:val="00316552"/>
    <w:rsid w:val="00324E97"/>
    <w:rsid w:val="00325567"/>
    <w:rsid w:val="00337B1D"/>
    <w:rsid w:val="00346C94"/>
    <w:rsid w:val="003504B8"/>
    <w:rsid w:val="003545D5"/>
    <w:rsid w:val="00354816"/>
    <w:rsid w:val="00357C25"/>
    <w:rsid w:val="003620C7"/>
    <w:rsid w:val="00367A65"/>
    <w:rsid w:val="0037216F"/>
    <w:rsid w:val="00394863"/>
    <w:rsid w:val="003A3DE2"/>
    <w:rsid w:val="003B53D7"/>
    <w:rsid w:val="003C00CB"/>
    <w:rsid w:val="003D58B5"/>
    <w:rsid w:val="003E461D"/>
    <w:rsid w:val="003E766E"/>
    <w:rsid w:val="004225BE"/>
    <w:rsid w:val="00423930"/>
    <w:rsid w:val="00432C9A"/>
    <w:rsid w:val="00434B83"/>
    <w:rsid w:val="00476C78"/>
    <w:rsid w:val="0047740A"/>
    <w:rsid w:val="00477E89"/>
    <w:rsid w:val="00483C33"/>
    <w:rsid w:val="0049749F"/>
    <w:rsid w:val="004B4093"/>
    <w:rsid w:val="004D069F"/>
    <w:rsid w:val="004D7AE8"/>
    <w:rsid w:val="004E0D88"/>
    <w:rsid w:val="004F1C8D"/>
    <w:rsid w:val="004F7BC1"/>
    <w:rsid w:val="005162BD"/>
    <w:rsid w:val="0052326A"/>
    <w:rsid w:val="00566761"/>
    <w:rsid w:val="005746EA"/>
    <w:rsid w:val="0059235A"/>
    <w:rsid w:val="00592634"/>
    <w:rsid w:val="00597430"/>
    <w:rsid w:val="005A0BAD"/>
    <w:rsid w:val="005A25EE"/>
    <w:rsid w:val="005B2E30"/>
    <w:rsid w:val="005B6274"/>
    <w:rsid w:val="005C3538"/>
    <w:rsid w:val="005D6C6A"/>
    <w:rsid w:val="0060339B"/>
    <w:rsid w:val="0060492B"/>
    <w:rsid w:val="006370F0"/>
    <w:rsid w:val="00642744"/>
    <w:rsid w:val="00654D98"/>
    <w:rsid w:val="00667DEF"/>
    <w:rsid w:val="006851CC"/>
    <w:rsid w:val="00686E7A"/>
    <w:rsid w:val="006C6BDB"/>
    <w:rsid w:val="006E1043"/>
    <w:rsid w:val="006F3468"/>
    <w:rsid w:val="00701187"/>
    <w:rsid w:val="00703220"/>
    <w:rsid w:val="0071159A"/>
    <w:rsid w:val="00724052"/>
    <w:rsid w:val="007258CD"/>
    <w:rsid w:val="00730623"/>
    <w:rsid w:val="00735E33"/>
    <w:rsid w:val="0074349B"/>
    <w:rsid w:val="00744EE0"/>
    <w:rsid w:val="007546B7"/>
    <w:rsid w:val="00760530"/>
    <w:rsid w:val="00771E13"/>
    <w:rsid w:val="007843E5"/>
    <w:rsid w:val="007939D8"/>
    <w:rsid w:val="007A20B9"/>
    <w:rsid w:val="007A30B7"/>
    <w:rsid w:val="007B3665"/>
    <w:rsid w:val="007B3F4A"/>
    <w:rsid w:val="007B718B"/>
    <w:rsid w:val="007C7497"/>
    <w:rsid w:val="007D2C09"/>
    <w:rsid w:val="0080604E"/>
    <w:rsid w:val="00815F35"/>
    <w:rsid w:val="00837361"/>
    <w:rsid w:val="00837B33"/>
    <w:rsid w:val="00850BB3"/>
    <w:rsid w:val="008607B0"/>
    <w:rsid w:val="008651DA"/>
    <w:rsid w:val="008741BF"/>
    <w:rsid w:val="00884C1B"/>
    <w:rsid w:val="008B733C"/>
    <w:rsid w:val="008C5C0F"/>
    <w:rsid w:val="008E5267"/>
    <w:rsid w:val="008E750B"/>
    <w:rsid w:val="008F73DE"/>
    <w:rsid w:val="00905EBC"/>
    <w:rsid w:val="00906759"/>
    <w:rsid w:val="00916400"/>
    <w:rsid w:val="00921686"/>
    <w:rsid w:val="00925415"/>
    <w:rsid w:val="00934114"/>
    <w:rsid w:val="0094007B"/>
    <w:rsid w:val="00986E82"/>
    <w:rsid w:val="00992D4F"/>
    <w:rsid w:val="009A70DB"/>
    <w:rsid w:val="009B3B06"/>
    <w:rsid w:val="009C09F6"/>
    <w:rsid w:val="009C61CC"/>
    <w:rsid w:val="009F61CA"/>
    <w:rsid w:val="009F68DF"/>
    <w:rsid w:val="00A0170A"/>
    <w:rsid w:val="00A10A7B"/>
    <w:rsid w:val="00A12E78"/>
    <w:rsid w:val="00A21113"/>
    <w:rsid w:val="00A260B0"/>
    <w:rsid w:val="00A27D71"/>
    <w:rsid w:val="00A33B32"/>
    <w:rsid w:val="00A46E56"/>
    <w:rsid w:val="00A53CDB"/>
    <w:rsid w:val="00A62EAA"/>
    <w:rsid w:val="00A80DC6"/>
    <w:rsid w:val="00A8290D"/>
    <w:rsid w:val="00A872D1"/>
    <w:rsid w:val="00A87E00"/>
    <w:rsid w:val="00AA3BF8"/>
    <w:rsid w:val="00AB077E"/>
    <w:rsid w:val="00AC2541"/>
    <w:rsid w:val="00AD10AF"/>
    <w:rsid w:val="00AD4D06"/>
    <w:rsid w:val="00AD5ACF"/>
    <w:rsid w:val="00AE6195"/>
    <w:rsid w:val="00AE6A13"/>
    <w:rsid w:val="00AF5A64"/>
    <w:rsid w:val="00B01E1D"/>
    <w:rsid w:val="00B15D40"/>
    <w:rsid w:val="00B52D8A"/>
    <w:rsid w:val="00B751F9"/>
    <w:rsid w:val="00B91081"/>
    <w:rsid w:val="00B925A3"/>
    <w:rsid w:val="00B97257"/>
    <w:rsid w:val="00BB4E83"/>
    <w:rsid w:val="00BC6283"/>
    <w:rsid w:val="00BF13EB"/>
    <w:rsid w:val="00BF4C86"/>
    <w:rsid w:val="00C05301"/>
    <w:rsid w:val="00C05FD8"/>
    <w:rsid w:val="00C066E3"/>
    <w:rsid w:val="00C42756"/>
    <w:rsid w:val="00C50E99"/>
    <w:rsid w:val="00C55164"/>
    <w:rsid w:val="00C60401"/>
    <w:rsid w:val="00C62D2F"/>
    <w:rsid w:val="00C75284"/>
    <w:rsid w:val="00C7671E"/>
    <w:rsid w:val="00C86735"/>
    <w:rsid w:val="00C95125"/>
    <w:rsid w:val="00CB202B"/>
    <w:rsid w:val="00CD349B"/>
    <w:rsid w:val="00CE7C4E"/>
    <w:rsid w:val="00CF14D4"/>
    <w:rsid w:val="00D10E6A"/>
    <w:rsid w:val="00D14CF2"/>
    <w:rsid w:val="00D20BB5"/>
    <w:rsid w:val="00D24800"/>
    <w:rsid w:val="00D27309"/>
    <w:rsid w:val="00D36914"/>
    <w:rsid w:val="00DB52EE"/>
    <w:rsid w:val="00DC1500"/>
    <w:rsid w:val="00DC1F31"/>
    <w:rsid w:val="00DD1231"/>
    <w:rsid w:val="00E0234E"/>
    <w:rsid w:val="00E139E7"/>
    <w:rsid w:val="00E20300"/>
    <w:rsid w:val="00E40C7B"/>
    <w:rsid w:val="00E5221C"/>
    <w:rsid w:val="00E5371E"/>
    <w:rsid w:val="00EA16A0"/>
    <w:rsid w:val="00EA176D"/>
    <w:rsid w:val="00EA52CE"/>
    <w:rsid w:val="00EA7995"/>
    <w:rsid w:val="00EB6B86"/>
    <w:rsid w:val="00EC31CB"/>
    <w:rsid w:val="00EC6078"/>
    <w:rsid w:val="00EC7354"/>
    <w:rsid w:val="00EE4874"/>
    <w:rsid w:val="00EF2794"/>
    <w:rsid w:val="00F23704"/>
    <w:rsid w:val="00F34D8C"/>
    <w:rsid w:val="00F353A2"/>
    <w:rsid w:val="00F3654D"/>
    <w:rsid w:val="00F37BFA"/>
    <w:rsid w:val="00F438DE"/>
    <w:rsid w:val="00F44CA0"/>
    <w:rsid w:val="00F522AD"/>
    <w:rsid w:val="00F61314"/>
    <w:rsid w:val="00F62A94"/>
    <w:rsid w:val="00F62C5A"/>
    <w:rsid w:val="00F75AE6"/>
    <w:rsid w:val="00F80280"/>
    <w:rsid w:val="00F8423B"/>
    <w:rsid w:val="00FA0795"/>
    <w:rsid w:val="00FA678E"/>
    <w:rsid w:val="00FB71EB"/>
    <w:rsid w:val="00FD1425"/>
    <w:rsid w:val="00FD184A"/>
    <w:rsid w:val="00FF0047"/>
    <w:rsid w:val="00FF2870"/>
    <w:rsid w:val="00FF50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843A2A-2432-45B1-A286-26EDBF11A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C4E"/>
    <w:pPr>
      <w:spacing w:after="160" w:line="259" w:lineRule="auto"/>
    </w:pPr>
    <w:rPr>
      <w:sz w:val="22"/>
      <w:szCs w:val="22"/>
      <w:lang w:val="es-ES" w:eastAsia="en-US"/>
    </w:rPr>
  </w:style>
  <w:style w:type="paragraph" w:styleId="Ttulo1">
    <w:name w:val="heading 1"/>
    <w:basedOn w:val="Normal"/>
    <w:next w:val="Normal"/>
    <w:link w:val="Ttulo1Car"/>
    <w:uiPriority w:val="9"/>
    <w:rsid w:val="00B01E1D"/>
    <w:pPr>
      <w:keepNext/>
      <w:keepLines/>
      <w:numPr>
        <w:numId w:val="9"/>
      </w:numPr>
      <w:spacing w:before="480" w:after="240" w:line="240" w:lineRule="auto"/>
      <w:ind w:left="357" w:hanging="357"/>
      <w:outlineLvl w:val="0"/>
    </w:pPr>
    <w:rPr>
      <w:rFonts w:ascii="Soberana Sans Light" w:eastAsia="Times New Roman" w:hAnsi="Soberana Sans Light"/>
      <w:b/>
      <w:sz w:val="18"/>
      <w:szCs w:val="18"/>
      <w:lang w:val="es-MX"/>
    </w:rPr>
  </w:style>
  <w:style w:type="paragraph" w:styleId="Ttulo2">
    <w:name w:val="heading 2"/>
    <w:basedOn w:val="Normal"/>
    <w:next w:val="Normal"/>
    <w:link w:val="Ttulo2Car"/>
    <w:uiPriority w:val="9"/>
    <w:unhideWhenUsed/>
    <w:rsid w:val="00B01E1D"/>
    <w:pPr>
      <w:keepNext/>
      <w:keepLines/>
      <w:numPr>
        <w:ilvl w:val="1"/>
        <w:numId w:val="9"/>
      </w:numPr>
      <w:tabs>
        <w:tab w:val="left" w:pos="426"/>
      </w:tabs>
      <w:spacing w:before="240" w:after="120" w:line="250" w:lineRule="exact"/>
      <w:ind w:left="425" w:hanging="431"/>
      <w:jc w:val="both"/>
      <w:outlineLvl w:val="1"/>
    </w:pPr>
    <w:rPr>
      <w:rFonts w:ascii="Soberana Sans Light" w:eastAsia="Times New Roman" w:hAnsi="Soberana Sans Light"/>
      <w:b/>
      <w:sz w:val="18"/>
      <w:szCs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B01E1D"/>
    <w:rPr>
      <w:rFonts w:ascii="Soberana Sans Light" w:eastAsia="Times New Roman" w:hAnsi="Soberana Sans Light"/>
      <w:b/>
      <w:sz w:val="18"/>
      <w:szCs w:val="18"/>
      <w:lang w:val="es-MX" w:eastAsia="en-US"/>
    </w:rPr>
  </w:style>
  <w:style w:type="character" w:customStyle="1" w:styleId="Ttulo2Car">
    <w:name w:val="Título 2 Car"/>
    <w:link w:val="Ttulo2"/>
    <w:uiPriority w:val="9"/>
    <w:rsid w:val="00B01E1D"/>
    <w:rPr>
      <w:rFonts w:ascii="Soberana Sans Light" w:eastAsia="Times New Roman" w:hAnsi="Soberana Sans Light"/>
      <w:b/>
      <w:sz w:val="18"/>
      <w:szCs w:val="18"/>
      <w:lang w:val="es-MX" w:eastAsia="en-US"/>
    </w:rPr>
  </w:style>
  <w:style w:type="paragraph" w:styleId="Encabezado">
    <w:name w:val="header"/>
    <w:basedOn w:val="Normal"/>
    <w:link w:val="EncabezadoCar"/>
    <w:uiPriority w:val="99"/>
    <w:unhideWhenUsed/>
    <w:rsid w:val="00477E89"/>
    <w:pPr>
      <w:tabs>
        <w:tab w:val="center" w:pos="4419"/>
        <w:tab w:val="right" w:pos="8838"/>
      </w:tabs>
    </w:pPr>
    <w:rPr>
      <w:rFonts w:ascii="Montserrat Light" w:hAnsi="Montserrat Light"/>
      <w:smallCaps/>
      <w:sz w:val="32"/>
    </w:rPr>
  </w:style>
  <w:style w:type="character" w:customStyle="1" w:styleId="EncabezadoCar">
    <w:name w:val="Encabezado Car"/>
    <w:link w:val="Encabezado"/>
    <w:uiPriority w:val="99"/>
    <w:rsid w:val="00477E89"/>
    <w:rPr>
      <w:rFonts w:ascii="Montserrat Light" w:hAnsi="Montserrat Light"/>
      <w:smallCaps/>
      <w:sz w:val="32"/>
      <w:szCs w:val="22"/>
      <w:lang w:val="es-ES" w:eastAsia="en-US"/>
    </w:rPr>
  </w:style>
  <w:style w:type="paragraph" w:styleId="Textodeglobo">
    <w:name w:val="Balloon Text"/>
    <w:basedOn w:val="Normal"/>
    <w:link w:val="TextodegloboCar"/>
    <w:uiPriority w:val="99"/>
    <w:semiHidden/>
    <w:unhideWhenUsed/>
    <w:rsid w:val="00837361"/>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37361"/>
    <w:rPr>
      <w:rFonts w:ascii="Segoe UI" w:hAnsi="Segoe UI" w:cs="Segoe UI"/>
      <w:sz w:val="18"/>
      <w:szCs w:val="18"/>
      <w:lang w:eastAsia="en-US"/>
    </w:rPr>
  </w:style>
  <w:style w:type="paragraph" w:customStyle="1" w:styleId="TEXTONORMAL">
    <w:name w:val="TEXTO_NORMAL"/>
    <w:basedOn w:val="Normal"/>
    <w:qFormat/>
    <w:rsid w:val="0060492B"/>
    <w:pPr>
      <w:spacing w:after="120" w:line="250" w:lineRule="exact"/>
      <w:jc w:val="both"/>
    </w:pPr>
    <w:rPr>
      <w:rFonts w:ascii="Montserrat" w:hAnsi="Montserrat"/>
      <w:sz w:val="18"/>
      <w:szCs w:val="18"/>
    </w:rPr>
  </w:style>
  <w:style w:type="paragraph" w:customStyle="1" w:styleId="VIETAFLECHA">
    <w:name w:val="VIÑETA_FLECHA"/>
    <w:basedOn w:val="TEXTONORMAL"/>
    <w:next w:val="TEXTONORMAL"/>
    <w:qFormat/>
    <w:rsid w:val="003E766E"/>
    <w:pPr>
      <w:numPr>
        <w:numId w:val="1"/>
      </w:numPr>
      <w:ind w:left="357" w:hanging="357"/>
    </w:pPr>
  </w:style>
  <w:style w:type="paragraph" w:customStyle="1" w:styleId="VIETAROMBO">
    <w:name w:val="VIÑETA_ROMBO"/>
    <w:basedOn w:val="VIETAFLECHA"/>
    <w:next w:val="TEXTONORMAL"/>
    <w:qFormat/>
    <w:rsid w:val="003E766E"/>
    <w:pPr>
      <w:numPr>
        <w:numId w:val="2"/>
      </w:numPr>
      <w:ind w:left="714" w:hanging="357"/>
    </w:pPr>
  </w:style>
  <w:style w:type="paragraph" w:customStyle="1" w:styleId="VIETACUADRO">
    <w:name w:val="VIÑETA_CUADRO"/>
    <w:basedOn w:val="VIETAROMBO"/>
    <w:next w:val="TEXTONORMAL"/>
    <w:qFormat/>
    <w:rsid w:val="00C60401"/>
    <w:pPr>
      <w:numPr>
        <w:numId w:val="4"/>
      </w:numPr>
      <w:ind w:left="1305" w:hanging="284"/>
    </w:pPr>
  </w:style>
  <w:style w:type="paragraph" w:customStyle="1" w:styleId="NOTAALPIE">
    <w:name w:val="NOTA_AL_PIE"/>
    <w:basedOn w:val="TEXTONORMAL"/>
    <w:next w:val="TEXTONORMAL"/>
    <w:qFormat/>
    <w:rsid w:val="002A6003"/>
    <w:pPr>
      <w:tabs>
        <w:tab w:val="left" w:pos="170"/>
      </w:tabs>
      <w:spacing w:line="240" w:lineRule="auto"/>
      <w:ind w:left="170" w:hanging="170"/>
    </w:pPr>
    <w:rPr>
      <w:sz w:val="16"/>
    </w:rPr>
  </w:style>
  <w:style w:type="paragraph" w:styleId="Textonotapie">
    <w:name w:val="footnote text"/>
    <w:basedOn w:val="Normal"/>
    <w:link w:val="TextonotapieCar"/>
    <w:uiPriority w:val="99"/>
    <w:semiHidden/>
    <w:unhideWhenUsed/>
    <w:rsid w:val="003C00CB"/>
    <w:rPr>
      <w:sz w:val="20"/>
      <w:szCs w:val="20"/>
    </w:rPr>
  </w:style>
  <w:style w:type="character" w:customStyle="1" w:styleId="TextonotapieCar">
    <w:name w:val="Texto nota pie Car"/>
    <w:link w:val="Textonotapie"/>
    <w:uiPriority w:val="99"/>
    <w:semiHidden/>
    <w:rsid w:val="003C00CB"/>
    <w:rPr>
      <w:lang w:eastAsia="en-US"/>
    </w:rPr>
  </w:style>
  <w:style w:type="character" w:styleId="Refdenotaalpie">
    <w:name w:val="footnote reference"/>
    <w:uiPriority w:val="99"/>
    <w:semiHidden/>
    <w:unhideWhenUsed/>
    <w:rsid w:val="003C00CB"/>
    <w:rPr>
      <w:vertAlign w:val="superscript"/>
    </w:rPr>
  </w:style>
  <w:style w:type="paragraph" w:styleId="Piedepgina">
    <w:name w:val="footer"/>
    <w:basedOn w:val="Normal"/>
    <w:link w:val="PiedepginaCar"/>
    <w:uiPriority w:val="99"/>
    <w:unhideWhenUsed/>
    <w:qFormat/>
    <w:rsid w:val="00477E89"/>
    <w:pPr>
      <w:tabs>
        <w:tab w:val="center" w:pos="4419"/>
        <w:tab w:val="right" w:pos="8838"/>
      </w:tabs>
    </w:pPr>
    <w:rPr>
      <w:rFonts w:ascii="Montserrat Light" w:hAnsi="Montserrat Light"/>
      <w:sz w:val="16"/>
    </w:rPr>
  </w:style>
  <w:style w:type="character" w:customStyle="1" w:styleId="PiedepginaCar">
    <w:name w:val="Pie de página Car"/>
    <w:link w:val="Piedepgina"/>
    <w:uiPriority w:val="99"/>
    <w:rsid w:val="00477E89"/>
    <w:rPr>
      <w:rFonts w:ascii="Montserrat Light" w:hAnsi="Montserrat Light"/>
      <w:sz w:val="16"/>
      <w:szCs w:val="22"/>
      <w:lang w:val="es-ES" w:eastAsia="en-US"/>
    </w:rPr>
  </w:style>
  <w:style w:type="table" w:styleId="Tablaconcuadrcula">
    <w:name w:val="Table Grid"/>
    <w:basedOn w:val="Tablanormal"/>
    <w:uiPriority w:val="39"/>
    <w:rsid w:val="00B01E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S">
    <w:name w:val="TITULOS"/>
    <w:basedOn w:val="Normal"/>
    <w:next w:val="TEXTONORMAL"/>
    <w:qFormat/>
    <w:rsid w:val="0060492B"/>
    <w:pPr>
      <w:spacing w:after="120" w:line="280" w:lineRule="exact"/>
      <w:jc w:val="center"/>
    </w:pPr>
    <w:rPr>
      <w:rFonts w:ascii="Montserrat SemiBold" w:hAnsi="Montserrat SemiBold"/>
      <w:caps/>
      <w:sz w:val="24"/>
      <w:szCs w:val="20"/>
      <w:lang w:val="es-MX"/>
    </w:rPr>
  </w:style>
  <w:style w:type="paragraph" w:customStyle="1" w:styleId="PIEPAGENTE">
    <w:name w:val="PIE_PAG_ENTE"/>
    <w:basedOn w:val="Encabezado"/>
    <w:qFormat/>
    <w:rsid w:val="003545D5"/>
    <w:pPr>
      <w:spacing w:after="0" w:line="240" w:lineRule="auto"/>
      <w:jc w:val="center"/>
    </w:pPr>
    <w:rPr>
      <w:sz w:val="18"/>
      <w:szCs w:val="16"/>
    </w:rPr>
  </w:style>
  <w:style w:type="paragraph" w:customStyle="1" w:styleId="SUBTITULO2">
    <w:name w:val="SUBTITULO_2"/>
    <w:basedOn w:val="Normal"/>
    <w:next w:val="TEXTONORMAL"/>
    <w:qFormat/>
    <w:rsid w:val="00C60401"/>
    <w:pPr>
      <w:spacing w:before="240" w:after="120" w:line="250" w:lineRule="exact"/>
    </w:pPr>
    <w:rPr>
      <w:rFonts w:ascii="Montserrat" w:hAnsi="Montserrat"/>
      <w:b/>
      <w:caps/>
      <w:szCs w:val="18"/>
      <w:lang w:val="es-MX"/>
    </w:rPr>
  </w:style>
  <w:style w:type="paragraph" w:customStyle="1" w:styleId="SUBTITULO1">
    <w:name w:val="SUBTITULO_1"/>
    <w:basedOn w:val="Normal"/>
    <w:next w:val="TEXTONORMAL"/>
    <w:qFormat/>
    <w:rsid w:val="00C60401"/>
    <w:pPr>
      <w:numPr>
        <w:numId w:val="12"/>
      </w:numPr>
      <w:spacing w:before="240" w:after="120" w:line="250" w:lineRule="exact"/>
      <w:ind w:left="357" w:hanging="357"/>
    </w:pPr>
    <w:rPr>
      <w:rFonts w:ascii="Montserrat" w:hAnsi="Montserrat"/>
      <w:b/>
      <w:caps/>
      <w:szCs w:val="18"/>
      <w:lang w:val="es-MX"/>
    </w:rPr>
  </w:style>
  <w:style w:type="paragraph" w:customStyle="1" w:styleId="VIETABALA">
    <w:name w:val="VIÑETA_BALA"/>
    <w:basedOn w:val="VIETAFLECHA"/>
    <w:next w:val="TEXTONORMAL"/>
    <w:qFormat/>
    <w:rsid w:val="002A6003"/>
    <w:pPr>
      <w:numPr>
        <w:numId w:val="13"/>
      </w:numPr>
      <w:ind w:left="998" w:hanging="284"/>
    </w:pPr>
    <w:rPr>
      <w:lang w:val="es-MX"/>
    </w:rPr>
  </w:style>
  <w:style w:type="paragraph" w:styleId="Prrafodelista">
    <w:name w:val="List Paragraph"/>
    <w:basedOn w:val="Normal"/>
    <w:uiPriority w:val="34"/>
    <w:qFormat/>
    <w:rsid w:val="00837B33"/>
    <w:pPr>
      <w:spacing w:after="200" w:line="276" w:lineRule="auto"/>
      <w:ind w:left="720"/>
      <w:contextualSpacing/>
    </w:pPr>
    <w:rPr>
      <w:lang w:val="es-MX"/>
    </w:rPr>
  </w:style>
  <w:style w:type="paragraph" w:customStyle="1" w:styleId="Predeterminado">
    <w:name w:val="Predeterminado"/>
    <w:rsid w:val="00837B33"/>
    <w:pPr>
      <w:tabs>
        <w:tab w:val="left" w:pos="708"/>
      </w:tabs>
      <w:suppressAutoHyphens/>
      <w:spacing w:after="200" w:line="276" w:lineRule="auto"/>
    </w:pPr>
    <w:rPr>
      <w:sz w:val="22"/>
      <w:szCs w:val="22"/>
      <w:lang w:eastAsia="en-US"/>
    </w:rPr>
  </w:style>
  <w:style w:type="paragraph" w:customStyle="1" w:styleId="NOTAALPIE0">
    <w:name w:val="NOTA AL PIE"/>
    <w:basedOn w:val="TEXTONORMAL"/>
    <w:next w:val="TEXTONORMAL"/>
    <w:qFormat/>
    <w:rsid w:val="00C50E99"/>
    <w:pPr>
      <w:spacing w:line="240" w:lineRule="auto"/>
      <w:ind w:left="340" w:hanging="340"/>
    </w:pPr>
    <w:rPr>
      <w:rFonts w:ascii="Soberana Sans Light" w:hAnsi="Soberana Sans Light"/>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6666">
      <w:bodyDiv w:val="1"/>
      <w:marLeft w:val="0"/>
      <w:marRight w:val="0"/>
      <w:marTop w:val="0"/>
      <w:marBottom w:val="0"/>
      <w:divBdr>
        <w:top w:val="none" w:sz="0" w:space="0" w:color="auto"/>
        <w:left w:val="none" w:sz="0" w:space="0" w:color="auto"/>
        <w:bottom w:val="none" w:sz="0" w:space="0" w:color="auto"/>
        <w:right w:val="none" w:sz="0" w:space="0" w:color="auto"/>
      </w:divBdr>
    </w:div>
    <w:div w:id="167524968">
      <w:bodyDiv w:val="1"/>
      <w:marLeft w:val="0"/>
      <w:marRight w:val="0"/>
      <w:marTop w:val="0"/>
      <w:marBottom w:val="0"/>
      <w:divBdr>
        <w:top w:val="none" w:sz="0" w:space="0" w:color="auto"/>
        <w:left w:val="none" w:sz="0" w:space="0" w:color="auto"/>
        <w:bottom w:val="none" w:sz="0" w:space="0" w:color="auto"/>
        <w:right w:val="none" w:sz="0" w:space="0" w:color="auto"/>
      </w:divBdr>
    </w:div>
    <w:div w:id="176046838">
      <w:bodyDiv w:val="1"/>
      <w:marLeft w:val="0"/>
      <w:marRight w:val="0"/>
      <w:marTop w:val="0"/>
      <w:marBottom w:val="0"/>
      <w:divBdr>
        <w:top w:val="none" w:sz="0" w:space="0" w:color="auto"/>
        <w:left w:val="none" w:sz="0" w:space="0" w:color="auto"/>
        <w:bottom w:val="none" w:sz="0" w:space="0" w:color="auto"/>
        <w:right w:val="none" w:sz="0" w:space="0" w:color="auto"/>
      </w:divBdr>
    </w:div>
    <w:div w:id="322859590">
      <w:bodyDiv w:val="1"/>
      <w:marLeft w:val="0"/>
      <w:marRight w:val="0"/>
      <w:marTop w:val="0"/>
      <w:marBottom w:val="0"/>
      <w:divBdr>
        <w:top w:val="none" w:sz="0" w:space="0" w:color="auto"/>
        <w:left w:val="none" w:sz="0" w:space="0" w:color="auto"/>
        <w:bottom w:val="none" w:sz="0" w:space="0" w:color="auto"/>
        <w:right w:val="none" w:sz="0" w:space="0" w:color="auto"/>
      </w:divBdr>
    </w:div>
    <w:div w:id="425158013">
      <w:bodyDiv w:val="1"/>
      <w:marLeft w:val="0"/>
      <w:marRight w:val="0"/>
      <w:marTop w:val="0"/>
      <w:marBottom w:val="0"/>
      <w:divBdr>
        <w:top w:val="none" w:sz="0" w:space="0" w:color="auto"/>
        <w:left w:val="none" w:sz="0" w:space="0" w:color="auto"/>
        <w:bottom w:val="none" w:sz="0" w:space="0" w:color="auto"/>
        <w:right w:val="none" w:sz="0" w:space="0" w:color="auto"/>
      </w:divBdr>
    </w:div>
    <w:div w:id="532958446">
      <w:bodyDiv w:val="1"/>
      <w:marLeft w:val="0"/>
      <w:marRight w:val="0"/>
      <w:marTop w:val="0"/>
      <w:marBottom w:val="0"/>
      <w:divBdr>
        <w:top w:val="none" w:sz="0" w:space="0" w:color="auto"/>
        <w:left w:val="none" w:sz="0" w:space="0" w:color="auto"/>
        <w:bottom w:val="none" w:sz="0" w:space="0" w:color="auto"/>
        <w:right w:val="none" w:sz="0" w:space="0" w:color="auto"/>
      </w:divBdr>
    </w:div>
    <w:div w:id="602686283">
      <w:bodyDiv w:val="1"/>
      <w:marLeft w:val="0"/>
      <w:marRight w:val="0"/>
      <w:marTop w:val="0"/>
      <w:marBottom w:val="0"/>
      <w:divBdr>
        <w:top w:val="none" w:sz="0" w:space="0" w:color="auto"/>
        <w:left w:val="none" w:sz="0" w:space="0" w:color="auto"/>
        <w:bottom w:val="none" w:sz="0" w:space="0" w:color="auto"/>
        <w:right w:val="none" w:sz="0" w:space="0" w:color="auto"/>
      </w:divBdr>
    </w:div>
    <w:div w:id="714163346">
      <w:bodyDiv w:val="1"/>
      <w:marLeft w:val="0"/>
      <w:marRight w:val="0"/>
      <w:marTop w:val="0"/>
      <w:marBottom w:val="0"/>
      <w:divBdr>
        <w:top w:val="none" w:sz="0" w:space="0" w:color="auto"/>
        <w:left w:val="none" w:sz="0" w:space="0" w:color="auto"/>
        <w:bottom w:val="none" w:sz="0" w:space="0" w:color="auto"/>
        <w:right w:val="none" w:sz="0" w:space="0" w:color="auto"/>
      </w:divBdr>
    </w:div>
    <w:div w:id="750811011">
      <w:bodyDiv w:val="1"/>
      <w:marLeft w:val="0"/>
      <w:marRight w:val="0"/>
      <w:marTop w:val="0"/>
      <w:marBottom w:val="0"/>
      <w:divBdr>
        <w:top w:val="none" w:sz="0" w:space="0" w:color="auto"/>
        <w:left w:val="none" w:sz="0" w:space="0" w:color="auto"/>
        <w:bottom w:val="none" w:sz="0" w:space="0" w:color="auto"/>
        <w:right w:val="none" w:sz="0" w:space="0" w:color="auto"/>
      </w:divBdr>
    </w:div>
    <w:div w:id="796725070">
      <w:bodyDiv w:val="1"/>
      <w:marLeft w:val="0"/>
      <w:marRight w:val="0"/>
      <w:marTop w:val="0"/>
      <w:marBottom w:val="0"/>
      <w:divBdr>
        <w:top w:val="none" w:sz="0" w:space="0" w:color="auto"/>
        <w:left w:val="none" w:sz="0" w:space="0" w:color="auto"/>
        <w:bottom w:val="none" w:sz="0" w:space="0" w:color="auto"/>
        <w:right w:val="none" w:sz="0" w:space="0" w:color="auto"/>
      </w:divBdr>
    </w:div>
    <w:div w:id="885024606">
      <w:bodyDiv w:val="1"/>
      <w:marLeft w:val="0"/>
      <w:marRight w:val="0"/>
      <w:marTop w:val="0"/>
      <w:marBottom w:val="0"/>
      <w:divBdr>
        <w:top w:val="none" w:sz="0" w:space="0" w:color="auto"/>
        <w:left w:val="none" w:sz="0" w:space="0" w:color="auto"/>
        <w:bottom w:val="none" w:sz="0" w:space="0" w:color="auto"/>
        <w:right w:val="none" w:sz="0" w:space="0" w:color="auto"/>
      </w:divBdr>
    </w:div>
    <w:div w:id="1064332165">
      <w:bodyDiv w:val="1"/>
      <w:marLeft w:val="0"/>
      <w:marRight w:val="0"/>
      <w:marTop w:val="0"/>
      <w:marBottom w:val="0"/>
      <w:divBdr>
        <w:top w:val="none" w:sz="0" w:space="0" w:color="auto"/>
        <w:left w:val="none" w:sz="0" w:space="0" w:color="auto"/>
        <w:bottom w:val="none" w:sz="0" w:space="0" w:color="auto"/>
        <w:right w:val="none" w:sz="0" w:space="0" w:color="auto"/>
      </w:divBdr>
    </w:div>
    <w:div w:id="1125007471">
      <w:bodyDiv w:val="1"/>
      <w:marLeft w:val="0"/>
      <w:marRight w:val="0"/>
      <w:marTop w:val="0"/>
      <w:marBottom w:val="0"/>
      <w:divBdr>
        <w:top w:val="none" w:sz="0" w:space="0" w:color="auto"/>
        <w:left w:val="none" w:sz="0" w:space="0" w:color="auto"/>
        <w:bottom w:val="none" w:sz="0" w:space="0" w:color="auto"/>
        <w:right w:val="none" w:sz="0" w:space="0" w:color="auto"/>
      </w:divBdr>
    </w:div>
    <w:div w:id="1131552466">
      <w:bodyDiv w:val="1"/>
      <w:marLeft w:val="0"/>
      <w:marRight w:val="0"/>
      <w:marTop w:val="0"/>
      <w:marBottom w:val="0"/>
      <w:divBdr>
        <w:top w:val="none" w:sz="0" w:space="0" w:color="auto"/>
        <w:left w:val="none" w:sz="0" w:space="0" w:color="auto"/>
        <w:bottom w:val="none" w:sz="0" w:space="0" w:color="auto"/>
        <w:right w:val="none" w:sz="0" w:space="0" w:color="auto"/>
      </w:divBdr>
    </w:div>
    <w:div w:id="1145470699">
      <w:bodyDiv w:val="1"/>
      <w:marLeft w:val="0"/>
      <w:marRight w:val="0"/>
      <w:marTop w:val="0"/>
      <w:marBottom w:val="0"/>
      <w:divBdr>
        <w:top w:val="none" w:sz="0" w:space="0" w:color="auto"/>
        <w:left w:val="none" w:sz="0" w:space="0" w:color="auto"/>
        <w:bottom w:val="none" w:sz="0" w:space="0" w:color="auto"/>
        <w:right w:val="none" w:sz="0" w:space="0" w:color="auto"/>
      </w:divBdr>
    </w:div>
    <w:div w:id="1467551861">
      <w:bodyDiv w:val="1"/>
      <w:marLeft w:val="0"/>
      <w:marRight w:val="0"/>
      <w:marTop w:val="0"/>
      <w:marBottom w:val="0"/>
      <w:divBdr>
        <w:top w:val="none" w:sz="0" w:space="0" w:color="auto"/>
        <w:left w:val="none" w:sz="0" w:space="0" w:color="auto"/>
        <w:bottom w:val="none" w:sz="0" w:space="0" w:color="auto"/>
        <w:right w:val="none" w:sz="0" w:space="0" w:color="auto"/>
      </w:divBdr>
    </w:div>
    <w:div w:id="1471092794">
      <w:bodyDiv w:val="1"/>
      <w:marLeft w:val="0"/>
      <w:marRight w:val="0"/>
      <w:marTop w:val="0"/>
      <w:marBottom w:val="0"/>
      <w:divBdr>
        <w:top w:val="none" w:sz="0" w:space="0" w:color="auto"/>
        <w:left w:val="none" w:sz="0" w:space="0" w:color="auto"/>
        <w:bottom w:val="none" w:sz="0" w:space="0" w:color="auto"/>
        <w:right w:val="none" w:sz="0" w:space="0" w:color="auto"/>
      </w:divBdr>
    </w:div>
    <w:div w:id="1533882357">
      <w:bodyDiv w:val="1"/>
      <w:marLeft w:val="0"/>
      <w:marRight w:val="0"/>
      <w:marTop w:val="0"/>
      <w:marBottom w:val="0"/>
      <w:divBdr>
        <w:top w:val="none" w:sz="0" w:space="0" w:color="auto"/>
        <w:left w:val="none" w:sz="0" w:space="0" w:color="auto"/>
        <w:bottom w:val="none" w:sz="0" w:space="0" w:color="auto"/>
        <w:right w:val="none" w:sz="0" w:space="0" w:color="auto"/>
      </w:divBdr>
    </w:div>
    <w:div w:id="1660845302">
      <w:bodyDiv w:val="1"/>
      <w:marLeft w:val="0"/>
      <w:marRight w:val="0"/>
      <w:marTop w:val="0"/>
      <w:marBottom w:val="0"/>
      <w:divBdr>
        <w:top w:val="none" w:sz="0" w:space="0" w:color="auto"/>
        <w:left w:val="none" w:sz="0" w:space="0" w:color="auto"/>
        <w:bottom w:val="none" w:sz="0" w:space="0" w:color="auto"/>
        <w:right w:val="none" w:sz="0" w:space="0" w:color="auto"/>
      </w:divBdr>
    </w:div>
    <w:div w:id="1662586913">
      <w:bodyDiv w:val="1"/>
      <w:marLeft w:val="0"/>
      <w:marRight w:val="0"/>
      <w:marTop w:val="0"/>
      <w:marBottom w:val="0"/>
      <w:divBdr>
        <w:top w:val="none" w:sz="0" w:space="0" w:color="auto"/>
        <w:left w:val="none" w:sz="0" w:space="0" w:color="auto"/>
        <w:bottom w:val="none" w:sz="0" w:space="0" w:color="auto"/>
        <w:right w:val="none" w:sz="0" w:space="0" w:color="auto"/>
      </w:divBdr>
    </w:div>
    <w:div w:id="1663391188">
      <w:bodyDiv w:val="1"/>
      <w:marLeft w:val="0"/>
      <w:marRight w:val="0"/>
      <w:marTop w:val="0"/>
      <w:marBottom w:val="0"/>
      <w:divBdr>
        <w:top w:val="none" w:sz="0" w:space="0" w:color="auto"/>
        <w:left w:val="none" w:sz="0" w:space="0" w:color="auto"/>
        <w:bottom w:val="none" w:sz="0" w:space="0" w:color="auto"/>
        <w:right w:val="none" w:sz="0" w:space="0" w:color="auto"/>
      </w:divBdr>
    </w:div>
    <w:div w:id="1704287105">
      <w:bodyDiv w:val="1"/>
      <w:marLeft w:val="0"/>
      <w:marRight w:val="0"/>
      <w:marTop w:val="0"/>
      <w:marBottom w:val="0"/>
      <w:divBdr>
        <w:top w:val="none" w:sz="0" w:space="0" w:color="auto"/>
        <w:left w:val="none" w:sz="0" w:space="0" w:color="auto"/>
        <w:bottom w:val="none" w:sz="0" w:space="0" w:color="auto"/>
        <w:right w:val="none" w:sz="0" w:space="0" w:color="auto"/>
      </w:divBdr>
    </w:div>
    <w:div w:id="1722746534">
      <w:bodyDiv w:val="1"/>
      <w:marLeft w:val="0"/>
      <w:marRight w:val="0"/>
      <w:marTop w:val="0"/>
      <w:marBottom w:val="0"/>
      <w:divBdr>
        <w:top w:val="none" w:sz="0" w:space="0" w:color="auto"/>
        <w:left w:val="none" w:sz="0" w:space="0" w:color="auto"/>
        <w:bottom w:val="none" w:sz="0" w:space="0" w:color="auto"/>
        <w:right w:val="none" w:sz="0" w:space="0" w:color="auto"/>
      </w:divBdr>
    </w:div>
    <w:div w:id="1747678197">
      <w:bodyDiv w:val="1"/>
      <w:marLeft w:val="0"/>
      <w:marRight w:val="0"/>
      <w:marTop w:val="0"/>
      <w:marBottom w:val="0"/>
      <w:divBdr>
        <w:top w:val="none" w:sz="0" w:space="0" w:color="auto"/>
        <w:left w:val="none" w:sz="0" w:space="0" w:color="auto"/>
        <w:bottom w:val="none" w:sz="0" w:space="0" w:color="auto"/>
        <w:right w:val="none" w:sz="0" w:space="0" w:color="auto"/>
      </w:divBdr>
    </w:div>
    <w:div w:id="1767768552">
      <w:bodyDiv w:val="1"/>
      <w:marLeft w:val="0"/>
      <w:marRight w:val="0"/>
      <w:marTop w:val="0"/>
      <w:marBottom w:val="0"/>
      <w:divBdr>
        <w:top w:val="none" w:sz="0" w:space="0" w:color="auto"/>
        <w:left w:val="none" w:sz="0" w:space="0" w:color="auto"/>
        <w:bottom w:val="none" w:sz="0" w:space="0" w:color="auto"/>
        <w:right w:val="none" w:sz="0" w:space="0" w:color="auto"/>
      </w:divBdr>
    </w:div>
    <w:div w:id="1777600358">
      <w:bodyDiv w:val="1"/>
      <w:marLeft w:val="0"/>
      <w:marRight w:val="0"/>
      <w:marTop w:val="0"/>
      <w:marBottom w:val="0"/>
      <w:divBdr>
        <w:top w:val="none" w:sz="0" w:space="0" w:color="auto"/>
        <w:left w:val="none" w:sz="0" w:space="0" w:color="auto"/>
        <w:bottom w:val="none" w:sz="0" w:space="0" w:color="auto"/>
        <w:right w:val="none" w:sz="0" w:space="0" w:color="auto"/>
      </w:divBdr>
    </w:div>
    <w:div w:id="1946842948">
      <w:bodyDiv w:val="1"/>
      <w:marLeft w:val="0"/>
      <w:marRight w:val="0"/>
      <w:marTop w:val="0"/>
      <w:marBottom w:val="0"/>
      <w:divBdr>
        <w:top w:val="none" w:sz="0" w:space="0" w:color="auto"/>
        <w:left w:val="none" w:sz="0" w:space="0" w:color="auto"/>
        <w:bottom w:val="none" w:sz="0" w:space="0" w:color="auto"/>
        <w:right w:val="none" w:sz="0" w:space="0" w:color="auto"/>
      </w:divBdr>
    </w:div>
    <w:div w:id="209073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TICI~1\AppData\Local\Temp\Rar$DIa0.053\Plantilla_Introducc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D7792-87DF-4805-BB22-D533BB06D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Plantilla_Introduccion.dot</Template>
  <TotalTime>22</TotalTime>
  <Pages>17</Pages>
  <Words>4745</Words>
  <Characters>26098</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Leticia Caballero Bravo</cp:lastModifiedBy>
  <cp:revision>8</cp:revision>
  <cp:lastPrinted>2019-01-10T19:54:00Z</cp:lastPrinted>
  <dcterms:created xsi:type="dcterms:W3CDTF">2019-04-13T00:58:00Z</dcterms:created>
  <dcterms:modified xsi:type="dcterms:W3CDTF">2019-04-25T02:10:00Z</dcterms:modified>
</cp:coreProperties>
</file>