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2F" w:rsidRPr="00964281" w:rsidRDefault="00C62D2F" w:rsidP="00AD5ACF">
      <w:pPr>
        <w:pStyle w:val="TITULOS"/>
        <w:rPr>
          <w:b/>
        </w:rPr>
      </w:pPr>
      <w:bookmarkStart w:id="0" w:name="_GoBack"/>
      <w:bookmarkEnd w:id="0"/>
    </w:p>
    <w:p w:rsidR="004E0D88" w:rsidRPr="00964281" w:rsidRDefault="00815F35" w:rsidP="00AD5ACF">
      <w:pPr>
        <w:pStyle w:val="TITULOS"/>
        <w:rPr>
          <w:b/>
        </w:rPr>
      </w:pPr>
      <w:r w:rsidRPr="00964281">
        <w:rPr>
          <w:b/>
        </w:rPr>
        <w:t>PODER LEGISLATIVO</w:t>
      </w:r>
    </w:p>
    <w:p w:rsidR="00AA3BF8" w:rsidRPr="00964281" w:rsidRDefault="0080604E" w:rsidP="00AA3BF8">
      <w:pPr>
        <w:pStyle w:val="TITULOS"/>
        <w:rPr>
          <w:b/>
        </w:rPr>
      </w:pPr>
      <w:r w:rsidRPr="00964281">
        <w:rPr>
          <w:b/>
        </w:rPr>
        <w:t>in</w:t>
      </w:r>
      <w:r w:rsidR="00FF5057" w:rsidRPr="00964281">
        <w:rPr>
          <w:b/>
        </w:rPr>
        <w:t>FORME DE PASIVOS CONTINGENTES</w:t>
      </w:r>
    </w:p>
    <w:p w:rsidR="00AD5ACF" w:rsidRDefault="00AD5ACF" w:rsidP="00BF4C86">
      <w:pPr>
        <w:pStyle w:val="TITULOS"/>
        <w:jc w:val="both"/>
        <w:rPr>
          <w:rFonts w:ascii="Montserrat" w:hAnsi="Montserrat"/>
          <w:caps w:val="0"/>
          <w:sz w:val="18"/>
          <w:szCs w:val="18"/>
          <w:lang w:val="es-ES"/>
        </w:rPr>
      </w:pPr>
    </w:p>
    <w:p w:rsidR="00C95125" w:rsidRPr="00C95125" w:rsidRDefault="00C95125" w:rsidP="00C95125">
      <w:pPr>
        <w:pStyle w:val="TEXTONORMAL"/>
      </w:pPr>
    </w:p>
    <w:p w:rsidR="00C50E99" w:rsidRDefault="00C50E99" w:rsidP="00C50E99">
      <w:pPr>
        <w:pStyle w:val="VIETAFLECHA"/>
      </w:pPr>
      <w:r w:rsidRPr="00C50E99">
        <w:t>La Cámara de Diputados informa lo siguiente:</w:t>
      </w:r>
    </w:p>
    <w:p w:rsidR="00C50E99" w:rsidRDefault="00C50E99" w:rsidP="00401FA2">
      <w:pPr>
        <w:pStyle w:val="TEXTONORMAL"/>
      </w:pPr>
      <w:r w:rsidRPr="00C50E99">
        <w:t>La Cámara de Diputados no cuenta con pasivos contingentes que reportar durante el ejercicio</w:t>
      </w:r>
    </w:p>
    <w:p w:rsidR="00C50E99" w:rsidRPr="00C50E99" w:rsidRDefault="00C50E99" w:rsidP="00C50E99">
      <w:pPr>
        <w:pStyle w:val="TEXTONORMAL"/>
      </w:pPr>
    </w:p>
    <w:p w:rsidR="00C50E99" w:rsidRDefault="00C50E99" w:rsidP="00C50E99">
      <w:pPr>
        <w:pStyle w:val="VIETAFLECHA"/>
      </w:pPr>
      <w:r w:rsidRPr="00C50E99">
        <w:t>La Cámara de Senadores informa lo siguiente:</w:t>
      </w:r>
    </w:p>
    <w:p w:rsidR="00C50E99" w:rsidRDefault="00C50E99" w:rsidP="00401FA2">
      <w:pPr>
        <w:pStyle w:val="TEXTONORMAL"/>
      </w:pPr>
      <w: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etcétera.</w:t>
      </w:r>
      <w:r>
        <w:rPr>
          <w:rStyle w:val="Refdenotaalpie"/>
        </w:rPr>
        <w:footnoteReference w:customMarkFollows="1" w:id="1"/>
        <w:t>1</w:t>
      </w:r>
    </w:p>
    <w:p w:rsidR="00EA6BCD" w:rsidRDefault="00C50E99" w:rsidP="00401FA2">
      <w:pPr>
        <w:pStyle w:val="TEXTONORMAL"/>
      </w:pPr>
      <w:r>
        <w:t xml:space="preserve">Los pasivos contingentes, su integración y valuación monetaria, así como la obligación de incorporarlos a los estados e informes contables de la Cámara de Senadores, de conformidad con la Ley General de Contabilidad Gubernamental y lineamientos del Consejo de Armonización Contable, se desglosan como sigue:   </w:t>
      </w:r>
    </w:p>
    <w:tbl>
      <w:tblPr>
        <w:tblW w:w="5670" w:type="dxa"/>
        <w:jc w:val="center"/>
        <w:tblCellMar>
          <w:left w:w="70" w:type="dxa"/>
          <w:right w:w="70" w:type="dxa"/>
        </w:tblCellMar>
        <w:tblLook w:val="04A0" w:firstRow="1" w:lastRow="0" w:firstColumn="1" w:lastColumn="0" w:noHBand="0" w:noVBand="1"/>
      </w:tblPr>
      <w:tblGrid>
        <w:gridCol w:w="5325"/>
        <w:gridCol w:w="1991"/>
      </w:tblGrid>
      <w:tr w:rsidR="00EA6BCD" w:rsidRPr="00EA6BCD" w:rsidTr="007B4F7F">
        <w:trPr>
          <w:trHeight w:val="285"/>
          <w:jc w:val="center"/>
        </w:trPr>
        <w:tc>
          <w:tcPr>
            <w:tcW w:w="7316" w:type="dxa"/>
            <w:gridSpan w:val="2"/>
            <w:tcBorders>
              <w:top w:val="nil"/>
              <w:left w:val="nil"/>
              <w:bottom w:val="single" w:sz="12" w:space="0" w:color="808080"/>
              <w:right w:val="nil"/>
            </w:tcBorders>
            <w:shd w:val="clear" w:color="auto" w:fill="auto"/>
            <w:noWrap/>
            <w:vAlign w:val="center"/>
            <w:hideMark/>
          </w:tcPr>
          <w:p w:rsidR="00EA6BCD" w:rsidRPr="00EA6BCD" w:rsidRDefault="00D257A8" w:rsidP="00EA6BCD">
            <w:pPr>
              <w:spacing w:after="0" w:line="240" w:lineRule="auto"/>
              <w:jc w:val="center"/>
              <w:rPr>
                <w:rFonts w:ascii="Montserrat" w:eastAsia="Times New Roman" w:hAnsi="Montserrat" w:cs="Arial"/>
                <w:sz w:val="16"/>
                <w:szCs w:val="16"/>
                <w:lang w:val="es-MX" w:eastAsia="es-MX"/>
              </w:rPr>
            </w:pPr>
            <w:r>
              <w:rPr>
                <w:rFonts w:ascii="Montserrat" w:eastAsia="Times New Roman" w:hAnsi="Montserrat" w:cs="Arial"/>
                <w:sz w:val="16"/>
                <w:szCs w:val="16"/>
                <w:lang w:val="es-MX" w:eastAsia="es-MX"/>
              </w:rPr>
              <w:t>(Pesos)</w:t>
            </w:r>
          </w:p>
        </w:tc>
      </w:tr>
      <w:tr w:rsidR="00EA6BCD" w:rsidRPr="00EA6BCD" w:rsidTr="007B4F7F">
        <w:trPr>
          <w:trHeight w:val="27"/>
          <w:jc w:val="center"/>
        </w:trPr>
        <w:tc>
          <w:tcPr>
            <w:tcW w:w="0" w:type="dxa"/>
            <w:gridSpan w:val="2"/>
            <w:tcBorders>
              <w:top w:val="single" w:sz="12" w:space="0" w:color="808080"/>
              <w:left w:val="nil"/>
              <w:bottom w:val="nil"/>
              <w:right w:val="nil"/>
            </w:tcBorders>
            <w:shd w:val="clear" w:color="auto" w:fill="auto"/>
            <w:vAlign w:val="center"/>
            <w:hideMark/>
          </w:tcPr>
          <w:p w:rsidR="00EA6BCD" w:rsidRPr="00C201DB" w:rsidRDefault="00EA6BCD" w:rsidP="00EA6BCD">
            <w:pPr>
              <w:spacing w:after="0" w:line="240" w:lineRule="auto"/>
              <w:jc w:val="center"/>
              <w:rPr>
                <w:rFonts w:ascii="Montserrat" w:eastAsia="Times New Roman" w:hAnsi="Montserrat" w:cs="Arial"/>
                <w:b/>
                <w:bCs/>
                <w:color w:val="000000"/>
                <w:sz w:val="2"/>
                <w:szCs w:val="10"/>
                <w:lang w:val="es-MX" w:eastAsia="es-MX"/>
              </w:rPr>
            </w:pPr>
          </w:p>
        </w:tc>
      </w:tr>
      <w:tr w:rsidR="00EA6BCD" w:rsidRPr="00EA6BCD" w:rsidTr="007B4F7F">
        <w:trPr>
          <w:trHeight w:val="255"/>
          <w:jc w:val="center"/>
        </w:trPr>
        <w:tc>
          <w:tcPr>
            <w:tcW w:w="5325" w:type="dxa"/>
            <w:tcBorders>
              <w:top w:val="nil"/>
              <w:left w:val="nil"/>
              <w:bottom w:val="nil"/>
              <w:right w:val="single" w:sz="8" w:space="0" w:color="FFFFFF"/>
            </w:tcBorders>
            <w:shd w:val="clear" w:color="000000" w:fill="D4C19C"/>
            <w:vAlign w:val="center"/>
            <w:hideMark/>
          </w:tcPr>
          <w:p w:rsidR="00EA6BCD" w:rsidRPr="00EA6BCD" w:rsidRDefault="00EA6BCD" w:rsidP="00EA6BCD">
            <w:pPr>
              <w:spacing w:after="0" w:line="240" w:lineRule="auto"/>
              <w:jc w:val="center"/>
              <w:rPr>
                <w:rFonts w:ascii="Montserrat" w:eastAsia="Times New Roman" w:hAnsi="Montserrat" w:cs="Arial"/>
                <w:b/>
                <w:bCs/>
                <w:color w:val="FFFFFF"/>
                <w:sz w:val="16"/>
                <w:szCs w:val="16"/>
                <w:lang w:val="es-MX" w:eastAsia="es-MX"/>
              </w:rPr>
            </w:pPr>
            <w:r>
              <w:rPr>
                <w:rFonts w:ascii="Montserrat" w:eastAsia="Times New Roman" w:hAnsi="Montserrat" w:cs="Arial"/>
                <w:b/>
                <w:bCs/>
                <w:color w:val="FFFFFF"/>
                <w:sz w:val="16"/>
                <w:szCs w:val="16"/>
                <w:lang w:val="es-MX" w:eastAsia="es-MX"/>
              </w:rPr>
              <w:t>Tipo de Nómina</w:t>
            </w:r>
          </w:p>
        </w:tc>
        <w:tc>
          <w:tcPr>
            <w:tcW w:w="1991" w:type="dxa"/>
            <w:tcBorders>
              <w:top w:val="nil"/>
              <w:left w:val="nil"/>
              <w:bottom w:val="nil"/>
              <w:right w:val="single" w:sz="8" w:space="0" w:color="FFFFFF"/>
            </w:tcBorders>
            <w:shd w:val="clear" w:color="000000" w:fill="D4C19C"/>
            <w:vAlign w:val="center"/>
            <w:hideMark/>
          </w:tcPr>
          <w:p w:rsidR="00EA6BCD" w:rsidRPr="00EA6BCD" w:rsidRDefault="00EA6BCD" w:rsidP="00EA6BCD">
            <w:pPr>
              <w:spacing w:after="0" w:line="240" w:lineRule="auto"/>
              <w:jc w:val="center"/>
              <w:rPr>
                <w:rFonts w:ascii="Montserrat" w:eastAsia="Times New Roman" w:hAnsi="Montserrat" w:cs="Arial"/>
                <w:b/>
                <w:bCs/>
                <w:color w:val="FFFFFF"/>
                <w:sz w:val="16"/>
                <w:szCs w:val="16"/>
                <w:lang w:val="es-MX" w:eastAsia="es-MX"/>
              </w:rPr>
            </w:pPr>
            <w:r>
              <w:rPr>
                <w:rFonts w:ascii="Montserrat" w:eastAsia="Times New Roman" w:hAnsi="Montserrat" w:cs="Arial"/>
                <w:b/>
                <w:bCs/>
                <w:color w:val="FFFFFF"/>
                <w:sz w:val="16"/>
                <w:szCs w:val="16"/>
                <w:lang w:val="es-MX" w:eastAsia="es-MX"/>
              </w:rPr>
              <w:t>Importe</w:t>
            </w:r>
          </w:p>
        </w:tc>
      </w:tr>
      <w:tr w:rsidR="00EA6BCD" w:rsidRPr="00EA6BCD" w:rsidTr="007B4F7F">
        <w:trPr>
          <w:trHeight w:val="41"/>
          <w:jc w:val="center"/>
        </w:trPr>
        <w:tc>
          <w:tcPr>
            <w:tcW w:w="7316" w:type="dxa"/>
            <w:gridSpan w:val="2"/>
            <w:tcBorders>
              <w:top w:val="nil"/>
              <w:left w:val="nil"/>
              <w:bottom w:val="double" w:sz="6" w:space="0" w:color="808080"/>
              <w:right w:val="nil"/>
            </w:tcBorders>
            <w:shd w:val="clear" w:color="auto" w:fill="auto"/>
            <w:vAlign w:val="center"/>
            <w:hideMark/>
          </w:tcPr>
          <w:p w:rsidR="00EA6BCD" w:rsidRPr="00EA6BCD" w:rsidRDefault="00EA6BCD" w:rsidP="00EA6BCD">
            <w:pPr>
              <w:spacing w:after="0" w:line="240" w:lineRule="auto"/>
              <w:jc w:val="center"/>
              <w:rPr>
                <w:rFonts w:ascii="Montserrat" w:eastAsia="Times New Roman" w:hAnsi="Montserrat" w:cs="Arial"/>
                <w:b/>
                <w:bCs/>
                <w:color w:val="000000"/>
                <w:sz w:val="4"/>
                <w:szCs w:val="4"/>
                <w:lang w:val="es-MX" w:eastAsia="es-MX"/>
              </w:rPr>
            </w:pPr>
          </w:p>
        </w:tc>
      </w:tr>
      <w:tr w:rsidR="00EA6BCD" w:rsidRPr="00EA6BCD" w:rsidTr="007B4F7F">
        <w:trPr>
          <w:trHeight w:val="270"/>
          <w:jc w:val="center"/>
        </w:trPr>
        <w:tc>
          <w:tcPr>
            <w:tcW w:w="5325" w:type="dxa"/>
            <w:tcBorders>
              <w:top w:val="nil"/>
              <w:left w:val="nil"/>
              <w:bottom w:val="nil"/>
              <w:right w:val="nil"/>
            </w:tcBorders>
            <w:shd w:val="clear" w:color="000000" w:fill="F2F2F2"/>
            <w:noWrap/>
            <w:vAlign w:val="center"/>
          </w:tcPr>
          <w:p w:rsidR="00EA6BCD" w:rsidRPr="00EA6BCD" w:rsidRDefault="00EA6BCD" w:rsidP="00EA6BCD">
            <w:pPr>
              <w:spacing w:after="0" w:line="240" w:lineRule="auto"/>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Personal legislativo</w:t>
            </w:r>
          </w:p>
        </w:tc>
        <w:tc>
          <w:tcPr>
            <w:tcW w:w="1991" w:type="dxa"/>
            <w:tcBorders>
              <w:top w:val="nil"/>
              <w:left w:val="nil"/>
              <w:bottom w:val="nil"/>
              <w:right w:val="nil"/>
            </w:tcBorders>
            <w:shd w:val="clear" w:color="000000" w:fill="F2F2F2"/>
            <w:vAlign w:val="center"/>
          </w:tcPr>
          <w:p w:rsidR="00EA6BCD" w:rsidRPr="00EA6BCD" w:rsidRDefault="00EA6BCD" w:rsidP="00EA6BCD">
            <w:pPr>
              <w:spacing w:after="0" w:line="240" w:lineRule="auto"/>
              <w:jc w:val="right"/>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 xml:space="preserve">       24,698,577.44 </w:t>
            </w:r>
          </w:p>
        </w:tc>
      </w:tr>
      <w:tr w:rsidR="00EA6BCD" w:rsidRPr="00EA6BCD" w:rsidTr="007B4F7F">
        <w:trPr>
          <w:trHeight w:val="270"/>
          <w:jc w:val="center"/>
        </w:trPr>
        <w:tc>
          <w:tcPr>
            <w:tcW w:w="5325" w:type="dxa"/>
            <w:tcBorders>
              <w:top w:val="nil"/>
              <w:left w:val="nil"/>
              <w:bottom w:val="nil"/>
              <w:right w:val="nil"/>
            </w:tcBorders>
            <w:shd w:val="clear" w:color="000000" w:fill="F2F2F2"/>
            <w:noWrap/>
            <w:vAlign w:val="center"/>
          </w:tcPr>
          <w:p w:rsidR="00EA6BCD" w:rsidRPr="00EA6BCD" w:rsidRDefault="00EA6BCD" w:rsidP="00EA6BCD">
            <w:pPr>
              <w:spacing w:after="0" w:line="240" w:lineRule="auto"/>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Personal de base</w:t>
            </w:r>
          </w:p>
        </w:tc>
        <w:tc>
          <w:tcPr>
            <w:tcW w:w="1991" w:type="dxa"/>
            <w:tcBorders>
              <w:top w:val="nil"/>
              <w:left w:val="nil"/>
              <w:bottom w:val="nil"/>
              <w:right w:val="nil"/>
            </w:tcBorders>
            <w:shd w:val="clear" w:color="000000" w:fill="F2F2F2"/>
            <w:vAlign w:val="center"/>
          </w:tcPr>
          <w:p w:rsidR="00EA6BCD" w:rsidRPr="00EA6BCD" w:rsidRDefault="00EA6BCD" w:rsidP="00EA6BCD">
            <w:pPr>
              <w:spacing w:after="0" w:line="240" w:lineRule="auto"/>
              <w:jc w:val="right"/>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 xml:space="preserve">       11,971,165.06 </w:t>
            </w:r>
          </w:p>
        </w:tc>
      </w:tr>
      <w:tr w:rsidR="00EA6BCD" w:rsidRPr="00EA6BCD" w:rsidTr="007B4F7F">
        <w:trPr>
          <w:trHeight w:val="270"/>
          <w:jc w:val="center"/>
        </w:trPr>
        <w:tc>
          <w:tcPr>
            <w:tcW w:w="5325" w:type="dxa"/>
            <w:tcBorders>
              <w:top w:val="nil"/>
              <w:left w:val="nil"/>
              <w:bottom w:val="nil"/>
              <w:right w:val="nil"/>
            </w:tcBorders>
            <w:shd w:val="clear" w:color="000000" w:fill="F2F2F2"/>
            <w:noWrap/>
            <w:vAlign w:val="center"/>
          </w:tcPr>
          <w:p w:rsidR="00EA6BCD" w:rsidRPr="00EA6BCD" w:rsidRDefault="00EA6BCD" w:rsidP="00EA6BCD">
            <w:pPr>
              <w:spacing w:after="0" w:line="240" w:lineRule="auto"/>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Personal Operativo de confianza</w:t>
            </w:r>
          </w:p>
        </w:tc>
        <w:tc>
          <w:tcPr>
            <w:tcW w:w="1991" w:type="dxa"/>
            <w:tcBorders>
              <w:top w:val="nil"/>
              <w:left w:val="nil"/>
              <w:bottom w:val="nil"/>
              <w:right w:val="nil"/>
            </w:tcBorders>
            <w:shd w:val="clear" w:color="000000" w:fill="F2F2F2"/>
            <w:vAlign w:val="center"/>
          </w:tcPr>
          <w:p w:rsidR="00EA6BCD" w:rsidRPr="00EA6BCD" w:rsidRDefault="00EA6BCD" w:rsidP="00EA6BCD">
            <w:pPr>
              <w:spacing w:after="0" w:line="240" w:lineRule="auto"/>
              <w:jc w:val="right"/>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 xml:space="preserve">         5,158,589.38 </w:t>
            </w:r>
          </w:p>
        </w:tc>
      </w:tr>
      <w:tr w:rsidR="00EA6BCD" w:rsidRPr="00EA6BCD" w:rsidTr="007B4F7F">
        <w:trPr>
          <w:trHeight w:val="255"/>
          <w:jc w:val="center"/>
        </w:trPr>
        <w:tc>
          <w:tcPr>
            <w:tcW w:w="5325" w:type="dxa"/>
            <w:tcBorders>
              <w:top w:val="nil"/>
              <w:left w:val="nil"/>
              <w:bottom w:val="nil"/>
              <w:right w:val="nil"/>
            </w:tcBorders>
            <w:shd w:val="clear" w:color="000000" w:fill="F2F2F2"/>
            <w:noWrap/>
            <w:vAlign w:val="center"/>
          </w:tcPr>
          <w:p w:rsidR="00EA6BCD" w:rsidRPr="00EA6BCD" w:rsidRDefault="00EA6BCD" w:rsidP="00EA6BCD">
            <w:pPr>
              <w:spacing w:after="0" w:line="240" w:lineRule="auto"/>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 xml:space="preserve">Personal del Servicio Civil de Carrera </w:t>
            </w:r>
          </w:p>
        </w:tc>
        <w:tc>
          <w:tcPr>
            <w:tcW w:w="1991" w:type="dxa"/>
            <w:tcBorders>
              <w:top w:val="nil"/>
              <w:left w:val="nil"/>
              <w:bottom w:val="nil"/>
              <w:right w:val="nil"/>
            </w:tcBorders>
            <w:shd w:val="clear" w:color="000000" w:fill="F2F2F2"/>
            <w:vAlign w:val="center"/>
          </w:tcPr>
          <w:p w:rsidR="00EA6BCD" w:rsidRPr="00EA6BCD" w:rsidRDefault="00EA6BCD" w:rsidP="00EA6BCD">
            <w:pPr>
              <w:spacing w:after="0" w:line="240" w:lineRule="auto"/>
              <w:jc w:val="right"/>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 xml:space="preserve">       10,134,515.30 </w:t>
            </w:r>
          </w:p>
        </w:tc>
      </w:tr>
      <w:tr w:rsidR="00EA6BCD" w:rsidRPr="00EA6BCD" w:rsidTr="007B4F7F">
        <w:trPr>
          <w:trHeight w:val="255"/>
          <w:jc w:val="center"/>
        </w:trPr>
        <w:tc>
          <w:tcPr>
            <w:tcW w:w="5325" w:type="dxa"/>
            <w:tcBorders>
              <w:top w:val="nil"/>
              <w:left w:val="nil"/>
              <w:bottom w:val="nil"/>
              <w:right w:val="nil"/>
            </w:tcBorders>
            <w:shd w:val="clear" w:color="000000" w:fill="F2F2F2"/>
            <w:noWrap/>
            <w:vAlign w:val="center"/>
          </w:tcPr>
          <w:p w:rsidR="00EA6BCD" w:rsidRPr="00EA6BCD" w:rsidRDefault="00EA6BCD" w:rsidP="00EA6BCD">
            <w:pPr>
              <w:spacing w:after="0" w:line="240" w:lineRule="auto"/>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Personal de Servicio Técnico Especializado</w:t>
            </w:r>
          </w:p>
        </w:tc>
        <w:tc>
          <w:tcPr>
            <w:tcW w:w="1991" w:type="dxa"/>
            <w:tcBorders>
              <w:top w:val="nil"/>
              <w:left w:val="nil"/>
              <w:bottom w:val="nil"/>
              <w:right w:val="nil"/>
            </w:tcBorders>
            <w:shd w:val="clear" w:color="000000" w:fill="F2F2F2"/>
            <w:vAlign w:val="center"/>
          </w:tcPr>
          <w:p w:rsidR="00EA6BCD" w:rsidRPr="00EA6BCD" w:rsidRDefault="00EA6BCD" w:rsidP="00EA6BCD">
            <w:pPr>
              <w:spacing w:after="0" w:line="240" w:lineRule="auto"/>
              <w:jc w:val="right"/>
              <w:rPr>
                <w:rFonts w:ascii="Montserrat" w:eastAsia="Times New Roman" w:hAnsi="Montserrat" w:cs="Arial"/>
                <w:color w:val="000000"/>
                <w:sz w:val="15"/>
                <w:szCs w:val="15"/>
                <w:lang w:val="es-MX" w:eastAsia="es-MX"/>
              </w:rPr>
            </w:pPr>
            <w:r w:rsidRPr="00EA6BCD">
              <w:rPr>
                <w:rFonts w:ascii="Montserrat" w:eastAsia="Times New Roman" w:hAnsi="Montserrat" w:cs="Arial"/>
                <w:color w:val="000000"/>
                <w:sz w:val="15"/>
                <w:szCs w:val="15"/>
                <w:lang w:val="es-MX" w:eastAsia="es-MX"/>
              </w:rPr>
              <w:t xml:space="preserve">       13,231,134.87 </w:t>
            </w:r>
          </w:p>
        </w:tc>
      </w:tr>
      <w:tr w:rsidR="00EA6BCD" w:rsidRPr="00EA6BCD" w:rsidTr="007B4F7F">
        <w:trPr>
          <w:trHeight w:val="270"/>
          <w:jc w:val="center"/>
        </w:trPr>
        <w:tc>
          <w:tcPr>
            <w:tcW w:w="5325" w:type="dxa"/>
            <w:tcBorders>
              <w:top w:val="nil"/>
              <w:left w:val="nil"/>
              <w:bottom w:val="nil"/>
              <w:right w:val="nil"/>
            </w:tcBorders>
            <w:shd w:val="clear" w:color="000000" w:fill="F2F2F2"/>
            <w:noWrap/>
            <w:vAlign w:val="center"/>
            <w:hideMark/>
          </w:tcPr>
          <w:p w:rsidR="00EA6BCD" w:rsidRPr="00EA6BCD" w:rsidRDefault="00EA6BCD" w:rsidP="00EA6BCD">
            <w:pPr>
              <w:spacing w:after="0" w:line="240" w:lineRule="auto"/>
              <w:jc w:val="right"/>
              <w:rPr>
                <w:rFonts w:ascii="Montserrat" w:eastAsia="Times New Roman" w:hAnsi="Montserrat" w:cs="Arial"/>
                <w:b/>
                <w:bCs/>
                <w:color w:val="000000"/>
                <w:sz w:val="15"/>
                <w:szCs w:val="15"/>
                <w:lang w:val="es-MX" w:eastAsia="es-MX"/>
              </w:rPr>
            </w:pPr>
            <w:r w:rsidRPr="00EA6BCD">
              <w:rPr>
                <w:rFonts w:ascii="Montserrat" w:eastAsia="Times New Roman" w:hAnsi="Montserrat" w:cs="Arial"/>
                <w:b/>
                <w:bCs/>
                <w:color w:val="000000"/>
                <w:sz w:val="15"/>
                <w:szCs w:val="15"/>
                <w:lang w:val="es-MX" w:eastAsia="es-MX"/>
              </w:rPr>
              <w:t>Total al cierre 2018</w:t>
            </w:r>
          </w:p>
        </w:tc>
        <w:tc>
          <w:tcPr>
            <w:tcW w:w="1991" w:type="dxa"/>
            <w:tcBorders>
              <w:top w:val="nil"/>
              <w:left w:val="nil"/>
              <w:bottom w:val="nil"/>
              <w:right w:val="nil"/>
            </w:tcBorders>
            <w:shd w:val="clear" w:color="000000" w:fill="F2F2F2"/>
            <w:vAlign w:val="center"/>
            <w:hideMark/>
          </w:tcPr>
          <w:p w:rsidR="00EA6BCD" w:rsidRPr="00EA6BCD" w:rsidRDefault="00EA6BCD" w:rsidP="00EA6BCD">
            <w:pPr>
              <w:spacing w:after="0" w:line="240" w:lineRule="auto"/>
              <w:jc w:val="right"/>
              <w:rPr>
                <w:rFonts w:ascii="Montserrat" w:eastAsia="Times New Roman" w:hAnsi="Montserrat" w:cs="Arial"/>
                <w:b/>
                <w:bCs/>
                <w:color w:val="000000"/>
                <w:sz w:val="15"/>
                <w:szCs w:val="15"/>
                <w:lang w:val="es-MX" w:eastAsia="es-MX"/>
              </w:rPr>
            </w:pPr>
            <w:r w:rsidRPr="00EA6BCD">
              <w:rPr>
                <w:rFonts w:ascii="Montserrat" w:eastAsia="Times New Roman" w:hAnsi="Montserrat" w:cs="Arial"/>
                <w:b/>
                <w:bCs/>
                <w:color w:val="000000"/>
                <w:sz w:val="15"/>
                <w:szCs w:val="15"/>
                <w:lang w:val="es-MX" w:eastAsia="es-MX"/>
              </w:rPr>
              <w:t xml:space="preserve">      65,193,982.05</w:t>
            </w:r>
          </w:p>
        </w:tc>
      </w:tr>
      <w:tr w:rsidR="00EA6BCD" w:rsidRPr="00EA6BCD" w:rsidTr="007B4F7F">
        <w:trPr>
          <w:trHeight w:val="270"/>
          <w:jc w:val="center"/>
        </w:trPr>
        <w:tc>
          <w:tcPr>
            <w:tcW w:w="5325" w:type="dxa"/>
            <w:tcBorders>
              <w:top w:val="single" w:sz="12" w:space="0" w:color="808080"/>
              <w:left w:val="nil"/>
              <w:bottom w:val="nil"/>
              <w:right w:val="nil"/>
            </w:tcBorders>
            <w:shd w:val="clear" w:color="auto" w:fill="auto"/>
            <w:noWrap/>
            <w:vAlign w:val="center"/>
          </w:tcPr>
          <w:p w:rsidR="00EA6BCD" w:rsidRPr="00EA6BCD" w:rsidRDefault="00EA6BCD" w:rsidP="00EA6BCD">
            <w:pPr>
              <w:spacing w:after="0" w:line="240" w:lineRule="auto"/>
              <w:jc w:val="right"/>
              <w:rPr>
                <w:rFonts w:ascii="Soberana Sans Light" w:eastAsia="Times New Roman" w:hAnsi="Soberana Sans Light" w:cs="Arial"/>
                <w:b/>
                <w:bCs/>
                <w:color w:val="E26B0A"/>
                <w:sz w:val="16"/>
                <w:szCs w:val="16"/>
                <w:lang w:val="es-MX" w:eastAsia="es-MX"/>
              </w:rPr>
            </w:pPr>
          </w:p>
        </w:tc>
        <w:tc>
          <w:tcPr>
            <w:tcW w:w="1991" w:type="dxa"/>
            <w:tcBorders>
              <w:top w:val="single" w:sz="12" w:space="0" w:color="808080"/>
              <w:left w:val="nil"/>
              <w:bottom w:val="nil"/>
              <w:right w:val="nil"/>
            </w:tcBorders>
            <w:shd w:val="clear" w:color="auto" w:fill="auto"/>
            <w:noWrap/>
            <w:vAlign w:val="center"/>
          </w:tcPr>
          <w:p w:rsidR="00EA6BCD" w:rsidRPr="00EA6BCD" w:rsidRDefault="00EA6BCD" w:rsidP="00EA6BCD">
            <w:pPr>
              <w:spacing w:after="0" w:line="240" w:lineRule="auto"/>
              <w:jc w:val="right"/>
              <w:rPr>
                <w:rFonts w:ascii="Soberana Sans Light" w:eastAsia="Times New Roman" w:hAnsi="Soberana Sans Light" w:cs="Arial"/>
                <w:b/>
                <w:bCs/>
                <w:color w:val="E26B0A"/>
                <w:sz w:val="16"/>
                <w:szCs w:val="16"/>
                <w:lang w:val="es-MX" w:eastAsia="es-MX"/>
              </w:rPr>
            </w:pPr>
          </w:p>
        </w:tc>
      </w:tr>
    </w:tbl>
    <w:p w:rsidR="00EA6BCD" w:rsidRDefault="00EA6BCD" w:rsidP="00C50E99">
      <w:pPr>
        <w:pStyle w:val="TEXTONORMAL"/>
        <w:ind w:left="357"/>
      </w:pPr>
    </w:p>
    <w:p w:rsidR="00C337F4" w:rsidRDefault="00C337F4" w:rsidP="00C50E99">
      <w:pPr>
        <w:pStyle w:val="TEXTONORMAL"/>
        <w:ind w:left="357"/>
      </w:pPr>
    </w:p>
    <w:p w:rsidR="00C50E99" w:rsidRDefault="00C50E99" w:rsidP="00C50E99">
      <w:pPr>
        <w:pStyle w:val="VIETAFLECHA"/>
      </w:pPr>
      <w:r w:rsidRPr="00C50E99">
        <w:lastRenderedPageBreak/>
        <w:t>La Auditoría Superior de la Federación informa lo siguiente:</w:t>
      </w:r>
    </w:p>
    <w:p w:rsidR="00C50E99" w:rsidRDefault="00C50E99" w:rsidP="00401FA2">
      <w:pPr>
        <w:pStyle w:val="TEXTONORMAL"/>
      </w:pPr>
      <w:r>
        <w:t>De acuerdo con lo establecido en el artículo 46, fracción I, inciso d) de la Ley General de Contabilidad Gubernamental (LGCG), y la normativa establecida por el Consejo Nacional de Armonización Contable a continuación se detallan los pasivos contingentes existentes.</w:t>
      </w:r>
    </w:p>
    <w:p w:rsidR="00C50E99" w:rsidRDefault="00C50E99" w:rsidP="00C50E99">
      <w:pPr>
        <w:pStyle w:val="TEXTONORMAL"/>
      </w:pPr>
    </w:p>
    <w:p w:rsidR="00C50E99" w:rsidRDefault="00C50E99" w:rsidP="00401FA2">
      <w:pPr>
        <w:pStyle w:val="TEXTONORMAL"/>
      </w:pPr>
      <w:r>
        <w:t>De conformidad con el oficio UGA/DAJ/662/</w:t>
      </w:r>
      <w:r w:rsidRPr="004C7563">
        <w:t>2018 de fecha 29 de octubre de 2018, al 30 de junio de 2018 existían 57 demandas en contra de la ASF por juicios de carácter laboral por un monto de 75,239,877</w:t>
      </w:r>
      <w:r w:rsidR="004C7563" w:rsidRPr="004C7563">
        <w:t xml:space="preserve"> pesos</w:t>
      </w:r>
      <w:r w:rsidRPr="004C7563">
        <w:t xml:space="preserve">. En octubre y noviembre se aplicó una disminución por 51,807 y 82,983 </w:t>
      </w:r>
      <w:r w:rsidR="004C7563" w:rsidRPr="004C7563">
        <w:t xml:space="preserve">pesos </w:t>
      </w:r>
      <w:r w:rsidRPr="004C7563">
        <w:t>respectivamente, quedando un saldo al 31 de diciembre de 2018 por 75</w:t>
      </w:r>
      <w:proofErr w:type="gramStart"/>
      <w:r w:rsidRPr="004C7563">
        <w:t>,105,087</w:t>
      </w:r>
      <w:proofErr w:type="gramEnd"/>
      <w:r w:rsidR="004C7563" w:rsidRPr="004C7563">
        <w:t xml:space="preserve"> pesos</w:t>
      </w:r>
      <w:r w:rsidRPr="004C7563">
        <w:t>, el cual se controla en cuentas de orden. Las indemnizaciones al personal que resulten por laudos emitidos o de sentencia definitiva</w:t>
      </w:r>
      <w:r>
        <w:t xml:space="preserve"> dictada por la autoridad competente se registran en el costo de operación en el ejercicio que se emite la resolución.</w:t>
      </w:r>
    </w:p>
    <w:p w:rsidR="00C50E99" w:rsidRDefault="00C50E99" w:rsidP="00C50E99">
      <w:pPr>
        <w:pStyle w:val="TEXTONORMAL"/>
      </w:pPr>
    </w:p>
    <w:p w:rsidR="00C50E99" w:rsidRPr="00C50E99" w:rsidRDefault="00C50E99" w:rsidP="00C50E99">
      <w:pPr>
        <w:pStyle w:val="TEXTONORMAL"/>
      </w:pPr>
    </w:p>
    <w:p w:rsidR="00C50E99" w:rsidRPr="00C50E99" w:rsidRDefault="00C50E99" w:rsidP="00C50E99">
      <w:pPr>
        <w:pStyle w:val="VIETAFLECHA"/>
        <w:numPr>
          <w:ilvl w:val="0"/>
          <w:numId w:val="0"/>
        </w:numPr>
        <w:ind w:left="357"/>
      </w:pPr>
    </w:p>
    <w:p w:rsidR="00FF5057" w:rsidRDefault="00FF5057" w:rsidP="00C50E99">
      <w:pPr>
        <w:pStyle w:val="VIETAFLECHA"/>
        <w:numPr>
          <w:ilvl w:val="0"/>
          <w:numId w:val="0"/>
        </w:numPr>
        <w:ind w:left="357"/>
      </w:pPr>
    </w:p>
    <w:sectPr w:rsidR="00FF5057" w:rsidSect="003B53D7">
      <w:headerReference w:type="default" r:id="rId8"/>
      <w:footerReference w:type="default" r:id="rId9"/>
      <w:headerReference w:type="first" r:id="rId10"/>
      <w:footerReference w:type="first" r:id="rId11"/>
      <w:footnotePr>
        <w:numRestart w:val="eachPage"/>
      </w:footnotePr>
      <w:pgSz w:w="15840" w:h="12240" w:orient="landscape" w:code="1"/>
      <w:pgMar w:top="67" w:right="1418" w:bottom="567" w:left="1418" w:header="709"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4C" w:rsidRDefault="0089754C" w:rsidP="00140DD8">
      <w:pPr>
        <w:spacing w:after="0" w:line="240" w:lineRule="auto"/>
      </w:pPr>
      <w:r>
        <w:separator/>
      </w:r>
    </w:p>
  </w:endnote>
  <w:endnote w:type="continuationSeparator" w:id="0">
    <w:p w:rsidR="0089754C" w:rsidRDefault="0089754C"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jc w:val="center"/>
      <w:tblBorders>
        <w:top w:val="single" w:sz="8" w:space="0" w:color="808080"/>
      </w:tblBorders>
      <w:tblLook w:val="04A0" w:firstRow="1" w:lastRow="0" w:firstColumn="1" w:lastColumn="0" w:noHBand="0" w:noVBand="1"/>
    </w:tblPr>
    <w:tblGrid>
      <w:gridCol w:w="2075"/>
      <w:gridCol w:w="8967"/>
      <w:gridCol w:w="2095"/>
    </w:tblGrid>
    <w:tr w:rsidR="00087A9F" w:rsidRPr="00654D98" w:rsidTr="00760530">
      <w:trPr>
        <w:jc w:val="center"/>
      </w:trPr>
      <w:tc>
        <w:tcPr>
          <w:tcW w:w="2122" w:type="dxa"/>
          <w:tcBorders>
            <w:top w:val="nil"/>
            <w:bottom w:val="single" w:sz="12" w:space="0" w:color="D4C19C"/>
          </w:tcBorders>
          <w:shd w:val="clear" w:color="auto" w:fill="auto"/>
        </w:tcPr>
        <w:p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rsidTr="00760530">
      <w:trPr>
        <w:jc w:val="center"/>
      </w:trPr>
      <w:tc>
        <w:tcPr>
          <w:tcW w:w="2122" w:type="dxa"/>
          <w:tcBorders>
            <w:top w:val="single" w:sz="12" w:space="0" w:color="D4C19C"/>
          </w:tcBorders>
          <w:shd w:val="clear" w:color="auto" w:fill="auto"/>
        </w:tcPr>
        <w:p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rsidR="00986E82" w:rsidRPr="007C7497" w:rsidRDefault="00815F35" w:rsidP="00B91081">
          <w:pPr>
            <w:pStyle w:val="PIEPAGENTE"/>
            <w:spacing w:before="60" w:after="60"/>
            <w:rPr>
              <w:rFonts w:ascii="Montserrat" w:hAnsi="Montserrat"/>
            </w:rPr>
          </w:pPr>
          <w:r>
            <w:rPr>
              <w:rFonts w:ascii="Montserrat" w:hAnsi="Montserrat"/>
            </w:rPr>
            <w:t>PODER LEGISLATIVO</w:t>
          </w:r>
        </w:p>
      </w:tc>
      <w:tc>
        <w:tcPr>
          <w:tcW w:w="2126" w:type="dxa"/>
          <w:tcBorders>
            <w:top w:val="single" w:sz="12" w:space="0" w:color="D4C19C"/>
          </w:tcBorders>
          <w:shd w:val="clear" w:color="auto" w:fill="auto"/>
        </w:tcPr>
        <w:p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BF7376">
            <w:rPr>
              <w:rFonts w:ascii="Montserrat" w:hAnsi="Montserrat"/>
              <w:noProof/>
              <w:sz w:val="18"/>
              <w:szCs w:val="18"/>
            </w:rPr>
            <w:t>2</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BF7376">
            <w:rPr>
              <w:rFonts w:ascii="Montserrat" w:hAnsi="Montserrat"/>
              <w:noProof/>
              <w:sz w:val="18"/>
              <w:szCs w:val="18"/>
            </w:rPr>
            <w:t>2</w:t>
          </w:r>
          <w:r w:rsidRPr="00102975">
            <w:rPr>
              <w:rFonts w:ascii="Montserrat" w:hAnsi="Montserrat"/>
              <w:sz w:val="18"/>
              <w:szCs w:val="18"/>
            </w:rPr>
            <w:fldChar w:fldCharType="end"/>
          </w:r>
        </w:p>
      </w:tc>
    </w:tr>
  </w:tbl>
  <w:p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8" w:space="0" w:color="808080"/>
      </w:tblBorders>
      <w:tblLook w:val="04A0" w:firstRow="1" w:lastRow="0" w:firstColumn="1" w:lastColumn="0" w:noHBand="0" w:noVBand="1"/>
    </w:tblPr>
    <w:tblGrid>
      <w:gridCol w:w="13004"/>
    </w:tblGrid>
    <w:tr w:rsidR="001F44BC" w:rsidTr="00E139E7">
      <w:trPr>
        <w:trHeight w:val="258"/>
        <w:jc w:val="center"/>
      </w:trPr>
      <w:tc>
        <w:tcPr>
          <w:tcW w:w="13137" w:type="dxa"/>
          <w:tcBorders>
            <w:top w:val="nil"/>
            <w:bottom w:val="single" w:sz="8" w:space="0" w:color="808080"/>
          </w:tcBorders>
          <w:shd w:val="clear" w:color="auto" w:fill="auto"/>
        </w:tcPr>
        <w:p w:rsidR="001F44BC" w:rsidRPr="00AC2541" w:rsidRDefault="001F44BC" w:rsidP="00566761">
          <w:pPr>
            <w:pStyle w:val="Encabezado"/>
            <w:spacing w:after="0" w:line="240" w:lineRule="auto"/>
            <w:jc w:val="center"/>
            <w:rPr>
              <w:rFonts w:ascii="Soberana Sans" w:hAnsi="Soberana Sans"/>
              <w:sz w:val="16"/>
              <w:szCs w:val="16"/>
            </w:rPr>
          </w:pPr>
        </w:p>
      </w:tc>
    </w:tr>
    <w:tr w:rsidR="00986E82" w:rsidTr="00E139E7">
      <w:trPr>
        <w:trHeight w:val="258"/>
        <w:jc w:val="center"/>
      </w:trPr>
      <w:tc>
        <w:tcPr>
          <w:tcW w:w="13137" w:type="dxa"/>
          <w:tcBorders>
            <w:top w:val="single" w:sz="8" w:space="0" w:color="808080"/>
          </w:tcBorders>
          <w:shd w:val="clear" w:color="auto" w:fill="auto"/>
        </w:tcPr>
        <w:p w:rsidR="00986E82" w:rsidRPr="00477E89" w:rsidRDefault="00986E82" w:rsidP="00964281">
          <w:pPr>
            <w:pStyle w:val="Piedepgina"/>
            <w:spacing w:after="120"/>
            <w:jc w:val="right"/>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sidR="00BF7376">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sidR="00BF7376">
            <w:rPr>
              <w:noProof/>
              <w:szCs w:val="16"/>
            </w:rPr>
            <w:t>2</w:t>
          </w:r>
          <w:r w:rsidRPr="00477E89">
            <w:rPr>
              <w:szCs w:val="16"/>
            </w:rPr>
            <w:fldChar w:fldCharType="end"/>
          </w:r>
        </w:p>
      </w:tc>
    </w:tr>
  </w:tbl>
  <w:p w:rsidR="001F44BC" w:rsidRPr="00AD10AF" w:rsidRDefault="001F44BC"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4C" w:rsidRDefault="0089754C" w:rsidP="00140DD8">
      <w:pPr>
        <w:spacing w:after="0" w:line="240" w:lineRule="auto"/>
      </w:pPr>
      <w:r>
        <w:separator/>
      </w:r>
    </w:p>
  </w:footnote>
  <w:footnote w:type="continuationSeparator" w:id="0">
    <w:p w:rsidR="0089754C" w:rsidRDefault="0089754C" w:rsidP="00140DD8">
      <w:pPr>
        <w:spacing w:after="0" w:line="240" w:lineRule="auto"/>
      </w:pPr>
      <w:r>
        <w:continuationSeparator/>
      </w:r>
    </w:p>
  </w:footnote>
  <w:footnote w:id="1">
    <w:p w:rsidR="00C50E99" w:rsidRPr="00C337F4" w:rsidRDefault="00C50E99" w:rsidP="00C201DB">
      <w:pPr>
        <w:pStyle w:val="NOTAALPIE0"/>
        <w:ind w:left="142" w:hanging="142"/>
        <w:rPr>
          <w:rFonts w:ascii="Montserrat" w:hAnsi="Montserrat"/>
          <w:sz w:val="15"/>
          <w:szCs w:val="15"/>
          <w:lang w:val="es-MX"/>
        </w:rPr>
      </w:pPr>
      <w:r w:rsidRPr="00C337F4">
        <w:rPr>
          <w:rStyle w:val="Refdenotaalpie"/>
          <w:rFonts w:ascii="Montserrat" w:hAnsi="Montserrat"/>
          <w:sz w:val="15"/>
          <w:szCs w:val="15"/>
        </w:rPr>
        <w:t>1</w:t>
      </w:r>
      <w:r w:rsidR="00C201DB">
        <w:rPr>
          <w:rStyle w:val="Refdenotaalpie"/>
          <w:rFonts w:ascii="Montserrat" w:hAnsi="Montserrat"/>
          <w:sz w:val="15"/>
          <w:szCs w:val="15"/>
        </w:rPr>
        <w:t>/</w:t>
      </w:r>
      <w:r w:rsidRPr="00C337F4">
        <w:rPr>
          <w:rFonts w:ascii="Montserrat" w:hAnsi="Montserrat"/>
          <w:sz w:val="15"/>
          <w:szCs w:val="15"/>
        </w:rPr>
        <w:t xml:space="preserve"> </w:t>
      </w:r>
      <w:r w:rsidR="00C201DB">
        <w:rPr>
          <w:rFonts w:ascii="Montserrat" w:hAnsi="Montserrat"/>
          <w:sz w:val="15"/>
          <w:szCs w:val="15"/>
        </w:rPr>
        <w:t xml:space="preserve"> </w:t>
      </w:r>
      <w:r w:rsidRPr="00C201DB">
        <w:rPr>
          <w:rFonts w:ascii="Montserrat" w:hAnsi="Montserrat"/>
          <w:szCs w:val="15"/>
          <w:lang w:val="es-MX"/>
        </w:rPr>
        <w:t>Se refiere a la relación de juicios laborales por tipo de nómina, de prestadores de servicios profesionales y personal, que causaron baja y que interpusieron demanda laboral. Cabe mencionar que estas cantidades representan el valor monetario actualizado de los que cada trabajador demandó y no necesariamente significa un adeudo o monto que ya se les haya otorgado mediante laudo definitivo.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7" w:type="dxa"/>
      <w:tblBorders>
        <w:bottom w:val="single" w:sz="12" w:space="0" w:color="9D2449"/>
      </w:tblBorders>
      <w:tblLook w:val="04A0" w:firstRow="1" w:lastRow="0" w:firstColumn="1" w:lastColumn="0" w:noHBand="0" w:noVBand="1"/>
    </w:tblPr>
    <w:tblGrid>
      <w:gridCol w:w="13137"/>
    </w:tblGrid>
    <w:tr w:rsidR="00A8290D" w:rsidRPr="004E66AE" w:rsidTr="00394863">
      <w:tc>
        <w:tcPr>
          <w:tcW w:w="13137" w:type="dxa"/>
          <w:tcBorders>
            <w:bottom w:val="nil"/>
          </w:tcBorders>
          <w:shd w:val="clear" w:color="auto" w:fill="auto"/>
          <w:vAlign w:val="bottom"/>
        </w:tcPr>
        <w:p w:rsidR="00A8290D" w:rsidRPr="00476C78" w:rsidRDefault="00A8290D" w:rsidP="00A8290D">
          <w:pPr>
            <w:pStyle w:val="Encabezado"/>
            <w:spacing w:after="60" w:line="240" w:lineRule="auto"/>
            <w:jc w:val="center"/>
            <w:rPr>
              <w:rFonts w:ascii="Montserrat SemiBold" w:hAnsi="Montserrat SemiBold"/>
              <w:color w:val="9D2449"/>
              <w:sz w:val="26"/>
              <w:szCs w:val="26"/>
            </w:rPr>
          </w:pPr>
          <w:r w:rsidRPr="00476C78">
            <w:rPr>
              <w:rFonts w:ascii="Montserrat SemiBold" w:hAnsi="Montserrat SemiBold"/>
              <w:color w:val="9D2449"/>
              <w:sz w:val="26"/>
              <w:szCs w:val="26"/>
            </w:rPr>
            <w:t xml:space="preserve">Cuenta Pública </w:t>
          </w:r>
          <w:r w:rsidRPr="00BF7376">
            <w:rPr>
              <w:rFonts w:ascii="Montserrat SemiBold" w:hAnsi="Montserrat SemiBold"/>
              <w:color w:val="9D2449"/>
              <w:sz w:val="26"/>
              <w:szCs w:val="26"/>
            </w:rPr>
            <w:t>2018</w:t>
          </w:r>
        </w:p>
      </w:tc>
    </w:tr>
  </w:tbl>
  <w:p w:rsidR="001F44BC" w:rsidRPr="00180068" w:rsidRDefault="00EB6B86" w:rsidP="00180F7A">
    <w:pPr>
      <w:pStyle w:val="Encabezado"/>
      <w:spacing w:after="0" w:line="240" w:lineRule="auto"/>
      <w:rPr>
        <w:sz w:val="22"/>
      </w:rPr>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-71755</wp:posOffset>
              </wp:positionH>
              <wp:positionV relativeFrom="paragraph">
                <wp:posOffset>1269</wp:posOffset>
              </wp:positionV>
              <wp:extent cx="8336915" cy="0"/>
              <wp:effectExtent l="0" t="19050" r="45085"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3BA6E6"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004"/>
    </w:tblGrid>
    <w:tr w:rsidR="00B01E1D" w:rsidTr="00E139E7">
      <w:tc>
        <w:tcPr>
          <w:tcW w:w="13137" w:type="dxa"/>
          <w:shd w:val="clear" w:color="auto" w:fill="auto"/>
        </w:tcPr>
        <w:p w:rsidR="00B01E1D" w:rsidRPr="003B53D7" w:rsidRDefault="003B53D7" w:rsidP="003B53D7">
          <w:pPr>
            <w:pStyle w:val="Encabezado"/>
            <w:spacing w:after="60" w:line="240" w:lineRule="auto"/>
            <w:jc w:val="center"/>
            <w:rPr>
              <w:rFonts w:ascii="Montserrat SemiBold" w:hAnsi="Montserrat SemiBold"/>
              <w:color w:val="9D2449"/>
              <w:sz w:val="24"/>
              <w:szCs w:val="24"/>
            </w:rPr>
          </w:pPr>
          <w:r>
            <w:rPr>
              <w:noProof/>
              <w:lang w:val="es-MX" w:eastAsia="es-MX"/>
            </w:rPr>
            <mc:AlternateContent>
              <mc:Choice Requires="wps">
                <w:drawing>
                  <wp:anchor distT="4294967295" distB="4294967295" distL="114300" distR="114300" simplePos="0" relativeHeight="251659776" behindDoc="0" locked="0" layoutInCell="1" allowOverlap="1" wp14:anchorId="1B97AF38" wp14:editId="2529B0AA">
                    <wp:simplePos x="0" y="0"/>
                    <wp:positionH relativeFrom="column">
                      <wp:posOffset>0</wp:posOffset>
                    </wp:positionH>
                    <wp:positionV relativeFrom="paragraph">
                      <wp:posOffset>223520</wp:posOffset>
                    </wp:positionV>
                    <wp:extent cx="8336915" cy="0"/>
                    <wp:effectExtent l="0" t="19050" r="45085" b="3810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EC2758" id="Conector recto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6pt" to="656.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e71gEAAJMDAAAOAAAAZHJzL2Uyb0RvYy54bWysU8tu2zAQvBfoPxC815KSOk0EyznISC9B&#10;ayDpB6wpSiLCF5asJf99l/SjSXsLogO15K5mOTOr1f1sNNtLDMrZhleLkjNpheuUHRr+6/nhyy1n&#10;IYLtQDsrG36Qgd+vP39aTb6WV250upPICMSGevINH2P0dVEEMUoDYeG8tJTsHRqItMWh6BAmQje6&#10;uCrLm2Jy2Hl0QoZAp5tjkq8zft9LEX/2fZCR6YbT3WJeMa+7tBbrFdQDgh+VOF0D3nELA8pS0wvU&#10;BiKw36j+gzJKoAuujwvhTOH6XgmZORCbqvyHzdMIXmYuJE7wF5nCx8GKH/stMtWRd5xZMGRRS0aJ&#10;6JBherEqaTT5UFNpa7eYWIrZPvlHJ14C5Yo3ybQJ/lg292hSOdFkc9b8cNFczpEJOry9vr65q5ac&#10;iXOugPr8occQv0tnWAoarpVNckAN+8cQU2uozyXp2LoHpXW2VFs2NXz5rVqS6wJosnoNkULjiWsk&#10;t1+eR/KMgR5ocEXEDBycVl0CSXABh12rke2Bhmfzta3u2qQFNX1Tlm6wgTAe63LqOFZGRZptrQyx&#10;LNNz+lrbhC7zdJ54/FUtRTvXHbZ4lpacz01PU5pG6/We4tf/0voPAAAA//8DAFBLAwQUAAYACAAA&#10;ACEAVqCYxt0AAAAHAQAADwAAAGRycy9kb3ducmV2LnhtbEyPQU/CQBCF7yb+h82YeJMtRQ3WbgmQ&#10;YIwHQgHv0+7YNnRna3eB+u9d4kGO897Le9+ks8G04kS9aywrGI8iEMSl1Q1XCva71cMUhPPIGlvL&#10;pOCHHMyy25sUE23PnNNp6ysRStglqKD2vkukdGVNBt3IdsTB+7K9QR/OvpK6x3MoN62Mo+hZGmw4&#10;LNTY0bKm8rA9GgWPh/Vytyje15v8Y5V/5m9u8y2nSt3fDfNXEJ4G/x+GC35AhywwFfbI2olWQXjE&#10;K5g8xSAu7mQcv4Ao/hSZpfKaP/sFAAD//wMAUEsBAi0AFAAGAAgAAAAhALaDOJL+AAAA4QEAABMA&#10;AAAAAAAAAAAAAAAAAAAAAFtDb250ZW50X1R5cGVzXS54bWxQSwECLQAUAAYACAAAACEAOP0h/9YA&#10;AACUAQAACwAAAAAAAAAAAAAAAAAvAQAAX3JlbHMvLnJlbHNQSwECLQAUAAYACAAAACEAmfA3u9YB&#10;AACTAwAADgAAAAAAAAAAAAAAAAAuAgAAZHJzL2Uyb0RvYy54bWxQSwECLQAUAAYACAAAACEAVqCY&#10;xt0AAAAHAQAADwAAAAAAAAAAAAAAAAAwBAAAZHJzL2Rvd25yZXYueG1sUEsFBgAAAAAEAAQA8wAA&#10;ADoFAAAAAA==&#10;" strokecolor="#d4c19c" strokeweight="4.5pt">
                    <v:stroke linestyle="thickThin" joinstyle="miter"/>
                    <o:lock v:ext="edit" shapetype="f"/>
                  </v:line>
                </w:pict>
              </mc:Fallback>
            </mc:AlternateContent>
          </w:r>
          <w:r w:rsidRPr="00476C78">
            <w:rPr>
              <w:rFonts w:ascii="Montserrat SemiBold" w:hAnsi="Montserrat SemiBold"/>
              <w:color w:val="9D2449"/>
              <w:sz w:val="26"/>
              <w:szCs w:val="26"/>
            </w:rPr>
            <w:t xml:space="preserve">Cuenta </w:t>
          </w:r>
          <w:r w:rsidRPr="00964281">
            <w:rPr>
              <w:rFonts w:ascii="Montserrat SemiBold" w:hAnsi="Montserrat SemiBold"/>
              <w:color w:val="9D2449"/>
              <w:sz w:val="26"/>
              <w:szCs w:val="26"/>
            </w:rPr>
            <w:t>Pública 2018</w:t>
          </w:r>
        </w:p>
      </w:tc>
    </w:tr>
  </w:tbl>
  <w:p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0E51EC"/>
    <w:multiLevelType w:val="hybridMultilevel"/>
    <w:tmpl w:val="34FABA7E"/>
    <w:lvl w:ilvl="0" w:tplc="37D8B2C8">
      <w:start w:val="1"/>
      <w:numFmt w:val="bullet"/>
      <w:lvlText w:val=""/>
      <w:lvlJc w:val="left"/>
      <w:pPr>
        <w:ind w:left="5039" w:hanging="360"/>
      </w:pPr>
      <w:rPr>
        <w:rFonts w:ascii="Wingdings" w:hAnsi="Wingdings" w:hint="default"/>
      </w:rPr>
    </w:lvl>
    <w:lvl w:ilvl="1" w:tplc="12BC1C2C">
      <w:start w:val="1"/>
      <w:numFmt w:val="bullet"/>
      <w:lvlText w:val="o"/>
      <w:lvlJc w:val="left"/>
      <w:pPr>
        <w:ind w:left="1440" w:hanging="360"/>
      </w:pPr>
      <w:rPr>
        <w:rFonts w:ascii="Courier New" w:hAnsi="Courier New" w:cs="Courier New" w:hint="default"/>
      </w:rPr>
    </w:lvl>
    <w:lvl w:ilvl="2" w:tplc="1AD6E33E" w:tentative="1">
      <w:start w:val="1"/>
      <w:numFmt w:val="bullet"/>
      <w:lvlText w:val=""/>
      <w:lvlJc w:val="left"/>
      <w:pPr>
        <w:ind w:left="2160" w:hanging="360"/>
      </w:pPr>
      <w:rPr>
        <w:rFonts w:ascii="Wingdings" w:hAnsi="Wingdings" w:hint="default"/>
      </w:rPr>
    </w:lvl>
    <w:lvl w:ilvl="3" w:tplc="6F3CC046" w:tentative="1">
      <w:start w:val="1"/>
      <w:numFmt w:val="bullet"/>
      <w:lvlText w:val=""/>
      <w:lvlJc w:val="left"/>
      <w:pPr>
        <w:ind w:left="2880" w:hanging="360"/>
      </w:pPr>
      <w:rPr>
        <w:rFonts w:ascii="Symbol" w:hAnsi="Symbol" w:hint="default"/>
      </w:rPr>
    </w:lvl>
    <w:lvl w:ilvl="4" w:tplc="D9E0F0EE" w:tentative="1">
      <w:start w:val="1"/>
      <w:numFmt w:val="bullet"/>
      <w:lvlText w:val="o"/>
      <w:lvlJc w:val="left"/>
      <w:pPr>
        <w:ind w:left="3600" w:hanging="360"/>
      </w:pPr>
      <w:rPr>
        <w:rFonts w:ascii="Courier New" w:hAnsi="Courier New" w:cs="Courier New" w:hint="default"/>
      </w:rPr>
    </w:lvl>
    <w:lvl w:ilvl="5" w:tplc="743ED386" w:tentative="1">
      <w:start w:val="1"/>
      <w:numFmt w:val="bullet"/>
      <w:lvlText w:val=""/>
      <w:lvlJc w:val="left"/>
      <w:pPr>
        <w:ind w:left="4320" w:hanging="360"/>
      </w:pPr>
      <w:rPr>
        <w:rFonts w:ascii="Wingdings" w:hAnsi="Wingdings" w:hint="default"/>
      </w:rPr>
    </w:lvl>
    <w:lvl w:ilvl="6" w:tplc="581C7FCE" w:tentative="1">
      <w:start w:val="1"/>
      <w:numFmt w:val="bullet"/>
      <w:lvlText w:val=""/>
      <w:lvlJc w:val="left"/>
      <w:pPr>
        <w:ind w:left="5040" w:hanging="360"/>
      </w:pPr>
      <w:rPr>
        <w:rFonts w:ascii="Symbol" w:hAnsi="Symbol" w:hint="default"/>
      </w:rPr>
    </w:lvl>
    <w:lvl w:ilvl="7" w:tplc="6D027FB2" w:tentative="1">
      <w:start w:val="1"/>
      <w:numFmt w:val="bullet"/>
      <w:lvlText w:val="o"/>
      <w:lvlJc w:val="left"/>
      <w:pPr>
        <w:ind w:left="5760" w:hanging="360"/>
      </w:pPr>
      <w:rPr>
        <w:rFonts w:ascii="Courier New" w:hAnsi="Courier New" w:cs="Courier New" w:hint="default"/>
      </w:rPr>
    </w:lvl>
    <w:lvl w:ilvl="8" w:tplc="69E26FDC" w:tentative="1">
      <w:start w:val="1"/>
      <w:numFmt w:val="bullet"/>
      <w:lvlText w:val=""/>
      <w:lvlJc w:val="left"/>
      <w:pPr>
        <w:ind w:left="6480" w:hanging="360"/>
      </w:pPr>
      <w:rPr>
        <w:rFonts w:ascii="Wingdings" w:hAnsi="Wingdings" w:hint="default"/>
      </w:rPr>
    </w:lvl>
  </w:abstractNum>
  <w:abstractNum w:abstractNumId="6"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7"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9"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0" w15:restartNumberingAfterBreak="0">
    <w:nsid w:val="683B72D8"/>
    <w:multiLevelType w:val="multilevel"/>
    <w:tmpl w:val="080A0021"/>
    <w:lvl w:ilvl="0">
      <w:start w:val="1"/>
      <w:numFmt w:val="bullet"/>
      <w:lvlText w:val=""/>
      <w:lvlJc w:val="left"/>
      <w:pPr>
        <w:ind w:left="717" w:hanging="360"/>
      </w:pPr>
      <w:rPr>
        <w:rFonts w:ascii="Wingdings" w:hAnsi="Wingdings" w:hint="default"/>
      </w:rPr>
    </w:lvl>
    <w:lvl w:ilvl="1">
      <w:start w:val="1"/>
      <w:numFmt w:val="bullet"/>
      <w:lvlText w:val=""/>
      <w:lvlJc w:val="left"/>
      <w:pPr>
        <w:ind w:left="1077" w:hanging="360"/>
      </w:pPr>
      <w:rPr>
        <w:rFonts w:ascii="Wingdings" w:hAnsi="Wingdings" w:hint="default"/>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1"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122ACD"/>
    <w:multiLevelType w:val="hybridMultilevel"/>
    <w:tmpl w:val="6F58F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8"/>
  </w:num>
  <w:num w:numId="2">
    <w:abstractNumId w:val="4"/>
  </w:num>
  <w:num w:numId="3">
    <w:abstractNumId w:val="14"/>
  </w:num>
  <w:num w:numId="4">
    <w:abstractNumId w:val="9"/>
  </w:num>
  <w:num w:numId="5">
    <w:abstractNumId w:val="6"/>
  </w:num>
  <w:num w:numId="6">
    <w:abstractNumId w:val="1"/>
  </w:num>
  <w:num w:numId="7">
    <w:abstractNumId w:val="3"/>
  </w:num>
  <w:num w:numId="8">
    <w:abstractNumId w:val="0"/>
  </w:num>
  <w:num w:numId="9">
    <w:abstractNumId w:val="13"/>
  </w:num>
  <w:num w:numId="10">
    <w:abstractNumId w:val="2"/>
  </w:num>
  <w:num w:numId="11">
    <w:abstractNumId w:val="11"/>
  </w:num>
  <w:num w:numId="12">
    <w:abstractNumId w:val="7"/>
  </w:num>
  <w:num w:numId="13">
    <w:abstractNumId w:val="15"/>
  </w:num>
  <w:num w:numId="14">
    <w:abstractNumId w:val="12"/>
  </w:num>
  <w:num w:numId="15">
    <w:abstractNumId w:val="10"/>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2094D"/>
    <w:rsid w:val="000460DC"/>
    <w:rsid w:val="00064C04"/>
    <w:rsid w:val="00071FC7"/>
    <w:rsid w:val="00074B57"/>
    <w:rsid w:val="00087A9F"/>
    <w:rsid w:val="000A0BE0"/>
    <w:rsid w:val="000A7D36"/>
    <w:rsid w:val="000C006C"/>
    <w:rsid w:val="000C4898"/>
    <w:rsid w:val="000E29E2"/>
    <w:rsid w:val="000E397D"/>
    <w:rsid w:val="00102975"/>
    <w:rsid w:val="001121F1"/>
    <w:rsid w:val="00135026"/>
    <w:rsid w:val="00135C64"/>
    <w:rsid w:val="00137B77"/>
    <w:rsid w:val="00140DD8"/>
    <w:rsid w:val="001456F2"/>
    <w:rsid w:val="001527E5"/>
    <w:rsid w:val="00180068"/>
    <w:rsid w:val="00180F7A"/>
    <w:rsid w:val="001A6F92"/>
    <w:rsid w:val="001B6970"/>
    <w:rsid w:val="001C2BC1"/>
    <w:rsid w:val="001D5174"/>
    <w:rsid w:val="001E2A03"/>
    <w:rsid w:val="001F44BC"/>
    <w:rsid w:val="002162DC"/>
    <w:rsid w:val="00243B68"/>
    <w:rsid w:val="0026536E"/>
    <w:rsid w:val="00280F04"/>
    <w:rsid w:val="00295657"/>
    <w:rsid w:val="002A6003"/>
    <w:rsid w:val="002B024A"/>
    <w:rsid w:val="002B2B9A"/>
    <w:rsid w:val="002D375F"/>
    <w:rsid w:val="002E3903"/>
    <w:rsid w:val="003140E1"/>
    <w:rsid w:val="003156C2"/>
    <w:rsid w:val="00316552"/>
    <w:rsid w:val="00324E97"/>
    <w:rsid w:val="00325567"/>
    <w:rsid w:val="003504B8"/>
    <w:rsid w:val="003545D5"/>
    <w:rsid w:val="00354816"/>
    <w:rsid w:val="00357C25"/>
    <w:rsid w:val="0037216F"/>
    <w:rsid w:val="00394863"/>
    <w:rsid w:val="003A3DE2"/>
    <w:rsid w:val="003B53D7"/>
    <w:rsid w:val="003C00CB"/>
    <w:rsid w:val="003D58B5"/>
    <w:rsid w:val="003E461D"/>
    <w:rsid w:val="003E766E"/>
    <w:rsid w:val="00401FA2"/>
    <w:rsid w:val="004225BE"/>
    <w:rsid w:val="00423930"/>
    <w:rsid w:val="00432C9A"/>
    <w:rsid w:val="00434B83"/>
    <w:rsid w:val="004543D1"/>
    <w:rsid w:val="0046004A"/>
    <w:rsid w:val="00476C78"/>
    <w:rsid w:val="0047740A"/>
    <w:rsid w:val="00477E89"/>
    <w:rsid w:val="00483C33"/>
    <w:rsid w:val="0049749F"/>
    <w:rsid w:val="004B4093"/>
    <w:rsid w:val="004C7563"/>
    <w:rsid w:val="004D7AE8"/>
    <w:rsid w:val="004E0D88"/>
    <w:rsid w:val="004E79F6"/>
    <w:rsid w:val="004F7BC1"/>
    <w:rsid w:val="005162BD"/>
    <w:rsid w:val="0052326A"/>
    <w:rsid w:val="005260FB"/>
    <w:rsid w:val="00566761"/>
    <w:rsid w:val="005746EA"/>
    <w:rsid w:val="0059235A"/>
    <w:rsid w:val="00592634"/>
    <w:rsid w:val="00597430"/>
    <w:rsid w:val="005A0BAD"/>
    <w:rsid w:val="005B2E30"/>
    <w:rsid w:val="005B6274"/>
    <w:rsid w:val="005C3538"/>
    <w:rsid w:val="0060339B"/>
    <w:rsid w:val="0060492B"/>
    <w:rsid w:val="006370F0"/>
    <w:rsid w:val="00642744"/>
    <w:rsid w:val="00654D98"/>
    <w:rsid w:val="00667DEF"/>
    <w:rsid w:val="006851CC"/>
    <w:rsid w:val="00686E7A"/>
    <w:rsid w:val="006C6BDB"/>
    <w:rsid w:val="006E1043"/>
    <w:rsid w:val="006F3468"/>
    <w:rsid w:val="00701187"/>
    <w:rsid w:val="00703220"/>
    <w:rsid w:val="0071159A"/>
    <w:rsid w:val="00724052"/>
    <w:rsid w:val="007258CD"/>
    <w:rsid w:val="00735E33"/>
    <w:rsid w:val="00744EE0"/>
    <w:rsid w:val="007546B7"/>
    <w:rsid w:val="00760530"/>
    <w:rsid w:val="00771E13"/>
    <w:rsid w:val="007843E5"/>
    <w:rsid w:val="007939D8"/>
    <w:rsid w:val="007A30B7"/>
    <w:rsid w:val="007B3665"/>
    <w:rsid w:val="007B3F4A"/>
    <w:rsid w:val="007B4F7F"/>
    <w:rsid w:val="007B718B"/>
    <w:rsid w:val="007C7497"/>
    <w:rsid w:val="007D2C09"/>
    <w:rsid w:val="0080604E"/>
    <w:rsid w:val="00815F35"/>
    <w:rsid w:val="00837361"/>
    <w:rsid w:val="00837B33"/>
    <w:rsid w:val="00850BB3"/>
    <w:rsid w:val="008607B0"/>
    <w:rsid w:val="008651DA"/>
    <w:rsid w:val="008741BF"/>
    <w:rsid w:val="00884C1B"/>
    <w:rsid w:val="0089754C"/>
    <w:rsid w:val="008B733C"/>
    <w:rsid w:val="008C5C0F"/>
    <w:rsid w:val="008E5267"/>
    <w:rsid w:val="008E750B"/>
    <w:rsid w:val="008F73DE"/>
    <w:rsid w:val="00905EBC"/>
    <w:rsid w:val="00906759"/>
    <w:rsid w:val="00921686"/>
    <w:rsid w:val="00925415"/>
    <w:rsid w:val="00934114"/>
    <w:rsid w:val="00937FDD"/>
    <w:rsid w:val="0094007B"/>
    <w:rsid w:val="00964281"/>
    <w:rsid w:val="00986E82"/>
    <w:rsid w:val="00992D4F"/>
    <w:rsid w:val="009A70DB"/>
    <w:rsid w:val="009B3B06"/>
    <w:rsid w:val="009C61CC"/>
    <w:rsid w:val="009F61CA"/>
    <w:rsid w:val="00A0170A"/>
    <w:rsid w:val="00A10A7B"/>
    <w:rsid w:val="00A21113"/>
    <w:rsid w:val="00A260B0"/>
    <w:rsid w:val="00A27D71"/>
    <w:rsid w:val="00A33B32"/>
    <w:rsid w:val="00A53CDB"/>
    <w:rsid w:val="00A62EAA"/>
    <w:rsid w:val="00A8290D"/>
    <w:rsid w:val="00A872D1"/>
    <w:rsid w:val="00A87E00"/>
    <w:rsid w:val="00AA3BF8"/>
    <w:rsid w:val="00AC2541"/>
    <w:rsid w:val="00AD10AF"/>
    <w:rsid w:val="00AD5ACF"/>
    <w:rsid w:val="00AE6195"/>
    <w:rsid w:val="00AE6A13"/>
    <w:rsid w:val="00AF5A64"/>
    <w:rsid w:val="00B01E1D"/>
    <w:rsid w:val="00B15D40"/>
    <w:rsid w:val="00B751F9"/>
    <w:rsid w:val="00B91081"/>
    <w:rsid w:val="00B925A3"/>
    <w:rsid w:val="00B97257"/>
    <w:rsid w:val="00BB4E83"/>
    <w:rsid w:val="00BC6283"/>
    <w:rsid w:val="00BF13EB"/>
    <w:rsid w:val="00BF4C86"/>
    <w:rsid w:val="00BF7376"/>
    <w:rsid w:val="00C05301"/>
    <w:rsid w:val="00C066E3"/>
    <w:rsid w:val="00C201DB"/>
    <w:rsid w:val="00C337F4"/>
    <w:rsid w:val="00C42756"/>
    <w:rsid w:val="00C50E99"/>
    <w:rsid w:val="00C55164"/>
    <w:rsid w:val="00C60401"/>
    <w:rsid w:val="00C62D2F"/>
    <w:rsid w:val="00C75284"/>
    <w:rsid w:val="00C7671E"/>
    <w:rsid w:val="00C86735"/>
    <w:rsid w:val="00C95125"/>
    <w:rsid w:val="00CB202B"/>
    <w:rsid w:val="00CD349B"/>
    <w:rsid w:val="00CE7C4E"/>
    <w:rsid w:val="00CF14D4"/>
    <w:rsid w:val="00D10E6A"/>
    <w:rsid w:val="00D14CF2"/>
    <w:rsid w:val="00D15F78"/>
    <w:rsid w:val="00D24800"/>
    <w:rsid w:val="00D257A8"/>
    <w:rsid w:val="00D27309"/>
    <w:rsid w:val="00DB52EE"/>
    <w:rsid w:val="00DC1500"/>
    <w:rsid w:val="00DD1231"/>
    <w:rsid w:val="00DF5413"/>
    <w:rsid w:val="00E0234E"/>
    <w:rsid w:val="00E139E7"/>
    <w:rsid w:val="00E20300"/>
    <w:rsid w:val="00E5221C"/>
    <w:rsid w:val="00E5371E"/>
    <w:rsid w:val="00E7476B"/>
    <w:rsid w:val="00EA16A0"/>
    <w:rsid w:val="00EA52CE"/>
    <w:rsid w:val="00EA6BCD"/>
    <w:rsid w:val="00EA7995"/>
    <w:rsid w:val="00EB6B86"/>
    <w:rsid w:val="00EC31CB"/>
    <w:rsid w:val="00EC6078"/>
    <w:rsid w:val="00EC7354"/>
    <w:rsid w:val="00EE4874"/>
    <w:rsid w:val="00F23704"/>
    <w:rsid w:val="00F34D8C"/>
    <w:rsid w:val="00F3654D"/>
    <w:rsid w:val="00F37BFA"/>
    <w:rsid w:val="00F438DE"/>
    <w:rsid w:val="00F44CA0"/>
    <w:rsid w:val="00F522AD"/>
    <w:rsid w:val="00F61314"/>
    <w:rsid w:val="00F62A94"/>
    <w:rsid w:val="00F62C5A"/>
    <w:rsid w:val="00F8423B"/>
    <w:rsid w:val="00FA0795"/>
    <w:rsid w:val="00FA678E"/>
    <w:rsid w:val="00FB71EB"/>
    <w:rsid w:val="00FD1425"/>
    <w:rsid w:val="00FD184A"/>
    <w:rsid w:val="00FF5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43A2A-2432-45B1-A286-26EDBF11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styleId="Prrafodelista">
    <w:name w:val="List Paragraph"/>
    <w:basedOn w:val="Normal"/>
    <w:uiPriority w:val="34"/>
    <w:qFormat/>
    <w:rsid w:val="00837B33"/>
    <w:pPr>
      <w:spacing w:after="200" w:line="276" w:lineRule="auto"/>
      <w:ind w:left="720"/>
      <w:contextualSpacing/>
    </w:pPr>
    <w:rPr>
      <w:lang w:val="es-MX"/>
    </w:rPr>
  </w:style>
  <w:style w:type="paragraph" w:customStyle="1" w:styleId="Predeterminado">
    <w:name w:val="Predeterminado"/>
    <w:rsid w:val="00837B33"/>
    <w:pPr>
      <w:tabs>
        <w:tab w:val="left" w:pos="708"/>
      </w:tabs>
      <w:suppressAutoHyphens/>
      <w:spacing w:after="200" w:line="276" w:lineRule="auto"/>
    </w:pPr>
    <w:rPr>
      <w:sz w:val="22"/>
      <w:szCs w:val="22"/>
      <w:lang w:eastAsia="en-US"/>
    </w:rPr>
  </w:style>
  <w:style w:type="paragraph" w:customStyle="1" w:styleId="NOTAALPIE0">
    <w:name w:val="NOTA AL PIE"/>
    <w:basedOn w:val="TEXTONORMAL"/>
    <w:next w:val="TEXTONORMAL"/>
    <w:qFormat/>
    <w:rsid w:val="00C50E99"/>
    <w:pPr>
      <w:spacing w:line="240" w:lineRule="auto"/>
      <w:ind w:left="340" w:hanging="340"/>
    </w:pPr>
    <w:rPr>
      <w:rFonts w:ascii="Soberana Sans Light" w:hAnsi="Soberana Sans 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26890">
      <w:bodyDiv w:val="1"/>
      <w:marLeft w:val="0"/>
      <w:marRight w:val="0"/>
      <w:marTop w:val="0"/>
      <w:marBottom w:val="0"/>
      <w:divBdr>
        <w:top w:val="none" w:sz="0" w:space="0" w:color="auto"/>
        <w:left w:val="none" w:sz="0" w:space="0" w:color="auto"/>
        <w:bottom w:val="none" w:sz="0" w:space="0" w:color="auto"/>
        <w:right w:val="none" w:sz="0" w:space="0" w:color="auto"/>
      </w:divBdr>
    </w:div>
    <w:div w:id="1088310589">
      <w:bodyDiv w:val="1"/>
      <w:marLeft w:val="0"/>
      <w:marRight w:val="0"/>
      <w:marTop w:val="0"/>
      <w:marBottom w:val="0"/>
      <w:divBdr>
        <w:top w:val="none" w:sz="0" w:space="0" w:color="auto"/>
        <w:left w:val="none" w:sz="0" w:space="0" w:color="auto"/>
        <w:bottom w:val="none" w:sz="0" w:space="0" w:color="auto"/>
        <w:right w:val="none" w:sz="0" w:space="0" w:color="auto"/>
      </w:divBdr>
    </w:div>
    <w:div w:id="19451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E3B3-2541-451E-89A1-10D00EBF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Plantilla_Introduccion.dot</Template>
  <TotalTime>20</TotalTime>
  <Pages>2</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Leticia Caballero Bravo</cp:lastModifiedBy>
  <cp:revision>9</cp:revision>
  <cp:lastPrinted>2019-01-10T20:54:00Z</cp:lastPrinted>
  <dcterms:created xsi:type="dcterms:W3CDTF">2019-04-13T00:50:00Z</dcterms:created>
  <dcterms:modified xsi:type="dcterms:W3CDTF">2019-04-25T02:12:00Z</dcterms:modified>
</cp:coreProperties>
</file>